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409" w:rsidRPr="00F47669" w:rsidRDefault="00BF78D7" w:rsidP="00D31409">
      <w:pPr>
        <w:pStyle w:val="Title"/>
        <w:rPr>
          <w:sz w:val="32"/>
        </w:rPr>
      </w:pPr>
      <w:r>
        <w:rPr>
          <w:noProof/>
        </w:rPr>
        <w:t>Final</w:t>
      </w:r>
      <w:r w:rsidR="00D31409">
        <w:rPr>
          <w:noProof/>
        </w:rPr>
        <w:t xml:space="preserve"> Evaluation Report of the </w:t>
      </w:r>
      <w:r w:rsidR="00D31409" w:rsidRPr="00F47669">
        <w:rPr>
          <w:noProof/>
        </w:rPr>
        <w:t>Bowel Screening Pilot</w:t>
      </w:r>
      <w:r w:rsidR="00D31409" w:rsidRPr="00F47669">
        <w:rPr>
          <w:noProof/>
        </w:rPr>
        <w:br/>
      </w:r>
      <w:r w:rsidR="00D31409" w:rsidRPr="00F47669">
        <w:rPr>
          <w:noProof/>
          <w:sz w:val="28"/>
        </w:rPr>
        <w:t>Screening Round</w:t>
      </w:r>
      <w:r w:rsidR="00D44EF7">
        <w:rPr>
          <w:noProof/>
          <w:sz w:val="28"/>
        </w:rPr>
        <w:t>s</w:t>
      </w:r>
      <w:r w:rsidR="00D31409" w:rsidRPr="00F47669">
        <w:rPr>
          <w:noProof/>
          <w:sz w:val="28"/>
        </w:rPr>
        <w:t xml:space="preserve"> On</w:t>
      </w:r>
      <w:bookmarkStart w:id="0" w:name="_GoBack"/>
      <w:bookmarkEnd w:id="0"/>
      <w:r w:rsidR="00D31409" w:rsidRPr="00F47669">
        <w:rPr>
          <w:noProof/>
          <w:sz w:val="28"/>
        </w:rPr>
        <w:t>e</w:t>
      </w:r>
      <w:r w:rsidR="00D31409">
        <w:rPr>
          <w:noProof/>
          <w:sz w:val="28"/>
        </w:rPr>
        <w:t xml:space="preserve"> and Two</w:t>
      </w:r>
    </w:p>
    <w:p w:rsidR="00D31409" w:rsidRDefault="00D31409" w:rsidP="00D31409">
      <w:pPr>
        <w:pStyle w:val="ClientName"/>
      </w:pPr>
      <w:r>
        <w:t xml:space="preserve">Ministry of Health </w:t>
      </w:r>
      <w:r>
        <w:br/>
        <w:t>Manat</w:t>
      </w:r>
      <w:r>
        <w:rPr>
          <w:rFonts w:cs="Arial"/>
        </w:rPr>
        <w:t>ū</w:t>
      </w:r>
      <w:r>
        <w:t xml:space="preserve"> Hauora</w:t>
      </w:r>
    </w:p>
    <w:p w:rsidR="005719A8" w:rsidRDefault="00E25EE6" w:rsidP="00D31409">
      <w:pPr>
        <w:spacing w:before="0"/>
        <w:ind w:left="0"/>
        <w:jc w:val="center"/>
        <w:rPr>
          <w:sz w:val="28"/>
          <w:szCs w:val="28"/>
        </w:rPr>
      </w:pPr>
      <w:r>
        <w:rPr>
          <w:sz w:val="28"/>
          <w:szCs w:val="28"/>
        </w:rPr>
        <w:t>01 August</w:t>
      </w:r>
      <w:r w:rsidR="00C41330" w:rsidRPr="00D31409">
        <w:rPr>
          <w:sz w:val="28"/>
          <w:szCs w:val="28"/>
        </w:rPr>
        <w:t xml:space="preserve"> </w:t>
      </w:r>
      <w:r w:rsidR="00D31409" w:rsidRPr="00D31409">
        <w:rPr>
          <w:sz w:val="28"/>
          <w:szCs w:val="28"/>
        </w:rPr>
        <w:t>2016</w:t>
      </w:r>
    </w:p>
    <w:p w:rsidR="005719A8" w:rsidRPr="00A92022" w:rsidRDefault="005719A8" w:rsidP="005719A8"/>
    <w:p w:rsidR="005719A8" w:rsidRDefault="005719A8">
      <w:pPr>
        <w:sectPr w:rsidR="005719A8">
          <w:headerReference w:type="default" r:id="rId8"/>
          <w:footerReference w:type="default" r:id="rId9"/>
          <w:footerReference w:type="first" r:id="rId10"/>
          <w:pgSz w:w="11906" w:h="16838" w:code="9"/>
          <w:pgMar w:top="3969" w:right="1134" w:bottom="1134" w:left="1134" w:header="567" w:footer="567" w:gutter="0"/>
          <w:pgNumType w:fmt="lowerRoman"/>
          <w:cols w:space="720"/>
        </w:sectPr>
      </w:pPr>
    </w:p>
    <w:p w:rsidR="005719A8" w:rsidRDefault="005719A8" w:rsidP="00A95C01">
      <w:pPr>
        <w:pStyle w:val="Heading"/>
        <w:spacing w:after="0"/>
      </w:pPr>
      <w:bookmarkStart w:id="1" w:name="_Toc528559121"/>
      <w:bookmarkStart w:id="2" w:name="_Toc528559355"/>
      <w:bookmarkStart w:id="3" w:name="_Toc528564993"/>
      <w:bookmarkStart w:id="4" w:name="_Toc448763605"/>
      <w:bookmarkStart w:id="5" w:name="_Toc449107393"/>
      <w:bookmarkStart w:id="6" w:name="_Toc449107711"/>
      <w:bookmarkStart w:id="7" w:name="_Toc449556742"/>
      <w:bookmarkStart w:id="8" w:name="_Toc449560681"/>
      <w:bookmarkStart w:id="9" w:name="_Toc449614229"/>
      <w:bookmarkStart w:id="10" w:name="_Toc449645972"/>
      <w:bookmarkStart w:id="11" w:name="_Toc449699678"/>
      <w:bookmarkStart w:id="12" w:name="_Toc451512250"/>
      <w:bookmarkStart w:id="13" w:name="_Toc454203997"/>
      <w:bookmarkStart w:id="14" w:name="_Toc457842105"/>
      <w:r>
        <w:lastRenderedPageBreak/>
        <w:t>Contents</w:t>
      </w:r>
      <w:bookmarkEnd w:id="1"/>
      <w:bookmarkEnd w:id="2"/>
      <w:bookmarkEnd w:id="3"/>
      <w:bookmarkEnd w:id="4"/>
      <w:bookmarkEnd w:id="5"/>
      <w:bookmarkEnd w:id="6"/>
      <w:bookmarkEnd w:id="7"/>
      <w:bookmarkEnd w:id="8"/>
      <w:bookmarkEnd w:id="9"/>
      <w:bookmarkEnd w:id="10"/>
      <w:bookmarkEnd w:id="11"/>
      <w:bookmarkEnd w:id="12"/>
      <w:bookmarkEnd w:id="13"/>
      <w:bookmarkEnd w:id="14"/>
    </w:p>
    <w:p w:rsidR="00A769EB" w:rsidRDefault="00C06229" w:rsidP="00A769EB">
      <w:pPr>
        <w:pStyle w:val="TOC1"/>
        <w:tabs>
          <w:tab w:val="clear" w:pos="5103"/>
          <w:tab w:val="right" w:pos="7938"/>
        </w:tabs>
        <w:spacing w:before="120"/>
        <w:ind w:right="2835"/>
        <w:rPr>
          <w:rFonts w:asciiTheme="minorHAnsi" w:eastAsiaTheme="minorEastAsia" w:hAnsiTheme="minorHAnsi" w:cstheme="minorBidi"/>
          <w:noProof/>
          <w:lang w:eastAsia="en-NZ"/>
        </w:rPr>
      </w:pPr>
      <w:r>
        <w:rPr>
          <w:sz w:val="20"/>
        </w:rPr>
        <w:fldChar w:fldCharType="begin"/>
      </w:r>
      <w:r w:rsidR="00F2473C">
        <w:rPr>
          <w:sz w:val="20"/>
        </w:rPr>
        <w:instrText xml:space="preserve"> TOC \o "1-2" \h \z \u </w:instrText>
      </w:r>
      <w:r>
        <w:rPr>
          <w:sz w:val="20"/>
        </w:rPr>
        <w:fldChar w:fldCharType="separate"/>
      </w:r>
      <w:hyperlink w:anchor="_Toc457842106" w:history="1">
        <w:r w:rsidR="00A769EB" w:rsidRPr="00BE2CC0">
          <w:rPr>
            <w:rStyle w:val="Hyperlink"/>
            <w:noProof/>
          </w:rPr>
          <w:t>DISCLAIMER</w:t>
        </w:r>
        <w:r w:rsidR="00A769EB">
          <w:rPr>
            <w:noProof/>
            <w:webHidden/>
          </w:rPr>
          <w:tab/>
        </w:r>
        <w:r w:rsidR="00A769EB">
          <w:rPr>
            <w:noProof/>
            <w:webHidden/>
          </w:rPr>
          <w:fldChar w:fldCharType="begin"/>
        </w:r>
        <w:r w:rsidR="00A769EB">
          <w:rPr>
            <w:noProof/>
            <w:webHidden/>
          </w:rPr>
          <w:instrText xml:space="preserve"> PAGEREF _Toc457842106 \h </w:instrText>
        </w:r>
        <w:r w:rsidR="00A769EB">
          <w:rPr>
            <w:noProof/>
            <w:webHidden/>
          </w:rPr>
        </w:r>
        <w:r w:rsidR="00A769EB">
          <w:rPr>
            <w:noProof/>
            <w:webHidden/>
          </w:rPr>
          <w:fldChar w:fldCharType="separate"/>
        </w:r>
        <w:r w:rsidR="00C15F9A">
          <w:rPr>
            <w:noProof/>
            <w:webHidden/>
          </w:rPr>
          <w:t>1</w:t>
        </w:r>
        <w:r w:rsidR="00A769EB">
          <w:rPr>
            <w:noProof/>
            <w:webHidden/>
          </w:rPr>
          <w:fldChar w:fldCharType="end"/>
        </w:r>
      </w:hyperlink>
    </w:p>
    <w:p w:rsidR="00A769EB" w:rsidRDefault="001F2F42" w:rsidP="00A769EB">
      <w:pPr>
        <w:pStyle w:val="TOC1"/>
        <w:tabs>
          <w:tab w:val="clear" w:pos="5103"/>
          <w:tab w:val="right" w:pos="7938"/>
        </w:tabs>
        <w:spacing w:before="120"/>
        <w:ind w:right="2835"/>
        <w:rPr>
          <w:rFonts w:asciiTheme="minorHAnsi" w:eastAsiaTheme="minorEastAsia" w:hAnsiTheme="minorHAnsi" w:cstheme="minorBidi"/>
          <w:noProof/>
          <w:lang w:eastAsia="en-NZ"/>
        </w:rPr>
      </w:pPr>
      <w:hyperlink w:anchor="_Toc457842107" w:history="1">
        <w:r w:rsidR="00A769EB" w:rsidRPr="00BE2CC0">
          <w:rPr>
            <w:rStyle w:val="Hyperlink"/>
            <w:noProof/>
          </w:rPr>
          <w:t>Preface</w:t>
        </w:r>
        <w:r w:rsidR="00A769EB">
          <w:rPr>
            <w:noProof/>
            <w:webHidden/>
          </w:rPr>
          <w:tab/>
        </w:r>
        <w:r w:rsidR="00A769EB">
          <w:rPr>
            <w:noProof/>
            <w:webHidden/>
          </w:rPr>
          <w:fldChar w:fldCharType="begin"/>
        </w:r>
        <w:r w:rsidR="00A769EB">
          <w:rPr>
            <w:noProof/>
            <w:webHidden/>
          </w:rPr>
          <w:instrText xml:space="preserve"> PAGEREF _Toc457842107 \h </w:instrText>
        </w:r>
        <w:r w:rsidR="00A769EB">
          <w:rPr>
            <w:noProof/>
            <w:webHidden/>
          </w:rPr>
        </w:r>
        <w:r w:rsidR="00A769EB">
          <w:rPr>
            <w:noProof/>
            <w:webHidden/>
          </w:rPr>
          <w:fldChar w:fldCharType="separate"/>
        </w:r>
        <w:r w:rsidR="00C15F9A">
          <w:rPr>
            <w:noProof/>
            <w:webHidden/>
          </w:rPr>
          <w:t>2</w:t>
        </w:r>
        <w:r w:rsidR="00A769EB">
          <w:rPr>
            <w:noProof/>
            <w:webHidden/>
          </w:rPr>
          <w:fldChar w:fldCharType="end"/>
        </w:r>
      </w:hyperlink>
    </w:p>
    <w:p w:rsidR="00A769EB" w:rsidRDefault="001F2F42" w:rsidP="00A769EB">
      <w:pPr>
        <w:pStyle w:val="TOC1"/>
        <w:tabs>
          <w:tab w:val="clear" w:pos="5103"/>
          <w:tab w:val="left" w:pos="709"/>
          <w:tab w:val="right" w:pos="7938"/>
        </w:tabs>
        <w:spacing w:before="120"/>
        <w:ind w:right="2835"/>
        <w:rPr>
          <w:rFonts w:asciiTheme="minorHAnsi" w:eastAsiaTheme="minorEastAsia" w:hAnsiTheme="minorHAnsi" w:cstheme="minorBidi"/>
          <w:noProof/>
          <w:lang w:eastAsia="en-NZ"/>
        </w:rPr>
      </w:pPr>
      <w:hyperlink w:anchor="_Toc457842108" w:history="1">
        <w:r w:rsidR="00A769EB" w:rsidRPr="00BE2CC0">
          <w:rPr>
            <w:rStyle w:val="Hyperlink"/>
            <w:noProof/>
          </w:rPr>
          <w:t>1.</w:t>
        </w:r>
        <w:r w:rsidR="00A769EB">
          <w:rPr>
            <w:rFonts w:asciiTheme="minorHAnsi" w:eastAsiaTheme="minorEastAsia" w:hAnsiTheme="minorHAnsi" w:cstheme="minorBidi"/>
            <w:noProof/>
            <w:lang w:eastAsia="en-NZ"/>
          </w:rPr>
          <w:tab/>
        </w:r>
        <w:r w:rsidR="00A769EB" w:rsidRPr="00BE2CC0">
          <w:rPr>
            <w:rStyle w:val="Hyperlink"/>
            <w:noProof/>
          </w:rPr>
          <w:t>Executive summary</w:t>
        </w:r>
        <w:r w:rsidR="00A769EB">
          <w:rPr>
            <w:noProof/>
            <w:webHidden/>
          </w:rPr>
          <w:tab/>
        </w:r>
        <w:r w:rsidR="00A769EB">
          <w:rPr>
            <w:noProof/>
            <w:webHidden/>
          </w:rPr>
          <w:fldChar w:fldCharType="begin"/>
        </w:r>
        <w:r w:rsidR="00A769EB">
          <w:rPr>
            <w:noProof/>
            <w:webHidden/>
          </w:rPr>
          <w:instrText xml:space="preserve"> PAGEREF _Toc457842108 \h </w:instrText>
        </w:r>
        <w:r w:rsidR="00A769EB">
          <w:rPr>
            <w:noProof/>
            <w:webHidden/>
          </w:rPr>
        </w:r>
        <w:r w:rsidR="00A769EB">
          <w:rPr>
            <w:noProof/>
            <w:webHidden/>
          </w:rPr>
          <w:fldChar w:fldCharType="separate"/>
        </w:r>
        <w:r w:rsidR="00C15F9A">
          <w:rPr>
            <w:noProof/>
            <w:webHidden/>
          </w:rPr>
          <w:t>3</w:t>
        </w:r>
        <w:r w:rsidR="00A769EB">
          <w:rPr>
            <w:noProof/>
            <w:webHidden/>
          </w:rPr>
          <w:fldChar w:fldCharType="end"/>
        </w:r>
      </w:hyperlink>
    </w:p>
    <w:p w:rsidR="00A769EB" w:rsidRDefault="001F2F42" w:rsidP="00A769EB">
      <w:pPr>
        <w:pStyle w:val="TOC1"/>
        <w:tabs>
          <w:tab w:val="clear" w:pos="5103"/>
          <w:tab w:val="left" w:pos="709"/>
          <w:tab w:val="right" w:pos="7938"/>
        </w:tabs>
        <w:spacing w:before="120"/>
        <w:ind w:right="2835"/>
        <w:rPr>
          <w:rFonts w:asciiTheme="minorHAnsi" w:eastAsiaTheme="minorEastAsia" w:hAnsiTheme="minorHAnsi" w:cstheme="minorBidi"/>
          <w:noProof/>
          <w:lang w:eastAsia="en-NZ"/>
        </w:rPr>
      </w:pPr>
      <w:hyperlink w:anchor="_Toc457842109" w:history="1">
        <w:r w:rsidR="00A769EB" w:rsidRPr="00BE2CC0">
          <w:rPr>
            <w:rStyle w:val="Hyperlink"/>
            <w:noProof/>
          </w:rPr>
          <w:t>2.</w:t>
        </w:r>
        <w:r w:rsidR="00A769EB">
          <w:rPr>
            <w:rFonts w:asciiTheme="minorHAnsi" w:eastAsiaTheme="minorEastAsia" w:hAnsiTheme="minorHAnsi" w:cstheme="minorBidi"/>
            <w:noProof/>
            <w:lang w:eastAsia="en-NZ"/>
          </w:rPr>
          <w:tab/>
        </w:r>
        <w:r w:rsidR="00A769EB" w:rsidRPr="00BE2CC0">
          <w:rPr>
            <w:rStyle w:val="Hyperlink"/>
            <w:noProof/>
          </w:rPr>
          <w:t>Introduction</w:t>
        </w:r>
        <w:r w:rsidR="00A769EB">
          <w:rPr>
            <w:noProof/>
            <w:webHidden/>
          </w:rPr>
          <w:tab/>
        </w:r>
        <w:r w:rsidR="00A769EB">
          <w:rPr>
            <w:noProof/>
            <w:webHidden/>
          </w:rPr>
          <w:fldChar w:fldCharType="begin"/>
        </w:r>
        <w:r w:rsidR="00A769EB">
          <w:rPr>
            <w:noProof/>
            <w:webHidden/>
          </w:rPr>
          <w:instrText xml:space="preserve"> PAGEREF _Toc457842109 \h </w:instrText>
        </w:r>
        <w:r w:rsidR="00A769EB">
          <w:rPr>
            <w:noProof/>
            <w:webHidden/>
          </w:rPr>
        </w:r>
        <w:r w:rsidR="00A769EB">
          <w:rPr>
            <w:noProof/>
            <w:webHidden/>
          </w:rPr>
          <w:fldChar w:fldCharType="separate"/>
        </w:r>
        <w:r w:rsidR="00C15F9A">
          <w:rPr>
            <w:noProof/>
            <w:webHidden/>
          </w:rPr>
          <w:t>6</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10" w:history="1">
        <w:r w:rsidR="00A769EB" w:rsidRPr="00BE2CC0">
          <w:rPr>
            <w:rStyle w:val="Hyperlink"/>
            <w:noProof/>
          </w:rPr>
          <w:t>2.1</w:t>
        </w:r>
        <w:r w:rsidR="00A769EB">
          <w:rPr>
            <w:rFonts w:asciiTheme="minorHAnsi" w:eastAsiaTheme="minorEastAsia" w:hAnsiTheme="minorHAnsi" w:cstheme="minorBidi"/>
            <w:noProof/>
            <w:sz w:val="22"/>
            <w:lang w:eastAsia="en-NZ"/>
          </w:rPr>
          <w:tab/>
        </w:r>
        <w:r w:rsidR="00A769EB" w:rsidRPr="00BE2CC0">
          <w:rPr>
            <w:rStyle w:val="Hyperlink"/>
            <w:noProof/>
          </w:rPr>
          <w:t>Background to BSP</w:t>
        </w:r>
        <w:r w:rsidR="00A769EB">
          <w:rPr>
            <w:noProof/>
            <w:webHidden/>
          </w:rPr>
          <w:tab/>
        </w:r>
        <w:r w:rsidR="00A769EB">
          <w:rPr>
            <w:noProof/>
            <w:webHidden/>
          </w:rPr>
          <w:fldChar w:fldCharType="begin"/>
        </w:r>
        <w:r w:rsidR="00A769EB">
          <w:rPr>
            <w:noProof/>
            <w:webHidden/>
          </w:rPr>
          <w:instrText xml:space="preserve"> PAGEREF _Toc457842110 \h </w:instrText>
        </w:r>
        <w:r w:rsidR="00A769EB">
          <w:rPr>
            <w:noProof/>
            <w:webHidden/>
          </w:rPr>
        </w:r>
        <w:r w:rsidR="00A769EB">
          <w:rPr>
            <w:noProof/>
            <w:webHidden/>
          </w:rPr>
          <w:fldChar w:fldCharType="separate"/>
        </w:r>
        <w:r w:rsidR="00C15F9A">
          <w:rPr>
            <w:noProof/>
            <w:webHidden/>
          </w:rPr>
          <w:t>6</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11" w:history="1">
        <w:r w:rsidR="00A769EB" w:rsidRPr="00BE2CC0">
          <w:rPr>
            <w:rStyle w:val="Hyperlink"/>
            <w:noProof/>
          </w:rPr>
          <w:t>2.2</w:t>
        </w:r>
        <w:r w:rsidR="00A769EB">
          <w:rPr>
            <w:rFonts w:asciiTheme="minorHAnsi" w:eastAsiaTheme="minorEastAsia" w:hAnsiTheme="minorHAnsi" w:cstheme="minorBidi"/>
            <w:noProof/>
            <w:sz w:val="22"/>
            <w:lang w:eastAsia="en-NZ"/>
          </w:rPr>
          <w:tab/>
        </w:r>
        <w:r w:rsidR="00A769EB" w:rsidRPr="00BE2CC0">
          <w:rPr>
            <w:rStyle w:val="Hyperlink"/>
            <w:noProof/>
          </w:rPr>
          <w:t>Uncommon elements of bowel cancer screening</w:t>
        </w:r>
        <w:r w:rsidR="00A769EB">
          <w:rPr>
            <w:noProof/>
            <w:webHidden/>
          </w:rPr>
          <w:tab/>
        </w:r>
        <w:r w:rsidR="00A769EB">
          <w:rPr>
            <w:noProof/>
            <w:webHidden/>
          </w:rPr>
          <w:fldChar w:fldCharType="begin"/>
        </w:r>
        <w:r w:rsidR="00A769EB">
          <w:rPr>
            <w:noProof/>
            <w:webHidden/>
          </w:rPr>
          <w:instrText xml:space="preserve"> PAGEREF _Toc457842111 \h </w:instrText>
        </w:r>
        <w:r w:rsidR="00A769EB">
          <w:rPr>
            <w:noProof/>
            <w:webHidden/>
          </w:rPr>
        </w:r>
        <w:r w:rsidR="00A769EB">
          <w:rPr>
            <w:noProof/>
            <w:webHidden/>
          </w:rPr>
          <w:fldChar w:fldCharType="separate"/>
        </w:r>
        <w:r w:rsidR="00C15F9A">
          <w:rPr>
            <w:noProof/>
            <w:webHidden/>
          </w:rPr>
          <w:t>8</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12" w:history="1">
        <w:r w:rsidR="00A769EB" w:rsidRPr="00BE2CC0">
          <w:rPr>
            <w:rStyle w:val="Hyperlink"/>
            <w:noProof/>
          </w:rPr>
          <w:t>2.3</w:t>
        </w:r>
        <w:r w:rsidR="00A769EB">
          <w:rPr>
            <w:rFonts w:asciiTheme="minorHAnsi" w:eastAsiaTheme="minorEastAsia" w:hAnsiTheme="minorHAnsi" w:cstheme="minorBidi"/>
            <w:noProof/>
            <w:sz w:val="22"/>
            <w:lang w:eastAsia="en-NZ"/>
          </w:rPr>
          <w:tab/>
        </w:r>
        <w:r w:rsidR="00A769EB" w:rsidRPr="00BE2CC0">
          <w:rPr>
            <w:rStyle w:val="Hyperlink"/>
            <w:noProof/>
          </w:rPr>
          <w:t>Description of the BSP</w:t>
        </w:r>
        <w:r w:rsidR="00A769EB">
          <w:rPr>
            <w:noProof/>
            <w:webHidden/>
          </w:rPr>
          <w:tab/>
        </w:r>
        <w:r w:rsidR="00A769EB">
          <w:rPr>
            <w:noProof/>
            <w:webHidden/>
          </w:rPr>
          <w:fldChar w:fldCharType="begin"/>
        </w:r>
        <w:r w:rsidR="00A769EB">
          <w:rPr>
            <w:noProof/>
            <w:webHidden/>
          </w:rPr>
          <w:instrText xml:space="preserve"> PAGEREF _Toc457842112 \h </w:instrText>
        </w:r>
        <w:r w:rsidR="00A769EB">
          <w:rPr>
            <w:noProof/>
            <w:webHidden/>
          </w:rPr>
        </w:r>
        <w:r w:rsidR="00A769EB">
          <w:rPr>
            <w:noProof/>
            <w:webHidden/>
          </w:rPr>
          <w:fldChar w:fldCharType="separate"/>
        </w:r>
        <w:r w:rsidR="00C15F9A">
          <w:rPr>
            <w:noProof/>
            <w:webHidden/>
          </w:rPr>
          <w:t>9</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13" w:history="1">
        <w:r w:rsidR="00A769EB" w:rsidRPr="00BE2CC0">
          <w:rPr>
            <w:rStyle w:val="Hyperlink"/>
            <w:noProof/>
            <w:lang w:eastAsia="ar-SA"/>
          </w:rPr>
          <w:t>2.4</w:t>
        </w:r>
        <w:r w:rsidR="00A769EB">
          <w:rPr>
            <w:rFonts w:asciiTheme="minorHAnsi" w:eastAsiaTheme="minorEastAsia" w:hAnsiTheme="minorHAnsi" w:cstheme="minorBidi"/>
            <w:noProof/>
            <w:sz w:val="22"/>
            <w:lang w:eastAsia="en-NZ"/>
          </w:rPr>
          <w:tab/>
        </w:r>
        <w:r w:rsidR="00A769EB" w:rsidRPr="00BE2CC0">
          <w:rPr>
            <w:rStyle w:val="Hyperlink"/>
            <w:noProof/>
            <w:lang w:eastAsia="ar-SA"/>
          </w:rPr>
          <w:t>Changes in Round 2</w:t>
        </w:r>
        <w:r w:rsidR="00A769EB">
          <w:rPr>
            <w:noProof/>
            <w:webHidden/>
          </w:rPr>
          <w:tab/>
        </w:r>
        <w:r w:rsidR="00A769EB">
          <w:rPr>
            <w:noProof/>
            <w:webHidden/>
          </w:rPr>
          <w:fldChar w:fldCharType="begin"/>
        </w:r>
        <w:r w:rsidR="00A769EB">
          <w:rPr>
            <w:noProof/>
            <w:webHidden/>
          </w:rPr>
          <w:instrText xml:space="preserve"> PAGEREF _Toc457842113 \h </w:instrText>
        </w:r>
        <w:r w:rsidR="00A769EB">
          <w:rPr>
            <w:noProof/>
            <w:webHidden/>
          </w:rPr>
        </w:r>
        <w:r w:rsidR="00A769EB">
          <w:rPr>
            <w:noProof/>
            <w:webHidden/>
          </w:rPr>
          <w:fldChar w:fldCharType="separate"/>
        </w:r>
        <w:r w:rsidR="00C15F9A">
          <w:rPr>
            <w:noProof/>
            <w:webHidden/>
          </w:rPr>
          <w:t>16</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14" w:history="1">
        <w:r w:rsidR="00A769EB" w:rsidRPr="00BE2CC0">
          <w:rPr>
            <w:rStyle w:val="Hyperlink"/>
            <w:noProof/>
          </w:rPr>
          <w:t>2.5</w:t>
        </w:r>
        <w:r w:rsidR="00A769EB">
          <w:rPr>
            <w:rFonts w:asciiTheme="minorHAnsi" w:eastAsiaTheme="minorEastAsia" w:hAnsiTheme="minorHAnsi" w:cstheme="minorBidi"/>
            <w:noProof/>
            <w:sz w:val="22"/>
            <w:lang w:eastAsia="en-NZ"/>
          </w:rPr>
          <w:tab/>
        </w:r>
        <w:r w:rsidR="00A769EB" w:rsidRPr="00BE2CC0">
          <w:rPr>
            <w:rStyle w:val="Hyperlink"/>
            <w:noProof/>
          </w:rPr>
          <w:t>Evaluation methodology</w:t>
        </w:r>
        <w:r w:rsidR="00A769EB">
          <w:rPr>
            <w:noProof/>
            <w:webHidden/>
          </w:rPr>
          <w:tab/>
        </w:r>
        <w:r w:rsidR="00A769EB">
          <w:rPr>
            <w:noProof/>
            <w:webHidden/>
          </w:rPr>
          <w:fldChar w:fldCharType="begin"/>
        </w:r>
        <w:r w:rsidR="00A769EB">
          <w:rPr>
            <w:noProof/>
            <w:webHidden/>
          </w:rPr>
          <w:instrText xml:space="preserve"> PAGEREF _Toc457842114 \h </w:instrText>
        </w:r>
        <w:r w:rsidR="00A769EB">
          <w:rPr>
            <w:noProof/>
            <w:webHidden/>
          </w:rPr>
        </w:r>
        <w:r w:rsidR="00A769EB">
          <w:rPr>
            <w:noProof/>
            <w:webHidden/>
          </w:rPr>
          <w:fldChar w:fldCharType="separate"/>
        </w:r>
        <w:r w:rsidR="00C15F9A">
          <w:rPr>
            <w:noProof/>
            <w:webHidden/>
          </w:rPr>
          <w:t>20</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15" w:history="1">
        <w:r w:rsidR="00A769EB" w:rsidRPr="00BE2CC0">
          <w:rPr>
            <w:rStyle w:val="Hyperlink"/>
            <w:noProof/>
          </w:rPr>
          <w:t>2.6</w:t>
        </w:r>
        <w:r w:rsidR="00A769EB">
          <w:rPr>
            <w:rFonts w:asciiTheme="minorHAnsi" w:eastAsiaTheme="minorEastAsia" w:hAnsiTheme="minorHAnsi" w:cstheme="minorBidi"/>
            <w:noProof/>
            <w:sz w:val="22"/>
            <w:lang w:eastAsia="en-NZ"/>
          </w:rPr>
          <w:tab/>
        </w:r>
        <w:r w:rsidR="00A769EB" w:rsidRPr="00BE2CC0">
          <w:rPr>
            <w:rStyle w:val="Hyperlink"/>
            <w:noProof/>
          </w:rPr>
          <w:t>Limitations</w:t>
        </w:r>
        <w:r w:rsidR="00A769EB">
          <w:rPr>
            <w:noProof/>
            <w:webHidden/>
          </w:rPr>
          <w:tab/>
        </w:r>
        <w:r w:rsidR="00A769EB">
          <w:rPr>
            <w:noProof/>
            <w:webHidden/>
          </w:rPr>
          <w:fldChar w:fldCharType="begin"/>
        </w:r>
        <w:r w:rsidR="00A769EB">
          <w:rPr>
            <w:noProof/>
            <w:webHidden/>
          </w:rPr>
          <w:instrText xml:space="preserve"> PAGEREF _Toc457842115 \h </w:instrText>
        </w:r>
        <w:r w:rsidR="00A769EB">
          <w:rPr>
            <w:noProof/>
            <w:webHidden/>
          </w:rPr>
        </w:r>
        <w:r w:rsidR="00A769EB">
          <w:rPr>
            <w:noProof/>
            <w:webHidden/>
          </w:rPr>
          <w:fldChar w:fldCharType="separate"/>
        </w:r>
        <w:r w:rsidR="00C15F9A">
          <w:rPr>
            <w:noProof/>
            <w:webHidden/>
          </w:rPr>
          <w:t>30</w:t>
        </w:r>
        <w:r w:rsidR="00A769EB">
          <w:rPr>
            <w:noProof/>
            <w:webHidden/>
          </w:rPr>
          <w:fldChar w:fldCharType="end"/>
        </w:r>
      </w:hyperlink>
    </w:p>
    <w:p w:rsidR="00A769EB" w:rsidRPr="00A769EB" w:rsidRDefault="001F2F42" w:rsidP="00A769EB">
      <w:pPr>
        <w:pStyle w:val="TOC1"/>
        <w:tabs>
          <w:tab w:val="clear" w:pos="5103"/>
          <w:tab w:val="left" w:pos="709"/>
          <w:tab w:val="right" w:pos="7938"/>
        </w:tabs>
        <w:spacing w:before="120"/>
        <w:ind w:right="2835"/>
        <w:rPr>
          <w:rStyle w:val="Hyperlink"/>
          <w:noProof/>
        </w:rPr>
      </w:pPr>
      <w:hyperlink w:anchor="_Toc457842116" w:history="1">
        <w:r w:rsidR="00A769EB" w:rsidRPr="00BE2CC0">
          <w:rPr>
            <w:rStyle w:val="Hyperlink"/>
            <w:noProof/>
          </w:rPr>
          <w:t>3.</w:t>
        </w:r>
        <w:r w:rsidR="00A769EB" w:rsidRPr="00A769EB">
          <w:rPr>
            <w:rStyle w:val="Hyperlink"/>
            <w:noProof/>
          </w:rPr>
          <w:tab/>
        </w:r>
        <w:r w:rsidR="00A769EB" w:rsidRPr="00BE2CC0">
          <w:rPr>
            <w:rStyle w:val="Hyperlink"/>
            <w:noProof/>
          </w:rPr>
          <w:t>Effectiveness</w:t>
        </w:r>
        <w:r w:rsidR="00A769EB" w:rsidRPr="00A769EB">
          <w:rPr>
            <w:rStyle w:val="Hyperlink"/>
            <w:noProof/>
            <w:webHidden/>
          </w:rPr>
          <w:tab/>
        </w:r>
        <w:r w:rsidR="00A769EB" w:rsidRPr="00A769EB">
          <w:rPr>
            <w:rStyle w:val="Hyperlink"/>
            <w:noProof/>
            <w:webHidden/>
          </w:rPr>
          <w:fldChar w:fldCharType="begin"/>
        </w:r>
        <w:r w:rsidR="00A769EB" w:rsidRPr="00A769EB">
          <w:rPr>
            <w:rStyle w:val="Hyperlink"/>
            <w:noProof/>
            <w:webHidden/>
          </w:rPr>
          <w:instrText xml:space="preserve"> PAGEREF _Toc457842116 \h </w:instrText>
        </w:r>
        <w:r w:rsidR="00A769EB" w:rsidRPr="00A769EB">
          <w:rPr>
            <w:rStyle w:val="Hyperlink"/>
            <w:noProof/>
            <w:webHidden/>
          </w:rPr>
        </w:r>
        <w:r w:rsidR="00A769EB" w:rsidRPr="00A769EB">
          <w:rPr>
            <w:rStyle w:val="Hyperlink"/>
            <w:noProof/>
            <w:webHidden/>
          </w:rPr>
          <w:fldChar w:fldCharType="separate"/>
        </w:r>
        <w:r w:rsidR="00C15F9A">
          <w:rPr>
            <w:rStyle w:val="Hyperlink"/>
            <w:noProof/>
            <w:webHidden/>
          </w:rPr>
          <w:t>34</w:t>
        </w:r>
        <w:r w:rsidR="00A769EB" w:rsidRPr="00A769EB">
          <w:rPr>
            <w:rStyle w:val="Hyperlink"/>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17" w:history="1">
        <w:r w:rsidR="00A769EB" w:rsidRPr="00BE2CC0">
          <w:rPr>
            <w:rStyle w:val="Hyperlink"/>
            <w:noProof/>
            <w:lang w:eastAsia="en-NZ"/>
          </w:rPr>
          <w:t>3.1</w:t>
        </w:r>
        <w:r w:rsidR="00A769EB">
          <w:rPr>
            <w:rFonts w:asciiTheme="minorHAnsi" w:eastAsiaTheme="minorEastAsia" w:hAnsiTheme="minorHAnsi" w:cstheme="minorBidi"/>
            <w:noProof/>
            <w:sz w:val="22"/>
            <w:lang w:eastAsia="en-NZ"/>
          </w:rPr>
          <w:tab/>
        </w:r>
        <w:r w:rsidR="00A769EB" w:rsidRPr="00BE2CC0">
          <w:rPr>
            <w:rStyle w:val="Hyperlink"/>
            <w:noProof/>
            <w:lang w:eastAsia="en-NZ"/>
          </w:rPr>
          <w:t>Acknowledgements</w:t>
        </w:r>
        <w:r w:rsidR="00A769EB">
          <w:rPr>
            <w:noProof/>
            <w:webHidden/>
          </w:rPr>
          <w:tab/>
        </w:r>
        <w:r w:rsidR="00A769EB">
          <w:rPr>
            <w:noProof/>
            <w:webHidden/>
          </w:rPr>
          <w:fldChar w:fldCharType="begin"/>
        </w:r>
        <w:r w:rsidR="00A769EB">
          <w:rPr>
            <w:noProof/>
            <w:webHidden/>
          </w:rPr>
          <w:instrText xml:space="preserve"> PAGEREF _Toc457842117 \h </w:instrText>
        </w:r>
        <w:r w:rsidR="00A769EB">
          <w:rPr>
            <w:noProof/>
            <w:webHidden/>
          </w:rPr>
        </w:r>
        <w:r w:rsidR="00A769EB">
          <w:rPr>
            <w:noProof/>
            <w:webHidden/>
          </w:rPr>
          <w:fldChar w:fldCharType="separate"/>
        </w:r>
        <w:r w:rsidR="00C15F9A">
          <w:rPr>
            <w:noProof/>
            <w:webHidden/>
          </w:rPr>
          <w:t>34</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18" w:history="1">
        <w:r w:rsidR="00A769EB" w:rsidRPr="00BE2CC0">
          <w:rPr>
            <w:rStyle w:val="Hyperlink"/>
            <w:rFonts w:cs="Arial"/>
            <w:noProof/>
          </w:rPr>
          <w:t>3.2</w:t>
        </w:r>
        <w:r w:rsidR="00A769EB">
          <w:rPr>
            <w:rFonts w:asciiTheme="minorHAnsi" w:eastAsiaTheme="minorEastAsia" w:hAnsiTheme="minorHAnsi" w:cstheme="minorBidi"/>
            <w:noProof/>
            <w:sz w:val="22"/>
            <w:lang w:eastAsia="en-NZ"/>
          </w:rPr>
          <w:tab/>
        </w:r>
        <w:r w:rsidR="00A769EB" w:rsidRPr="00BE2CC0">
          <w:rPr>
            <w:rStyle w:val="Hyperlink"/>
            <w:rFonts w:cs="Arial"/>
            <w:noProof/>
          </w:rPr>
          <w:t>Introduction</w:t>
        </w:r>
        <w:r w:rsidR="00A769EB">
          <w:rPr>
            <w:noProof/>
            <w:webHidden/>
          </w:rPr>
          <w:tab/>
        </w:r>
        <w:r w:rsidR="00A769EB">
          <w:rPr>
            <w:noProof/>
            <w:webHidden/>
          </w:rPr>
          <w:fldChar w:fldCharType="begin"/>
        </w:r>
        <w:r w:rsidR="00A769EB">
          <w:rPr>
            <w:noProof/>
            <w:webHidden/>
          </w:rPr>
          <w:instrText xml:space="preserve"> PAGEREF _Toc457842118 \h </w:instrText>
        </w:r>
        <w:r w:rsidR="00A769EB">
          <w:rPr>
            <w:noProof/>
            <w:webHidden/>
          </w:rPr>
        </w:r>
        <w:r w:rsidR="00A769EB">
          <w:rPr>
            <w:noProof/>
            <w:webHidden/>
          </w:rPr>
          <w:fldChar w:fldCharType="separate"/>
        </w:r>
        <w:r w:rsidR="00C15F9A">
          <w:rPr>
            <w:noProof/>
            <w:webHidden/>
          </w:rPr>
          <w:t>34</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19" w:history="1">
        <w:r w:rsidR="00A769EB" w:rsidRPr="00BE2CC0">
          <w:rPr>
            <w:rStyle w:val="Hyperlink"/>
            <w:rFonts w:cs="Arial"/>
            <w:noProof/>
          </w:rPr>
          <w:t>3.3</w:t>
        </w:r>
        <w:r w:rsidR="00A769EB">
          <w:rPr>
            <w:rFonts w:asciiTheme="minorHAnsi" w:eastAsiaTheme="minorEastAsia" w:hAnsiTheme="minorHAnsi" w:cstheme="minorBidi"/>
            <w:noProof/>
            <w:sz w:val="22"/>
            <w:lang w:eastAsia="en-NZ"/>
          </w:rPr>
          <w:tab/>
        </w:r>
        <w:r w:rsidR="00A769EB" w:rsidRPr="00BE2CC0">
          <w:rPr>
            <w:rStyle w:val="Hyperlink"/>
            <w:rFonts w:cs="Arial"/>
            <w:noProof/>
          </w:rPr>
          <w:t>Participation</w:t>
        </w:r>
        <w:r w:rsidR="00A769EB">
          <w:rPr>
            <w:noProof/>
            <w:webHidden/>
          </w:rPr>
          <w:tab/>
        </w:r>
        <w:r w:rsidR="00A769EB">
          <w:rPr>
            <w:noProof/>
            <w:webHidden/>
          </w:rPr>
          <w:fldChar w:fldCharType="begin"/>
        </w:r>
        <w:r w:rsidR="00A769EB">
          <w:rPr>
            <w:noProof/>
            <w:webHidden/>
          </w:rPr>
          <w:instrText xml:space="preserve"> PAGEREF _Toc457842119 \h </w:instrText>
        </w:r>
        <w:r w:rsidR="00A769EB">
          <w:rPr>
            <w:noProof/>
            <w:webHidden/>
          </w:rPr>
        </w:r>
        <w:r w:rsidR="00A769EB">
          <w:rPr>
            <w:noProof/>
            <w:webHidden/>
          </w:rPr>
          <w:fldChar w:fldCharType="separate"/>
        </w:r>
        <w:r w:rsidR="00C15F9A">
          <w:rPr>
            <w:noProof/>
            <w:webHidden/>
          </w:rPr>
          <w:t>35</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21" w:history="1">
        <w:r w:rsidR="00A769EB" w:rsidRPr="00BE2CC0">
          <w:rPr>
            <w:rStyle w:val="Hyperlink"/>
            <w:rFonts w:cs="Arial"/>
            <w:noProof/>
          </w:rPr>
          <w:t>3.4</w:t>
        </w:r>
        <w:r w:rsidR="00A769EB">
          <w:rPr>
            <w:rFonts w:asciiTheme="minorHAnsi" w:eastAsiaTheme="minorEastAsia" w:hAnsiTheme="minorHAnsi" w:cstheme="minorBidi"/>
            <w:noProof/>
            <w:sz w:val="22"/>
            <w:lang w:eastAsia="en-NZ"/>
          </w:rPr>
          <w:tab/>
        </w:r>
        <w:r w:rsidR="00A769EB" w:rsidRPr="00BE2CC0">
          <w:rPr>
            <w:rStyle w:val="Hyperlink"/>
            <w:rFonts w:cs="Arial"/>
            <w:noProof/>
          </w:rPr>
          <w:t>Outcomes</w:t>
        </w:r>
        <w:r w:rsidR="00A769EB">
          <w:rPr>
            <w:noProof/>
            <w:webHidden/>
          </w:rPr>
          <w:tab/>
        </w:r>
        <w:r w:rsidR="00A769EB">
          <w:rPr>
            <w:noProof/>
            <w:webHidden/>
          </w:rPr>
          <w:fldChar w:fldCharType="begin"/>
        </w:r>
        <w:r w:rsidR="00A769EB">
          <w:rPr>
            <w:noProof/>
            <w:webHidden/>
          </w:rPr>
          <w:instrText xml:space="preserve"> PAGEREF _Toc457842121 \h </w:instrText>
        </w:r>
        <w:r w:rsidR="00A769EB">
          <w:rPr>
            <w:noProof/>
            <w:webHidden/>
          </w:rPr>
        </w:r>
        <w:r w:rsidR="00A769EB">
          <w:rPr>
            <w:noProof/>
            <w:webHidden/>
          </w:rPr>
          <w:fldChar w:fldCharType="separate"/>
        </w:r>
        <w:r w:rsidR="00C15F9A">
          <w:rPr>
            <w:noProof/>
            <w:webHidden/>
          </w:rPr>
          <w:t>39</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25" w:history="1">
        <w:r w:rsidR="00A769EB" w:rsidRPr="00BE2CC0">
          <w:rPr>
            <w:rStyle w:val="Hyperlink"/>
            <w:noProof/>
          </w:rPr>
          <w:t>3.5</w:t>
        </w:r>
        <w:r w:rsidR="00A769EB">
          <w:rPr>
            <w:rFonts w:asciiTheme="minorHAnsi" w:eastAsiaTheme="minorEastAsia" w:hAnsiTheme="minorHAnsi" w:cstheme="minorBidi"/>
            <w:noProof/>
            <w:sz w:val="22"/>
            <w:lang w:eastAsia="en-NZ"/>
          </w:rPr>
          <w:tab/>
        </w:r>
        <w:r w:rsidR="00A769EB" w:rsidRPr="00BE2CC0">
          <w:rPr>
            <w:rStyle w:val="Hyperlink"/>
            <w:noProof/>
          </w:rPr>
          <w:t>Colorectal cancer</w:t>
        </w:r>
        <w:r w:rsidR="00A769EB">
          <w:rPr>
            <w:noProof/>
            <w:webHidden/>
          </w:rPr>
          <w:tab/>
        </w:r>
        <w:r w:rsidR="00A769EB">
          <w:rPr>
            <w:noProof/>
            <w:webHidden/>
          </w:rPr>
          <w:fldChar w:fldCharType="begin"/>
        </w:r>
        <w:r w:rsidR="00A769EB">
          <w:rPr>
            <w:noProof/>
            <w:webHidden/>
          </w:rPr>
          <w:instrText xml:space="preserve"> PAGEREF _Toc457842125 \h </w:instrText>
        </w:r>
        <w:r w:rsidR="00A769EB">
          <w:rPr>
            <w:noProof/>
            <w:webHidden/>
          </w:rPr>
        </w:r>
        <w:r w:rsidR="00A769EB">
          <w:rPr>
            <w:noProof/>
            <w:webHidden/>
          </w:rPr>
          <w:fldChar w:fldCharType="separate"/>
        </w:r>
        <w:r w:rsidR="00C15F9A">
          <w:rPr>
            <w:noProof/>
            <w:webHidden/>
          </w:rPr>
          <w:t>48</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26" w:history="1">
        <w:r w:rsidR="00A769EB" w:rsidRPr="00BE2CC0">
          <w:rPr>
            <w:rStyle w:val="Hyperlink"/>
            <w:rFonts w:cs="Arial"/>
            <w:noProof/>
          </w:rPr>
          <w:t>3.6</w:t>
        </w:r>
        <w:r w:rsidR="00A769EB">
          <w:rPr>
            <w:rFonts w:asciiTheme="minorHAnsi" w:eastAsiaTheme="minorEastAsia" w:hAnsiTheme="minorHAnsi" w:cstheme="minorBidi"/>
            <w:noProof/>
            <w:sz w:val="22"/>
            <w:lang w:eastAsia="en-NZ"/>
          </w:rPr>
          <w:tab/>
        </w:r>
        <w:r w:rsidR="00A769EB" w:rsidRPr="00BE2CC0">
          <w:rPr>
            <w:rStyle w:val="Hyperlink"/>
            <w:rFonts w:cs="Arial"/>
            <w:noProof/>
          </w:rPr>
          <w:t>Colonoscopy completion</w:t>
        </w:r>
        <w:r w:rsidR="00A769EB">
          <w:rPr>
            <w:noProof/>
            <w:webHidden/>
          </w:rPr>
          <w:tab/>
        </w:r>
        <w:r w:rsidR="00A769EB">
          <w:rPr>
            <w:noProof/>
            <w:webHidden/>
          </w:rPr>
          <w:fldChar w:fldCharType="begin"/>
        </w:r>
        <w:r w:rsidR="00A769EB">
          <w:rPr>
            <w:noProof/>
            <w:webHidden/>
          </w:rPr>
          <w:instrText xml:space="preserve"> PAGEREF _Toc457842126 \h </w:instrText>
        </w:r>
        <w:r w:rsidR="00A769EB">
          <w:rPr>
            <w:noProof/>
            <w:webHidden/>
          </w:rPr>
        </w:r>
        <w:r w:rsidR="00A769EB">
          <w:rPr>
            <w:noProof/>
            <w:webHidden/>
          </w:rPr>
          <w:fldChar w:fldCharType="separate"/>
        </w:r>
        <w:r w:rsidR="00C15F9A">
          <w:rPr>
            <w:noProof/>
            <w:webHidden/>
          </w:rPr>
          <w:t>50</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27" w:history="1">
        <w:r w:rsidR="00A769EB" w:rsidRPr="00BE2CC0">
          <w:rPr>
            <w:rStyle w:val="Hyperlink"/>
            <w:rFonts w:cs="Arial"/>
            <w:noProof/>
          </w:rPr>
          <w:t>3.7</w:t>
        </w:r>
        <w:r w:rsidR="00A769EB">
          <w:rPr>
            <w:rFonts w:asciiTheme="minorHAnsi" w:eastAsiaTheme="minorEastAsia" w:hAnsiTheme="minorHAnsi" w:cstheme="minorBidi"/>
            <w:noProof/>
            <w:sz w:val="22"/>
            <w:lang w:eastAsia="en-NZ"/>
          </w:rPr>
          <w:tab/>
        </w:r>
        <w:r w:rsidR="00A769EB" w:rsidRPr="00BE2CC0">
          <w:rPr>
            <w:rStyle w:val="Hyperlink"/>
            <w:rFonts w:cs="Arial"/>
            <w:noProof/>
          </w:rPr>
          <w:t>Adverse events</w:t>
        </w:r>
        <w:r w:rsidR="00A769EB">
          <w:rPr>
            <w:noProof/>
            <w:webHidden/>
          </w:rPr>
          <w:tab/>
        </w:r>
        <w:r w:rsidR="00A769EB">
          <w:rPr>
            <w:noProof/>
            <w:webHidden/>
          </w:rPr>
          <w:fldChar w:fldCharType="begin"/>
        </w:r>
        <w:r w:rsidR="00A769EB">
          <w:rPr>
            <w:noProof/>
            <w:webHidden/>
          </w:rPr>
          <w:instrText xml:space="preserve"> PAGEREF _Toc457842127 \h </w:instrText>
        </w:r>
        <w:r w:rsidR="00A769EB">
          <w:rPr>
            <w:noProof/>
            <w:webHidden/>
          </w:rPr>
        </w:r>
        <w:r w:rsidR="00A769EB">
          <w:rPr>
            <w:noProof/>
            <w:webHidden/>
          </w:rPr>
          <w:fldChar w:fldCharType="separate"/>
        </w:r>
        <w:r w:rsidR="00C15F9A">
          <w:rPr>
            <w:noProof/>
            <w:webHidden/>
          </w:rPr>
          <w:t>50</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28" w:history="1">
        <w:r w:rsidR="00A769EB" w:rsidRPr="00BE2CC0">
          <w:rPr>
            <w:rStyle w:val="Hyperlink"/>
            <w:noProof/>
          </w:rPr>
          <w:t>3.8</w:t>
        </w:r>
        <w:r w:rsidR="00A769EB">
          <w:rPr>
            <w:rFonts w:asciiTheme="minorHAnsi" w:eastAsiaTheme="minorEastAsia" w:hAnsiTheme="minorHAnsi" w:cstheme="minorBidi"/>
            <w:noProof/>
            <w:sz w:val="22"/>
            <w:lang w:eastAsia="en-NZ"/>
          </w:rPr>
          <w:tab/>
        </w:r>
        <w:r w:rsidR="00A769EB" w:rsidRPr="00BE2CC0">
          <w:rPr>
            <w:rStyle w:val="Hyperlink"/>
            <w:noProof/>
          </w:rPr>
          <w:t>Conclusion</w:t>
        </w:r>
        <w:r w:rsidR="00A769EB">
          <w:rPr>
            <w:noProof/>
            <w:webHidden/>
          </w:rPr>
          <w:tab/>
        </w:r>
        <w:r w:rsidR="00A769EB">
          <w:rPr>
            <w:noProof/>
            <w:webHidden/>
          </w:rPr>
          <w:fldChar w:fldCharType="begin"/>
        </w:r>
        <w:r w:rsidR="00A769EB">
          <w:rPr>
            <w:noProof/>
            <w:webHidden/>
          </w:rPr>
          <w:instrText xml:space="preserve"> PAGEREF _Toc457842128 \h </w:instrText>
        </w:r>
        <w:r w:rsidR="00A769EB">
          <w:rPr>
            <w:noProof/>
            <w:webHidden/>
          </w:rPr>
        </w:r>
        <w:r w:rsidR="00A769EB">
          <w:rPr>
            <w:noProof/>
            <w:webHidden/>
          </w:rPr>
          <w:fldChar w:fldCharType="separate"/>
        </w:r>
        <w:r w:rsidR="00C15F9A">
          <w:rPr>
            <w:noProof/>
            <w:webHidden/>
          </w:rPr>
          <w:t>51</w:t>
        </w:r>
        <w:r w:rsidR="00A769EB">
          <w:rPr>
            <w:noProof/>
            <w:webHidden/>
          </w:rPr>
          <w:fldChar w:fldCharType="end"/>
        </w:r>
      </w:hyperlink>
    </w:p>
    <w:p w:rsidR="00A769EB" w:rsidRPr="00A769EB" w:rsidRDefault="001F2F42" w:rsidP="00A769EB">
      <w:pPr>
        <w:pStyle w:val="TOC1"/>
        <w:tabs>
          <w:tab w:val="clear" w:pos="5103"/>
          <w:tab w:val="left" w:pos="709"/>
          <w:tab w:val="right" w:pos="7938"/>
        </w:tabs>
        <w:spacing w:before="120"/>
        <w:ind w:right="2835"/>
        <w:rPr>
          <w:rStyle w:val="Hyperlink"/>
          <w:noProof/>
        </w:rPr>
      </w:pPr>
      <w:hyperlink w:anchor="_Toc457842129" w:history="1">
        <w:r w:rsidR="00A769EB" w:rsidRPr="00BE2CC0">
          <w:rPr>
            <w:rStyle w:val="Hyperlink"/>
            <w:noProof/>
          </w:rPr>
          <w:t>4.</w:t>
        </w:r>
        <w:r w:rsidR="00A769EB" w:rsidRPr="00A769EB">
          <w:rPr>
            <w:rStyle w:val="Hyperlink"/>
            <w:noProof/>
          </w:rPr>
          <w:tab/>
        </w:r>
        <w:r w:rsidR="00A769EB" w:rsidRPr="00BE2CC0">
          <w:rPr>
            <w:rStyle w:val="Hyperlink"/>
            <w:noProof/>
          </w:rPr>
          <w:t>Economic efficiency</w:t>
        </w:r>
        <w:r w:rsidR="00A769EB" w:rsidRPr="00A769EB">
          <w:rPr>
            <w:rStyle w:val="Hyperlink"/>
            <w:noProof/>
            <w:webHidden/>
          </w:rPr>
          <w:tab/>
        </w:r>
        <w:r w:rsidR="00A769EB" w:rsidRPr="00A769EB">
          <w:rPr>
            <w:rStyle w:val="Hyperlink"/>
            <w:noProof/>
            <w:webHidden/>
          </w:rPr>
          <w:fldChar w:fldCharType="begin"/>
        </w:r>
        <w:r w:rsidR="00A769EB" w:rsidRPr="00A769EB">
          <w:rPr>
            <w:rStyle w:val="Hyperlink"/>
            <w:noProof/>
            <w:webHidden/>
          </w:rPr>
          <w:instrText xml:space="preserve"> PAGEREF _Toc457842129 \h </w:instrText>
        </w:r>
        <w:r w:rsidR="00A769EB" w:rsidRPr="00A769EB">
          <w:rPr>
            <w:rStyle w:val="Hyperlink"/>
            <w:noProof/>
            <w:webHidden/>
          </w:rPr>
        </w:r>
        <w:r w:rsidR="00A769EB" w:rsidRPr="00A769EB">
          <w:rPr>
            <w:rStyle w:val="Hyperlink"/>
            <w:noProof/>
            <w:webHidden/>
          </w:rPr>
          <w:fldChar w:fldCharType="separate"/>
        </w:r>
        <w:r w:rsidR="00C15F9A">
          <w:rPr>
            <w:rStyle w:val="Hyperlink"/>
            <w:noProof/>
            <w:webHidden/>
          </w:rPr>
          <w:t>53</w:t>
        </w:r>
        <w:r w:rsidR="00A769EB" w:rsidRPr="00A769EB">
          <w:rPr>
            <w:rStyle w:val="Hyperlink"/>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30" w:history="1">
        <w:r w:rsidR="00A769EB" w:rsidRPr="00BE2CC0">
          <w:rPr>
            <w:rStyle w:val="Hyperlink"/>
            <w:noProof/>
          </w:rPr>
          <w:t>4.1</w:t>
        </w:r>
        <w:r w:rsidR="00A769EB">
          <w:rPr>
            <w:rFonts w:asciiTheme="minorHAnsi" w:eastAsiaTheme="minorEastAsia" w:hAnsiTheme="minorHAnsi" w:cstheme="minorBidi"/>
            <w:noProof/>
            <w:sz w:val="22"/>
            <w:lang w:eastAsia="en-NZ"/>
          </w:rPr>
          <w:tab/>
        </w:r>
        <w:r w:rsidR="00A769EB" w:rsidRPr="00BE2CC0">
          <w:rPr>
            <w:rStyle w:val="Hyperlink"/>
            <w:noProof/>
          </w:rPr>
          <w:t>Two aspects of economic efficiency</w:t>
        </w:r>
        <w:r w:rsidR="00A769EB">
          <w:rPr>
            <w:noProof/>
            <w:webHidden/>
          </w:rPr>
          <w:tab/>
        </w:r>
        <w:r w:rsidR="00A769EB">
          <w:rPr>
            <w:noProof/>
            <w:webHidden/>
          </w:rPr>
          <w:fldChar w:fldCharType="begin"/>
        </w:r>
        <w:r w:rsidR="00A769EB">
          <w:rPr>
            <w:noProof/>
            <w:webHidden/>
          </w:rPr>
          <w:instrText xml:space="preserve"> PAGEREF _Toc457842130 \h </w:instrText>
        </w:r>
        <w:r w:rsidR="00A769EB">
          <w:rPr>
            <w:noProof/>
            <w:webHidden/>
          </w:rPr>
        </w:r>
        <w:r w:rsidR="00A769EB">
          <w:rPr>
            <w:noProof/>
            <w:webHidden/>
          </w:rPr>
          <w:fldChar w:fldCharType="separate"/>
        </w:r>
        <w:r w:rsidR="00C15F9A">
          <w:rPr>
            <w:noProof/>
            <w:webHidden/>
          </w:rPr>
          <w:t>53</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31" w:history="1">
        <w:r w:rsidR="00A769EB" w:rsidRPr="00BE2CC0">
          <w:rPr>
            <w:rStyle w:val="Hyperlink"/>
            <w:noProof/>
          </w:rPr>
          <w:t>4.3</w:t>
        </w:r>
        <w:r w:rsidR="00A769EB">
          <w:rPr>
            <w:rFonts w:asciiTheme="minorHAnsi" w:eastAsiaTheme="minorEastAsia" w:hAnsiTheme="minorHAnsi" w:cstheme="minorBidi"/>
            <w:noProof/>
            <w:sz w:val="22"/>
            <w:lang w:eastAsia="en-NZ"/>
          </w:rPr>
          <w:tab/>
        </w:r>
        <w:r w:rsidR="00A769EB" w:rsidRPr="00BE2CC0">
          <w:rPr>
            <w:rStyle w:val="Hyperlink"/>
            <w:noProof/>
          </w:rPr>
          <w:t>Summary of cost of screening results</w:t>
        </w:r>
        <w:r w:rsidR="00A769EB">
          <w:rPr>
            <w:noProof/>
            <w:webHidden/>
          </w:rPr>
          <w:tab/>
        </w:r>
        <w:r w:rsidR="00A769EB" w:rsidRPr="00A769EB">
          <w:rPr>
            <w:rStyle w:val="Hyperlink"/>
            <w:noProof/>
            <w:webHidden/>
          </w:rPr>
          <w:fldChar w:fldCharType="begin"/>
        </w:r>
        <w:r w:rsidR="00A769EB" w:rsidRPr="00A769EB">
          <w:rPr>
            <w:rStyle w:val="Hyperlink"/>
            <w:noProof/>
            <w:webHidden/>
          </w:rPr>
          <w:instrText xml:space="preserve"> PAGEREF _Toc457842131 \h </w:instrText>
        </w:r>
        <w:r w:rsidR="00A769EB" w:rsidRPr="00A769EB">
          <w:rPr>
            <w:rStyle w:val="Hyperlink"/>
            <w:noProof/>
            <w:webHidden/>
          </w:rPr>
        </w:r>
        <w:r w:rsidR="00A769EB" w:rsidRPr="00A769EB">
          <w:rPr>
            <w:rStyle w:val="Hyperlink"/>
            <w:noProof/>
            <w:webHidden/>
          </w:rPr>
          <w:fldChar w:fldCharType="separate"/>
        </w:r>
        <w:r w:rsidR="00C15F9A">
          <w:rPr>
            <w:rStyle w:val="Hyperlink"/>
            <w:noProof/>
            <w:webHidden/>
          </w:rPr>
          <w:t>53</w:t>
        </w:r>
        <w:r w:rsidR="00A769EB" w:rsidRPr="00A769EB">
          <w:rPr>
            <w:rStyle w:val="Hyperlink"/>
            <w:noProof/>
            <w:webHidden/>
          </w:rPr>
          <w:fldChar w:fldCharType="end"/>
        </w:r>
      </w:hyperlink>
    </w:p>
    <w:p w:rsidR="00A769EB" w:rsidRDefault="001F2F42">
      <w:pPr>
        <w:pStyle w:val="TOC2"/>
        <w:tabs>
          <w:tab w:val="left" w:pos="1320"/>
        </w:tabs>
        <w:rPr>
          <w:rFonts w:asciiTheme="minorHAnsi" w:eastAsiaTheme="minorEastAsia" w:hAnsiTheme="minorHAnsi" w:cstheme="minorBidi"/>
          <w:noProof/>
          <w:sz w:val="22"/>
          <w:lang w:eastAsia="en-NZ"/>
        </w:rPr>
      </w:pPr>
      <w:hyperlink w:anchor="_Toc457842132" w:history="1">
        <w:r w:rsidR="00A769EB" w:rsidRPr="00BE2CC0">
          <w:rPr>
            <w:rStyle w:val="Hyperlink"/>
            <w:noProof/>
          </w:rPr>
          <w:t>4.2</w:t>
        </w:r>
        <w:r w:rsidR="00A769EB">
          <w:rPr>
            <w:rFonts w:asciiTheme="minorHAnsi" w:eastAsiaTheme="minorEastAsia" w:hAnsiTheme="minorHAnsi" w:cstheme="minorBidi"/>
            <w:noProof/>
            <w:sz w:val="22"/>
            <w:lang w:eastAsia="en-NZ"/>
          </w:rPr>
          <w:tab/>
        </w:r>
        <w:r w:rsidR="00A769EB" w:rsidRPr="00BE2CC0">
          <w:rPr>
            <w:rStyle w:val="Hyperlink"/>
            <w:noProof/>
          </w:rPr>
          <w:t>Sources of data and assumptions</w:t>
        </w:r>
        <w:r w:rsidR="00A769EB">
          <w:rPr>
            <w:noProof/>
            <w:webHidden/>
          </w:rPr>
          <w:tab/>
        </w:r>
        <w:r w:rsidR="00A769EB">
          <w:rPr>
            <w:noProof/>
            <w:webHidden/>
          </w:rPr>
          <w:fldChar w:fldCharType="begin"/>
        </w:r>
        <w:r w:rsidR="00A769EB">
          <w:rPr>
            <w:noProof/>
            <w:webHidden/>
          </w:rPr>
          <w:instrText xml:space="preserve"> PAGEREF _Toc457842132 \h </w:instrText>
        </w:r>
        <w:r w:rsidR="00A769EB">
          <w:rPr>
            <w:noProof/>
            <w:webHidden/>
          </w:rPr>
        </w:r>
        <w:r w:rsidR="00A769EB">
          <w:rPr>
            <w:noProof/>
            <w:webHidden/>
          </w:rPr>
          <w:fldChar w:fldCharType="separate"/>
        </w:r>
        <w:r w:rsidR="00C15F9A">
          <w:rPr>
            <w:noProof/>
            <w:webHidden/>
          </w:rPr>
          <w:t>56</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33" w:history="1">
        <w:r w:rsidR="00A769EB" w:rsidRPr="00BE2CC0">
          <w:rPr>
            <w:rStyle w:val="Hyperlink"/>
            <w:noProof/>
          </w:rPr>
          <w:t>4.4</w:t>
        </w:r>
        <w:r w:rsidR="00A769EB">
          <w:rPr>
            <w:rFonts w:asciiTheme="minorHAnsi" w:eastAsiaTheme="minorEastAsia" w:hAnsiTheme="minorHAnsi" w:cstheme="minorBidi"/>
            <w:noProof/>
            <w:sz w:val="22"/>
            <w:lang w:eastAsia="en-NZ"/>
          </w:rPr>
          <w:tab/>
        </w:r>
        <w:r w:rsidR="00A769EB" w:rsidRPr="00BE2CC0">
          <w:rPr>
            <w:rStyle w:val="Hyperlink"/>
            <w:noProof/>
          </w:rPr>
          <w:t>Summary of cost-effectiveness results: total population</w:t>
        </w:r>
        <w:r w:rsidR="00A769EB">
          <w:rPr>
            <w:noProof/>
            <w:webHidden/>
          </w:rPr>
          <w:tab/>
        </w:r>
        <w:r w:rsidR="00A769EB">
          <w:rPr>
            <w:noProof/>
            <w:webHidden/>
          </w:rPr>
          <w:fldChar w:fldCharType="begin"/>
        </w:r>
        <w:r w:rsidR="00A769EB">
          <w:rPr>
            <w:noProof/>
            <w:webHidden/>
          </w:rPr>
          <w:instrText xml:space="preserve"> PAGEREF _Toc457842133 \h </w:instrText>
        </w:r>
        <w:r w:rsidR="00A769EB">
          <w:rPr>
            <w:noProof/>
            <w:webHidden/>
          </w:rPr>
        </w:r>
        <w:r w:rsidR="00A769EB">
          <w:rPr>
            <w:noProof/>
            <w:webHidden/>
          </w:rPr>
          <w:fldChar w:fldCharType="separate"/>
        </w:r>
        <w:r w:rsidR="00C15F9A">
          <w:rPr>
            <w:noProof/>
            <w:webHidden/>
          </w:rPr>
          <w:t>57</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34" w:history="1">
        <w:r w:rsidR="00A769EB" w:rsidRPr="00BE2CC0">
          <w:rPr>
            <w:rStyle w:val="Hyperlink"/>
            <w:noProof/>
          </w:rPr>
          <w:t>4.5</w:t>
        </w:r>
        <w:r w:rsidR="00A769EB">
          <w:rPr>
            <w:rFonts w:asciiTheme="minorHAnsi" w:eastAsiaTheme="minorEastAsia" w:hAnsiTheme="minorHAnsi" w:cstheme="minorBidi"/>
            <w:noProof/>
            <w:sz w:val="22"/>
            <w:lang w:eastAsia="en-NZ"/>
          </w:rPr>
          <w:tab/>
        </w:r>
        <w:r w:rsidR="00A769EB" w:rsidRPr="00BE2CC0">
          <w:rPr>
            <w:rStyle w:val="Hyperlink"/>
            <w:noProof/>
          </w:rPr>
          <w:t>Summary of cost-effectiveness results: Māori</w:t>
        </w:r>
        <w:r w:rsidR="00A769EB">
          <w:rPr>
            <w:noProof/>
            <w:webHidden/>
          </w:rPr>
          <w:tab/>
        </w:r>
        <w:r w:rsidR="00A769EB">
          <w:rPr>
            <w:noProof/>
            <w:webHidden/>
          </w:rPr>
          <w:fldChar w:fldCharType="begin"/>
        </w:r>
        <w:r w:rsidR="00A769EB">
          <w:rPr>
            <w:noProof/>
            <w:webHidden/>
          </w:rPr>
          <w:instrText xml:space="preserve"> PAGEREF _Toc457842134 \h </w:instrText>
        </w:r>
        <w:r w:rsidR="00A769EB">
          <w:rPr>
            <w:noProof/>
            <w:webHidden/>
          </w:rPr>
        </w:r>
        <w:r w:rsidR="00A769EB">
          <w:rPr>
            <w:noProof/>
            <w:webHidden/>
          </w:rPr>
          <w:fldChar w:fldCharType="separate"/>
        </w:r>
        <w:r w:rsidR="00C15F9A">
          <w:rPr>
            <w:noProof/>
            <w:webHidden/>
          </w:rPr>
          <w:t>61</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35" w:history="1">
        <w:r w:rsidR="00A769EB" w:rsidRPr="00BE2CC0">
          <w:rPr>
            <w:rStyle w:val="Hyperlink"/>
            <w:noProof/>
          </w:rPr>
          <w:t>4.7</w:t>
        </w:r>
        <w:r w:rsidR="00A769EB">
          <w:rPr>
            <w:rFonts w:asciiTheme="minorHAnsi" w:eastAsiaTheme="minorEastAsia" w:hAnsiTheme="minorHAnsi" w:cstheme="minorBidi"/>
            <w:noProof/>
            <w:sz w:val="22"/>
            <w:lang w:eastAsia="en-NZ"/>
          </w:rPr>
          <w:tab/>
        </w:r>
        <w:r w:rsidR="00A769EB" w:rsidRPr="00BE2CC0">
          <w:rPr>
            <w:rStyle w:val="Hyperlink"/>
            <w:noProof/>
          </w:rPr>
          <w:t>Sensitivity of results to key parameters</w:t>
        </w:r>
        <w:r w:rsidR="00A769EB">
          <w:rPr>
            <w:noProof/>
            <w:webHidden/>
          </w:rPr>
          <w:tab/>
        </w:r>
        <w:r w:rsidR="00A769EB">
          <w:rPr>
            <w:noProof/>
            <w:webHidden/>
          </w:rPr>
          <w:fldChar w:fldCharType="begin"/>
        </w:r>
        <w:r w:rsidR="00A769EB">
          <w:rPr>
            <w:noProof/>
            <w:webHidden/>
          </w:rPr>
          <w:instrText xml:space="preserve"> PAGEREF _Toc457842135 \h </w:instrText>
        </w:r>
        <w:r w:rsidR="00A769EB">
          <w:rPr>
            <w:noProof/>
            <w:webHidden/>
          </w:rPr>
        </w:r>
        <w:r w:rsidR="00A769EB">
          <w:rPr>
            <w:noProof/>
            <w:webHidden/>
          </w:rPr>
          <w:fldChar w:fldCharType="separate"/>
        </w:r>
        <w:r w:rsidR="00C15F9A">
          <w:rPr>
            <w:noProof/>
            <w:webHidden/>
          </w:rPr>
          <w:t>62</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36" w:history="1">
        <w:r w:rsidR="00A769EB" w:rsidRPr="00BE2CC0">
          <w:rPr>
            <w:rStyle w:val="Hyperlink"/>
            <w:noProof/>
          </w:rPr>
          <w:t>4.8</w:t>
        </w:r>
        <w:r w:rsidR="00A769EB">
          <w:rPr>
            <w:rFonts w:asciiTheme="minorHAnsi" w:eastAsiaTheme="minorEastAsia" w:hAnsiTheme="minorHAnsi" w:cstheme="minorBidi"/>
            <w:noProof/>
            <w:sz w:val="22"/>
            <w:lang w:eastAsia="en-NZ"/>
          </w:rPr>
          <w:tab/>
        </w:r>
        <w:r w:rsidR="00A769EB" w:rsidRPr="00BE2CC0">
          <w:rPr>
            <w:rStyle w:val="Hyperlink"/>
            <w:noProof/>
          </w:rPr>
          <w:t>Conclusion</w:t>
        </w:r>
        <w:r w:rsidR="00A769EB">
          <w:rPr>
            <w:noProof/>
            <w:webHidden/>
          </w:rPr>
          <w:tab/>
        </w:r>
        <w:r w:rsidR="00A769EB">
          <w:rPr>
            <w:noProof/>
            <w:webHidden/>
          </w:rPr>
          <w:fldChar w:fldCharType="begin"/>
        </w:r>
        <w:r w:rsidR="00A769EB">
          <w:rPr>
            <w:noProof/>
            <w:webHidden/>
          </w:rPr>
          <w:instrText xml:space="preserve"> PAGEREF _Toc457842136 \h </w:instrText>
        </w:r>
        <w:r w:rsidR="00A769EB">
          <w:rPr>
            <w:noProof/>
            <w:webHidden/>
          </w:rPr>
        </w:r>
        <w:r w:rsidR="00A769EB">
          <w:rPr>
            <w:noProof/>
            <w:webHidden/>
          </w:rPr>
          <w:fldChar w:fldCharType="separate"/>
        </w:r>
        <w:r w:rsidR="00C15F9A">
          <w:rPr>
            <w:noProof/>
            <w:webHidden/>
          </w:rPr>
          <w:t>63</w:t>
        </w:r>
        <w:r w:rsidR="00A769EB">
          <w:rPr>
            <w:noProof/>
            <w:webHidden/>
          </w:rPr>
          <w:fldChar w:fldCharType="end"/>
        </w:r>
      </w:hyperlink>
    </w:p>
    <w:p w:rsidR="00A769EB" w:rsidRDefault="001F2F42" w:rsidP="00A769EB">
      <w:pPr>
        <w:pStyle w:val="TOC1"/>
        <w:tabs>
          <w:tab w:val="clear" w:pos="5103"/>
          <w:tab w:val="left" w:pos="709"/>
          <w:tab w:val="right" w:pos="7938"/>
        </w:tabs>
        <w:spacing w:before="120"/>
        <w:ind w:right="2835"/>
        <w:rPr>
          <w:rFonts w:asciiTheme="minorHAnsi" w:eastAsiaTheme="minorEastAsia" w:hAnsiTheme="minorHAnsi" w:cstheme="minorBidi"/>
          <w:noProof/>
          <w:lang w:eastAsia="en-NZ"/>
        </w:rPr>
      </w:pPr>
      <w:hyperlink w:anchor="_Toc457842137" w:history="1">
        <w:r w:rsidR="00A769EB" w:rsidRPr="00BE2CC0">
          <w:rPr>
            <w:rStyle w:val="Hyperlink"/>
            <w:noProof/>
          </w:rPr>
          <w:t>5.</w:t>
        </w:r>
        <w:r w:rsidR="00A769EB">
          <w:rPr>
            <w:rFonts w:asciiTheme="minorHAnsi" w:eastAsiaTheme="minorEastAsia" w:hAnsiTheme="minorHAnsi" w:cstheme="minorBidi"/>
            <w:noProof/>
            <w:lang w:eastAsia="en-NZ"/>
          </w:rPr>
          <w:tab/>
        </w:r>
        <w:r w:rsidR="00A769EB" w:rsidRPr="00BE2CC0">
          <w:rPr>
            <w:rStyle w:val="Hyperlink"/>
            <w:noProof/>
          </w:rPr>
          <w:t>Equity</w:t>
        </w:r>
        <w:r w:rsidR="00A769EB">
          <w:rPr>
            <w:noProof/>
            <w:webHidden/>
          </w:rPr>
          <w:tab/>
        </w:r>
        <w:r w:rsidR="00A769EB">
          <w:rPr>
            <w:noProof/>
            <w:webHidden/>
          </w:rPr>
          <w:fldChar w:fldCharType="begin"/>
        </w:r>
        <w:r w:rsidR="00A769EB">
          <w:rPr>
            <w:noProof/>
            <w:webHidden/>
          </w:rPr>
          <w:instrText xml:space="preserve"> PAGEREF _Toc457842137 \h </w:instrText>
        </w:r>
        <w:r w:rsidR="00A769EB">
          <w:rPr>
            <w:noProof/>
            <w:webHidden/>
          </w:rPr>
        </w:r>
        <w:r w:rsidR="00A769EB">
          <w:rPr>
            <w:noProof/>
            <w:webHidden/>
          </w:rPr>
          <w:fldChar w:fldCharType="separate"/>
        </w:r>
        <w:r w:rsidR="00C15F9A">
          <w:rPr>
            <w:noProof/>
            <w:webHidden/>
          </w:rPr>
          <w:t>64</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38" w:history="1">
        <w:r w:rsidR="00A769EB" w:rsidRPr="00BE2CC0">
          <w:rPr>
            <w:rStyle w:val="Hyperlink"/>
            <w:noProof/>
          </w:rPr>
          <w:t>5.1</w:t>
        </w:r>
        <w:r w:rsidR="00A769EB">
          <w:rPr>
            <w:rFonts w:asciiTheme="minorHAnsi" w:eastAsiaTheme="minorEastAsia" w:hAnsiTheme="minorHAnsi" w:cstheme="minorBidi"/>
            <w:noProof/>
            <w:sz w:val="22"/>
            <w:lang w:eastAsia="en-NZ"/>
          </w:rPr>
          <w:tab/>
        </w:r>
        <w:r w:rsidR="00A769EB" w:rsidRPr="00BE2CC0">
          <w:rPr>
            <w:rStyle w:val="Hyperlink"/>
            <w:noProof/>
          </w:rPr>
          <w:t>Existing inequities in colorectal cancer</w:t>
        </w:r>
        <w:r w:rsidR="00A769EB">
          <w:rPr>
            <w:noProof/>
            <w:webHidden/>
          </w:rPr>
          <w:tab/>
        </w:r>
        <w:r w:rsidR="00A769EB">
          <w:rPr>
            <w:noProof/>
            <w:webHidden/>
          </w:rPr>
          <w:fldChar w:fldCharType="begin"/>
        </w:r>
        <w:r w:rsidR="00A769EB">
          <w:rPr>
            <w:noProof/>
            <w:webHidden/>
          </w:rPr>
          <w:instrText xml:space="preserve"> PAGEREF _Toc457842138 \h </w:instrText>
        </w:r>
        <w:r w:rsidR="00A769EB">
          <w:rPr>
            <w:noProof/>
            <w:webHidden/>
          </w:rPr>
        </w:r>
        <w:r w:rsidR="00A769EB">
          <w:rPr>
            <w:noProof/>
            <w:webHidden/>
          </w:rPr>
          <w:fldChar w:fldCharType="separate"/>
        </w:r>
        <w:r w:rsidR="00C15F9A">
          <w:rPr>
            <w:noProof/>
            <w:webHidden/>
          </w:rPr>
          <w:t>64</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39" w:history="1">
        <w:r w:rsidR="00A769EB" w:rsidRPr="00BE2CC0">
          <w:rPr>
            <w:rStyle w:val="Hyperlink"/>
            <w:noProof/>
          </w:rPr>
          <w:t>5.2</w:t>
        </w:r>
        <w:r w:rsidR="00A769EB">
          <w:rPr>
            <w:rFonts w:asciiTheme="minorHAnsi" w:eastAsiaTheme="minorEastAsia" w:hAnsiTheme="minorHAnsi" w:cstheme="minorBidi"/>
            <w:noProof/>
            <w:sz w:val="22"/>
            <w:lang w:eastAsia="en-NZ"/>
          </w:rPr>
          <w:tab/>
        </w:r>
        <w:r w:rsidR="00A769EB" w:rsidRPr="00BE2CC0">
          <w:rPr>
            <w:rStyle w:val="Hyperlink"/>
            <w:noProof/>
          </w:rPr>
          <w:t>Inequitable participation in the BSP</w:t>
        </w:r>
        <w:r w:rsidR="00A769EB">
          <w:rPr>
            <w:noProof/>
            <w:webHidden/>
          </w:rPr>
          <w:tab/>
        </w:r>
        <w:r w:rsidR="00A769EB">
          <w:rPr>
            <w:noProof/>
            <w:webHidden/>
          </w:rPr>
          <w:fldChar w:fldCharType="begin"/>
        </w:r>
        <w:r w:rsidR="00A769EB">
          <w:rPr>
            <w:noProof/>
            <w:webHidden/>
          </w:rPr>
          <w:instrText xml:space="preserve"> PAGEREF _Toc457842139 \h </w:instrText>
        </w:r>
        <w:r w:rsidR="00A769EB">
          <w:rPr>
            <w:noProof/>
            <w:webHidden/>
          </w:rPr>
        </w:r>
        <w:r w:rsidR="00A769EB">
          <w:rPr>
            <w:noProof/>
            <w:webHidden/>
          </w:rPr>
          <w:fldChar w:fldCharType="separate"/>
        </w:r>
        <w:r w:rsidR="00C15F9A">
          <w:rPr>
            <w:noProof/>
            <w:webHidden/>
          </w:rPr>
          <w:t>65</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40" w:history="1">
        <w:r w:rsidR="00A769EB" w:rsidRPr="00BE2CC0">
          <w:rPr>
            <w:rStyle w:val="Hyperlink"/>
            <w:noProof/>
          </w:rPr>
          <w:t>5.3</w:t>
        </w:r>
        <w:r w:rsidR="00A769EB">
          <w:rPr>
            <w:rFonts w:asciiTheme="minorHAnsi" w:eastAsiaTheme="minorEastAsia" w:hAnsiTheme="minorHAnsi" w:cstheme="minorBidi"/>
            <w:noProof/>
            <w:sz w:val="22"/>
            <w:lang w:eastAsia="en-NZ"/>
          </w:rPr>
          <w:tab/>
        </w:r>
        <w:r w:rsidR="00A769EB" w:rsidRPr="00BE2CC0">
          <w:rPr>
            <w:rStyle w:val="Hyperlink"/>
            <w:noProof/>
          </w:rPr>
          <w:t>Strengthening the focus on equity</w:t>
        </w:r>
        <w:r w:rsidR="00A769EB">
          <w:rPr>
            <w:noProof/>
            <w:webHidden/>
          </w:rPr>
          <w:tab/>
        </w:r>
        <w:r w:rsidR="00A769EB">
          <w:rPr>
            <w:noProof/>
            <w:webHidden/>
          </w:rPr>
          <w:fldChar w:fldCharType="begin"/>
        </w:r>
        <w:r w:rsidR="00A769EB">
          <w:rPr>
            <w:noProof/>
            <w:webHidden/>
          </w:rPr>
          <w:instrText xml:space="preserve"> PAGEREF _Toc457842140 \h </w:instrText>
        </w:r>
        <w:r w:rsidR="00A769EB">
          <w:rPr>
            <w:noProof/>
            <w:webHidden/>
          </w:rPr>
        </w:r>
        <w:r w:rsidR="00A769EB">
          <w:rPr>
            <w:noProof/>
            <w:webHidden/>
          </w:rPr>
          <w:fldChar w:fldCharType="separate"/>
        </w:r>
        <w:r w:rsidR="00C15F9A">
          <w:rPr>
            <w:noProof/>
            <w:webHidden/>
          </w:rPr>
          <w:t>66</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41" w:history="1">
        <w:r w:rsidR="00A769EB" w:rsidRPr="00BE2CC0">
          <w:rPr>
            <w:rStyle w:val="Hyperlink"/>
            <w:noProof/>
          </w:rPr>
          <w:t>5.4</w:t>
        </w:r>
        <w:r w:rsidR="00A769EB">
          <w:rPr>
            <w:rFonts w:asciiTheme="minorHAnsi" w:eastAsiaTheme="minorEastAsia" w:hAnsiTheme="minorHAnsi" w:cstheme="minorBidi"/>
            <w:noProof/>
            <w:sz w:val="22"/>
            <w:lang w:eastAsia="en-NZ"/>
          </w:rPr>
          <w:tab/>
        </w:r>
        <w:r w:rsidR="00A769EB" w:rsidRPr="00BE2CC0">
          <w:rPr>
            <w:rStyle w:val="Hyperlink"/>
            <w:noProof/>
          </w:rPr>
          <w:t>Invitation to take part</w:t>
        </w:r>
        <w:r w:rsidR="00A769EB">
          <w:rPr>
            <w:noProof/>
            <w:webHidden/>
          </w:rPr>
          <w:tab/>
        </w:r>
        <w:r w:rsidR="00A769EB">
          <w:rPr>
            <w:noProof/>
            <w:webHidden/>
          </w:rPr>
          <w:fldChar w:fldCharType="begin"/>
        </w:r>
        <w:r w:rsidR="00A769EB">
          <w:rPr>
            <w:noProof/>
            <w:webHidden/>
          </w:rPr>
          <w:instrText xml:space="preserve"> PAGEREF _Toc457842141 \h </w:instrText>
        </w:r>
        <w:r w:rsidR="00A769EB">
          <w:rPr>
            <w:noProof/>
            <w:webHidden/>
          </w:rPr>
        </w:r>
        <w:r w:rsidR="00A769EB">
          <w:rPr>
            <w:noProof/>
            <w:webHidden/>
          </w:rPr>
          <w:fldChar w:fldCharType="separate"/>
        </w:r>
        <w:r w:rsidR="00C15F9A">
          <w:rPr>
            <w:noProof/>
            <w:webHidden/>
          </w:rPr>
          <w:t>67</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42" w:history="1">
        <w:r w:rsidR="00A769EB" w:rsidRPr="00BE2CC0">
          <w:rPr>
            <w:rStyle w:val="Hyperlink"/>
            <w:noProof/>
          </w:rPr>
          <w:t>5.5</w:t>
        </w:r>
        <w:r w:rsidR="00A769EB">
          <w:rPr>
            <w:rFonts w:asciiTheme="minorHAnsi" w:eastAsiaTheme="minorEastAsia" w:hAnsiTheme="minorHAnsi" w:cstheme="minorBidi"/>
            <w:noProof/>
            <w:sz w:val="22"/>
            <w:lang w:eastAsia="en-NZ"/>
          </w:rPr>
          <w:tab/>
        </w:r>
        <w:r w:rsidR="00A769EB" w:rsidRPr="00BE2CC0">
          <w:rPr>
            <w:rStyle w:val="Hyperlink"/>
            <w:noProof/>
          </w:rPr>
          <w:t>Awareness and knowledge of bowel cancer and screening</w:t>
        </w:r>
        <w:r w:rsidR="00A769EB">
          <w:rPr>
            <w:noProof/>
            <w:webHidden/>
          </w:rPr>
          <w:tab/>
        </w:r>
        <w:r w:rsidR="00A769EB">
          <w:rPr>
            <w:noProof/>
            <w:webHidden/>
          </w:rPr>
          <w:fldChar w:fldCharType="begin"/>
        </w:r>
        <w:r w:rsidR="00A769EB">
          <w:rPr>
            <w:noProof/>
            <w:webHidden/>
          </w:rPr>
          <w:instrText xml:space="preserve"> PAGEREF _Toc457842142 \h </w:instrText>
        </w:r>
        <w:r w:rsidR="00A769EB">
          <w:rPr>
            <w:noProof/>
            <w:webHidden/>
          </w:rPr>
        </w:r>
        <w:r w:rsidR="00A769EB">
          <w:rPr>
            <w:noProof/>
            <w:webHidden/>
          </w:rPr>
          <w:fldChar w:fldCharType="separate"/>
        </w:r>
        <w:r w:rsidR="00C15F9A">
          <w:rPr>
            <w:noProof/>
            <w:webHidden/>
          </w:rPr>
          <w:t>67</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43" w:history="1">
        <w:r w:rsidR="00A769EB" w:rsidRPr="00BE2CC0">
          <w:rPr>
            <w:rStyle w:val="Hyperlink"/>
            <w:noProof/>
          </w:rPr>
          <w:t>5.6</w:t>
        </w:r>
        <w:r w:rsidR="00A769EB">
          <w:rPr>
            <w:rFonts w:asciiTheme="minorHAnsi" w:eastAsiaTheme="minorEastAsia" w:hAnsiTheme="minorHAnsi" w:cstheme="minorBidi"/>
            <w:noProof/>
            <w:sz w:val="22"/>
            <w:lang w:eastAsia="en-NZ"/>
          </w:rPr>
          <w:tab/>
        </w:r>
        <w:r w:rsidR="00A769EB" w:rsidRPr="00BE2CC0">
          <w:rPr>
            <w:rStyle w:val="Hyperlink"/>
            <w:noProof/>
          </w:rPr>
          <w:t>Assessment of new initiatives to support participation</w:t>
        </w:r>
        <w:r w:rsidR="00A769EB">
          <w:rPr>
            <w:noProof/>
            <w:webHidden/>
          </w:rPr>
          <w:tab/>
        </w:r>
        <w:r w:rsidR="00A769EB">
          <w:rPr>
            <w:noProof/>
            <w:webHidden/>
          </w:rPr>
          <w:fldChar w:fldCharType="begin"/>
        </w:r>
        <w:r w:rsidR="00A769EB">
          <w:rPr>
            <w:noProof/>
            <w:webHidden/>
          </w:rPr>
          <w:instrText xml:space="preserve"> PAGEREF _Toc457842143 \h </w:instrText>
        </w:r>
        <w:r w:rsidR="00A769EB">
          <w:rPr>
            <w:noProof/>
            <w:webHidden/>
          </w:rPr>
        </w:r>
        <w:r w:rsidR="00A769EB">
          <w:rPr>
            <w:noProof/>
            <w:webHidden/>
          </w:rPr>
          <w:fldChar w:fldCharType="separate"/>
        </w:r>
        <w:r w:rsidR="00C15F9A">
          <w:rPr>
            <w:noProof/>
            <w:webHidden/>
          </w:rPr>
          <w:t>68</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44" w:history="1">
        <w:r w:rsidR="00A769EB" w:rsidRPr="00BE2CC0">
          <w:rPr>
            <w:rStyle w:val="Hyperlink"/>
            <w:noProof/>
          </w:rPr>
          <w:t>5.7</w:t>
        </w:r>
        <w:r w:rsidR="00A769EB">
          <w:rPr>
            <w:rFonts w:asciiTheme="minorHAnsi" w:eastAsiaTheme="minorEastAsia" w:hAnsiTheme="minorHAnsi" w:cstheme="minorBidi"/>
            <w:noProof/>
            <w:sz w:val="22"/>
            <w:lang w:eastAsia="en-NZ"/>
          </w:rPr>
          <w:tab/>
        </w:r>
        <w:r w:rsidR="00A769EB" w:rsidRPr="00BE2CC0">
          <w:rPr>
            <w:rStyle w:val="Hyperlink"/>
            <w:noProof/>
          </w:rPr>
          <w:t>Equity along the screening pathway</w:t>
        </w:r>
        <w:r w:rsidR="00A769EB">
          <w:rPr>
            <w:noProof/>
            <w:webHidden/>
          </w:rPr>
          <w:tab/>
        </w:r>
        <w:r w:rsidR="00A769EB">
          <w:rPr>
            <w:noProof/>
            <w:webHidden/>
          </w:rPr>
          <w:fldChar w:fldCharType="begin"/>
        </w:r>
        <w:r w:rsidR="00A769EB">
          <w:rPr>
            <w:noProof/>
            <w:webHidden/>
          </w:rPr>
          <w:instrText xml:space="preserve"> PAGEREF _Toc457842144 \h </w:instrText>
        </w:r>
        <w:r w:rsidR="00A769EB">
          <w:rPr>
            <w:noProof/>
            <w:webHidden/>
          </w:rPr>
        </w:r>
        <w:r w:rsidR="00A769EB">
          <w:rPr>
            <w:noProof/>
            <w:webHidden/>
          </w:rPr>
          <w:fldChar w:fldCharType="separate"/>
        </w:r>
        <w:r w:rsidR="00C15F9A">
          <w:rPr>
            <w:noProof/>
            <w:webHidden/>
          </w:rPr>
          <w:t>71</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45" w:history="1">
        <w:r w:rsidR="00A769EB" w:rsidRPr="00BE2CC0">
          <w:rPr>
            <w:rStyle w:val="Hyperlink"/>
            <w:noProof/>
          </w:rPr>
          <w:t>5.8</w:t>
        </w:r>
        <w:r w:rsidR="00A769EB">
          <w:rPr>
            <w:rFonts w:asciiTheme="minorHAnsi" w:eastAsiaTheme="minorEastAsia" w:hAnsiTheme="minorHAnsi" w:cstheme="minorBidi"/>
            <w:noProof/>
            <w:sz w:val="22"/>
            <w:lang w:eastAsia="en-NZ"/>
          </w:rPr>
          <w:tab/>
        </w:r>
        <w:r w:rsidR="00A769EB" w:rsidRPr="00BE2CC0">
          <w:rPr>
            <w:rStyle w:val="Hyperlink"/>
            <w:noProof/>
          </w:rPr>
          <w:t>Multi-factor interventions in a national bowel screening roll-out</w:t>
        </w:r>
        <w:r w:rsidR="00A769EB">
          <w:rPr>
            <w:noProof/>
            <w:webHidden/>
          </w:rPr>
          <w:tab/>
        </w:r>
        <w:r w:rsidR="00A769EB">
          <w:rPr>
            <w:noProof/>
            <w:webHidden/>
          </w:rPr>
          <w:fldChar w:fldCharType="begin"/>
        </w:r>
        <w:r w:rsidR="00A769EB">
          <w:rPr>
            <w:noProof/>
            <w:webHidden/>
          </w:rPr>
          <w:instrText xml:space="preserve"> PAGEREF _Toc457842145 \h </w:instrText>
        </w:r>
        <w:r w:rsidR="00A769EB">
          <w:rPr>
            <w:noProof/>
            <w:webHidden/>
          </w:rPr>
        </w:r>
        <w:r w:rsidR="00A769EB">
          <w:rPr>
            <w:noProof/>
            <w:webHidden/>
          </w:rPr>
          <w:fldChar w:fldCharType="separate"/>
        </w:r>
        <w:r w:rsidR="00C15F9A">
          <w:rPr>
            <w:noProof/>
            <w:webHidden/>
          </w:rPr>
          <w:t>71</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46" w:history="1">
        <w:r w:rsidR="00A769EB" w:rsidRPr="00BE2CC0">
          <w:rPr>
            <w:rStyle w:val="Hyperlink"/>
            <w:noProof/>
          </w:rPr>
          <w:t>5.9</w:t>
        </w:r>
        <w:r w:rsidR="00A769EB">
          <w:rPr>
            <w:rFonts w:asciiTheme="minorHAnsi" w:eastAsiaTheme="minorEastAsia" w:hAnsiTheme="minorHAnsi" w:cstheme="minorBidi"/>
            <w:noProof/>
            <w:sz w:val="22"/>
            <w:lang w:eastAsia="en-NZ"/>
          </w:rPr>
          <w:tab/>
        </w:r>
        <w:r w:rsidR="00A769EB" w:rsidRPr="00BE2CC0">
          <w:rPr>
            <w:rStyle w:val="Hyperlink"/>
            <w:noProof/>
          </w:rPr>
          <w:t>Conclusion</w:t>
        </w:r>
        <w:r w:rsidR="00A769EB">
          <w:rPr>
            <w:noProof/>
            <w:webHidden/>
          </w:rPr>
          <w:tab/>
        </w:r>
        <w:r w:rsidR="00A769EB">
          <w:rPr>
            <w:noProof/>
            <w:webHidden/>
          </w:rPr>
          <w:fldChar w:fldCharType="begin"/>
        </w:r>
        <w:r w:rsidR="00A769EB">
          <w:rPr>
            <w:noProof/>
            <w:webHidden/>
          </w:rPr>
          <w:instrText xml:space="preserve"> PAGEREF _Toc457842146 \h </w:instrText>
        </w:r>
        <w:r w:rsidR="00A769EB">
          <w:rPr>
            <w:noProof/>
            <w:webHidden/>
          </w:rPr>
        </w:r>
        <w:r w:rsidR="00A769EB">
          <w:rPr>
            <w:noProof/>
            <w:webHidden/>
          </w:rPr>
          <w:fldChar w:fldCharType="separate"/>
        </w:r>
        <w:r w:rsidR="00C15F9A">
          <w:rPr>
            <w:noProof/>
            <w:webHidden/>
          </w:rPr>
          <w:t>73</w:t>
        </w:r>
        <w:r w:rsidR="00A769EB">
          <w:rPr>
            <w:noProof/>
            <w:webHidden/>
          </w:rPr>
          <w:fldChar w:fldCharType="end"/>
        </w:r>
      </w:hyperlink>
    </w:p>
    <w:p w:rsidR="00A769EB" w:rsidRDefault="001F2F42" w:rsidP="00A769EB">
      <w:pPr>
        <w:pStyle w:val="TOC1"/>
        <w:tabs>
          <w:tab w:val="clear" w:pos="5103"/>
          <w:tab w:val="left" w:pos="709"/>
          <w:tab w:val="right" w:pos="7938"/>
        </w:tabs>
        <w:spacing w:before="120"/>
        <w:ind w:right="2835"/>
        <w:rPr>
          <w:rFonts w:asciiTheme="minorHAnsi" w:eastAsiaTheme="minorEastAsia" w:hAnsiTheme="minorHAnsi" w:cstheme="minorBidi"/>
          <w:noProof/>
          <w:lang w:eastAsia="en-NZ"/>
        </w:rPr>
      </w:pPr>
      <w:hyperlink w:anchor="_Toc457842147" w:history="1">
        <w:r w:rsidR="00A769EB" w:rsidRPr="00BE2CC0">
          <w:rPr>
            <w:rStyle w:val="Hyperlink"/>
            <w:noProof/>
          </w:rPr>
          <w:t>6.</w:t>
        </w:r>
        <w:r w:rsidR="00A769EB">
          <w:rPr>
            <w:rFonts w:asciiTheme="minorHAnsi" w:eastAsiaTheme="minorEastAsia" w:hAnsiTheme="minorHAnsi" w:cstheme="minorBidi"/>
            <w:noProof/>
            <w:lang w:eastAsia="en-NZ"/>
          </w:rPr>
          <w:tab/>
        </w:r>
        <w:r w:rsidR="00A769EB" w:rsidRPr="00BE2CC0">
          <w:rPr>
            <w:rStyle w:val="Hyperlink"/>
            <w:noProof/>
          </w:rPr>
          <w:t>Safety and acceptability</w:t>
        </w:r>
        <w:r w:rsidR="00A769EB">
          <w:rPr>
            <w:noProof/>
            <w:webHidden/>
          </w:rPr>
          <w:tab/>
        </w:r>
        <w:r w:rsidR="00A769EB">
          <w:rPr>
            <w:noProof/>
            <w:webHidden/>
          </w:rPr>
          <w:fldChar w:fldCharType="begin"/>
        </w:r>
        <w:r w:rsidR="00A769EB">
          <w:rPr>
            <w:noProof/>
            <w:webHidden/>
          </w:rPr>
          <w:instrText xml:space="preserve"> PAGEREF _Toc457842147 \h </w:instrText>
        </w:r>
        <w:r w:rsidR="00A769EB">
          <w:rPr>
            <w:noProof/>
            <w:webHidden/>
          </w:rPr>
        </w:r>
        <w:r w:rsidR="00A769EB">
          <w:rPr>
            <w:noProof/>
            <w:webHidden/>
          </w:rPr>
          <w:fldChar w:fldCharType="separate"/>
        </w:r>
        <w:r w:rsidR="00C15F9A">
          <w:rPr>
            <w:noProof/>
            <w:webHidden/>
          </w:rPr>
          <w:t>77</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48" w:history="1">
        <w:r w:rsidR="00A769EB" w:rsidRPr="00BE2CC0">
          <w:rPr>
            <w:rStyle w:val="Hyperlink"/>
            <w:noProof/>
          </w:rPr>
          <w:t>6.1</w:t>
        </w:r>
        <w:r w:rsidR="00A769EB">
          <w:rPr>
            <w:rFonts w:asciiTheme="minorHAnsi" w:eastAsiaTheme="minorEastAsia" w:hAnsiTheme="minorHAnsi" w:cstheme="minorBidi"/>
            <w:noProof/>
            <w:sz w:val="22"/>
            <w:lang w:eastAsia="en-NZ"/>
          </w:rPr>
          <w:tab/>
        </w:r>
        <w:r w:rsidR="00A769EB" w:rsidRPr="00BE2CC0">
          <w:rPr>
            <w:rStyle w:val="Hyperlink"/>
            <w:noProof/>
          </w:rPr>
          <w:t xml:space="preserve">Safety: can a national bowel screening programme be </w:t>
        </w:r>
        <w:r w:rsidR="00A769EB">
          <w:rPr>
            <w:rStyle w:val="Hyperlink"/>
            <w:noProof/>
          </w:rPr>
          <w:br/>
          <w:t xml:space="preserve">           </w:t>
        </w:r>
        <w:r w:rsidR="00A769EB" w:rsidRPr="00BE2CC0">
          <w:rPr>
            <w:rStyle w:val="Hyperlink"/>
            <w:noProof/>
          </w:rPr>
          <w:t>delivered in a manner that is safe?</w:t>
        </w:r>
        <w:r w:rsidR="00A769EB">
          <w:rPr>
            <w:noProof/>
            <w:webHidden/>
          </w:rPr>
          <w:tab/>
        </w:r>
        <w:r w:rsidR="00A769EB">
          <w:rPr>
            <w:noProof/>
            <w:webHidden/>
          </w:rPr>
          <w:fldChar w:fldCharType="begin"/>
        </w:r>
        <w:r w:rsidR="00A769EB">
          <w:rPr>
            <w:noProof/>
            <w:webHidden/>
          </w:rPr>
          <w:instrText xml:space="preserve"> PAGEREF _Toc457842148 \h </w:instrText>
        </w:r>
        <w:r w:rsidR="00A769EB">
          <w:rPr>
            <w:noProof/>
            <w:webHidden/>
          </w:rPr>
        </w:r>
        <w:r w:rsidR="00A769EB">
          <w:rPr>
            <w:noProof/>
            <w:webHidden/>
          </w:rPr>
          <w:fldChar w:fldCharType="separate"/>
        </w:r>
        <w:r w:rsidR="00C15F9A">
          <w:rPr>
            <w:noProof/>
            <w:webHidden/>
          </w:rPr>
          <w:t>77</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49" w:history="1">
        <w:r w:rsidR="00A769EB" w:rsidRPr="00BE2CC0">
          <w:rPr>
            <w:rStyle w:val="Hyperlink"/>
            <w:noProof/>
          </w:rPr>
          <w:t>6.2</w:t>
        </w:r>
        <w:r w:rsidR="00A769EB">
          <w:rPr>
            <w:rFonts w:asciiTheme="minorHAnsi" w:eastAsiaTheme="minorEastAsia" w:hAnsiTheme="minorHAnsi" w:cstheme="minorBidi"/>
            <w:noProof/>
            <w:sz w:val="22"/>
            <w:lang w:eastAsia="en-NZ"/>
          </w:rPr>
          <w:tab/>
        </w:r>
        <w:r w:rsidR="00A769EB" w:rsidRPr="00BE2CC0">
          <w:rPr>
            <w:rStyle w:val="Hyperlink"/>
            <w:noProof/>
          </w:rPr>
          <w:t xml:space="preserve">Acceptability: can a national bowel screening programme be </w:t>
        </w:r>
        <w:r w:rsidR="00A769EB">
          <w:rPr>
            <w:rStyle w:val="Hyperlink"/>
            <w:noProof/>
          </w:rPr>
          <w:br/>
          <w:t xml:space="preserve">          </w:t>
        </w:r>
        <w:r w:rsidR="00A769EB" w:rsidRPr="00BE2CC0">
          <w:rPr>
            <w:rStyle w:val="Hyperlink"/>
            <w:noProof/>
          </w:rPr>
          <w:t>delivered in a manner that is acceptable?</w:t>
        </w:r>
        <w:r w:rsidR="00A769EB">
          <w:rPr>
            <w:noProof/>
            <w:webHidden/>
          </w:rPr>
          <w:tab/>
        </w:r>
        <w:r w:rsidR="00A769EB">
          <w:rPr>
            <w:noProof/>
            <w:webHidden/>
          </w:rPr>
          <w:fldChar w:fldCharType="begin"/>
        </w:r>
        <w:r w:rsidR="00A769EB">
          <w:rPr>
            <w:noProof/>
            <w:webHidden/>
          </w:rPr>
          <w:instrText xml:space="preserve"> PAGEREF _Toc457842149 \h </w:instrText>
        </w:r>
        <w:r w:rsidR="00A769EB">
          <w:rPr>
            <w:noProof/>
            <w:webHidden/>
          </w:rPr>
        </w:r>
        <w:r w:rsidR="00A769EB">
          <w:rPr>
            <w:noProof/>
            <w:webHidden/>
          </w:rPr>
          <w:fldChar w:fldCharType="separate"/>
        </w:r>
        <w:r w:rsidR="00C15F9A">
          <w:rPr>
            <w:noProof/>
            <w:webHidden/>
          </w:rPr>
          <w:t>86</w:t>
        </w:r>
        <w:r w:rsidR="00A769EB">
          <w:rPr>
            <w:noProof/>
            <w:webHidden/>
          </w:rPr>
          <w:fldChar w:fldCharType="end"/>
        </w:r>
      </w:hyperlink>
    </w:p>
    <w:p w:rsidR="00A769EB" w:rsidRDefault="001F2F42" w:rsidP="00A769EB">
      <w:pPr>
        <w:pStyle w:val="TOC2"/>
        <w:tabs>
          <w:tab w:val="clear" w:pos="5103"/>
          <w:tab w:val="left" w:pos="1320"/>
          <w:tab w:val="right" w:pos="7938"/>
        </w:tabs>
        <w:ind w:right="2834"/>
        <w:rPr>
          <w:rFonts w:asciiTheme="minorHAnsi" w:eastAsiaTheme="minorEastAsia" w:hAnsiTheme="minorHAnsi" w:cstheme="minorBidi"/>
          <w:noProof/>
          <w:sz w:val="22"/>
          <w:lang w:eastAsia="en-NZ"/>
        </w:rPr>
      </w:pPr>
      <w:hyperlink w:anchor="_Toc457842150" w:history="1">
        <w:r w:rsidR="00A769EB" w:rsidRPr="00BE2CC0">
          <w:rPr>
            <w:rStyle w:val="Hyperlink"/>
            <w:noProof/>
          </w:rPr>
          <w:t>6.3</w:t>
        </w:r>
        <w:r w:rsidR="00A769EB">
          <w:rPr>
            <w:rFonts w:asciiTheme="minorHAnsi" w:eastAsiaTheme="minorEastAsia" w:hAnsiTheme="minorHAnsi" w:cstheme="minorBidi"/>
            <w:noProof/>
            <w:sz w:val="22"/>
            <w:lang w:eastAsia="en-NZ"/>
          </w:rPr>
          <w:tab/>
        </w:r>
        <w:r w:rsidR="00A769EB" w:rsidRPr="00BE2CC0">
          <w:rPr>
            <w:rStyle w:val="Hyperlink"/>
            <w:noProof/>
          </w:rPr>
          <w:t>Conclusion</w:t>
        </w:r>
        <w:r w:rsidR="00A769EB">
          <w:rPr>
            <w:noProof/>
            <w:webHidden/>
          </w:rPr>
          <w:tab/>
        </w:r>
        <w:r w:rsidR="00A769EB">
          <w:rPr>
            <w:noProof/>
            <w:webHidden/>
          </w:rPr>
          <w:fldChar w:fldCharType="begin"/>
        </w:r>
        <w:r w:rsidR="00A769EB">
          <w:rPr>
            <w:noProof/>
            <w:webHidden/>
          </w:rPr>
          <w:instrText xml:space="preserve"> PAGEREF _Toc457842150 \h </w:instrText>
        </w:r>
        <w:r w:rsidR="00A769EB">
          <w:rPr>
            <w:noProof/>
            <w:webHidden/>
          </w:rPr>
        </w:r>
        <w:r w:rsidR="00A769EB">
          <w:rPr>
            <w:noProof/>
            <w:webHidden/>
          </w:rPr>
          <w:fldChar w:fldCharType="separate"/>
        </w:r>
        <w:r w:rsidR="00C15F9A">
          <w:rPr>
            <w:noProof/>
            <w:webHidden/>
          </w:rPr>
          <w:t>88</w:t>
        </w:r>
        <w:r w:rsidR="00A769EB">
          <w:rPr>
            <w:noProof/>
            <w:webHidden/>
          </w:rPr>
          <w:fldChar w:fldCharType="end"/>
        </w:r>
      </w:hyperlink>
    </w:p>
    <w:p w:rsidR="00A769EB" w:rsidRDefault="001F2F42" w:rsidP="00A769EB">
      <w:pPr>
        <w:pStyle w:val="TOC1"/>
        <w:tabs>
          <w:tab w:val="clear" w:pos="5103"/>
          <w:tab w:val="left" w:pos="709"/>
          <w:tab w:val="right" w:pos="7938"/>
        </w:tabs>
        <w:spacing w:before="120"/>
        <w:ind w:right="2835"/>
        <w:rPr>
          <w:rFonts w:asciiTheme="minorHAnsi" w:eastAsiaTheme="minorEastAsia" w:hAnsiTheme="minorHAnsi" w:cstheme="minorBidi"/>
          <w:noProof/>
          <w:lang w:eastAsia="en-NZ"/>
        </w:rPr>
      </w:pPr>
      <w:hyperlink w:anchor="_Toc457842151" w:history="1">
        <w:r w:rsidR="00A769EB" w:rsidRPr="00BE2CC0">
          <w:rPr>
            <w:rStyle w:val="Hyperlink"/>
            <w:noProof/>
          </w:rPr>
          <w:t>7.</w:t>
        </w:r>
        <w:r w:rsidR="00A769EB">
          <w:rPr>
            <w:rFonts w:asciiTheme="minorHAnsi" w:eastAsiaTheme="minorEastAsia" w:hAnsiTheme="minorHAnsi" w:cstheme="minorBidi"/>
            <w:noProof/>
            <w:lang w:eastAsia="en-NZ"/>
          </w:rPr>
          <w:tab/>
        </w:r>
        <w:r w:rsidR="00A769EB" w:rsidRPr="00BE2CC0">
          <w:rPr>
            <w:rStyle w:val="Hyperlink"/>
            <w:noProof/>
          </w:rPr>
          <w:t>Conclusion</w:t>
        </w:r>
        <w:r w:rsidR="00A769EB">
          <w:rPr>
            <w:noProof/>
            <w:webHidden/>
          </w:rPr>
          <w:tab/>
        </w:r>
        <w:r w:rsidR="00A769EB">
          <w:rPr>
            <w:noProof/>
            <w:webHidden/>
          </w:rPr>
          <w:fldChar w:fldCharType="begin"/>
        </w:r>
        <w:r w:rsidR="00A769EB">
          <w:rPr>
            <w:noProof/>
            <w:webHidden/>
          </w:rPr>
          <w:instrText xml:space="preserve"> PAGEREF _Toc457842151 \h </w:instrText>
        </w:r>
        <w:r w:rsidR="00A769EB">
          <w:rPr>
            <w:noProof/>
            <w:webHidden/>
          </w:rPr>
        </w:r>
        <w:r w:rsidR="00A769EB">
          <w:rPr>
            <w:noProof/>
            <w:webHidden/>
          </w:rPr>
          <w:fldChar w:fldCharType="separate"/>
        </w:r>
        <w:r w:rsidR="00C15F9A">
          <w:rPr>
            <w:noProof/>
            <w:webHidden/>
          </w:rPr>
          <w:t>92</w:t>
        </w:r>
        <w:r w:rsidR="00A769EB">
          <w:rPr>
            <w:noProof/>
            <w:webHidden/>
          </w:rPr>
          <w:fldChar w:fldCharType="end"/>
        </w:r>
      </w:hyperlink>
    </w:p>
    <w:p w:rsidR="00A769EB" w:rsidRPr="00A769EB" w:rsidRDefault="001F2F42" w:rsidP="00A769EB">
      <w:pPr>
        <w:pStyle w:val="TOC1"/>
        <w:tabs>
          <w:tab w:val="clear" w:pos="5103"/>
          <w:tab w:val="left" w:pos="709"/>
          <w:tab w:val="right" w:pos="7938"/>
        </w:tabs>
        <w:spacing w:before="120"/>
        <w:ind w:right="2835"/>
        <w:rPr>
          <w:rStyle w:val="Hyperlink"/>
          <w:noProof/>
        </w:rPr>
      </w:pPr>
      <w:hyperlink w:anchor="_Toc457842152" w:history="1">
        <w:r w:rsidR="00A769EB" w:rsidRPr="00BE2CC0">
          <w:rPr>
            <w:rStyle w:val="Hyperlink"/>
            <w:noProof/>
          </w:rPr>
          <w:t>9.</w:t>
        </w:r>
        <w:r w:rsidR="00A769EB" w:rsidRPr="00A769EB">
          <w:rPr>
            <w:rStyle w:val="Hyperlink"/>
            <w:noProof/>
          </w:rPr>
          <w:tab/>
        </w:r>
        <w:r w:rsidR="00A769EB" w:rsidRPr="00BE2CC0">
          <w:rPr>
            <w:rStyle w:val="Hyperlink"/>
            <w:noProof/>
          </w:rPr>
          <w:t>References</w:t>
        </w:r>
        <w:r w:rsidR="00A769EB" w:rsidRPr="00A769EB">
          <w:rPr>
            <w:rStyle w:val="Hyperlink"/>
            <w:noProof/>
            <w:webHidden/>
          </w:rPr>
          <w:tab/>
        </w:r>
        <w:r w:rsidR="00A769EB" w:rsidRPr="00A769EB">
          <w:rPr>
            <w:rStyle w:val="Hyperlink"/>
            <w:noProof/>
            <w:webHidden/>
          </w:rPr>
          <w:fldChar w:fldCharType="begin"/>
        </w:r>
        <w:r w:rsidR="00A769EB" w:rsidRPr="00A769EB">
          <w:rPr>
            <w:rStyle w:val="Hyperlink"/>
            <w:noProof/>
            <w:webHidden/>
          </w:rPr>
          <w:instrText xml:space="preserve"> PAGEREF _Toc457842152 \h </w:instrText>
        </w:r>
        <w:r w:rsidR="00A769EB" w:rsidRPr="00A769EB">
          <w:rPr>
            <w:rStyle w:val="Hyperlink"/>
            <w:noProof/>
            <w:webHidden/>
          </w:rPr>
        </w:r>
        <w:r w:rsidR="00A769EB" w:rsidRPr="00A769EB">
          <w:rPr>
            <w:rStyle w:val="Hyperlink"/>
            <w:noProof/>
            <w:webHidden/>
          </w:rPr>
          <w:fldChar w:fldCharType="separate"/>
        </w:r>
        <w:r w:rsidR="00C15F9A">
          <w:rPr>
            <w:rStyle w:val="Hyperlink"/>
            <w:noProof/>
            <w:webHidden/>
          </w:rPr>
          <w:t>95</w:t>
        </w:r>
        <w:r w:rsidR="00A769EB" w:rsidRPr="00A769EB">
          <w:rPr>
            <w:rStyle w:val="Hyperlink"/>
            <w:noProof/>
            <w:webHidden/>
          </w:rPr>
          <w:fldChar w:fldCharType="end"/>
        </w:r>
      </w:hyperlink>
    </w:p>
    <w:p w:rsidR="00A769EB" w:rsidRDefault="001F2F42" w:rsidP="00A769EB">
      <w:pPr>
        <w:pStyle w:val="TOC1"/>
        <w:tabs>
          <w:tab w:val="clear" w:pos="5103"/>
          <w:tab w:val="left" w:pos="709"/>
          <w:tab w:val="right" w:pos="7938"/>
        </w:tabs>
        <w:spacing w:before="120"/>
        <w:ind w:right="2835"/>
        <w:rPr>
          <w:rFonts w:asciiTheme="minorHAnsi" w:eastAsiaTheme="minorEastAsia" w:hAnsiTheme="minorHAnsi" w:cstheme="minorBidi"/>
          <w:noProof/>
          <w:lang w:eastAsia="en-NZ"/>
        </w:rPr>
      </w:pPr>
      <w:hyperlink w:anchor="_Toc457842153" w:history="1">
        <w:r w:rsidR="00A769EB" w:rsidRPr="00BE2CC0">
          <w:rPr>
            <w:rStyle w:val="Hyperlink"/>
            <w:noProof/>
          </w:rPr>
          <w:t>10.</w:t>
        </w:r>
        <w:r w:rsidR="00A769EB">
          <w:rPr>
            <w:rFonts w:asciiTheme="minorHAnsi" w:eastAsiaTheme="minorEastAsia" w:hAnsiTheme="minorHAnsi" w:cstheme="minorBidi"/>
            <w:noProof/>
            <w:lang w:eastAsia="en-NZ"/>
          </w:rPr>
          <w:tab/>
        </w:r>
        <w:r w:rsidR="00A769EB" w:rsidRPr="00BE2CC0">
          <w:rPr>
            <w:rStyle w:val="Hyperlink"/>
            <w:noProof/>
          </w:rPr>
          <w:t>Glossary</w:t>
        </w:r>
        <w:r w:rsidR="00A769EB">
          <w:rPr>
            <w:noProof/>
            <w:webHidden/>
          </w:rPr>
          <w:tab/>
        </w:r>
        <w:r w:rsidR="00A769EB">
          <w:rPr>
            <w:noProof/>
            <w:webHidden/>
          </w:rPr>
          <w:fldChar w:fldCharType="begin"/>
        </w:r>
        <w:r w:rsidR="00A769EB">
          <w:rPr>
            <w:noProof/>
            <w:webHidden/>
          </w:rPr>
          <w:instrText xml:space="preserve"> PAGEREF _Toc457842153 \h </w:instrText>
        </w:r>
        <w:r w:rsidR="00A769EB">
          <w:rPr>
            <w:noProof/>
            <w:webHidden/>
          </w:rPr>
        </w:r>
        <w:r w:rsidR="00A769EB">
          <w:rPr>
            <w:noProof/>
            <w:webHidden/>
          </w:rPr>
          <w:fldChar w:fldCharType="separate"/>
        </w:r>
        <w:r w:rsidR="00C15F9A">
          <w:rPr>
            <w:noProof/>
            <w:webHidden/>
          </w:rPr>
          <w:t>100</w:t>
        </w:r>
        <w:r w:rsidR="00A769EB">
          <w:rPr>
            <w:noProof/>
            <w:webHidden/>
          </w:rPr>
          <w:fldChar w:fldCharType="end"/>
        </w:r>
      </w:hyperlink>
    </w:p>
    <w:p w:rsidR="00A769EB" w:rsidRDefault="001F2F42" w:rsidP="00A769EB">
      <w:pPr>
        <w:pStyle w:val="TOC1"/>
        <w:tabs>
          <w:tab w:val="clear" w:pos="5103"/>
          <w:tab w:val="left" w:pos="709"/>
          <w:tab w:val="right" w:pos="7938"/>
        </w:tabs>
        <w:spacing w:before="120"/>
        <w:ind w:right="2835"/>
        <w:rPr>
          <w:rFonts w:asciiTheme="minorHAnsi" w:eastAsiaTheme="minorEastAsia" w:hAnsiTheme="minorHAnsi" w:cstheme="minorBidi"/>
          <w:noProof/>
          <w:lang w:eastAsia="en-NZ"/>
        </w:rPr>
      </w:pPr>
      <w:hyperlink w:anchor="_Toc457842154" w:history="1">
        <w:r w:rsidR="00A769EB" w:rsidRPr="00BE2CC0">
          <w:rPr>
            <w:rStyle w:val="Hyperlink"/>
            <w:noProof/>
          </w:rPr>
          <w:t>Appendices</w:t>
        </w:r>
        <w:r w:rsidR="00A769EB">
          <w:rPr>
            <w:noProof/>
            <w:webHidden/>
          </w:rPr>
          <w:tab/>
        </w:r>
        <w:r w:rsidR="00A769EB">
          <w:rPr>
            <w:noProof/>
            <w:webHidden/>
          </w:rPr>
          <w:fldChar w:fldCharType="begin"/>
        </w:r>
        <w:r w:rsidR="00A769EB">
          <w:rPr>
            <w:noProof/>
            <w:webHidden/>
          </w:rPr>
          <w:instrText xml:space="preserve"> PAGEREF _Toc457842154 \h </w:instrText>
        </w:r>
        <w:r w:rsidR="00A769EB">
          <w:rPr>
            <w:noProof/>
            <w:webHidden/>
          </w:rPr>
        </w:r>
        <w:r w:rsidR="00A769EB">
          <w:rPr>
            <w:noProof/>
            <w:webHidden/>
          </w:rPr>
          <w:fldChar w:fldCharType="separate"/>
        </w:r>
        <w:r w:rsidR="00C15F9A">
          <w:rPr>
            <w:noProof/>
            <w:webHidden/>
          </w:rPr>
          <w:t>102</w:t>
        </w:r>
        <w:r w:rsidR="00A769EB">
          <w:rPr>
            <w:noProof/>
            <w:webHidden/>
          </w:rPr>
          <w:fldChar w:fldCharType="end"/>
        </w:r>
      </w:hyperlink>
    </w:p>
    <w:p w:rsidR="00A769EB" w:rsidRDefault="001F2F42" w:rsidP="00A769EB">
      <w:pPr>
        <w:pStyle w:val="TOC2"/>
        <w:tabs>
          <w:tab w:val="clear" w:pos="5103"/>
          <w:tab w:val="right" w:pos="7938"/>
        </w:tabs>
        <w:ind w:right="2834"/>
        <w:rPr>
          <w:rFonts w:asciiTheme="minorHAnsi" w:eastAsiaTheme="minorEastAsia" w:hAnsiTheme="minorHAnsi" w:cstheme="minorBidi"/>
          <w:noProof/>
          <w:sz w:val="22"/>
          <w:lang w:eastAsia="en-NZ"/>
        </w:rPr>
      </w:pPr>
      <w:hyperlink w:anchor="_Toc457842155" w:history="1">
        <w:r w:rsidR="00A769EB" w:rsidRPr="00BE2CC0">
          <w:rPr>
            <w:rStyle w:val="Hyperlink"/>
            <w:rFonts w:eastAsiaTheme="majorEastAsia"/>
            <w:noProof/>
            <w:lang w:val="en-US" w:eastAsia="ja-JP"/>
          </w:rPr>
          <w:t>Appendix 1: Updated evaluation judgements against objectives</w:t>
        </w:r>
        <w:r w:rsidR="00A769EB">
          <w:rPr>
            <w:noProof/>
            <w:webHidden/>
          </w:rPr>
          <w:tab/>
        </w:r>
        <w:r w:rsidR="00A769EB">
          <w:rPr>
            <w:noProof/>
            <w:webHidden/>
          </w:rPr>
          <w:fldChar w:fldCharType="begin"/>
        </w:r>
        <w:r w:rsidR="00A769EB">
          <w:rPr>
            <w:noProof/>
            <w:webHidden/>
          </w:rPr>
          <w:instrText xml:space="preserve"> PAGEREF _Toc457842155 \h </w:instrText>
        </w:r>
        <w:r w:rsidR="00A769EB">
          <w:rPr>
            <w:noProof/>
            <w:webHidden/>
          </w:rPr>
        </w:r>
        <w:r w:rsidR="00A769EB">
          <w:rPr>
            <w:noProof/>
            <w:webHidden/>
          </w:rPr>
          <w:fldChar w:fldCharType="separate"/>
        </w:r>
        <w:r w:rsidR="00C15F9A">
          <w:rPr>
            <w:noProof/>
            <w:webHidden/>
          </w:rPr>
          <w:t>102</w:t>
        </w:r>
        <w:r w:rsidR="00A769EB">
          <w:rPr>
            <w:noProof/>
            <w:webHidden/>
          </w:rPr>
          <w:fldChar w:fldCharType="end"/>
        </w:r>
      </w:hyperlink>
    </w:p>
    <w:p w:rsidR="00A769EB" w:rsidRDefault="001F2F42" w:rsidP="00A769EB">
      <w:pPr>
        <w:pStyle w:val="TOC2"/>
        <w:tabs>
          <w:tab w:val="clear" w:pos="5103"/>
          <w:tab w:val="right" w:pos="7938"/>
        </w:tabs>
        <w:ind w:right="2834"/>
        <w:rPr>
          <w:rFonts w:asciiTheme="minorHAnsi" w:eastAsiaTheme="minorEastAsia" w:hAnsiTheme="minorHAnsi" w:cstheme="minorBidi"/>
          <w:noProof/>
          <w:sz w:val="22"/>
          <w:lang w:eastAsia="en-NZ"/>
        </w:rPr>
      </w:pPr>
      <w:hyperlink w:anchor="_Toc457842156" w:history="1">
        <w:r w:rsidR="000A7413">
          <w:rPr>
            <w:rStyle w:val="Hyperlink"/>
            <w:rFonts w:eastAsiaTheme="majorEastAsia"/>
            <w:noProof/>
            <w:lang w:val="en-US" w:eastAsia="ja-JP"/>
          </w:rPr>
          <w:t xml:space="preserve">Appendix 2: </w:t>
        </w:r>
        <w:r w:rsidR="00A769EB" w:rsidRPr="00BE2CC0">
          <w:rPr>
            <w:rStyle w:val="Hyperlink"/>
            <w:rFonts w:eastAsiaTheme="majorEastAsia"/>
            <w:noProof/>
            <w:lang w:val="en-US" w:eastAsia="ja-JP"/>
          </w:rPr>
          <w:t>Epidemiology report (Read et al 2016)</w:t>
        </w:r>
        <w:r w:rsidR="00A769EB">
          <w:rPr>
            <w:noProof/>
            <w:webHidden/>
          </w:rPr>
          <w:tab/>
        </w:r>
        <w:r w:rsidR="00A769EB">
          <w:rPr>
            <w:noProof/>
            <w:webHidden/>
          </w:rPr>
          <w:fldChar w:fldCharType="begin"/>
        </w:r>
        <w:r w:rsidR="00A769EB">
          <w:rPr>
            <w:noProof/>
            <w:webHidden/>
          </w:rPr>
          <w:instrText xml:space="preserve"> PAGEREF _Toc457842156 \h </w:instrText>
        </w:r>
        <w:r w:rsidR="00A769EB">
          <w:rPr>
            <w:noProof/>
            <w:webHidden/>
          </w:rPr>
        </w:r>
        <w:r w:rsidR="00A769EB">
          <w:rPr>
            <w:noProof/>
            <w:webHidden/>
          </w:rPr>
          <w:fldChar w:fldCharType="separate"/>
        </w:r>
        <w:r w:rsidR="00C15F9A">
          <w:rPr>
            <w:noProof/>
            <w:webHidden/>
          </w:rPr>
          <w:t>102</w:t>
        </w:r>
        <w:r w:rsidR="00A769EB">
          <w:rPr>
            <w:noProof/>
            <w:webHidden/>
          </w:rPr>
          <w:fldChar w:fldCharType="end"/>
        </w:r>
      </w:hyperlink>
    </w:p>
    <w:p w:rsidR="00A769EB" w:rsidRDefault="001F2F42" w:rsidP="000A7413">
      <w:pPr>
        <w:pStyle w:val="TOC2"/>
        <w:tabs>
          <w:tab w:val="clear" w:pos="5103"/>
          <w:tab w:val="right" w:pos="7938"/>
        </w:tabs>
        <w:ind w:left="1843" w:right="2834" w:hanging="1134"/>
        <w:rPr>
          <w:rFonts w:asciiTheme="minorHAnsi" w:eastAsiaTheme="minorEastAsia" w:hAnsiTheme="minorHAnsi" w:cstheme="minorBidi"/>
          <w:noProof/>
          <w:sz w:val="22"/>
          <w:lang w:eastAsia="en-NZ"/>
        </w:rPr>
      </w:pPr>
      <w:hyperlink w:anchor="_Toc457842157" w:history="1">
        <w:r w:rsidR="000A7413">
          <w:rPr>
            <w:rStyle w:val="Hyperlink"/>
            <w:rFonts w:eastAsiaTheme="majorEastAsia"/>
            <w:noProof/>
            <w:lang w:val="en-US" w:eastAsia="ja-JP"/>
          </w:rPr>
          <w:t xml:space="preserve">Appendix 3: </w:t>
        </w:r>
        <w:r w:rsidR="00A769EB" w:rsidRPr="00BE2CC0">
          <w:rPr>
            <w:rStyle w:val="Hyperlink"/>
            <w:noProof/>
          </w:rPr>
          <w:t>Costing the screening pathway, Rounds 1 &amp; 2 – Sapere</w:t>
        </w:r>
        <w:r w:rsidR="00A769EB">
          <w:rPr>
            <w:noProof/>
            <w:webHidden/>
          </w:rPr>
          <w:tab/>
        </w:r>
        <w:r w:rsidR="00A769EB">
          <w:rPr>
            <w:noProof/>
            <w:webHidden/>
          </w:rPr>
          <w:fldChar w:fldCharType="begin"/>
        </w:r>
        <w:r w:rsidR="00A769EB">
          <w:rPr>
            <w:noProof/>
            <w:webHidden/>
          </w:rPr>
          <w:instrText xml:space="preserve"> PAGEREF _Toc457842157 \h </w:instrText>
        </w:r>
        <w:r w:rsidR="00A769EB">
          <w:rPr>
            <w:noProof/>
            <w:webHidden/>
          </w:rPr>
        </w:r>
        <w:r w:rsidR="00A769EB">
          <w:rPr>
            <w:noProof/>
            <w:webHidden/>
          </w:rPr>
          <w:fldChar w:fldCharType="separate"/>
        </w:r>
        <w:r w:rsidR="00C15F9A">
          <w:rPr>
            <w:noProof/>
            <w:webHidden/>
          </w:rPr>
          <w:t>102</w:t>
        </w:r>
        <w:r w:rsidR="00A769EB">
          <w:rPr>
            <w:noProof/>
            <w:webHidden/>
          </w:rPr>
          <w:fldChar w:fldCharType="end"/>
        </w:r>
      </w:hyperlink>
    </w:p>
    <w:p w:rsidR="00A769EB" w:rsidRDefault="001F2F42" w:rsidP="00A769EB">
      <w:pPr>
        <w:pStyle w:val="TOC2"/>
        <w:tabs>
          <w:tab w:val="clear" w:pos="5103"/>
          <w:tab w:val="right" w:pos="7938"/>
        </w:tabs>
        <w:ind w:right="2834"/>
        <w:rPr>
          <w:rFonts w:asciiTheme="minorHAnsi" w:eastAsiaTheme="minorEastAsia" w:hAnsiTheme="minorHAnsi" w:cstheme="minorBidi"/>
          <w:noProof/>
          <w:sz w:val="22"/>
          <w:lang w:eastAsia="en-NZ"/>
        </w:rPr>
      </w:pPr>
      <w:hyperlink w:anchor="_Toc457842158" w:history="1">
        <w:r w:rsidR="00A769EB" w:rsidRPr="00BE2CC0">
          <w:rPr>
            <w:rStyle w:val="Hyperlink"/>
            <w:noProof/>
          </w:rPr>
          <w:t xml:space="preserve">Appendix 4: A cost-utility analysis based on the findings of the pilot </w:t>
        </w:r>
        <w:r w:rsidR="00A769EB">
          <w:rPr>
            <w:rStyle w:val="Hyperlink"/>
            <w:noProof/>
          </w:rPr>
          <w:br/>
          <w:t xml:space="preserve">                    </w:t>
        </w:r>
        <w:r w:rsidR="00A769EB" w:rsidRPr="00BE2CC0">
          <w:rPr>
            <w:rStyle w:val="Hyperlink"/>
            <w:noProof/>
          </w:rPr>
          <w:t>results – Sapere</w:t>
        </w:r>
        <w:r w:rsidR="00A769EB">
          <w:rPr>
            <w:noProof/>
            <w:webHidden/>
          </w:rPr>
          <w:tab/>
        </w:r>
        <w:r w:rsidR="00A769EB">
          <w:rPr>
            <w:noProof/>
            <w:webHidden/>
          </w:rPr>
          <w:fldChar w:fldCharType="begin"/>
        </w:r>
        <w:r w:rsidR="00A769EB">
          <w:rPr>
            <w:noProof/>
            <w:webHidden/>
          </w:rPr>
          <w:instrText xml:space="preserve"> PAGEREF _Toc457842158 \h </w:instrText>
        </w:r>
        <w:r w:rsidR="00A769EB">
          <w:rPr>
            <w:noProof/>
            <w:webHidden/>
          </w:rPr>
        </w:r>
        <w:r w:rsidR="00A769EB">
          <w:rPr>
            <w:noProof/>
            <w:webHidden/>
          </w:rPr>
          <w:fldChar w:fldCharType="separate"/>
        </w:r>
        <w:r w:rsidR="00C15F9A">
          <w:rPr>
            <w:noProof/>
            <w:webHidden/>
          </w:rPr>
          <w:t>102</w:t>
        </w:r>
        <w:r w:rsidR="00A769EB">
          <w:rPr>
            <w:noProof/>
            <w:webHidden/>
          </w:rPr>
          <w:fldChar w:fldCharType="end"/>
        </w:r>
      </w:hyperlink>
    </w:p>
    <w:p w:rsidR="00A769EB" w:rsidRDefault="001F2F42" w:rsidP="00A769EB">
      <w:pPr>
        <w:pStyle w:val="TOC2"/>
        <w:tabs>
          <w:tab w:val="clear" w:pos="5103"/>
          <w:tab w:val="right" w:pos="7938"/>
        </w:tabs>
        <w:ind w:right="2834"/>
        <w:rPr>
          <w:rFonts w:asciiTheme="minorHAnsi" w:eastAsiaTheme="minorEastAsia" w:hAnsiTheme="minorHAnsi" w:cstheme="minorBidi"/>
          <w:noProof/>
          <w:sz w:val="22"/>
          <w:lang w:eastAsia="en-NZ"/>
        </w:rPr>
      </w:pPr>
      <w:hyperlink w:anchor="_Toc457842159" w:history="1">
        <w:r w:rsidR="000A7413">
          <w:rPr>
            <w:rStyle w:val="Hyperlink"/>
            <w:noProof/>
          </w:rPr>
          <w:t xml:space="preserve">Appendix 5: </w:t>
        </w:r>
        <w:r w:rsidR="00A769EB" w:rsidRPr="00BE2CC0">
          <w:rPr>
            <w:rStyle w:val="Hyperlink"/>
            <w:noProof/>
          </w:rPr>
          <w:t>BSP monitoring indicators</w:t>
        </w:r>
        <w:r w:rsidR="00A769EB">
          <w:rPr>
            <w:noProof/>
            <w:webHidden/>
          </w:rPr>
          <w:tab/>
        </w:r>
        <w:r w:rsidR="00A769EB">
          <w:rPr>
            <w:noProof/>
            <w:webHidden/>
          </w:rPr>
          <w:fldChar w:fldCharType="begin"/>
        </w:r>
        <w:r w:rsidR="00A769EB">
          <w:rPr>
            <w:noProof/>
            <w:webHidden/>
          </w:rPr>
          <w:instrText xml:space="preserve"> PAGEREF _Toc457842159 \h </w:instrText>
        </w:r>
        <w:r w:rsidR="00A769EB">
          <w:rPr>
            <w:noProof/>
            <w:webHidden/>
          </w:rPr>
        </w:r>
        <w:r w:rsidR="00A769EB">
          <w:rPr>
            <w:noProof/>
            <w:webHidden/>
          </w:rPr>
          <w:fldChar w:fldCharType="separate"/>
        </w:r>
        <w:r w:rsidR="00C15F9A">
          <w:rPr>
            <w:noProof/>
            <w:webHidden/>
          </w:rPr>
          <w:t>102</w:t>
        </w:r>
        <w:r w:rsidR="00A769EB">
          <w:rPr>
            <w:noProof/>
            <w:webHidden/>
          </w:rPr>
          <w:fldChar w:fldCharType="end"/>
        </w:r>
      </w:hyperlink>
    </w:p>
    <w:p w:rsidR="00A769EB" w:rsidRDefault="001F2F42" w:rsidP="00A769EB">
      <w:pPr>
        <w:pStyle w:val="TOC2"/>
        <w:tabs>
          <w:tab w:val="clear" w:pos="5103"/>
          <w:tab w:val="right" w:pos="7938"/>
        </w:tabs>
        <w:ind w:right="2834"/>
        <w:rPr>
          <w:rFonts w:asciiTheme="minorHAnsi" w:eastAsiaTheme="minorEastAsia" w:hAnsiTheme="minorHAnsi" w:cstheme="minorBidi"/>
          <w:noProof/>
          <w:sz w:val="22"/>
          <w:lang w:eastAsia="en-NZ"/>
        </w:rPr>
      </w:pPr>
      <w:hyperlink w:anchor="_Toc457842160" w:history="1">
        <w:r w:rsidR="00A769EB" w:rsidRPr="00BE2CC0">
          <w:rPr>
            <w:rStyle w:val="Hyperlink"/>
            <w:noProof/>
          </w:rPr>
          <w:t>Appendix 6: Adherence to BSP quality standards</w:t>
        </w:r>
        <w:r w:rsidR="00A769EB">
          <w:rPr>
            <w:noProof/>
            <w:webHidden/>
          </w:rPr>
          <w:tab/>
        </w:r>
        <w:r w:rsidR="00A769EB">
          <w:rPr>
            <w:noProof/>
            <w:webHidden/>
          </w:rPr>
          <w:fldChar w:fldCharType="begin"/>
        </w:r>
        <w:r w:rsidR="00A769EB">
          <w:rPr>
            <w:noProof/>
            <w:webHidden/>
          </w:rPr>
          <w:instrText xml:space="preserve"> PAGEREF _Toc457842160 \h </w:instrText>
        </w:r>
        <w:r w:rsidR="00A769EB">
          <w:rPr>
            <w:noProof/>
            <w:webHidden/>
          </w:rPr>
        </w:r>
        <w:r w:rsidR="00A769EB">
          <w:rPr>
            <w:noProof/>
            <w:webHidden/>
          </w:rPr>
          <w:fldChar w:fldCharType="separate"/>
        </w:r>
        <w:r w:rsidR="00C15F9A">
          <w:rPr>
            <w:noProof/>
            <w:webHidden/>
          </w:rPr>
          <w:t>103</w:t>
        </w:r>
        <w:r w:rsidR="00A769EB">
          <w:rPr>
            <w:noProof/>
            <w:webHidden/>
          </w:rPr>
          <w:fldChar w:fldCharType="end"/>
        </w:r>
      </w:hyperlink>
    </w:p>
    <w:p w:rsidR="005719A8" w:rsidRDefault="00C06229" w:rsidP="00B83300">
      <w:pPr>
        <w:pStyle w:val="TOC2"/>
        <w:tabs>
          <w:tab w:val="clear" w:pos="5103"/>
          <w:tab w:val="right" w:pos="7938"/>
        </w:tabs>
        <w:ind w:right="2834"/>
      </w:pPr>
      <w:r>
        <w:fldChar w:fldCharType="end"/>
      </w:r>
    </w:p>
    <w:p w:rsidR="005719A8" w:rsidRDefault="00403650" w:rsidP="00B83300">
      <w:pPr>
        <w:pStyle w:val="TOC1"/>
        <w:tabs>
          <w:tab w:val="clear" w:pos="5103"/>
          <w:tab w:val="left" w:pos="709"/>
          <w:tab w:val="right" w:pos="7938"/>
        </w:tabs>
        <w:spacing w:before="120"/>
        <w:ind w:right="2835"/>
        <w:sectPr w:rsidR="005719A8">
          <w:headerReference w:type="even" r:id="rId11"/>
          <w:headerReference w:type="default" r:id="rId12"/>
          <w:footerReference w:type="even" r:id="rId13"/>
          <w:footerReference w:type="default" r:id="rId14"/>
          <w:headerReference w:type="first" r:id="rId15"/>
          <w:pgSz w:w="11906" w:h="16838" w:code="9"/>
          <w:pgMar w:top="2268" w:right="1134" w:bottom="1701" w:left="1134" w:header="567" w:footer="567" w:gutter="0"/>
          <w:pgNumType w:fmt="lowerRoman"/>
          <w:cols w:space="720"/>
        </w:sectPr>
      </w:pPr>
      <w:r>
        <w:br/>
      </w:r>
    </w:p>
    <w:p w:rsidR="00D31409" w:rsidRPr="006E1D30" w:rsidRDefault="00D31409" w:rsidP="00D31409">
      <w:pPr>
        <w:pStyle w:val="Heading1"/>
      </w:pPr>
      <w:bookmarkStart w:id="15" w:name="_Toc391031807"/>
      <w:bookmarkStart w:id="16" w:name="_Toc391847725"/>
      <w:bookmarkStart w:id="17" w:name="_Toc393225993"/>
      <w:bookmarkStart w:id="18" w:name="_Toc393398280"/>
      <w:bookmarkStart w:id="19" w:name="_Toc412540012"/>
      <w:bookmarkStart w:id="20" w:name="_Toc457842106"/>
      <w:bookmarkStart w:id="21" w:name="_Toc528559122"/>
      <w:bookmarkStart w:id="22" w:name="_Toc528559356"/>
      <w:bookmarkStart w:id="23" w:name="_Toc528564994"/>
      <w:r w:rsidRPr="006E1D30">
        <w:t>DISCLAIMER</w:t>
      </w:r>
      <w:bookmarkEnd w:id="15"/>
      <w:bookmarkEnd w:id="16"/>
      <w:bookmarkEnd w:id="17"/>
      <w:bookmarkEnd w:id="18"/>
      <w:bookmarkEnd w:id="19"/>
      <w:bookmarkEnd w:id="20"/>
      <w:r w:rsidRPr="006E1D30">
        <w:t xml:space="preserve"> </w:t>
      </w:r>
    </w:p>
    <w:p w:rsidR="00D31409" w:rsidRPr="00A92654" w:rsidRDefault="00D31409" w:rsidP="00D31409">
      <w:pPr>
        <w:rPr>
          <w:rFonts w:cs="Arial"/>
          <w:b/>
          <w:sz w:val="28"/>
          <w:szCs w:val="28"/>
        </w:rPr>
      </w:pPr>
    </w:p>
    <w:p w:rsidR="00E01A7E" w:rsidRDefault="00E01A7E" w:rsidP="00E01A7E">
      <w:pPr>
        <w:pBdr>
          <w:top w:val="single" w:sz="4" w:space="1" w:color="auto"/>
          <w:left w:val="single" w:sz="4" w:space="4" w:color="auto"/>
          <w:bottom w:val="single" w:sz="4" w:space="1" w:color="auto"/>
          <w:right w:val="single" w:sz="4" w:space="4" w:color="auto"/>
        </w:pBdr>
        <w:rPr>
          <w:rFonts w:cs="Arial"/>
        </w:rPr>
      </w:pPr>
      <w:r>
        <w:rPr>
          <w:rFonts w:cs="Arial"/>
        </w:rPr>
        <w:t xml:space="preserve">The data analysed for the epidemiological analysis were supplied to the Environmental Health Indicators </w:t>
      </w:r>
      <w:r w:rsidRPr="00E51617">
        <w:rPr>
          <w:rFonts w:cs="Arial"/>
          <w:noProof/>
        </w:rPr>
        <w:t>programme</w:t>
      </w:r>
      <w:r>
        <w:rPr>
          <w:rFonts w:cs="Arial"/>
        </w:rPr>
        <w:t>, Centre for Public Health Research, Massey University by the Ministry of Health. The data sources are the Bowel Screening Pilot Register and the Waitemat</w:t>
      </w:r>
      <w:r w:rsidR="000F11FA">
        <w:rPr>
          <w:rFonts w:cs="Arial"/>
        </w:rPr>
        <w:t>ā</w:t>
      </w:r>
      <w:r>
        <w:rPr>
          <w:rFonts w:cs="Arial"/>
        </w:rPr>
        <w:t xml:space="preserve"> District Health Board.</w:t>
      </w:r>
    </w:p>
    <w:p w:rsidR="00E01A7E" w:rsidRDefault="00E01A7E" w:rsidP="00E01A7E">
      <w:pPr>
        <w:pBdr>
          <w:top w:val="single" w:sz="4" w:space="1" w:color="auto"/>
          <w:left w:val="single" w:sz="4" w:space="4" w:color="auto"/>
          <w:bottom w:val="single" w:sz="4" w:space="1" w:color="auto"/>
          <w:right w:val="single" w:sz="4" w:space="4" w:color="auto"/>
        </w:pBdr>
        <w:rPr>
          <w:rFonts w:cs="Arial"/>
        </w:rPr>
      </w:pPr>
      <w:r>
        <w:rPr>
          <w:rFonts w:cs="Arial"/>
        </w:rPr>
        <w:t xml:space="preserve">Litmus Limited and The Centre for Public Health Research accepts no liability or responsibility for the data or </w:t>
      </w:r>
      <w:r w:rsidR="007241A0">
        <w:rPr>
          <w:rFonts w:cs="Arial"/>
        </w:rPr>
        <w:t>their</w:t>
      </w:r>
      <w:r>
        <w:rPr>
          <w:rFonts w:cs="Arial"/>
        </w:rPr>
        <w:t xml:space="preserve"> use.</w:t>
      </w:r>
    </w:p>
    <w:p w:rsidR="00D31409" w:rsidRDefault="00D31409" w:rsidP="00D31409">
      <w:pPr>
        <w:rPr>
          <w:rFonts w:cs="Arial"/>
        </w:rPr>
      </w:pPr>
    </w:p>
    <w:p w:rsidR="00D31409" w:rsidRDefault="00D31409" w:rsidP="00D31409"/>
    <w:p w:rsidR="00D31409" w:rsidRDefault="00D31409" w:rsidP="00D31409"/>
    <w:p w:rsidR="00D31409" w:rsidRDefault="00D31409" w:rsidP="00D31409">
      <w:r>
        <w:br w:type="page"/>
      </w:r>
    </w:p>
    <w:p w:rsidR="00D31409" w:rsidRDefault="00D31409" w:rsidP="00D31409">
      <w:pPr>
        <w:pStyle w:val="Heading1"/>
      </w:pPr>
      <w:bookmarkStart w:id="24" w:name="_Toc390872192"/>
      <w:bookmarkStart w:id="25" w:name="_Toc412540013"/>
      <w:bookmarkStart w:id="26" w:name="_Toc457842107"/>
      <w:r>
        <w:t>Preface</w:t>
      </w:r>
      <w:bookmarkEnd w:id="24"/>
      <w:bookmarkEnd w:id="25"/>
      <w:bookmarkEnd w:id="26"/>
      <w:r>
        <w:t xml:space="preserve"> </w:t>
      </w:r>
    </w:p>
    <w:p w:rsidR="00D31409" w:rsidRDefault="00E01A7E" w:rsidP="00D31409">
      <w:r>
        <w:t>This final</w:t>
      </w:r>
      <w:r w:rsidR="00D31409">
        <w:t xml:space="preserve"> evaluation </w:t>
      </w:r>
      <w:r w:rsidR="00D31409" w:rsidRPr="00C95C03">
        <w:t xml:space="preserve">report has been </w:t>
      </w:r>
      <w:r w:rsidR="00D31409">
        <w:t xml:space="preserve">jointly </w:t>
      </w:r>
      <w:r w:rsidR="00D31409" w:rsidRPr="00C95C03">
        <w:t xml:space="preserve">prepared for the Ministry of Health by </w:t>
      </w:r>
      <w:r w:rsidR="00D31409">
        <w:t>Liz Smith, Litmus; Associate Professor Deborah Read</w:t>
      </w:r>
      <w:r w:rsidR="00406B74">
        <w:t xml:space="preserve">, </w:t>
      </w:r>
      <w:r w:rsidR="00406B74" w:rsidRPr="00A418DC">
        <w:t>Mathangi Shanthakumar,</w:t>
      </w:r>
      <w:r w:rsidR="00D31409">
        <w:t xml:space="preserve"> and Professor Barry Borman, Massey University; and </w:t>
      </w:r>
      <w:r w:rsidR="00283ABD">
        <w:t xml:space="preserve">Dr </w:t>
      </w:r>
      <w:r w:rsidR="00D31409">
        <w:t xml:space="preserve">Tom Love, Sapere Research Group.  </w:t>
      </w:r>
    </w:p>
    <w:p w:rsidR="00D31409" w:rsidRDefault="000D0353" w:rsidP="00D31409">
      <w:r w:rsidRPr="00341A89">
        <w:t xml:space="preserve">We </w:t>
      </w:r>
      <w:r w:rsidR="00E87D34">
        <w:t>thank</w:t>
      </w:r>
      <w:r w:rsidRPr="00341A89">
        <w:t xml:space="preserve"> Dr James Swansson, Gary Blick, Matt Poynton and Julie Artus of Sapere Research Group for their work on costing and cost effectiveness analysis</w:t>
      </w:r>
      <w:r w:rsidR="00E87D34">
        <w:t xml:space="preserve"> and</w:t>
      </w:r>
      <w:r w:rsidRPr="00341A89">
        <w:t xml:space="preserve"> Patrick Graham of the MoDCONZ research group for allowing us to use his microsimulation code for analysing cost effectiveness.</w:t>
      </w:r>
    </w:p>
    <w:p w:rsidR="00D31409" w:rsidRPr="00C95C03" w:rsidRDefault="00D31409" w:rsidP="00D31409">
      <w:r w:rsidRPr="00C95C03">
        <w:t>We also thank:</w:t>
      </w:r>
    </w:p>
    <w:p w:rsidR="00D31409" w:rsidRPr="00C95C03" w:rsidRDefault="00D31409" w:rsidP="006179C7">
      <w:pPr>
        <w:numPr>
          <w:ilvl w:val="0"/>
          <w:numId w:val="6"/>
        </w:numPr>
        <w:autoSpaceDE w:val="0"/>
        <w:autoSpaceDN w:val="0"/>
        <w:adjustRightInd w:val="0"/>
        <w:spacing w:before="0" w:after="120"/>
        <w:ind w:left="1134" w:hanging="425"/>
      </w:pPr>
      <w:r w:rsidRPr="00C95C03">
        <w:t>Professor Scott Ramsey</w:t>
      </w:r>
      <w:r>
        <w:t xml:space="preserve">, </w:t>
      </w:r>
      <w:r w:rsidRPr="00BC0A85">
        <w:t>Fred Hutchinson</w:t>
      </w:r>
      <w:r>
        <w:t xml:space="preserve"> </w:t>
      </w:r>
      <w:r w:rsidRPr="00BC0A85">
        <w:t xml:space="preserve">Cancer Research Center, </w:t>
      </w:r>
      <w:r>
        <w:t xml:space="preserve">Seattle </w:t>
      </w:r>
      <w:r w:rsidRPr="00C95C03">
        <w:t xml:space="preserve">for his expert </w:t>
      </w:r>
      <w:r>
        <w:t xml:space="preserve">peer </w:t>
      </w:r>
      <w:r w:rsidRPr="00C95C03">
        <w:t xml:space="preserve">review of the Bowel </w:t>
      </w:r>
      <w:r w:rsidR="00B12E07">
        <w:t xml:space="preserve">Screening Pilot Evaluation Plan, </w:t>
      </w:r>
      <w:r>
        <w:t xml:space="preserve">the interim </w:t>
      </w:r>
      <w:r w:rsidR="00B12E07">
        <w:t xml:space="preserve">and final </w:t>
      </w:r>
      <w:r>
        <w:t>evaluation report</w:t>
      </w:r>
      <w:r w:rsidR="00B12E07">
        <w:t>s</w:t>
      </w:r>
      <w:r>
        <w:t>.</w:t>
      </w:r>
    </w:p>
    <w:p w:rsidR="00D31409" w:rsidRPr="00D262B7" w:rsidRDefault="00D31409" w:rsidP="006179C7">
      <w:pPr>
        <w:numPr>
          <w:ilvl w:val="0"/>
          <w:numId w:val="6"/>
        </w:numPr>
        <w:autoSpaceDE w:val="0"/>
        <w:autoSpaceDN w:val="0"/>
        <w:adjustRightInd w:val="0"/>
        <w:spacing w:before="0" w:after="120"/>
        <w:ind w:left="1134" w:hanging="425"/>
      </w:pPr>
      <w:r w:rsidRPr="00306664">
        <w:t>Members of the Ministry of Health’s Bowel Screening Evaluation Advisory Group for their expert review comments on the Bowel Screening Pilot Evaluation Plan</w:t>
      </w:r>
      <w:r w:rsidR="00B12E07">
        <w:t xml:space="preserve">, </w:t>
      </w:r>
      <w:r w:rsidRPr="00306664">
        <w:t xml:space="preserve">the interim </w:t>
      </w:r>
      <w:r w:rsidR="00B12E07">
        <w:t xml:space="preserve">and final </w:t>
      </w:r>
      <w:r w:rsidRPr="00306664">
        <w:t>evaluation report</w:t>
      </w:r>
      <w:r w:rsidR="00B12E07">
        <w:t>s</w:t>
      </w:r>
      <w:r w:rsidRPr="00306664">
        <w:t xml:space="preserve">.  Membership includes: </w:t>
      </w:r>
      <w:r>
        <w:t xml:space="preserve">Dr </w:t>
      </w:r>
      <w:r w:rsidRPr="00D262B7">
        <w:t>John Childs (Chair) Radiation Oncologist, Auckland District Health Board; Professor Tony Blakely, University of Otago, Wellington; Ms Shelley Campbell, Chief Executive, The Sir Peter Blake Trust; Mr Sacha Dylan, Connectos Consulting; Associate Professor Susan Parry, Clinical Director, Bowel Cancer Programme, Ministry of Health and Auckland Hospital; Professor Ann Richardson, School of Health Sciences, University of Canterbury; Professor James St. John AM, Cancer Council Victoria and the University of Melbourne; Dr Jim Vause, General Practitioner, Marlborough; Dr John Waldon, Researcher, 2 Tama Limited.</w:t>
      </w:r>
    </w:p>
    <w:p w:rsidR="00D31409" w:rsidRPr="00C95C03" w:rsidRDefault="00E87D34" w:rsidP="006179C7">
      <w:pPr>
        <w:numPr>
          <w:ilvl w:val="0"/>
          <w:numId w:val="6"/>
        </w:numPr>
        <w:autoSpaceDE w:val="0"/>
        <w:autoSpaceDN w:val="0"/>
        <w:adjustRightInd w:val="0"/>
        <w:spacing w:before="0" w:after="120"/>
        <w:ind w:left="1134" w:hanging="425"/>
      </w:pPr>
      <w:r>
        <w:t>Litmus</w:t>
      </w:r>
      <w:r w:rsidR="00D31409" w:rsidRPr="00C95C03">
        <w:t xml:space="preserve"> Governance Group members for their specialist screening evaluation advice and for their comments on th</w:t>
      </w:r>
      <w:r w:rsidR="00B12E07">
        <w:t>e</w:t>
      </w:r>
      <w:r w:rsidR="00D31409">
        <w:t xml:space="preserve"> interim</w:t>
      </w:r>
      <w:r w:rsidR="00B12E07">
        <w:t xml:space="preserve"> and final evaluation </w:t>
      </w:r>
      <w:r w:rsidR="00D31409" w:rsidRPr="00C95C03">
        <w:t>report</w:t>
      </w:r>
      <w:r w:rsidR="00B12E07">
        <w:t>s</w:t>
      </w:r>
      <w:r w:rsidR="00D31409" w:rsidRPr="00C95C03">
        <w:t xml:space="preserve">: </w:t>
      </w:r>
      <w:r w:rsidR="00D31409">
        <w:t>Dr Juliet Walker; Lisa Davies, Kaipuke Consulting; Professor John Potter,</w:t>
      </w:r>
      <w:r w:rsidR="00340A07">
        <w:rPr>
          <w:rStyle w:val="FootnoteReference"/>
        </w:rPr>
        <w:footnoteReference w:id="1"/>
      </w:r>
      <w:r w:rsidR="00D31409">
        <w:t xml:space="preserve"> Massey University; </w:t>
      </w:r>
      <w:r w:rsidR="00D31409" w:rsidRPr="00C95C03">
        <w:t>and James Reilly</w:t>
      </w:r>
      <w:r w:rsidR="00D31409">
        <w:t>, Statistical Insights.</w:t>
      </w:r>
    </w:p>
    <w:p w:rsidR="00D31409" w:rsidRPr="00C95C03" w:rsidRDefault="00D31409" w:rsidP="006179C7">
      <w:pPr>
        <w:numPr>
          <w:ilvl w:val="0"/>
          <w:numId w:val="6"/>
        </w:numPr>
        <w:autoSpaceDE w:val="0"/>
        <w:autoSpaceDN w:val="0"/>
        <w:adjustRightInd w:val="0"/>
        <w:spacing w:before="0" w:after="120"/>
        <w:ind w:left="1134" w:hanging="425"/>
      </w:pPr>
      <w:r w:rsidRPr="00C95C03">
        <w:t xml:space="preserve">Staff in the Bowel Screening Pilot teams at the Ministry of Health and the </w:t>
      </w:r>
      <w:r w:rsidRPr="00EA55DB">
        <w:t>Waitemat</w:t>
      </w:r>
      <w:r w:rsidR="000F11FA">
        <w:rPr>
          <w:rFonts w:cs="Arial"/>
        </w:rPr>
        <w:t>ā</w:t>
      </w:r>
      <w:r w:rsidRPr="00C95C03">
        <w:t xml:space="preserve"> District Health Board for supporting the Bowel Screening Pilot Evaluation. </w:t>
      </w:r>
    </w:p>
    <w:p w:rsidR="00D31409" w:rsidRPr="00C95C03" w:rsidRDefault="00D31409" w:rsidP="00D31409">
      <w:r w:rsidRPr="00C95C03">
        <w:t>Please contact Liz Smith (</w:t>
      </w:r>
      <w:hyperlink r:id="rId16" w:history="1">
        <w:r w:rsidRPr="00C95C03">
          <w:rPr>
            <w:color w:val="0000FF"/>
            <w:u w:val="single"/>
          </w:rPr>
          <w:t>liz@litmus.co.nz</w:t>
        </w:r>
      </w:hyperlink>
      <w:r>
        <w:t xml:space="preserve">) for general evaluation enquiries, Professor Barry Borman </w:t>
      </w:r>
      <w:r w:rsidRPr="00A51FFD">
        <w:t>(</w:t>
      </w:r>
      <w:hyperlink r:id="rId17" w:history="1">
        <w:r w:rsidRPr="00025095">
          <w:rPr>
            <w:rStyle w:val="Hyperlink"/>
          </w:rPr>
          <w:t>B.Borman@massey.ac.nz</w:t>
        </w:r>
      </w:hyperlink>
      <w:r>
        <w:t xml:space="preserve">) for epidemiology enquiries and </w:t>
      </w:r>
      <w:r w:rsidR="00283ABD">
        <w:t xml:space="preserve">Dr </w:t>
      </w:r>
      <w:r>
        <w:t xml:space="preserve">Tom Love, Sapere Research Group </w:t>
      </w:r>
      <w:r w:rsidRPr="00A51FFD">
        <w:t>(</w:t>
      </w:r>
      <w:hyperlink r:id="rId18" w:history="1">
        <w:r w:rsidR="00E01A7E" w:rsidRPr="00045F27">
          <w:rPr>
            <w:rStyle w:val="Hyperlink"/>
          </w:rPr>
          <w:t>tlove@srgexpert.com</w:t>
        </w:r>
      </w:hyperlink>
      <w:r w:rsidRPr="00A51FFD">
        <w:t>)</w:t>
      </w:r>
      <w:r>
        <w:t xml:space="preserve"> for costing analysis </w:t>
      </w:r>
      <w:r w:rsidR="00D44EF7">
        <w:t xml:space="preserve">and cost effectiveness </w:t>
      </w:r>
      <w:r>
        <w:t xml:space="preserve">enquiries. </w:t>
      </w:r>
    </w:p>
    <w:p w:rsidR="00D31409" w:rsidRDefault="00D31409" w:rsidP="00D31409">
      <w:pPr>
        <w:spacing w:before="0"/>
        <w:ind w:left="0"/>
      </w:pPr>
    </w:p>
    <w:p w:rsidR="00D31409" w:rsidRDefault="00D31409">
      <w:pPr>
        <w:spacing w:before="0"/>
        <w:ind w:left="0"/>
        <w:rPr>
          <w:b/>
          <w:sz w:val="36"/>
          <w:szCs w:val="36"/>
        </w:rPr>
      </w:pPr>
      <w:r>
        <w:br w:type="page"/>
      </w:r>
    </w:p>
    <w:p w:rsidR="005719A8" w:rsidRDefault="005719A8" w:rsidP="005719A8">
      <w:pPr>
        <w:pStyle w:val="Heading1"/>
      </w:pPr>
      <w:bookmarkStart w:id="27" w:name="_Toc457842108"/>
      <w:r>
        <w:t>1.</w:t>
      </w:r>
      <w:r>
        <w:tab/>
      </w:r>
      <w:bookmarkEnd w:id="21"/>
      <w:bookmarkEnd w:id="22"/>
      <w:bookmarkEnd w:id="23"/>
      <w:r w:rsidR="00D31409">
        <w:t>Executive summary</w:t>
      </w:r>
      <w:bookmarkEnd w:id="27"/>
    </w:p>
    <w:p w:rsidR="006407A6" w:rsidRDefault="006407A6" w:rsidP="00D262B7">
      <w:pPr>
        <w:spacing w:before="220"/>
      </w:pPr>
      <w:r w:rsidRPr="00C95C03">
        <w:t xml:space="preserve">The Ministry of Health funded </w:t>
      </w:r>
      <w:r w:rsidRPr="00EA55DB">
        <w:t>Waitemat</w:t>
      </w:r>
      <w:r w:rsidR="000F11FA">
        <w:rPr>
          <w:rFonts w:cs="Arial"/>
        </w:rPr>
        <w:t>ā</w:t>
      </w:r>
      <w:r w:rsidRPr="00C95C03">
        <w:t xml:space="preserve"> District Health Board (WDHB) to run a </w:t>
      </w:r>
      <w:r>
        <w:t xml:space="preserve">Bowel Screening Pilot </w:t>
      </w:r>
      <w:r w:rsidRPr="00C95C03">
        <w:t>(BSP) over four years from 2012</w:t>
      </w:r>
      <w:r w:rsidR="00E87D34">
        <w:t xml:space="preserve"> to 20</w:t>
      </w:r>
      <w:r w:rsidRPr="00C95C03">
        <w:t>1</w:t>
      </w:r>
      <w:r>
        <w:t>5</w:t>
      </w:r>
      <w:r w:rsidRPr="00C95C03">
        <w:t xml:space="preserve">. </w:t>
      </w:r>
      <w:r>
        <w:t xml:space="preserve"> </w:t>
      </w:r>
      <w:r w:rsidRPr="00C95C03">
        <w:t xml:space="preserve">An evaluation of the BSP </w:t>
      </w:r>
      <w:r w:rsidR="00DB0AD4">
        <w:t>was</w:t>
      </w:r>
      <w:r w:rsidRPr="00C95C03">
        <w:t xml:space="preserve"> undertaken by Litmus</w:t>
      </w:r>
      <w:r>
        <w:t xml:space="preserve">, the Centre for Public Health Research Massey University, </w:t>
      </w:r>
      <w:r w:rsidRPr="00C95C03">
        <w:t xml:space="preserve">and Sapere Research Group. </w:t>
      </w:r>
      <w:r>
        <w:t xml:space="preserve"> </w:t>
      </w:r>
      <w:r w:rsidRPr="00C95C03">
        <w:t xml:space="preserve">The goal of the evaluation </w:t>
      </w:r>
      <w:r w:rsidR="00C81B85">
        <w:t>wa</w:t>
      </w:r>
      <w:r w:rsidRPr="00C95C03">
        <w:t xml:space="preserve">s to determine whether organised bowel screening could be introduced in New Zealand in a way that is effective, safe and acceptable for participants, equitable and economically efficient. </w:t>
      </w:r>
      <w:r w:rsidRPr="005413FE">
        <w:t xml:space="preserve"> </w:t>
      </w:r>
    </w:p>
    <w:p w:rsidR="006407A6" w:rsidRDefault="006407A6" w:rsidP="006407A6">
      <w:pPr>
        <w:spacing w:before="120"/>
      </w:pPr>
      <w:r>
        <w:t xml:space="preserve">This report is the final evaluation report of the BSP following the completion </w:t>
      </w:r>
      <w:r w:rsidR="00530A62">
        <w:t xml:space="preserve">of the </w:t>
      </w:r>
      <w:r>
        <w:t xml:space="preserve">distribution </w:t>
      </w:r>
      <w:r w:rsidR="00530A62">
        <w:t xml:space="preserve">of invitations </w:t>
      </w:r>
      <w:r>
        <w:t xml:space="preserve">for screening </w:t>
      </w:r>
      <w:r w:rsidR="00D262B7">
        <w:t>R</w:t>
      </w:r>
      <w:r>
        <w:t xml:space="preserve">ounds </w:t>
      </w:r>
      <w:r w:rsidR="00D262B7">
        <w:t xml:space="preserve">1 </w:t>
      </w:r>
      <w:r>
        <w:t xml:space="preserve">and </w:t>
      </w:r>
      <w:r w:rsidR="00D262B7">
        <w:t>2</w:t>
      </w:r>
      <w:r>
        <w:t xml:space="preserve"> (January 2012 – December 2015).</w:t>
      </w:r>
      <w:r w:rsidR="00340A07" w:rsidRPr="00697D47">
        <w:rPr>
          <w:rStyle w:val="FootnoteReference"/>
        </w:rPr>
        <w:footnoteReference w:id="2"/>
      </w:r>
      <w:r>
        <w:t xml:space="preserve">  The report draws from a range of data and information sources and is structured to address the goal and four aims of the pilot as relevant at the completion of screening </w:t>
      </w:r>
      <w:r w:rsidR="00644018">
        <w:t>R</w:t>
      </w:r>
      <w:r>
        <w:t xml:space="preserve">ound </w:t>
      </w:r>
      <w:r w:rsidR="00892168">
        <w:t>2</w:t>
      </w:r>
      <w:r>
        <w:t xml:space="preserve">.  </w:t>
      </w:r>
    </w:p>
    <w:p w:rsidR="00472FB1" w:rsidRDefault="006407A6" w:rsidP="00472FB1">
      <w:pPr>
        <w:spacing w:before="120"/>
      </w:pPr>
      <w:r w:rsidRPr="00C95C03">
        <w:t>The New Zealand Health and Disability Multi-region Ethics Committee granted ethical approval for the suite of BSP evaluation activities (reference MEC/11/EXP/119</w:t>
      </w:r>
      <w:r w:rsidR="00472FB1">
        <w:t xml:space="preserve">; </w:t>
      </w:r>
      <w:r w:rsidR="00472FB1" w:rsidRPr="00472FB1">
        <w:t xml:space="preserve">MEC/11/EXP/119/AM06). </w:t>
      </w:r>
      <w:r w:rsidRPr="00C95C03">
        <w:t xml:space="preserve"> </w:t>
      </w:r>
      <w:r w:rsidR="00472FB1">
        <w:t xml:space="preserve"> </w:t>
      </w:r>
    </w:p>
    <w:p w:rsidR="006407A6" w:rsidRPr="00E30B88" w:rsidRDefault="006407A6" w:rsidP="00D262B7">
      <w:pPr>
        <w:spacing w:before="220"/>
        <w:rPr>
          <w:b/>
        </w:rPr>
      </w:pPr>
      <w:r w:rsidRPr="00E30B88">
        <w:rPr>
          <w:b/>
        </w:rPr>
        <w:t xml:space="preserve">Effectiveness: Is a national bowel screening programme likely to achieve the mortality reduction from bowel cancer for all population groups seen in international randomised controlled trials? </w:t>
      </w:r>
    </w:p>
    <w:p w:rsidR="008B5237" w:rsidRPr="001820FA" w:rsidRDefault="008B5237" w:rsidP="00C81B85">
      <w:pPr>
        <w:spacing w:before="120"/>
        <w:rPr>
          <w:rFonts w:cs="Arial"/>
        </w:rPr>
      </w:pPr>
      <w:r w:rsidRPr="00D262B7">
        <w:t>It is probable that the BSP will achieve a reduction in mortality from bowel cancer. However,</w:t>
      </w:r>
      <w:r>
        <w:rPr>
          <w:rFonts w:cs="Arial"/>
          <w:color w:val="000000"/>
        </w:rPr>
        <w:t xml:space="preserve"> t</w:t>
      </w:r>
      <w:r w:rsidRPr="0064290E">
        <w:rPr>
          <w:rFonts w:cs="Arial"/>
        </w:rPr>
        <w:t>he magnitude of any reductio</w:t>
      </w:r>
      <w:r>
        <w:rPr>
          <w:rFonts w:cs="Arial"/>
        </w:rPr>
        <w:t xml:space="preserve">n </w:t>
      </w:r>
      <w:r w:rsidRPr="0064290E">
        <w:rPr>
          <w:rFonts w:cs="Arial"/>
        </w:rPr>
        <w:t xml:space="preserve">cannot be assessed in a five-year evaluation. The full two </w:t>
      </w:r>
      <w:r w:rsidRPr="001820FA">
        <w:rPr>
          <w:rFonts w:cs="Arial"/>
        </w:rPr>
        <w:t>years of the second round was not analysed due to the timing of data extraction</w:t>
      </w:r>
      <w:r>
        <w:rPr>
          <w:rFonts w:cs="Arial"/>
        </w:rPr>
        <w:t>, so</w:t>
      </w:r>
      <w:r w:rsidRPr="001820FA">
        <w:rPr>
          <w:rFonts w:cs="Arial"/>
          <w:color w:val="FF0000"/>
        </w:rPr>
        <w:t xml:space="preserve"> </w:t>
      </w:r>
      <w:r w:rsidRPr="001820FA">
        <w:rPr>
          <w:rFonts w:cs="Arial"/>
        </w:rPr>
        <w:t xml:space="preserve">the available staging information was insufficient to indicate whether there has been a shift </w:t>
      </w:r>
      <w:r w:rsidR="00C41330">
        <w:rPr>
          <w:rFonts w:cs="Arial"/>
        </w:rPr>
        <w:t xml:space="preserve">or not </w:t>
      </w:r>
      <w:r w:rsidRPr="001820FA">
        <w:rPr>
          <w:rFonts w:cs="Arial"/>
        </w:rPr>
        <w:t>towards detection of less advanced cancers as a result of the programme.</w:t>
      </w:r>
    </w:p>
    <w:p w:rsidR="006407A6" w:rsidRPr="00E30B88" w:rsidRDefault="006407A6" w:rsidP="00D262B7">
      <w:pPr>
        <w:spacing w:before="220"/>
        <w:rPr>
          <w:b/>
        </w:rPr>
      </w:pPr>
      <w:r w:rsidRPr="00E30B88">
        <w:rPr>
          <w:b/>
        </w:rPr>
        <w:t>Economic efficiency: Can a national bowel screening programme be delivered in an economically efficient manner?</w:t>
      </w:r>
    </w:p>
    <w:p w:rsidR="00B302C4" w:rsidRPr="00341A89" w:rsidRDefault="00632BE0" w:rsidP="00C81B85">
      <w:pPr>
        <w:spacing w:before="120"/>
      </w:pPr>
      <w:r w:rsidRPr="00341A89">
        <w:t>A</w:t>
      </w:r>
      <w:r w:rsidR="00B302C4" w:rsidRPr="00341A89">
        <w:t xml:space="preserve"> national bowel cancer screening programme could be delivered in an economically efficient manner. </w:t>
      </w:r>
      <w:r w:rsidR="002E1083">
        <w:t xml:space="preserve"> </w:t>
      </w:r>
      <w:r w:rsidR="007F5994" w:rsidRPr="00341A89">
        <w:t>Sapere Research Group (Sapere)</w:t>
      </w:r>
      <w:r w:rsidR="00341A89">
        <w:t xml:space="preserve"> modelled </w:t>
      </w:r>
      <w:r w:rsidR="0086229B">
        <w:t>fourteen</w:t>
      </w:r>
      <w:r w:rsidR="00341A89">
        <w:t xml:space="preserve"> different screening scenarios</w:t>
      </w:r>
      <w:r w:rsidR="00C81B85">
        <w:t>.</w:t>
      </w:r>
      <w:r w:rsidR="00341A89">
        <w:t xml:space="preserve"> </w:t>
      </w:r>
      <w:r w:rsidR="00C81B85">
        <w:t>A</w:t>
      </w:r>
      <w:r w:rsidR="00341A89">
        <w:t>ll were highly cost-effective both for</w:t>
      </w:r>
      <w:r w:rsidR="00E4695E">
        <w:t xml:space="preserve"> the whole population and for M</w:t>
      </w:r>
      <w:r w:rsidR="00E4695E">
        <w:rPr>
          <w:rFonts w:cs="Arial"/>
        </w:rPr>
        <w:t>ā</w:t>
      </w:r>
      <w:r w:rsidR="00341A89">
        <w:t xml:space="preserve">ori, and in some cases were </w:t>
      </w:r>
      <w:r w:rsidR="00E81AE0">
        <w:t xml:space="preserve">delivering direct </w:t>
      </w:r>
      <w:r w:rsidR="00341A89">
        <w:t xml:space="preserve">cost savings. </w:t>
      </w:r>
      <w:r w:rsidR="00B302C4" w:rsidRPr="00341A89">
        <w:t xml:space="preserve"> </w:t>
      </w:r>
    </w:p>
    <w:p w:rsidR="006407A6" w:rsidRDefault="00B302C4" w:rsidP="006407A6">
      <w:r w:rsidRPr="00341A89">
        <w:t>While bowel cancer screening results in significant cost</w:t>
      </w:r>
      <w:r w:rsidR="00C81B85">
        <w:t xml:space="preserve"> </w:t>
      </w:r>
      <w:r w:rsidRPr="00341A89">
        <w:t xml:space="preserve">savings from reduced treatment of bowel cancer, there also are significant </w:t>
      </w:r>
      <w:r w:rsidR="00A973F0" w:rsidRPr="00341A89">
        <w:t>resource requirements, particularly in the capacity to provide colonoscopy</w:t>
      </w:r>
      <w:r w:rsidRPr="00341A89">
        <w:t xml:space="preserve">. These </w:t>
      </w:r>
      <w:r w:rsidR="00A973F0" w:rsidRPr="00341A89">
        <w:t>requirements</w:t>
      </w:r>
      <w:r w:rsidRPr="00341A89">
        <w:t xml:space="preserve"> may pose constraint</w:t>
      </w:r>
      <w:r w:rsidR="00766CA8">
        <w:t>s</w:t>
      </w:r>
      <w:r w:rsidRPr="00341A89">
        <w:t xml:space="preserve"> on how a natio</w:t>
      </w:r>
      <w:r w:rsidR="00766CA8">
        <w:t xml:space="preserve">nal programme may be delivered. </w:t>
      </w:r>
    </w:p>
    <w:p w:rsidR="006407A6" w:rsidRPr="00E30B88" w:rsidRDefault="006407A6" w:rsidP="00D262B7">
      <w:pPr>
        <w:spacing w:before="220"/>
        <w:rPr>
          <w:b/>
        </w:rPr>
      </w:pPr>
      <w:r w:rsidRPr="00E30B88">
        <w:rPr>
          <w:b/>
        </w:rPr>
        <w:t>Equity: Can a national bowel screening programme be delivered in a manner that eliminates (or does not increase) current inequalities between population groups?</w:t>
      </w:r>
    </w:p>
    <w:p w:rsidR="008B5237" w:rsidRPr="00637AEA" w:rsidRDefault="008B5237" w:rsidP="00E55F75">
      <w:pPr>
        <w:spacing w:before="120"/>
      </w:pPr>
      <w:r>
        <w:t xml:space="preserve">There are a number of challenges in delivering an equitable national bowel screening programme. </w:t>
      </w:r>
      <w:r w:rsidRPr="00637AEA">
        <w:t>Asians, Māori and Pacific people were all less likely to participate than European/Other people</w:t>
      </w:r>
      <w:r>
        <w:t xml:space="preserve"> in both rounds</w:t>
      </w:r>
      <w:r w:rsidRPr="00637AEA">
        <w:t xml:space="preserve">. Participation in Round 2 was </w:t>
      </w:r>
      <w:r>
        <w:t xml:space="preserve">also </w:t>
      </w:r>
      <w:r w:rsidRPr="00637AEA">
        <w:t>lower than in Round 1. Within Round 2, participation varied depending on the screening history of the invited population</w:t>
      </w:r>
      <w:r w:rsidR="00C81B85">
        <w:t>,</w:t>
      </w:r>
      <w:r>
        <w:t xml:space="preserve"> with the highest participation among those who had completed Round 1.</w:t>
      </w:r>
      <w:r w:rsidRPr="00637AEA">
        <w:t xml:space="preserve"> </w:t>
      </w:r>
    </w:p>
    <w:p w:rsidR="008B5237" w:rsidRDefault="008B5237" w:rsidP="008B5237">
      <w:r w:rsidRPr="00637AEA">
        <w:t>European/Other and Asian</w:t>
      </w:r>
      <w:r>
        <w:t xml:space="preserve"> participation</w:t>
      </w:r>
      <w:r w:rsidRPr="00637AEA">
        <w:t xml:space="preserve"> decreased from Round 1, and </w:t>
      </w:r>
      <w:r w:rsidR="00E81AE0">
        <w:t>was unchanged among</w:t>
      </w:r>
      <w:r w:rsidRPr="00637AEA">
        <w:t xml:space="preserve"> Māori. </w:t>
      </w:r>
      <w:r>
        <w:t xml:space="preserve">Whilst participation </w:t>
      </w:r>
      <w:r w:rsidRPr="00637AEA">
        <w:t>increased for Pacific people</w:t>
      </w:r>
      <w:r>
        <w:t xml:space="preserve"> in Round 2, it was still low (36.7%). </w:t>
      </w:r>
      <w:r w:rsidRPr="00637AEA">
        <w:t xml:space="preserve">Participation </w:t>
      </w:r>
      <w:r>
        <w:t xml:space="preserve">also </w:t>
      </w:r>
      <w:r w:rsidRPr="00637AEA">
        <w:t>declined with increasing deprivation</w:t>
      </w:r>
      <w:r>
        <w:t xml:space="preserve"> in both rounds</w:t>
      </w:r>
      <w:r w:rsidRPr="00637AEA">
        <w:t xml:space="preserve">. </w:t>
      </w:r>
    </w:p>
    <w:p w:rsidR="00C81B85" w:rsidRDefault="002E1083" w:rsidP="002E1083">
      <w:pPr>
        <w:ind w:left="720"/>
      </w:pPr>
      <w:r w:rsidRPr="002E1083">
        <w:t xml:space="preserve">The BSP has demonstrated that, without appropriate systematic and structural approaches together with focused governance and leadership, inequities in bowel cancer outcomes will increase for Māori and Pacific people, and those living in areas of high deprivation.   </w:t>
      </w:r>
    </w:p>
    <w:p w:rsidR="002E1083" w:rsidRDefault="002E1083" w:rsidP="002E1083">
      <w:pPr>
        <w:ind w:left="720"/>
      </w:pPr>
      <w:r w:rsidRPr="002E1083">
        <w:t>A national bowel screening programme must lead with an equity focus to avoid increasing existing inequ</w:t>
      </w:r>
      <w:r w:rsidR="00C81B85">
        <w:t>ities in bowel cancer outcomes.</w:t>
      </w:r>
      <w:r w:rsidRPr="002E1083">
        <w:t xml:space="preserve">  A national programme needs clearly articulated policies, processes, monitoring and leadership to ensure equity of participat</w:t>
      </w:r>
      <w:r w:rsidR="00C81B85">
        <w:t>ion in bowel screening and long-</w:t>
      </w:r>
      <w:r w:rsidRPr="002E1083">
        <w:t>term equity in bowel cancer outcomes</w:t>
      </w:r>
      <w:r w:rsidRPr="00F2138E">
        <w:t xml:space="preserve">.  Leading with an equity focus will ensure the programme’s design supports </w:t>
      </w:r>
      <w:r w:rsidR="00C81B85" w:rsidRPr="00F2138E">
        <w:t xml:space="preserve">and engages </w:t>
      </w:r>
      <w:r w:rsidRPr="00F2138E">
        <w:t xml:space="preserve">those groups known to be least likely to take part and </w:t>
      </w:r>
      <w:r w:rsidR="00F2138E" w:rsidRPr="00F2138E">
        <w:t>who have a</w:t>
      </w:r>
      <w:r w:rsidRPr="00F2138E">
        <w:t xml:space="preserve"> higher risk of cancer</w:t>
      </w:r>
      <w:r w:rsidR="00F2138E" w:rsidRPr="00F2138E">
        <w:t>.</w:t>
      </w:r>
      <w:r w:rsidRPr="00F2138E">
        <w:t xml:space="preserve"> </w:t>
      </w:r>
    </w:p>
    <w:p w:rsidR="006407A6" w:rsidRPr="00E30B88" w:rsidRDefault="006407A6" w:rsidP="00D262B7">
      <w:pPr>
        <w:spacing w:before="220"/>
        <w:rPr>
          <w:b/>
        </w:rPr>
      </w:pPr>
      <w:r w:rsidRPr="00E30B88">
        <w:rPr>
          <w:b/>
        </w:rPr>
        <w:t>Safety and acceptability: Can a national bowel screening programme be delivered in a manner that is safe and acceptable?</w:t>
      </w:r>
    </w:p>
    <w:p w:rsidR="00283ABD" w:rsidRDefault="00283ABD" w:rsidP="00E55F75">
      <w:pPr>
        <w:spacing w:before="120"/>
      </w:pPr>
      <w:r>
        <w:t xml:space="preserve">Safety is defined as the extent to which harm is kept to a minimum, and incorporates multi-dimensional perspectives such as cultural, environmental, and clinical safety (National Screening Unit 2005 p.15).  Within the scope of the evaluation, no </w:t>
      </w:r>
      <w:r w:rsidR="00E81AE0">
        <w:t xml:space="preserve">substantial </w:t>
      </w:r>
      <w:r>
        <w:t xml:space="preserve">environmental or clinical safety issues were identified.  In </w:t>
      </w:r>
      <w:r w:rsidR="00F72955">
        <w:t>Round 2</w:t>
      </w:r>
      <w:r>
        <w:t xml:space="preserve">, greater focus has been placed on cultural safety with a more systematic and structural focus on seeking to achieve equity </w:t>
      </w:r>
      <w:r w:rsidR="00DB0AD4">
        <w:t xml:space="preserve">of participation </w:t>
      </w:r>
      <w:r>
        <w:t>for M</w:t>
      </w:r>
      <w:r>
        <w:rPr>
          <w:rFonts w:cs="Arial"/>
        </w:rPr>
        <w:t>ā</w:t>
      </w:r>
      <w:r>
        <w:t>ori and Pacific people</w:t>
      </w:r>
      <w:r w:rsidR="003E1592">
        <w:t xml:space="preserve">. </w:t>
      </w:r>
      <w:r w:rsidR="00FF11A1">
        <w:t>However, much more work is needed to address ongoing inequities of access for eligible M</w:t>
      </w:r>
      <w:r w:rsidR="00FF11A1">
        <w:rPr>
          <w:rFonts w:cs="Arial"/>
        </w:rPr>
        <w:t>ā</w:t>
      </w:r>
      <w:r w:rsidR="00FF11A1">
        <w:t xml:space="preserve">ori and Pacific people in the BSP.  </w:t>
      </w:r>
      <w:r>
        <w:t>If the learnings from the BSP are adopted</w:t>
      </w:r>
      <w:r w:rsidR="00E81AE0">
        <w:t>,</w:t>
      </w:r>
      <w:r>
        <w:t xml:space="preserve"> in particular leading with an equity focus, a national bowel screening programme can be delivered in a manner that is safe.  </w:t>
      </w:r>
    </w:p>
    <w:p w:rsidR="006407A6" w:rsidRPr="006407A6" w:rsidRDefault="00C45F11" w:rsidP="006407A6">
      <w:r>
        <w:t>The evaluation of the BSP has demonstrated that bowel screening can be delivered in a way that is acceptable to most eligible participants provided a systematic focus is applied to addressing barriers to participation for M</w:t>
      </w:r>
      <w:r>
        <w:rPr>
          <w:rFonts w:cs="Arial"/>
        </w:rPr>
        <w:t>ā</w:t>
      </w:r>
      <w:r>
        <w:t xml:space="preserve">ori and Pacific people.  </w:t>
      </w:r>
      <w:r>
        <w:rPr>
          <w:lang w:eastAsia="ar-SA"/>
        </w:rPr>
        <w:t>A</w:t>
      </w:r>
      <w:r>
        <w:t>cceptability of the BSP and a national screening programme continues to be high amongst national and regional stakeholders</w:t>
      </w:r>
      <w:r w:rsidR="00341A89">
        <w:t>,</w:t>
      </w:r>
      <w:r>
        <w:t xml:space="preserve"> and providers along the screening pathway. </w:t>
      </w:r>
    </w:p>
    <w:p w:rsidR="006407A6" w:rsidRPr="00E30B88" w:rsidRDefault="006407A6" w:rsidP="00D262B7">
      <w:pPr>
        <w:spacing w:before="220"/>
        <w:rPr>
          <w:b/>
        </w:rPr>
      </w:pPr>
      <w:r w:rsidRPr="00E30B88">
        <w:rPr>
          <w:b/>
        </w:rPr>
        <w:t>The overall goal is to determine whether organised bowel screening could be introduced in New Zealand in a way that is effective, safe and acceptable for participants; equitable and economically efficient.</w:t>
      </w:r>
    </w:p>
    <w:p w:rsidR="00015152" w:rsidRPr="00472D5D" w:rsidRDefault="00E30B88" w:rsidP="00E55F75">
      <w:pPr>
        <w:spacing w:before="120"/>
      </w:pPr>
      <w:r w:rsidRPr="00472D5D">
        <w:t>The BSP has demonstrated that</w:t>
      </w:r>
      <w:r w:rsidR="00F2138E">
        <w:t xml:space="preserve"> by</w:t>
      </w:r>
      <w:r w:rsidRPr="00472D5D">
        <w:t xml:space="preserve"> maintaining fidelity to and drawing on the learnings from the pilot</w:t>
      </w:r>
      <w:r w:rsidR="000C25E9" w:rsidRPr="00472D5D">
        <w:t>,</w:t>
      </w:r>
      <w:r w:rsidRPr="00472D5D">
        <w:t xml:space="preserve"> an organised quality bowel screening programme could be safely intro</w:t>
      </w:r>
      <w:r w:rsidR="00B059C1" w:rsidRPr="00472D5D">
        <w:t xml:space="preserve">duced into </w:t>
      </w:r>
      <w:r w:rsidR="00B059C1" w:rsidRPr="00851828">
        <w:t>New Zealand</w:t>
      </w:r>
      <w:r w:rsidRPr="00851828">
        <w:t xml:space="preserve">.  </w:t>
      </w:r>
      <w:r w:rsidR="0059726C" w:rsidRPr="00341A89">
        <w:t>Sapere</w:t>
      </w:r>
      <w:r w:rsidR="0059726C">
        <w:t>’s</w:t>
      </w:r>
      <w:r w:rsidR="00851828">
        <w:t xml:space="preserve"> simulations indicate that b</w:t>
      </w:r>
      <w:r w:rsidR="00B059C1" w:rsidRPr="00851828">
        <w:t xml:space="preserve">owel screening </w:t>
      </w:r>
      <w:r w:rsidR="008C283B" w:rsidRPr="00851828">
        <w:t>i</w:t>
      </w:r>
      <w:r w:rsidR="00B059C1" w:rsidRPr="00851828">
        <w:t>s cost effective and will save lives.</w:t>
      </w:r>
    </w:p>
    <w:p w:rsidR="00015152" w:rsidRDefault="00851828" w:rsidP="00015152">
      <w:r>
        <w:rPr>
          <w:lang w:eastAsia="ar-SA"/>
        </w:rPr>
        <w:t>Under most implementation scenarios, b</w:t>
      </w:r>
      <w:r w:rsidR="00015152" w:rsidRPr="00472D5D">
        <w:rPr>
          <w:lang w:eastAsia="ar-SA"/>
        </w:rPr>
        <w:t xml:space="preserve">owel screening is cost saving in absolute terms, while bringing health benefits.  This result is driven by the savings from avoided costs of treating cancer being large enough to outweigh the costs of screening.  This makes bowel screening an exceptionally </w:t>
      </w:r>
      <w:r w:rsidR="00E81AE0" w:rsidRPr="00472D5D">
        <w:rPr>
          <w:lang w:eastAsia="ar-SA"/>
        </w:rPr>
        <w:t>cost</w:t>
      </w:r>
      <w:r w:rsidR="00E81AE0">
        <w:rPr>
          <w:lang w:eastAsia="ar-SA"/>
        </w:rPr>
        <w:t>-</w:t>
      </w:r>
      <w:r w:rsidR="00015152" w:rsidRPr="00472D5D">
        <w:rPr>
          <w:lang w:eastAsia="ar-SA"/>
        </w:rPr>
        <w:t xml:space="preserve">effective health intervention, given that it both reduces health costs and produces benefits for the population. </w:t>
      </w:r>
      <w:r w:rsidR="00015152" w:rsidRPr="00472D5D">
        <w:t xml:space="preserve">Bowel screening is a highly </w:t>
      </w:r>
      <w:r w:rsidR="00E81AE0" w:rsidRPr="00472D5D">
        <w:t>cost</w:t>
      </w:r>
      <w:r w:rsidR="00E81AE0">
        <w:t>-</w:t>
      </w:r>
      <w:r w:rsidR="00015152" w:rsidRPr="00472D5D">
        <w:t>effective intervention for M</w:t>
      </w:r>
      <w:r w:rsidR="000C25E9" w:rsidRPr="00472D5D">
        <w:rPr>
          <w:rFonts w:cs="Arial"/>
        </w:rPr>
        <w:t>ā</w:t>
      </w:r>
      <w:r w:rsidR="00015152" w:rsidRPr="00472D5D">
        <w:t>ori</w:t>
      </w:r>
      <w:r>
        <w:t>, as well as for the New Zealand population overall</w:t>
      </w:r>
      <w:r w:rsidR="00015152" w:rsidRPr="00472D5D">
        <w:t>.</w:t>
      </w:r>
    </w:p>
    <w:p w:rsidR="008C283B" w:rsidRDefault="00B059C1" w:rsidP="006407A6">
      <w:r>
        <w:t xml:space="preserve">To have a safe, equitable and acceptable bowel screening programme requires the national programme to be equity-led to ensure acceptance and safety for </w:t>
      </w:r>
      <w:r w:rsidR="008C283B">
        <w:t>M</w:t>
      </w:r>
      <w:r w:rsidR="008C283B">
        <w:rPr>
          <w:rFonts w:cs="Arial"/>
        </w:rPr>
        <w:t>ā</w:t>
      </w:r>
      <w:r>
        <w:t>ori, Pacific and those living in areas of high deprivation.  To be safe</w:t>
      </w:r>
      <w:r w:rsidR="00341A89">
        <w:t>,</w:t>
      </w:r>
      <w:r w:rsidR="000C25E9">
        <w:t xml:space="preserve"> </w:t>
      </w:r>
      <w:r w:rsidR="00DB0AD4">
        <w:t>a</w:t>
      </w:r>
      <w:r w:rsidR="000C25E9">
        <w:t xml:space="preserve"> national bowel screening programme </w:t>
      </w:r>
      <w:r w:rsidR="00DB0AD4">
        <w:t>requires the involvement of</w:t>
      </w:r>
      <w:r w:rsidR="000C25E9">
        <w:t xml:space="preserve"> </w:t>
      </w:r>
      <w:r>
        <w:t xml:space="preserve">the </w:t>
      </w:r>
      <w:r w:rsidR="00DB0AD4">
        <w:t>National Screening Unit,</w:t>
      </w:r>
      <w:r w:rsidR="000C25E9">
        <w:t xml:space="preserve"> </w:t>
      </w:r>
      <w:r w:rsidR="001F7099">
        <w:t>the qu</w:t>
      </w:r>
      <w:r w:rsidR="00F2138E">
        <w:t>ality standards to be finalised</w:t>
      </w:r>
      <w:r w:rsidR="001F7099">
        <w:t xml:space="preserve"> </w:t>
      </w:r>
      <w:r w:rsidR="00406B74">
        <w:t>and</w:t>
      </w:r>
      <w:r w:rsidR="00F2138E">
        <w:t>,</w:t>
      </w:r>
      <w:r w:rsidR="00406B74">
        <w:t xml:space="preserve"> if used </w:t>
      </w:r>
      <w:r w:rsidR="001F7099">
        <w:t>in</w:t>
      </w:r>
      <w:r w:rsidR="00F2138E">
        <w:t xml:space="preserve"> a national roll-</w:t>
      </w:r>
      <w:r w:rsidR="00406B74">
        <w:t>out</w:t>
      </w:r>
      <w:r w:rsidR="00DF4C27">
        <w:t>,</w:t>
      </w:r>
      <w:r w:rsidR="00406B74">
        <w:t xml:space="preserve"> </w:t>
      </w:r>
      <w:r w:rsidR="000C25E9">
        <w:t xml:space="preserve">a review of the </w:t>
      </w:r>
      <w:r w:rsidR="00DB0AD4">
        <w:t xml:space="preserve">Register’s operational </w:t>
      </w:r>
      <w:r w:rsidR="000C25E9">
        <w:t>f</w:t>
      </w:r>
      <w:r w:rsidR="00DB0AD4">
        <w:t>unctionality</w:t>
      </w:r>
      <w:r w:rsidR="001F7099">
        <w:t>.</w:t>
      </w:r>
      <w:r>
        <w:t xml:space="preserve"> </w:t>
      </w:r>
      <w:r w:rsidR="00406B74">
        <w:t xml:space="preserve"> R</w:t>
      </w:r>
      <w:r w:rsidR="00DB0AD4">
        <w:t xml:space="preserve">esolution on the location and funding </w:t>
      </w:r>
      <w:r>
        <w:t>of</w:t>
      </w:r>
      <w:r w:rsidR="00DB0AD4">
        <w:t xml:space="preserve"> the endoscopy governance group</w:t>
      </w:r>
      <w:r w:rsidR="00406B74">
        <w:t xml:space="preserve"> is also needed</w:t>
      </w:r>
      <w:r>
        <w:t xml:space="preserve">.  The impact of a national screening programme on </w:t>
      </w:r>
      <w:r w:rsidR="00E81AE0">
        <w:t xml:space="preserve">the </w:t>
      </w:r>
      <w:r>
        <w:t xml:space="preserve">colonoscopy </w:t>
      </w:r>
      <w:r w:rsidR="008C283B">
        <w:t xml:space="preserve">and histopathology </w:t>
      </w:r>
      <w:r w:rsidR="00E81AE0">
        <w:t xml:space="preserve">workforces </w:t>
      </w:r>
      <w:r>
        <w:t>need</w:t>
      </w:r>
      <w:r w:rsidR="00530A62">
        <w:t>s</w:t>
      </w:r>
      <w:r>
        <w:t xml:space="preserve"> to be managed to retain equity between symptomatic and </w:t>
      </w:r>
      <w:r w:rsidR="008C283B">
        <w:t>screening services</w:t>
      </w:r>
      <w:r w:rsidR="00DB0AD4">
        <w:t>, and ensure surveillance colonoscopies are timely and align with guidelines</w:t>
      </w:r>
      <w:r w:rsidR="00FB25E9">
        <w:t xml:space="preserve"> (New Zealand Guidelines Group 2004).</w:t>
      </w:r>
      <w:r w:rsidR="00DB0AD4">
        <w:t xml:space="preserve"> </w:t>
      </w:r>
      <w:r w:rsidR="008C283B">
        <w:t xml:space="preserve"> </w:t>
      </w:r>
    </w:p>
    <w:p w:rsidR="00DB0AD4" w:rsidRDefault="00DB0AD4">
      <w:pPr>
        <w:spacing w:before="0"/>
        <w:ind w:left="0"/>
        <w:rPr>
          <w:b/>
          <w:sz w:val="36"/>
          <w:szCs w:val="36"/>
        </w:rPr>
      </w:pPr>
      <w:bookmarkStart w:id="28" w:name="_Toc390872198"/>
      <w:bookmarkStart w:id="29" w:name="_Toc412540018"/>
      <w:r>
        <w:br w:type="page"/>
      </w:r>
    </w:p>
    <w:p w:rsidR="00D31409" w:rsidRDefault="00D31409" w:rsidP="00D31409">
      <w:pPr>
        <w:pStyle w:val="Heading1"/>
      </w:pPr>
      <w:bookmarkStart w:id="30" w:name="_Toc457842109"/>
      <w:r>
        <w:t>2.</w:t>
      </w:r>
      <w:r>
        <w:tab/>
      </w:r>
      <w:r w:rsidRPr="005B025D">
        <w:t>Introduction</w:t>
      </w:r>
      <w:bookmarkEnd w:id="28"/>
      <w:bookmarkEnd w:id="29"/>
      <w:bookmarkEnd w:id="30"/>
      <w:r>
        <w:t xml:space="preserve"> </w:t>
      </w:r>
    </w:p>
    <w:p w:rsidR="00D31409" w:rsidRDefault="00D31409" w:rsidP="00D31409">
      <w:pPr>
        <w:pStyle w:val="Heading2"/>
      </w:pPr>
      <w:bookmarkStart w:id="31" w:name="_Toc390872199"/>
      <w:bookmarkStart w:id="32" w:name="_Toc412540019"/>
      <w:bookmarkStart w:id="33" w:name="_Toc457842110"/>
      <w:r>
        <w:t>2.1</w:t>
      </w:r>
      <w:r>
        <w:tab/>
        <w:t>Background to BSP</w:t>
      </w:r>
      <w:bookmarkEnd w:id="31"/>
      <w:bookmarkEnd w:id="32"/>
      <w:bookmarkEnd w:id="33"/>
      <w:r>
        <w:t xml:space="preserve"> </w:t>
      </w:r>
    </w:p>
    <w:p w:rsidR="00D31409" w:rsidRPr="001B4AA9" w:rsidRDefault="00D31409" w:rsidP="00D31409">
      <w:pPr>
        <w:pStyle w:val="Heading3"/>
      </w:pPr>
      <w:r>
        <w:t>Bowel cancer in New Zealand</w:t>
      </w:r>
    </w:p>
    <w:p w:rsidR="00E01A7E" w:rsidRPr="008E5431" w:rsidRDefault="00E01A7E" w:rsidP="00E01A7E">
      <w:r w:rsidRPr="008E5431">
        <w:t xml:space="preserve">Bowel cancer is a major health issue for New Zealand.  As noted by National Bowel Cancer Tumour Standards Working Group (2013) </w:t>
      </w:r>
      <w:r w:rsidRPr="008E5431">
        <w:rPr>
          <w:lang w:eastAsia="en-NZ"/>
        </w:rPr>
        <w:t xml:space="preserve">New Zealand has one of the highest bowel cancer rates in the world.  </w:t>
      </w:r>
      <w:r w:rsidRPr="008E5431">
        <w:t>In 20</w:t>
      </w:r>
      <w:r>
        <w:t>12</w:t>
      </w:r>
      <w:r w:rsidR="008112F1">
        <w:t>,</w:t>
      </w:r>
      <w:r w:rsidRPr="008E5431">
        <w:t xml:space="preserve"> bowel cancer was the second most common cancer in both men and women</w:t>
      </w:r>
      <w:r w:rsidR="008112F1">
        <w:t xml:space="preserve"> and </w:t>
      </w:r>
      <w:r w:rsidRPr="008E5431">
        <w:t xml:space="preserve">the second highest cause of cancer death for men </w:t>
      </w:r>
      <w:r>
        <w:t xml:space="preserve">and women </w:t>
      </w:r>
      <w:r w:rsidRPr="008E5431">
        <w:t>(after lung cancer) (Ministry of Health 20</w:t>
      </w:r>
      <w:r>
        <w:t>15</w:t>
      </w:r>
      <w:r w:rsidRPr="008E5431">
        <w:t>).  For Māori</w:t>
      </w:r>
      <w:r>
        <w:t xml:space="preserve"> men,</w:t>
      </w:r>
      <w:r w:rsidRPr="008E5431">
        <w:t xml:space="preserve"> bowel cancer is the </w:t>
      </w:r>
      <w:r>
        <w:t>second</w:t>
      </w:r>
      <w:r w:rsidRPr="008E5431">
        <w:t xml:space="preserve"> most common cause of death from cancer</w:t>
      </w:r>
      <w:r>
        <w:t xml:space="preserve">, and </w:t>
      </w:r>
      <w:r w:rsidR="008112F1">
        <w:t xml:space="preserve">it is </w:t>
      </w:r>
      <w:r>
        <w:t>third for M</w:t>
      </w:r>
      <w:r>
        <w:rPr>
          <w:rFonts w:cs="Arial"/>
        </w:rPr>
        <w:t>ā</w:t>
      </w:r>
      <w:r>
        <w:t>ori women</w:t>
      </w:r>
      <w:r w:rsidRPr="008E5431">
        <w:t xml:space="preserve"> </w:t>
      </w:r>
      <w:r w:rsidRPr="008E5431">
        <w:rPr>
          <w:noProof/>
        </w:rPr>
        <w:t>(Ministry of Health 20</w:t>
      </w:r>
      <w:r>
        <w:rPr>
          <w:noProof/>
        </w:rPr>
        <w:t>15</w:t>
      </w:r>
      <w:r w:rsidRPr="008E5431">
        <w:rPr>
          <w:noProof/>
        </w:rPr>
        <w:t>).</w:t>
      </w:r>
      <w:r w:rsidRPr="008E5431">
        <w:t xml:space="preserve">  New Zealand has one of the highest death rates from this cancer in the developed world.  In 20</w:t>
      </w:r>
      <w:r>
        <w:t>12</w:t>
      </w:r>
      <w:r w:rsidR="008112F1">
        <w:t>,</w:t>
      </w:r>
      <w:r w:rsidRPr="008E5431">
        <w:t xml:space="preserve"> there were </w:t>
      </w:r>
      <w:r>
        <w:t>3</w:t>
      </w:r>
      <w:r w:rsidR="005402D6">
        <w:t>,</w:t>
      </w:r>
      <w:r>
        <w:t>016</w:t>
      </w:r>
      <w:r w:rsidRPr="008E5431">
        <w:t xml:space="preserve"> new cases and </w:t>
      </w:r>
      <w:r>
        <w:t>1</w:t>
      </w:r>
      <w:r w:rsidR="005402D6">
        <w:t>,</w:t>
      </w:r>
      <w:r>
        <w:t>283</w:t>
      </w:r>
      <w:r w:rsidRPr="008E5431">
        <w:t> deaths (Ministry of Health 201</w:t>
      </w:r>
      <w:r>
        <w:t>5</w:t>
      </w:r>
      <w:r w:rsidRPr="008E5431">
        <w:t>).</w:t>
      </w:r>
    </w:p>
    <w:p w:rsidR="00E01A7E" w:rsidRDefault="00E01A7E" w:rsidP="00E01A7E">
      <w:r w:rsidRPr="008E5431">
        <w:t xml:space="preserve">Bowel cancer incidence increases with age </w:t>
      </w:r>
      <w:r w:rsidR="00753EE1">
        <w:t>–</w:t>
      </w:r>
      <w:r w:rsidRPr="008E5431">
        <w:t xml:space="preserve"> 90</w:t>
      </w:r>
      <w:r>
        <w:t xml:space="preserve">% </w:t>
      </w:r>
      <w:r w:rsidRPr="008E5431">
        <w:t>of cases occur in those over 50 years (New Zealand Guidelines Group 2004). The number of new cases of bowel cancer each year is projected to increase by 15</w:t>
      </w:r>
      <w:r>
        <w:t xml:space="preserve">% </w:t>
      </w:r>
      <w:r w:rsidRPr="008E5431">
        <w:t>for men and 19</w:t>
      </w:r>
      <w:r>
        <w:t xml:space="preserve">% </w:t>
      </w:r>
      <w:r w:rsidRPr="008E5431">
        <w:t>for women to 3</w:t>
      </w:r>
      <w:r w:rsidR="00EC06B8">
        <w:t>,</w:t>
      </w:r>
      <w:r w:rsidRPr="008E5431">
        <w:t>302 by 2016 (</w:t>
      </w:r>
      <w:r w:rsidRPr="001617FD">
        <w:t>National Bowel Cancer Tumour Standards Working Group 2013</w:t>
      </w:r>
      <w:r w:rsidRPr="008E5431">
        <w:t xml:space="preserve">). </w:t>
      </w:r>
      <w:r>
        <w:t xml:space="preserve"> </w:t>
      </w:r>
      <w:r w:rsidRPr="008E5431">
        <w:t xml:space="preserve">Concurrently, age-standardised registration and mortality rates </w:t>
      </w:r>
      <w:r>
        <w:t>for bowel cancer are declining</w:t>
      </w:r>
      <w:r w:rsidRPr="008E5431">
        <w:t>. Among Māori bowel cancer diagnoses</w:t>
      </w:r>
      <w:r>
        <w:t xml:space="preserve">, </w:t>
      </w:r>
      <w:r w:rsidRPr="008E5431">
        <w:t>rates are increasing</w:t>
      </w:r>
      <w:r w:rsidR="00753EE1">
        <w:t>.</w:t>
      </w:r>
      <w:r w:rsidRPr="008E5431">
        <w:t xml:space="preserve"> </w:t>
      </w:r>
      <w:r w:rsidR="00753EE1">
        <w:t>T</w:t>
      </w:r>
      <w:r w:rsidRPr="008E5431">
        <w:t xml:space="preserve">he fastest rate of increase </w:t>
      </w:r>
      <w:r w:rsidR="00753EE1">
        <w:t xml:space="preserve">is </w:t>
      </w:r>
      <w:r w:rsidRPr="008E5431">
        <w:t>among Māori males (</w:t>
      </w:r>
      <w:r w:rsidRPr="001617FD">
        <w:t>National Bowel Cancer</w:t>
      </w:r>
      <w:r>
        <w:t xml:space="preserve"> Tumour Standards Working Group</w:t>
      </w:r>
      <w:r w:rsidRPr="001617FD">
        <w:t xml:space="preserve"> 2013</w:t>
      </w:r>
      <w:r w:rsidRPr="008E5431">
        <w:t>).</w:t>
      </w:r>
    </w:p>
    <w:p w:rsidR="00D31409" w:rsidRPr="007F5994" w:rsidRDefault="00D31409" w:rsidP="00D31409">
      <w:pPr>
        <w:pStyle w:val="Heading3"/>
      </w:pPr>
      <w:r w:rsidRPr="007F5994">
        <w:t xml:space="preserve">Estimates of the cost of bowel cancer </w:t>
      </w:r>
    </w:p>
    <w:p w:rsidR="007F5994" w:rsidRDefault="007F5994" w:rsidP="007F5994">
      <w:r>
        <w:t xml:space="preserve">On the basis of analysis completed by the </w:t>
      </w:r>
      <w:r w:rsidRPr="00C87FBA">
        <w:t>Ministry of Health (2011c)</w:t>
      </w:r>
      <w:r>
        <w:t xml:space="preserve"> (using 2008 incidence data and 2008/09 national prices), the annual public price of registered cancer in 2008 was estimated at $511 million.  Cancers of the colo-rectum and anus made up some 14% of this total, at an estimated annual public price to New Zealand of $70 million, second only to female breast cancer at 15%. The full cost of treating cancer is likely to be higher than estimated by the Ministry of Health, with an analysis from the </w:t>
      </w:r>
      <w:r w:rsidR="008112F1">
        <w:t>D</w:t>
      </w:r>
      <w:r w:rsidR="008112F1" w:rsidRPr="00844D4B">
        <w:t xml:space="preserve">epartment </w:t>
      </w:r>
      <w:r w:rsidRPr="00844D4B">
        <w:t>of Public Health</w:t>
      </w:r>
      <w:r>
        <w:t xml:space="preserve">,  University of Otago Wellington of $130 million </w:t>
      </w:r>
      <w:r w:rsidR="00160648">
        <w:t>annually</w:t>
      </w:r>
      <w:r>
        <w:t xml:space="preserve">. (Blakely et al 2015, using 2010-2011 incidence and 2011 prices).  This is double the estimate from the Ministry of Health. </w:t>
      </w:r>
    </w:p>
    <w:p w:rsidR="007F5994" w:rsidRPr="001B4AA9" w:rsidRDefault="007F5994" w:rsidP="007F5994">
      <w:r w:rsidRPr="001B4AA9">
        <w:t>Further, population growth and structural ageing are dominant forces driving change in cancer registration counts, sometimes overwhelming the effect of changes in cancer risk</w:t>
      </w:r>
      <w:r>
        <w:t xml:space="preserve"> (</w:t>
      </w:r>
      <w:r w:rsidRPr="001B4AA9">
        <w:t>Ministry of Health 2002</w:t>
      </w:r>
      <w:r>
        <w:t xml:space="preserve">).  </w:t>
      </w:r>
      <w:r w:rsidRPr="001B4AA9">
        <w:t>The Ministry of Health analysis</w:t>
      </w:r>
      <w:r>
        <w:t xml:space="preserve"> (2011</w:t>
      </w:r>
      <w:r w:rsidR="00D262B7">
        <w:t>c</w:t>
      </w:r>
      <w:r>
        <w:t>)</w:t>
      </w:r>
      <w:r w:rsidRPr="001B4AA9">
        <w:t xml:space="preserve"> incorporated incidence projections from 2011 to 2021, leading to an estimated 23% increase in the total price of c</w:t>
      </w:r>
      <w:r>
        <w:t xml:space="preserve">ancer to $627 million by 2021.  </w:t>
      </w:r>
      <w:r w:rsidRPr="001B4AA9">
        <w:t>This increase incorporated a significant growth in price relating to colorectal cancer at $13</w:t>
      </w:r>
      <w:r>
        <w:t xml:space="preserve"> </w:t>
      </w:r>
      <w:r w:rsidRPr="001B4AA9">
        <w:t xml:space="preserve">million. </w:t>
      </w:r>
      <w:r w:rsidR="0086229B">
        <w:t xml:space="preserve"> </w:t>
      </w:r>
      <w:r w:rsidR="0086229B" w:rsidRPr="00535D44">
        <w:t xml:space="preserve">This projection assumes </w:t>
      </w:r>
      <w:r w:rsidR="00160648">
        <w:t xml:space="preserve">the </w:t>
      </w:r>
      <w:r w:rsidR="0086229B" w:rsidRPr="00535D44">
        <w:t>price of cancer per person remains the same; the price will be even higher if newer and more expensive therapies are funded.</w:t>
      </w:r>
    </w:p>
    <w:p w:rsidR="00D31409" w:rsidRDefault="00D31409" w:rsidP="00D31409">
      <w:pPr>
        <w:pStyle w:val="Heading3"/>
      </w:pPr>
      <w:r>
        <w:t xml:space="preserve">The BSP </w:t>
      </w:r>
    </w:p>
    <w:p w:rsidR="00E01A7E" w:rsidRPr="00C95C03" w:rsidRDefault="00E01A7E" w:rsidP="00E01A7E">
      <w:pPr>
        <w:rPr>
          <w:lang w:eastAsia="en-NZ"/>
        </w:rPr>
      </w:pPr>
      <w:r w:rsidRPr="00C95C03">
        <w:t xml:space="preserve">The Ministry of Health funded </w:t>
      </w:r>
      <w:r w:rsidR="00EC06B8" w:rsidRPr="00744428">
        <w:rPr>
          <w:rFonts w:cs="Arial"/>
        </w:rPr>
        <w:t>Waitemat</w:t>
      </w:r>
      <w:r w:rsidR="00206E72">
        <w:rPr>
          <w:rFonts w:cs="Arial"/>
        </w:rPr>
        <w:t>ā</w:t>
      </w:r>
      <w:r w:rsidR="00EC06B8" w:rsidRPr="00744428">
        <w:rPr>
          <w:rFonts w:cs="Arial"/>
        </w:rPr>
        <w:t xml:space="preserve"> D</w:t>
      </w:r>
      <w:r w:rsidR="00EC06B8">
        <w:rPr>
          <w:rFonts w:cs="Arial"/>
        </w:rPr>
        <w:t xml:space="preserve">istrict </w:t>
      </w:r>
      <w:r w:rsidR="00EC06B8" w:rsidRPr="00744428">
        <w:rPr>
          <w:rFonts w:cs="Arial"/>
        </w:rPr>
        <w:t>H</w:t>
      </w:r>
      <w:r w:rsidR="00EC06B8">
        <w:rPr>
          <w:rFonts w:cs="Arial"/>
        </w:rPr>
        <w:t xml:space="preserve">ealth </w:t>
      </w:r>
      <w:r w:rsidR="00EC06B8" w:rsidRPr="00744428">
        <w:rPr>
          <w:rFonts w:cs="Arial"/>
        </w:rPr>
        <w:t>B</w:t>
      </w:r>
      <w:r w:rsidR="00EC06B8">
        <w:rPr>
          <w:rFonts w:cs="Arial"/>
        </w:rPr>
        <w:t>oard (WDHB)</w:t>
      </w:r>
      <w:r w:rsidRPr="00C95C03">
        <w:t xml:space="preserve"> to run a </w:t>
      </w:r>
      <w:r w:rsidR="00EC06B8">
        <w:t>Bowel Screening Pilot programme (</w:t>
      </w:r>
      <w:r w:rsidRPr="00C95C03">
        <w:rPr>
          <w:lang w:eastAsia="en-NZ"/>
        </w:rPr>
        <w:t>BSP</w:t>
      </w:r>
      <w:r w:rsidR="00EC06B8">
        <w:rPr>
          <w:lang w:eastAsia="en-NZ"/>
        </w:rPr>
        <w:t>)</w:t>
      </w:r>
      <w:r w:rsidRPr="00C95C03">
        <w:rPr>
          <w:lang w:eastAsia="en-NZ"/>
        </w:rPr>
        <w:t xml:space="preserve"> over four years from 2012</w:t>
      </w:r>
      <w:r w:rsidR="00160648">
        <w:rPr>
          <w:lang w:eastAsia="en-NZ"/>
        </w:rPr>
        <w:t xml:space="preserve"> to 20</w:t>
      </w:r>
      <w:r w:rsidRPr="00C95C03">
        <w:rPr>
          <w:lang w:eastAsia="en-NZ"/>
        </w:rPr>
        <w:t>1</w:t>
      </w:r>
      <w:r>
        <w:rPr>
          <w:lang w:eastAsia="en-NZ"/>
        </w:rPr>
        <w:t>5</w:t>
      </w:r>
      <w:r w:rsidRPr="00C95C03">
        <w:rPr>
          <w:lang w:eastAsia="en-NZ"/>
        </w:rPr>
        <w:t>. The BSP began with a ‘soft launch’ in late 2011, with full operation of the pilot starting in January 2012.</w:t>
      </w:r>
      <w:r>
        <w:rPr>
          <w:lang w:eastAsia="en-NZ"/>
        </w:rPr>
        <w:t xml:space="preserve"> </w:t>
      </w:r>
      <w:r w:rsidRPr="00C95C03">
        <w:rPr>
          <w:lang w:eastAsia="en-NZ"/>
        </w:rPr>
        <w:t xml:space="preserve"> Litmus</w:t>
      </w:r>
      <w:r>
        <w:rPr>
          <w:lang w:eastAsia="en-NZ"/>
        </w:rPr>
        <w:t xml:space="preserve"> Limited, </w:t>
      </w:r>
      <w:r>
        <w:t>the Centre for Public Health Research Massey University</w:t>
      </w:r>
      <w:r w:rsidRPr="00C95C03">
        <w:rPr>
          <w:lang w:eastAsia="en-NZ"/>
        </w:rPr>
        <w:t xml:space="preserve"> and Sapere Research Group have been funded by the </w:t>
      </w:r>
      <w:r>
        <w:rPr>
          <w:lang w:eastAsia="en-NZ"/>
        </w:rPr>
        <w:t xml:space="preserve">Ministry of Health </w:t>
      </w:r>
      <w:r w:rsidRPr="00C95C03">
        <w:rPr>
          <w:lang w:eastAsia="en-NZ"/>
        </w:rPr>
        <w:t xml:space="preserve">to undertake an evaluation of the BSP, including a cost-effectiveness analysis. </w:t>
      </w:r>
      <w:r>
        <w:rPr>
          <w:lang w:eastAsia="en-NZ"/>
        </w:rPr>
        <w:t xml:space="preserve"> </w:t>
      </w:r>
      <w:r w:rsidRPr="00C95C03">
        <w:rPr>
          <w:lang w:eastAsia="en-NZ"/>
        </w:rPr>
        <w:t>The evaluation will contribute to a decision on whether or not to roll out a national bowel screening programme.</w:t>
      </w:r>
    </w:p>
    <w:p w:rsidR="00D31409" w:rsidRPr="00C95C03" w:rsidRDefault="00D31409" w:rsidP="00D31409">
      <w:r w:rsidRPr="00C95C03">
        <w:t xml:space="preserve">The overall goal and underlying objectives of the BSP and its evaluation are the same and have been defined by the </w:t>
      </w:r>
      <w:r>
        <w:rPr>
          <w:lang w:eastAsia="en-NZ"/>
        </w:rPr>
        <w:t>Ministry of Health</w:t>
      </w:r>
      <w:r w:rsidRPr="00C95C03">
        <w:t xml:space="preserve">. The </w:t>
      </w:r>
      <w:r w:rsidRPr="00C95C03">
        <w:rPr>
          <w:bCs/>
        </w:rPr>
        <w:t>overall</w:t>
      </w:r>
      <w:r w:rsidRPr="00C95C03">
        <w:t xml:space="preserve"> </w:t>
      </w:r>
      <w:r w:rsidRPr="00C95C03">
        <w:rPr>
          <w:bCs/>
        </w:rPr>
        <w:t>goal</w:t>
      </w:r>
      <w:r w:rsidRPr="00C95C03">
        <w:rPr>
          <w:b/>
          <w:bCs/>
        </w:rPr>
        <w:t xml:space="preserve"> </w:t>
      </w:r>
      <w:r w:rsidRPr="00C95C03">
        <w:t xml:space="preserve">of both is to determine: </w:t>
      </w:r>
    </w:p>
    <w:p w:rsidR="00D31409" w:rsidRPr="00C95C03" w:rsidRDefault="00D31409" w:rsidP="00D31409">
      <w:pPr>
        <w:spacing w:before="120"/>
        <w:ind w:left="1134"/>
        <w:rPr>
          <w:b/>
          <w:bCs/>
          <w:i/>
          <w:iCs/>
        </w:rPr>
      </w:pPr>
      <w:r w:rsidRPr="00C95C03">
        <w:rPr>
          <w:i/>
          <w:iCs/>
        </w:rPr>
        <w:t>Whether organised bowel screening could be introduced in New Zealand in a way that is effective, safe and acceptable for participants; equitable and economically efficient.</w:t>
      </w:r>
    </w:p>
    <w:p w:rsidR="00D31409" w:rsidRPr="00C95C03" w:rsidRDefault="00D31409" w:rsidP="00D31409">
      <w:pPr>
        <w:spacing w:before="120"/>
      </w:pPr>
      <w:r w:rsidRPr="00C95C03">
        <w:t xml:space="preserve">The goal comprises </w:t>
      </w:r>
      <w:r w:rsidRPr="00C95C03">
        <w:rPr>
          <w:bCs/>
        </w:rPr>
        <w:t>four key aims</w:t>
      </w:r>
      <w:r w:rsidRPr="00C95C03">
        <w:t>.</w:t>
      </w:r>
    </w:p>
    <w:p w:rsidR="00D31409" w:rsidRPr="00C95C03" w:rsidRDefault="00D31409" w:rsidP="006179C7">
      <w:pPr>
        <w:numPr>
          <w:ilvl w:val="0"/>
          <w:numId w:val="8"/>
        </w:numPr>
        <w:tabs>
          <w:tab w:val="clear" w:pos="927"/>
          <w:tab w:val="num" w:pos="1134"/>
        </w:tabs>
        <w:spacing w:before="120"/>
        <w:ind w:left="1134" w:hanging="420"/>
      </w:pPr>
      <w:r w:rsidRPr="00037FE3">
        <w:rPr>
          <w:i/>
        </w:rPr>
        <w:t>Effectiveness:</w:t>
      </w:r>
      <w:r w:rsidRPr="00C95C03">
        <w:t xml:space="preserve"> Is a national bowel screening programme likely to achieve the mortality reduction from bowel cancer for all population groups seen in international randomised controlled trials? </w:t>
      </w:r>
    </w:p>
    <w:p w:rsidR="00D31409" w:rsidRPr="00C95C03" w:rsidRDefault="00D31409" w:rsidP="006179C7">
      <w:pPr>
        <w:numPr>
          <w:ilvl w:val="0"/>
          <w:numId w:val="8"/>
        </w:numPr>
        <w:tabs>
          <w:tab w:val="clear" w:pos="927"/>
          <w:tab w:val="num" w:pos="1134"/>
        </w:tabs>
        <w:spacing w:before="120"/>
        <w:ind w:left="1134" w:hanging="420"/>
      </w:pPr>
      <w:r w:rsidRPr="00037FE3">
        <w:rPr>
          <w:i/>
        </w:rPr>
        <w:t>Safety and acceptability</w:t>
      </w:r>
      <w:r w:rsidRPr="00C95C03">
        <w:t>: Can a national bowel screening programme be delivered in a manner that is safe and acceptable?</w:t>
      </w:r>
    </w:p>
    <w:p w:rsidR="00D31409" w:rsidRPr="00C95C03" w:rsidRDefault="00D31409" w:rsidP="006179C7">
      <w:pPr>
        <w:numPr>
          <w:ilvl w:val="0"/>
          <w:numId w:val="8"/>
        </w:numPr>
        <w:tabs>
          <w:tab w:val="clear" w:pos="927"/>
          <w:tab w:val="num" w:pos="1134"/>
        </w:tabs>
        <w:spacing w:before="120"/>
        <w:ind w:left="1134" w:hanging="420"/>
      </w:pPr>
      <w:r w:rsidRPr="00037FE3">
        <w:rPr>
          <w:i/>
        </w:rPr>
        <w:t>Equity</w:t>
      </w:r>
      <w:r w:rsidRPr="00C95C03">
        <w:t>: Can a national bowel screening programme be delivered in a manner that eliminates (or does not increase) current inequalities between population groups?</w:t>
      </w:r>
    </w:p>
    <w:p w:rsidR="00D31409" w:rsidRPr="00C95C03" w:rsidRDefault="00D31409" w:rsidP="006179C7">
      <w:pPr>
        <w:numPr>
          <w:ilvl w:val="0"/>
          <w:numId w:val="8"/>
        </w:numPr>
        <w:tabs>
          <w:tab w:val="clear" w:pos="927"/>
          <w:tab w:val="num" w:pos="1134"/>
        </w:tabs>
        <w:spacing w:before="120"/>
        <w:ind w:left="1134" w:hanging="420"/>
      </w:pPr>
      <w:r w:rsidRPr="00037FE3">
        <w:rPr>
          <w:i/>
        </w:rPr>
        <w:t>Economic efficiency</w:t>
      </w:r>
      <w:r w:rsidRPr="00C95C03">
        <w:t>: Can a national bowel screening programme be delivered in an economically efficient manner?</w:t>
      </w:r>
    </w:p>
    <w:p w:rsidR="00D31409" w:rsidRDefault="00D31409" w:rsidP="00D31409">
      <w:pPr>
        <w:rPr>
          <w:rFonts w:cs="Arial"/>
        </w:rPr>
      </w:pPr>
      <w:r>
        <w:rPr>
          <w:rFonts w:cs="Arial"/>
        </w:rPr>
        <w:t xml:space="preserve">Ministry of Health </w:t>
      </w:r>
      <w:r w:rsidRPr="00672EE3">
        <w:rPr>
          <w:rFonts w:cs="Arial"/>
        </w:rPr>
        <w:t xml:space="preserve">specified </w:t>
      </w:r>
      <w:r w:rsidRPr="00672EE3">
        <w:rPr>
          <w:rFonts w:cs="Arial"/>
          <w:bCs/>
        </w:rPr>
        <w:t>ten key objectives</w:t>
      </w:r>
      <w:r>
        <w:rPr>
          <w:rFonts w:cs="Arial"/>
        </w:rPr>
        <w:t xml:space="preserve"> of the BSP and its evaluation: </w:t>
      </w:r>
    </w:p>
    <w:p w:rsidR="00D31409" w:rsidRDefault="00D31409" w:rsidP="00160648">
      <w:pPr>
        <w:numPr>
          <w:ilvl w:val="0"/>
          <w:numId w:val="9"/>
        </w:numPr>
        <w:tabs>
          <w:tab w:val="num" w:pos="1134"/>
        </w:tabs>
        <w:spacing w:before="120" w:after="60"/>
        <w:ind w:left="1134" w:hanging="414"/>
        <w:rPr>
          <w:rFonts w:cs="Arial"/>
        </w:rPr>
      </w:pPr>
      <w:r>
        <w:rPr>
          <w:rFonts w:cs="Arial"/>
          <w:i/>
        </w:rPr>
        <w:t xml:space="preserve">Programme design </w:t>
      </w:r>
      <w:r w:rsidR="00160648">
        <w:rPr>
          <w:rFonts w:cs="Arial"/>
          <w:i/>
        </w:rPr>
        <w:t>–</w:t>
      </w:r>
      <w:r>
        <w:rPr>
          <w:rFonts w:cs="Arial"/>
          <w:i/>
        </w:rPr>
        <w:t xml:space="preserve"> </w:t>
      </w:r>
      <w:r w:rsidR="00D44EF7">
        <w:rPr>
          <w:rFonts w:cs="Arial"/>
        </w:rPr>
        <w:t>To pilot the use of a p</w:t>
      </w:r>
      <w:r>
        <w:rPr>
          <w:rFonts w:cs="Arial"/>
        </w:rPr>
        <w:t>opulation Register closely linked with primary health care services to invite the target population, along with a Coordination Centre and associated in</w:t>
      </w:r>
      <w:r w:rsidR="00D44EF7">
        <w:rPr>
          <w:rFonts w:cs="Arial"/>
        </w:rPr>
        <w:t>formation system to manage the screening p</w:t>
      </w:r>
      <w:r>
        <w:rPr>
          <w:rFonts w:cs="Arial"/>
        </w:rPr>
        <w:t>athway.</w:t>
      </w:r>
    </w:p>
    <w:p w:rsidR="00D31409" w:rsidRDefault="00D31409" w:rsidP="00160648">
      <w:pPr>
        <w:numPr>
          <w:ilvl w:val="0"/>
          <w:numId w:val="9"/>
        </w:numPr>
        <w:tabs>
          <w:tab w:val="num" w:pos="1134"/>
        </w:tabs>
        <w:spacing w:before="120" w:after="60"/>
        <w:ind w:left="1134" w:hanging="414"/>
        <w:rPr>
          <w:rFonts w:cs="Arial"/>
        </w:rPr>
      </w:pPr>
      <w:r>
        <w:rPr>
          <w:rFonts w:cs="Arial"/>
          <w:i/>
        </w:rPr>
        <w:t xml:space="preserve">Screening effectiveness </w:t>
      </w:r>
      <w:r w:rsidR="00160648">
        <w:rPr>
          <w:rFonts w:cs="Arial"/>
          <w:i/>
        </w:rPr>
        <w:t>–</w:t>
      </w:r>
      <w:r>
        <w:rPr>
          <w:rFonts w:cs="Arial"/>
          <w:i/>
        </w:rPr>
        <w:t xml:space="preserve"> </w:t>
      </w:r>
      <w:r>
        <w:rPr>
          <w:rFonts w:cs="Arial"/>
        </w:rPr>
        <w:t>To assess the early indicators of the effectiveness of bowel screening, including the number and stage of cancers detected, the number and size of adenomas detected, and colonoscopy completion rates.</w:t>
      </w:r>
    </w:p>
    <w:p w:rsidR="00D31409" w:rsidRDefault="00D31409" w:rsidP="00160648">
      <w:pPr>
        <w:numPr>
          <w:ilvl w:val="0"/>
          <w:numId w:val="9"/>
        </w:numPr>
        <w:tabs>
          <w:tab w:val="num" w:pos="1134"/>
        </w:tabs>
        <w:spacing w:before="120" w:after="60"/>
        <w:ind w:left="1134" w:hanging="414"/>
        <w:rPr>
          <w:rFonts w:cs="Arial"/>
        </w:rPr>
      </w:pPr>
      <w:r>
        <w:rPr>
          <w:rFonts w:cs="Arial"/>
          <w:i/>
        </w:rPr>
        <w:t xml:space="preserve">iFOBT experience </w:t>
      </w:r>
      <w:r w:rsidR="00160648">
        <w:rPr>
          <w:rFonts w:cs="Arial"/>
          <w:i/>
        </w:rPr>
        <w:t>–</w:t>
      </w:r>
      <w:r>
        <w:rPr>
          <w:rFonts w:cs="Arial"/>
          <w:i/>
        </w:rPr>
        <w:t xml:space="preserve"> </w:t>
      </w:r>
      <w:r>
        <w:rPr>
          <w:rFonts w:cs="Arial"/>
        </w:rPr>
        <w:t xml:space="preserve">To assess the performance and acceptability of the chosen iFOBT in the New Zealand context including the positivity rates in New Zealand, positive predictive values for adenomas and cancers, technical repeat rates and false positive rates. </w:t>
      </w:r>
    </w:p>
    <w:p w:rsidR="00D31409" w:rsidRDefault="00D31409" w:rsidP="00160648">
      <w:pPr>
        <w:numPr>
          <w:ilvl w:val="0"/>
          <w:numId w:val="9"/>
        </w:numPr>
        <w:tabs>
          <w:tab w:val="num" w:pos="1134"/>
        </w:tabs>
        <w:spacing w:before="120" w:after="60"/>
        <w:ind w:left="1134" w:hanging="414"/>
        <w:rPr>
          <w:rFonts w:cs="Arial"/>
        </w:rPr>
      </w:pPr>
      <w:r>
        <w:rPr>
          <w:rFonts w:cs="Arial"/>
          <w:i/>
        </w:rPr>
        <w:t xml:space="preserve">Participation and coverage </w:t>
      </w:r>
      <w:r w:rsidR="00160648">
        <w:rPr>
          <w:rFonts w:cs="Arial"/>
          <w:i/>
        </w:rPr>
        <w:t>–</w:t>
      </w:r>
      <w:r>
        <w:rPr>
          <w:rFonts w:cs="Arial"/>
          <w:i/>
        </w:rPr>
        <w:t xml:space="preserve"> </w:t>
      </w:r>
      <w:r>
        <w:rPr>
          <w:rFonts w:cs="Arial"/>
        </w:rPr>
        <w:t>To determine the level of participation and coverage for the eligible and invited populations, including sub-populations (defined by sex, age, ethnicity, socio</w:t>
      </w:r>
      <w:r w:rsidR="00160648">
        <w:rPr>
          <w:rFonts w:cs="Arial"/>
        </w:rPr>
        <w:t>-</w:t>
      </w:r>
      <w:r>
        <w:rPr>
          <w:rFonts w:cs="Arial"/>
        </w:rPr>
        <w:t>economic status and rural representation).</w:t>
      </w:r>
    </w:p>
    <w:p w:rsidR="00D31409" w:rsidRDefault="00D31409" w:rsidP="00160648">
      <w:pPr>
        <w:numPr>
          <w:ilvl w:val="0"/>
          <w:numId w:val="9"/>
        </w:numPr>
        <w:tabs>
          <w:tab w:val="num" w:pos="1134"/>
        </w:tabs>
        <w:spacing w:before="120" w:after="60"/>
        <w:ind w:left="1134" w:hanging="414"/>
        <w:rPr>
          <w:rFonts w:cs="Arial"/>
        </w:rPr>
      </w:pPr>
      <w:r>
        <w:rPr>
          <w:rFonts w:cs="Arial"/>
          <w:i/>
        </w:rPr>
        <w:t xml:space="preserve">Quality </w:t>
      </w:r>
      <w:r w:rsidR="00160648">
        <w:rPr>
          <w:rFonts w:cs="Arial"/>
          <w:i/>
        </w:rPr>
        <w:t>–</w:t>
      </w:r>
      <w:r>
        <w:rPr>
          <w:rFonts w:cs="Arial"/>
          <w:i/>
        </w:rPr>
        <w:t xml:space="preserve"> </w:t>
      </w:r>
      <w:r>
        <w:rPr>
          <w:rFonts w:cs="Arial"/>
        </w:rPr>
        <w:t xml:space="preserve">To pilot the agreed quality standards and monitoring requirements along the </w:t>
      </w:r>
      <w:r w:rsidR="00D44EF7">
        <w:rPr>
          <w:rFonts w:cs="Arial"/>
        </w:rPr>
        <w:t>s</w:t>
      </w:r>
      <w:r>
        <w:rPr>
          <w:rFonts w:cs="Arial"/>
        </w:rPr>
        <w:t xml:space="preserve">creening </w:t>
      </w:r>
      <w:r w:rsidR="00D44EF7">
        <w:rPr>
          <w:rFonts w:cs="Arial"/>
        </w:rPr>
        <w:t>p</w:t>
      </w:r>
      <w:r>
        <w:rPr>
          <w:rFonts w:cs="Arial"/>
        </w:rPr>
        <w:t>athway and assess the implications for a national programme; in particular to pilot the acceptability and safety of the standards and screening to providers and for different population groups.</w:t>
      </w:r>
    </w:p>
    <w:p w:rsidR="00D31409" w:rsidRDefault="00D31409" w:rsidP="00160648">
      <w:pPr>
        <w:numPr>
          <w:ilvl w:val="0"/>
          <w:numId w:val="9"/>
        </w:numPr>
        <w:tabs>
          <w:tab w:val="num" w:pos="1134"/>
        </w:tabs>
        <w:spacing w:before="60" w:after="120"/>
        <w:ind w:left="1134" w:hanging="414"/>
        <w:rPr>
          <w:rFonts w:cs="Arial"/>
        </w:rPr>
      </w:pPr>
      <w:r>
        <w:rPr>
          <w:rFonts w:cs="Arial"/>
          <w:i/>
        </w:rPr>
        <w:t xml:space="preserve">Service delivery and workforce capacity </w:t>
      </w:r>
      <w:r w:rsidR="00160648">
        <w:rPr>
          <w:rFonts w:cs="Arial"/>
          <w:i/>
        </w:rPr>
        <w:t>–</w:t>
      </w:r>
      <w:r>
        <w:rPr>
          <w:rFonts w:cs="Arial"/>
          <w:i/>
        </w:rPr>
        <w:t xml:space="preserve"> </w:t>
      </w:r>
      <w:r>
        <w:rPr>
          <w:rFonts w:cs="Arial"/>
        </w:rPr>
        <w:t>To monitor the effect, including resource implications of screening activities, on primary care, community health services, laboratory, and secondary and tertiary services and the implications of this for a national programme.</w:t>
      </w:r>
    </w:p>
    <w:p w:rsidR="00D31409" w:rsidRDefault="00D31409" w:rsidP="00160648">
      <w:pPr>
        <w:numPr>
          <w:ilvl w:val="0"/>
          <w:numId w:val="9"/>
        </w:numPr>
        <w:tabs>
          <w:tab w:val="num" w:pos="1134"/>
          <w:tab w:val="left" w:pos="4140"/>
        </w:tabs>
        <w:spacing w:before="60" w:after="120"/>
        <w:ind w:left="1134" w:hanging="425"/>
        <w:rPr>
          <w:rFonts w:cs="Arial"/>
        </w:rPr>
      </w:pPr>
      <w:r>
        <w:rPr>
          <w:rFonts w:cs="Arial"/>
          <w:i/>
        </w:rPr>
        <w:t xml:space="preserve">Fair access for all New Zealanders </w:t>
      </w:r>
      <w:r w:rsidR="00160648">
        <w:rPr>
          <w:rFonts w:cs="Arial"/>
          <w:i/>
        </w:rPr>
        <w:t>–</w:t>
      </w:r>
      <w:r>
        <w:rPr>
          <w:rFonts w:cs="Arial"/>
          <w:i/>
        </w:rPr>
        <w:t xml:space="preserve"> </w:t>
      </w:r>
      <w:r>
        <w:rPr>
          <w:rFonts w:cs="Arial"/>
        </w:rPr>
        <w:t xml:space="preserve">To determine whether a bowel screening programme can be delivered in a way that provides fair access for all New Zealanders. In particular, to evaluate the process of adopting </w:t>
      </w:r>
      <w:r w:rsidR="00160648">
        <w:rPr>
          <w:rFonts w:cs="Arial"/>
        </w:rPr>
        <w:t>a focus in leadership, decision-</w:t>
      </w:r>
      <w:r>
        <w:rPr>
          <w:rFonts w:cs="Arial"/>
        </w:rPr>
        <w:t>making processes and implementation of the pilot to provide fair access to all eligible people.</w:t>
      </w:r>
    </w:p>
    <w:p w:rsidR="00D31409" w:rsidRDefault="00D31409" w:rsidP="00160648">
      <w:pPr>
        <w:numPr>
          <w:ilvl w:val="0"/>
          <w:numId w:val="9"/>
        </w:numPr>
        <w:tabs>
          <w:tab w:val="num" w:pos="1134"/>
        </w:tabs>
        <w:spacing w:before="60" w:after="120"/>
        <w:ind w:left="1134" w:hanging="425"/>
        <w:rPr>
          <w:rFonts w:cs="Arial"/>
        </w:rPr>
      </w:pPr>
      <w:r>
        <w:rPr>
          <w:rFonts w:cs="Arial"/>
          <w:i/>
        </w:rPr>
        <w:t xml:space="preserve">Cost effectiveness </w:t>
      </w:r>
      <w:r w:rsidR="00160648">
        <w:rPr>
          <w:rFonts w:cs="Arial"/>
          <w:i/>
        </w:rPr>
        <w:t>–</w:t>
      </w:r>
      <w:r>
        <w:rPr>
          <w:rFonts w:cs="Arial"/>
          <w:i/>
        </w:rPr>
        <w:t xml:space="preserve"> </w:t>
      </w:r>
      <w:r>
        <w:rPr>
          <w:rFonts w:cs="Arial"/>
        </w:rPr>
        <w:t xml:space="preserve">To determine the costs of all services along the </w:t>
      </w:r>
      <w:r w:rsidR="00D44EF7">
        <w:rPr>
          <w:rFonts w:cs="Arial"/>
        </w:rPr>
        <w:t>s</w:t>
      </w:r>
      <w:r>
        <w:rPr>
          <w:rFonts w:cs="Arial"/>
        </w:rPr>
        <w:t xml:space="preserve">creening </w:t>
      </w:r>
      <w:r w:rsidR="00D44EF7">
        <w:rPr>
          <w:rFonts w:cs="Arial"/>
        </w:rPr>
        <w:t>p</w:t>
      </w:r>
      <w:r>
        <w:rPr>
          <w:rFonts w:cs="Arial"/>
        </w:rPr>
        <w:t xml:space="preserve">athway </w:t>
      </w:r>
      <w:r w:rsidR="00E25EE6">
        <w:rPr>
          <w:rFonts w:cs="Arial"/>
        </w:rPr>
        <w:t>to determine</w:t>
      </w:r>
      <w:r>
        <w:rPr>
          <w:rFonts w:cs="Arial"/>
        </w:rPr>
        <w:t xml:space="preserve"> the cost effectiveness of a bowel screening programme. To compare this, where possible, with other preventative programmes in New Zealand and bowel screening trials internationally.</w:t>
      </w:r>
    </w:p>
    <w:p w:rsidR="00D31409" w:rsidRDefault="00D31409" w:rsidP="00160648">
      <w:pPr>
        <w:numPr>
          <w:ilvl w:val="0"/>
          <w:numId w:val="9"/>
        </w:numPr>
        <w:tabs>
          <w:tab w:val="num" w:pos="1134"/>
        </w:tabs>
        <w:spacing w:before="60" w:after="120"/>
        <w:ind w:left="1134" w:hanging="425"/>
        <w:rPr>
          <w:rFonts w:cs="Arial"/>
        </w:rPr>
      </w:pPr>
      <w:r>
        <w:rPr>
          <w:rFonts w:cs="Arial"/>
          <w:i/>
        </w:rPr>
        <w:t xml:space="preserve">Acceptability to the target population </w:t>
      </w:r>
      <w:r w:rsidR="00160648">
        <w:rPr>
          <w:rFonts w:cs="Arial"/>
          <w:i/>
        </w:rPr>
        <w:t>–</w:t>
      </w:r>
      <w:r>
        <w:rPr>
          <w:rFonts w:cs="Arial"/>
          <w:i/>
        </w:rPr>
        <w:t xml:space="preserve"> </w:t>
      </w:r>
      <w:r>
        <w:rPr>
          <w:rFonts w:cs="Arial"/>
        </w:rPr>
        <w:t>To pilot provision of information and support to the target population to facilitate informed participation and evaluate the knowledge, attitudes and satisfaction of groups of participants (defined by sex, age, ethnicity, socio</w:t>
      </w:r>
      <w:r w:rsidR="0076344F">
        <w:rPr>
          <w:rFonts w:cs="Arial"/>
        </w:rPr>
        <w:t>-</w:t>
      </w:r>
      <w:r>
        <w:rPr>
          <w:rFonts w:cs="Arial"/>
        </w:rPr>
        <w:t>economic status and geographical residence) in the screening pilot, including identifying factors associated with non-participation.</w:t>
      </w:r>
    </w:p>
    <w:p w:rsidR="00D31409" w:rsidRDefault="0076344F" w:rsidP="0076344F">
      <w:pPr>
        <w:numPr>
          <w:ilvl w:val="0"/>
          <w:numId w:val="9"/>
        </w:numPr>
        <w:tabs>
          <w:tab w:val="num" w:pos="1134"/>
        </w:tabs>
        <w:spacing w:before="60" w:after="120"/>
        <w:ind w:left="1134" w:hanging="414"/>
        <w:rPr>
          <w:rFonts w:cs="Arial"/>
        </w:rPr>
      </w:pPr>
      <w:r>
        <w:rPr>
          <w:rFonts w:cs="Arial"/>
          <w:i/>
        </w:rPr>
        <w:t>Acceptability to providers –</w:t>
      </w:r>
      <w:r w:rsidR="00D31409">
        <w:rPr>
          <w:rFonts w:cs="Arial"/>
          <w:i/>
        </w:rPr>
        <w:t xml:space="preserve"> </w:t>
      </w:r>
      <w:r w:rsidR="00D31409">
        <w:rPr>
          <w:rFonts w:cs="Arial"/>
        </w:rPr>
        <w:t>To evaluate the knowledge</w:t>
      </w:r>
      <w:r>
        <w:rPr>
          <w:rFonts w:cs="Arial"/>
        </w:rPr>
        <w:t>,</w:t>
      </w:r>
      <w:r w:rsidR="00D31409">
        <w:rPr>
          <w:rFonts w:cs="Arial"/>
        </w:rPr>
        <w:t xml:space="preserve"> attitudes and acceptability to health professionals and health care providers based in community, primary care and hospital settings.</w:t>
      </w:r>
    </w:p>
    <w:p w:rsidR="00E01A7E" w:rsidRDefault="00E01A7E" w:rsidP="00E01A7E">
      <w:bookmarkStart w:id="34" w:name="_Toc412540020"/>
      <w:r w:rsidRPr="001F56FC">
        <w:t xml:space="preserve">The interim report (Litmus et al 2015) was structured to address each of these objectives as relevant at the completion of distribution </w:t>
      </w:r>
      <w:r w:rsidR="00530A62">
        <w:t xml:space="preserve">of invitations </w:t>
      </w:r>
      <w:r w:rsidRPr="001F56FC">
        <w:t xml:space="preserve">for screening </w:t>
      </w:r>
      <w:r w:rsidR="00F72955">
        <w:t>Round 1</w:t>
      </w:r>
      <w:r w:rsidRPr="001F56FC">
        <w:t xml:space="preserve"> (1 January 2012 – 31 December 2013).</w:t>
      </w:r>
      <w:r>
        <w:t xml:space="preserve">  </w:t>
      </w:r>
      <w:r w:rsidR="00206E72">
        <w:t>Appendix one contains the updated evaluation judgements agai</w:t>
      </w:r>
      <w:r w:rsidR="006A7C49">
        <w:t xml:space="preserve">nst six of the evaluation </w:t>
      </w:r>
      <w:r w:rsidR="00206E72">
        <w:t xml:space="preserve">objectives at the end of </w:t>
      </w:r>
      <w:r w:rsidR="00F72955">
        <w:t>Round 2</w:t>
      </w:r>
      <w:r w:rsidR="00206E72">
        <w:t>.</w:t>
      </w:r>
      <w:r w:rsidR="0076344F">
        <w:rPr>
          <w:rStyle w:val="FootnoteReference"/>
        </w:rPr>
        <w:footnoteReference w:id="3"/>
      </w:r>
      <w:r w:rsidR="00206E72">
        <w:t xml:space="preserve"> </w:t>
      </w:r>
      <w:r>
        <w:t xml:space="preserve">To avoid repetition with the interim report, the final evaluation report is structured around the four aims of the </w:t>
      </w:r>
      <w:r w:rsidR="0076344F">
        <w:t>p</w:t>
      </w:r>
      <w:r>
        <w:t xml:space="preserve">ilot.  The report concludes by addressing the </w:t>
      </w:r>
      <w:r w:rsidR="0076344F">
        <w:t>p</w:t>
      </w:r>
      <w:r>
        <w:t xml:space="preserve">ilot’s goal, and makes recommendations on a national bowel screening programme.  </w:t>
      </w:r>
    </w:p>
    <w:p w:rsidR="00D31409" w:rsidRPr="003E632D" w:rsidRDefault="00D31409" w:rsidP="00D31409">
      <w:pPr>
        <w:pStyle w:val="Heading2"/>
      </w:pPr>
      <w:bookmarkStart w:id="35" w:name="_Toc457842111"/>
      <w:r w:rsidRPr="003E632D">
        <w:t>2.2</w:t>
      </w:r>
      <w:r w:rsidRPr="003E632D">
        <w:tab/>
        <w:t>U</w:t>
      </w:r>
      <w:r w:rsidR="00E25EE6">
        <w:t>ncommon</w:t>
      </w:r>
      <w:r w:rsidRPr="003E632D">
        <w:t xml:space="preserve"> elements of bowel cancer screening</w:t>
      </w:r>
      <w:bookmarkEnd w:id="34"/>
      <w:bookmarkEnd w:id="35"/>
      <w:r w:rsidRPr="003E632D">
        <w:t xml:space="preserve"> </w:t>
      </w:r>
    </w:p>
    <w:p w:rsidR="00D31409" w:rsidRPr="008E5431" w:rsidRDefault="0076344F" w:rsidP="00D31409">
      <w:pPr>
        <w:rPr>
          <w:lang w:eastAsia="en-US"/>
        </w:rPr>
      </w:pPr>
      <w:bookmarkStart w:id="36" w:name="_Toc390872200"/>
      <w:r w:rsidRPr="00E25EE6">
        <w:rPr>
          <w:lang w:eastAsia="en-US"/>
        </w:rPr>
        <w:t xml:space="preserve">Bowel cancer </w:t>
      </w:r>
      <w:r w:rsidR="00E25EE6" w:rsidRPr="00E25EE6">
        <w:rPr>
          <w:lang w:eastAsia="en-US"/>
        </w:rPr>
        <w:t xml:space="preserve">screening </w:t>
      </w:r>
      <w:r w:rsidRPr="00E25EE6">
        <w:rPr>
          <w:lang w:eastAsia="en-US"/>
        </w:rPr>
        <w:t>has several speci</w:t>
      </w:r>
      <w:r w:rsidR="002A21F1" w:rsidRPr="00E25EE6">
        <w:rPr>
          <w:lang w:eastAsia="en-US"/>
        </w:rPr>
        <w:t>fic features that differentiate</w:t>
      </w:r>
      <w:r w:rsidRPr="00E25EE6">
        <w:rPr>
          <w:lang w:eastAsia="en-US"/>
        </w:rPr>
        <w:t xml:space="preserve"> it</w:t>
      </w:r>
      <w:r w:rsidR="00E25EE6" w:rsidRPr="00E25EE6">
        <w:rPr>
          <w:lang w:eastAsia="en-US"/>
        </w:rPr>
        <w:t xml:space="preserve"> from other cancers.</w:t>
      </w:r>
      <w:r w:rsidR="00E25EE6">
        <w:rPr>
          <w:lang w:eastAsia="en-US"/>
        </w:rPr>
        <w:t xml:space="preserve"> </w:t>
      </w:r>
      <w:r w:rsidR="00D31409" w:rsidRPr="008E5431">
        <w:rPr>
          <w:lang w:eastAsia="en-US"/>
        </w:rPr>
        <w:t xml:space="preserve"> Screening for </w:t>
      </w:r>
      <w:r w:rsidR="002A21F1">
        <w:rPr>
          <w:lang w:eastAsia="en-US"/>
        </w:rPr>
        <w:t>bowel</w:t>
      </w:r>
      <w:r w:rsidR="00D31409" w:rsidRPr="008E5431">
        <w:rPr>
          <w:lang w:eastAsia="en-US"/>
        </w:rPr>
        <w:t xml:space="preserve"> cancer usually involves, either as the first step or as the definitive diagnostic step, direct visualisation of the organ</w:t>
      </w:r>
      <w:r w:rsidR="002A21F1">
        <w:rPr>
          <w:lang w:eastAsia="en-US"/>
        </w:rPr>
        <w:t xml:space="preserve"> –</w:t>
      </w:r>
      <w:r w:rsidR="00D31409" w:rsidRPr="008E5431">
        <w:rPr>
          <w:lang w:eastAsia="en-US"/>
        </w:rPr>
        <w:t xml:space="preserve"> unlike br</w:t>
      </w:r>
      <w:r w:rsidR="00530A62">
        <w:rPr>
          <w:lang w:eastAsia="en-US"/>
        </w:rPr>
        <w:t>east where the organ is imaged</w:t>
      </w:r>
      <w:r w:rsidR="00D31409" w:rsidRPr="008E5431">
        <w:rPr>
          <w:lang w:eastAsia="en-US"/>
        </w:rPr>
        <w:t xml:space="preserve">. That means, in many cases, definitive diagnosis (cancerous/precancerous lesion or not) and treatment (removal of some precancerous lesions) can be accomplished with the same procedure – again unlike breast. </w:t>
      </w:r>
    </w:p>
    <w:p w:rsidR="00D31409" w:rsidRPr="008E5431" w:rsidRDefault="00D31409" w:rsidP="00D31409">
      <w:pPr>
        <w:keepNext/>
        <w:keepLines/>
        <w:rPr>
          <w:i/>
          <w:lang w:eastAsia="en-US"/>
        </w:rPr>
      </w:pPr>
      <w:r w:rsidRPr="008E5431">
        <w:rPr>
          <w:lang w:eastAsia="en-US"/>
        </w:rPr>
        <w:t>For a programme that begins, as in New Zealand, not with colonoscopy but with</w:t>
      </w:r>
      <w:r w:rsidR="00206E72">
        <w:rPr>
          <w:lang w:eastAsia="en-US"/>
        </w:rPr>
        <w:t xml:space="preserve"> </w:t>
      </w:r>
      <w:r w:rsidR="00206E72" w:rsidRPr="003A598E">
        <w:rPr>
          <w:lang w:val="en-US"/>
        </w:rPr>
        <w:t>immunochemical faecal occult blood tes</w:t>
      </w:r>
      <w:r w:rsidR="00A3302D">
        <w:rPr>
          <w:lang w:val="en-US"/>
        </w:rPr>
        <w:t>t</w:t>
      </w:r>
      <w:r w:rsidRPr="008E5431">
        <w:rPr>
          <w:lang w:eastAsia="en-US"/>
        </w:rPr>
        <w:t xml:space="preserve"> </w:t>
      </w:r>
      <w:r w:rsidR="00206E72">
        <w:rPr>
          <w:lang w:eastAsia="en-US"/>
        </w:rPr>
        <w:t>(</w:t>
      </w:r>
      <w:r w:rsidRPr="008E5431">
        <w:rPr>
          <w:lang w:eastAsia="en-US"/>
        </w:rPr>
        <w:t>i</w:t>
      </w:r>
      <w:r w:rsidRPr="008E5431">
        <w:t>FOBT</w:t>
      </w:r>
      <w:r w:rsidR="00206E72">
        <w:t>)</w:t>
      </w:r>
      <w:r w:rsidRPr="008E5431">
        <w:t xml:space="preserve">, there are additional </w:t>
      </w:r>
      <w:r w:rsidR="00F2390A" w:rsidRPr="00E25EE6">
        <w:t xml:space="preserve">uncommon, </w:t>
      </w:r>
      <w:r w:rsidRPr="008E5431">
        <w:t>elements. First, the sample c</w:t>
      </w:r>
      <w:r w:rsidRPr="008E5431">
        <w:rPr>
          <w:lang w:eastAsia="en-US"/>
        </w:rPr>
        <w:t xml:space="preserve">an be collected at home. </w:t>
      </w:r>
      <w:r w:rsidR="00B360F8">
        <w:rPr>
          <w:lang w:eastAsia="en-US"/>
        </w:rPr>
        <w:t xml:space="preserve"> </w:t>
      </w:r>
      <w:r w:rsidRPr="008E5431">
        <w:rPr>
          <w:lang w:eastAsia="en-US"/>
        </w:rPr>
        <w:t>Second, iFOBT is probably the lowest</w:t>
      </w:r>
      <w:r>
        <w:rPr>
          <w:lang w:eastAsia="en-US"/>
        </w:rPr>
        <w:t xml:space="preserve"> </w:t>
      </w:r>
      <w:r w:rsidRPr="008E5431">
        <w:rPr>
          <w:lang w:eastAsia="en-US"/>
        </w:rPr>
        <w:t xml:space="preserve">cost initial screening test for cancer. </w:t>
      </w:r>
    </w:p>
    <w:p w:rsidR="00D31409" w:rsidRPr="008E5431" w:rsidRDefault="00D31409" w:rsidP="00D31409">
      <w:pPr>
        <w:rPr>
          <w:lang w:eastAsia="en-US"/>
        </w:rPr>
      </w:pPr>
      <w:r w:rsidRPr="008E5431">
        <w:rPr>
          <w:lang w:eastAsia="en-US"/>
        </w:rPr>
        <w:t>Screening for breast</w:t>
      </w:r>
      <w:r w:rsidR="00406B74">
        <w:rPr>
          <w:lang w:eastAsia="en-US"/>
        </w:rPr>
        <w:t xml:space="preserve"> and </w:t>
      </w:r>
      <w:r w:rsidR="002A21F1">
        <w:rPr>
          <w:lang w:eastAsia="en-US"/>
        </w:rPr>
        <w:t>cervix cancers detect and require the treatment of</w:t>
      </w:r>
      <w:r w:rsidRPr="008E5431">
        <w:rPr>
          <w:lang w:eastAsia="en-US"/>
        </w:rPr>
        <w:t xml:space="preserve"> malignant lesions that must then be removed surgically.  Some of these cancers would never present clinically</w:t>
      </w:r>
      <w:r w:rsidR="00530A62">
        <w:rPr>
          <w:lang w:eastAsia="en-US"/>
        </w:rPr>
        <w:t>,</w:t>
      </w:r>
      <w:r w:rsidRPr="008E5431">
        <w:rPr>
          <w:lang w:eastAsia="en-US"/>
        </w:rPr>
        <w:t xml:space="preserve"> </w:t>
      </w:r>
      <w:r w:rsidR="00530A62">
        <w:rPr>
          <w:lang w:eastAsia="en-US"/>
        </w:rPr>
        <w:t>n</w:t>
      </w:r>
      <w:r w:rsidRPr="008E5431">
        <w:rPr>
          <w:lang w:eastAsia="en-US"/>
        </w:rPr>
        <w:t>or cause morbidity and mortality</w:t>
      </w:r>
      <w:r w:rsidR="00530A62">
        <w:rPr>
          <w:lang w:eastAsia="en-US"/>
        </w:rPr>
        <w:t xml:space="preserve"> (this is sometimes called ‘overdiagnosis’)</w:t>
      </w:r>
      <w:r w:rsidRPr="008E5431">
        <w:rPr>
          <w:lang w:eastAsia="en-US"/>
        </w:rPr>
        <w:t xml:space="preserve">.  Thus, screening for each of these </w:t>
      </w:r>
      <w:r w:rsidR="00406B74">
        <w:rPr>
          <w:lang w:eastAsia="en-US"/>
        </w:rPr>
        <w:t>two</w:t>
      </w:r>
      <w:r w:rsidR="00406B74" w:rsidRPr="008E5431">
        <w:rPr>
          <w:lang w:eastAsia="en-US"/>
        </w:rPr>
        <w:t xml:space="preserve"> </w:t>
      </w:r>
      <w:r w:rsidRPr="008E5431">
        <w:rPr>
          <w:lang w:eastAsia="en-US"/>
        </w:rPr>
        <w:t>cancers is associated with a rise in incidence, even as there is an accompanying fall in mortality.  In contrast, screening for bowel cancer encompasses the removal of some premalignant lesions, some of which would never present as cancers</w:t>
      </w:r>
      <w:r w:rsidR="002A21F1">
        <w:rPr>
          <w:lang w:eastAsia="en-US"/>
        </w:rPr>
        <w:t>.  For bowel cancer</w:t>
      </w:r>
      <w:r w:rsidR="00156BE7">
        <w:rPr>
          <w:lang w:eastAsia="en-US"/>
        </w:rPr>
        <w:t xml:space="preserve"> therefore</w:t>
      </w:r>
      <w:r w:rsidRPr="008E5431">
        <w:rPr>
          <w:lang w:eastAsia="en-US"/>
        </w:rPr>
        <w:t xml:space="preserve">, </w:t>
      </w:r>
      <w:r w:rsidR="00156BE7">
        <w:rPr>
          <w:lang w:eastAsia="en-US"/>
        </w:rPr>
        <w:t xml:space="preserve">over time </w:t>
      </w:r>
      <w:r w:rsidRPr="008E5431">
        <w:rPr>
          <w:lang w:eastAsia="en-US"/>
        </w:rPr>
        <w:t xml:space="preserve">both incidence and mortality decline with screening. </w:t>
      </w:r>
    </w:p>
    <w:p w:rsidR="00D31409" w:rsidRDefault="00D31409" w:rsidP="00D31409">
      <w:pPr>
        <w:pStyle w:val="Heading2"/>
      </w:pPr>
      <w:bookmarkStart w:id="37" w:name="_Toc412540021"/>
      <w:bookmarkStart w:id="38" w:name="_Toc457842112"/>
      <w:r w:rsidRPr="00B60C62">
        <w:t>2.</w:t>
      </w:r>
      <w:r>
        <w:t>3</w:t>
      </w:r>
      <w:r w:rsidRPr="00B60C62">
        <w:tab/>
      </w:r>
      <w:r>
        <w:t xml:space="preserve">Description of the </w:t>
      </w:r>
      <w:r w:rsidRPr="00B60C62">
        <w:t>BSP</w:t>
      </w:r>
      <w:bookmarkEnd w:id="36"/>
      <w:bookmarkEnd w:id="37"/>
      <w:bookmarkEnd w:id="38"/>
      <w:r>
        <w:t xml:space="preserve"> </w:t>
      </w:r>
    </w:p>
    <w:p w:rsidR="00D31409" w:rsidRDefault="00D31409" w:rsidP="00D31409">
      <w:pPr>
        <w:pStyle w:val="Heading3"/>
        <w:rPr>
          <w:lang w:eastAsia="ar-SA"/>
        </w:rPr>
      </w:pPr>
      <w:r>
        <w:rPr>
          <w:lang w:eastAsia="ar-SA"/>
        </w:rPr>
        <w:t>Identification</w:t>
      </w:r>
    </w:p>
    <w:p w:rsidR="00D31409" w:rsidRPr="00CF57F1" w:rsidRDefault="00D31409" w:rsidP="00D31409">
      <w:pPr>
        <w:rPr>
          <w:lang w:eastAsia="ar-SA"/>
        </w:rPr>
      </w:pPr>
      <w:r w:rsidRPr="00CF57F1">
        <w:rPr>
          <w:lang w:eastAsia="ar-SA"/>
        </w:rPr>
        <w:t>All men and women aged 50 to 74 who live</w:t>
      </w:r>
      <w:r w:rsidR="004F4FDE">
        <w:rPr>
          <w:lang w:eastAsia="ar-SA"/>
        </w:rPr>
        <w:t>d</w:t>
      </w:r>
      <w:r w:rsidRPr="00CF57F1">
        <w:rPr>
          <w:lang w:eastAsia="ar-SA"/>
        </w:rPr>
        <w:t xml:space="preserve"> in the WDHB area and who </w:t>
      </w:r>
      <w:r w:rsidR="004F4FDE">
        <w:rPr>
          <w:lang w:eastAsia="ar-SA"/>
        </w:rPr>
        <w:t>we</w:t>
      </w:r>
      <w:r w:rsidRPr="00CF57F1">
        <w:rPr>
          <w:lang w:eastAsia="ar-SA"/>
        </w:rPr>
        <w:t>re eligible for publicly funded health</w:t>
      </w:r>
      <w:r w:rsidR="005310B0">
        <w:rPr>
          <w:lang w:eastAsia="ar-SA"/>
        </w:rPr>
        <w:t xml:space="preserve"> </w:t>
      </w:r>
      <w:r w:rsidRPr="00CF57F1">
        <w:rPr>
          <w:lang w:eastAsia="ar-SA"/>
        </w:rPr>
        <w:t xml:space="preserve">care </w:t>
      </w:r>
      <w:r w:rsidR="004F4FDE">
        <w:rPr>
          <w:lang w:eastAsia="ar-SA"/>
        </w:rPr>
        <w:t>we</w:t>
      </w:r>
      <w:r w:rsidRPr="00CF57F1">
        <w:rPr>
          <w:lang w:eastAsia="ar-SA"/>
        </w:rPr>
        <w:t xml:space="preserve">re eligible to participate in the BSP.  Most people in the eligible population </w:t>
      </w:r>
      <w:r w:rsidR="00D44EF7">
        <w:rPr>
          <w:lang w:eastAsia="ar-SA"/>
        </w:rPr>
        <w:t>were to be</w:t>
      </w:r>
      <w:r w:rsidRPr="00CF57F1">
        <w:rPr>
          <w:lang w:eastAsia="ar-SA"/>
        </w:rPr>
        <w:t xml:space="preserve"> invited to participate in two s</w:t>
      </w:r>
      <w:r w:rsidR="005310B0">
        <w:rPr>
          <w:lang w:eastAsia="ar-SA"/>
        </w:rPr>
        <w:t>creening rounds within the four-</w:t>
      </w:r>
      <w:r w:rsidRPr="00CF57F1">
        <w:rPr>
          <w:lang w:eastAsia="ar-SA"/>
        </w:rPr>
        <w:t xml:space="preserve">year BSP period. </w:t>
      </w:r>
    </w:p>
    <w:p w:rsidR="00D31409" w:rsidRDefault="00D31409" w:rsidP="00D31409">
      <w:pPr>
        <w:rPr>
          <w:lang w:eastAsia="ar-SA"/>
        </w:rPr>
      </w:pPr>
      <w:r>
        <w:rPr>
          <w:lang w:eastAsia="ar-SA"/>
        </w:rPr>
        <w:t xml:space="preserve">Those not eligible to participate in the BSP </w:t>
      </w:r>
      <w:r w:rsidR="00D44EF7">
        <w:rPr>
          <w:lang w:eastAsia="ar-SA"/>
        </w:rPr>
        <w:t>we</w:t>
      </w:r>
      <w:r>
        <w:rPr>
          <w:lang w:eastAsia="ar-SA"/>
        </w:rPr>
        <w:t>re people who ha</w:t>
      </w:r>
      <w:r w:rsidR="00275322">
        <w:rPr>
          <w:lang w:eastAsia="ar-SA"/>
        </w:rPr>
        <w:t>d</w:t>
      </w:r>
      <w:r>
        <w:rPr>
          <w:lang w:eastAsia="ar-SA"/>
        </w:rPr>
        <w:t xml:space="preserve"> a colonoscopy within the last five years, </w:t>
      </w:r>
      <w:r w:rsidR="00275322">
        <w:rPr>
          <w:lang w:eastAsia="ar-SA"/>
        </w:rPr>
        <w:t>were</w:t>
      </w:r>
      <w:r>
        <w:rPr>
          <w:lang w:eastAsia="ar-SA"/>
        </w:rPr>
        <w:t xml:space="preserve"> on a bowel polyp or bowel cancer surveillance programme, have had or </w:t>
      </w:r>
      <w:r w:rsidR="00275322">
        <w:rPr>
          <w:lang w:eastAsia="ar-SA"/>
        </w:rPr>
        <w:t>we</w:t>
      </w:r>
      <w:r>
        <w:rPr>
          <w:lang w:eastAsia="ar-SA"/>
        </w:rPr>
        <w:t xml:space="preserve">re currently being treated for bowel cancer, have had their large bowel removed, </w:t>
      </w:r>
      <w:r w:rsidR="00275322">
        <w:rPr>
          <w:lang w:eastAsia="ar-SA"/>
        </w:rPr>
        <w:t>we</w:t>
      </w:r>
      <w:r>
        <w:rPr>
          <w:lang w:eastAsia="ar-SA"/>
        </w:rPr>
        <w:t xml:space="preserve">re being treated for ulcerative colitis or Crohn’s disease, or </w:t>
      </w:r>
      <w:r w:rsidR="00275322">
        <w:rPr>
          <w:lang w:eastAsia="ar-SA"/>
        </w:rPr>
        <w:t>we</w:t>
      </w:r>
      <w:r>
        <w:rPr>
          <w:lang w:eastAsia="ar-SA"/>
        </w:rPr>
        <w:t xml:space="preserve">re awaiting bowel investigations </w:t>
      </w:r>
      <w:r w:rsidR="00324BC3">
        <w:rPr>
          <w:lang w:eastAsia="ar-SA"/>
        </w:rPr>
        <w:t>by their doctor (WDHB 2012</w:t>
      </w:r>
      <w:r w:rsidRPr="00B868B3">
        <w:rPr>
          <w:lang w:eastAsia="ar-SA"/>
        </w:rPr>
        <w:t>).</w:t>
      </w:r>
    </w:p>
    <w:p w:rsidR="00D31409" w:rsidRDefault="00D31409" w:rsidP="00D31409">
      <w:pPr>
        <w:rPr>
          <w:lang w:eastAsia="ar-SA"/>
        </w:rPr>
      </w:pPr>
      <w:r w:rsidRPr="00CF57F1">
        <w:rPr>
          <w:lang w:eastAsia="ar-SA"/>
        </w:rPr>
        <w:t xml:space="preserve">Participation in the BSP </w:t>
      </w:r>
      <w:r w:rsidR="00D44EF7">
        <w:rPr>
          <w:lang w:eastAsia="ar-SA"/>
        </w:rPr>
        <w:t>wa</w:t>
      </w:r>
      <w:r w:rsidRPr="00CF57F1">
        <w:rPr>
          <w:lang w:eastAsia="ar-SA"/>
        </w:rPr>
        <w:t>s by invitation only</w:t>
      </w:r>
      <w:r>
        <w:rPr>
          <w:lang w:eastAsia="ar-SA"/>
        </w:rPr>
        <w:t xml:space="preserve">. </w:t>
      </w:r>
      <w:r>
        <w:rPr>
          <w:b/>
          <w:lang w:eastAsia="ar-SA"/>
        </w:rPr>
        <w:t xml:space="preserve"> </w:t>
      </w:r>
      <w:r>
        <w:rPr>
          <w:lang w:eastAsia="ar-SA"/>
        </w:rPr>
        <w:t>The Coordination Centre invite</w:t>
      </w:r>
      <w:r w:rsidR="00D44EF7">
        <w:rPr>
          <w:lang w:eastAsia="ar-SA"/>
        </w:rPr>
        <w:t>d</w:t>
      </w:r>
      <w:r>
        <w:rPr>
          <w:lang w:eastAsia="ar-SA"/>
        </w:rPr>
        <w:t xml:space="preserve"> eligible people to participate in the BSP according to their birth date.  </w:t>
      </w:r>
      <w:r>
        <w:rPr>
          <w:bCs/>
        </w:rPr>
        <w:t>In 2012 and 2014</w:t>
      </w:r>
      <w:r>
        <w:t xml:space="preserve">, invitations </w:t>
      </w:r>
      <w:r w:rsidR="00D44EF7">
        <w:t>were</w:t>
      </w:r>
      <w:r>
        <w:t xml:space="preserve"> sent to people w</w:t>
      </w:r>
      <w:r w:rsidR="00275322">
        <w:t xml:space="preserve">ith </w:t>
      </w:r>
      <w:r>
        <w:t xml:space="preserve">even </w:t>
      </w:r>
      <w:r w:rsidR="00275322">
        <w:t xml:space="preserve">numbered birth </w:t>
      </w:r>
      <w:r>
        <w:t>date</w:t>
      </w:r>
      <w:r w:rsidR="00275322">
        <w:t>s</w:t>
      </w:r>
      <w:r>
        <w:t xml:space="preserve">.  </w:t>
      </w:r>
      <w:r>
        <w:rPr>
          <w:bCs/>
        </w:rPr>
        <w:t>In 2013 and 2015</w:t>
      </w:r>
      <w:r>
        <w:t xml:space="preserve">, invitations </w:t>
      </w:r>
      <w:r w:rsidR="00D44EF7">
        <w:t>were</w:t>
      </w:r>
      <w:r>
        <w:t xml:space="preserve"> sent to people w</w:t>
      </w:r>
      <w:r w:rsidR="00275322">
        <w:t xml:space="preserve">ith </w:t>
      </w:r>
      <w:r>
        <w:t xml:space="preserve">odd </w:t>
      </w:r>
      <w:r w:rsidR="00275322">
        <w:t xml:space="preserve">numbered birth </w:t>
      </w:r>
      <w:r>
        <w:t>date</w:t>
      </w:r>
      <w:r w:rsidR="00275322">
        <w:t>s</w:t>
      </w:r>
      <w:r>
        <w:t xml:space="preserve">.  </w:t>
      </w:r>
      <w:r w:rsidR="00EB769B">
        <w:t>People who ‘aged in’ or moved into the area in 2014 and 2015 were invited in the month following their birth</w:t>
      </w:r>
      <w:r w:rsidR="00B360F8">
        <w:t xml:space="preserve"> </w:t>
      </w:r>
      <w:r w:rsidR="00EB769B">
        <w:t xml:space="preserve">date.  </w:t>
      </w:r>
      <w:r w:rsidR="00E25EE6">
        <w:rPr>
          <w:lang w:eastAsia="ar-SA"/>
        </w:rPr>
        <w:t>T</w:t>
      </w:r>
      <w:r>
        <w:rPr>
          <w:lang w:eastAsia="ar-SA"/>
        </w:rPr>
        <w:t xml:space="preserve">here </w:t>
      </w:r>
      <w:r w:rsidR="00D44EF7">
        <w:rPr>
          <w:lang w:eastAsia="ar-SA"/>
        </w:rPr>
        <w:t>we</w:t>
      </w:r>
      <w:r>
        <w:rPr>
          <w:lang w:eastAsia="ar-SA"/>
        </w:rPr>
        <w:t xml:space="preserve">re no referrals into the pilot by a health professional.  </w:t>
      </w:r>
      <w:r w:rsidR="00EB769B">
        <w:rPr>
          <w:lang w:eastAsia="ar-SA"/>
        </w:rPr>
        <w:t>However, eligible people not on the BSP Register</w:t>
      </w:r>
      <w:r w:rsidR="00292CC3">
        <w:rPr>
          <w:lang w:eastAsia="ar-SA"/>
        </w:rPr>
        <w:t xml:space="preserve"> could contact the Coordination Centre to be included or their general practice </w:t>
      </w:r>
      <w:r w:rsidR="005310B0">
        <w:rPr>
          <w:lang w:eastAsia="ar-SA"/>
        </w:rPr>
        <w:t>could</w:t>
      </w:r>
      <w:r w:rsidR="00292CC3">
        <w:rPr>
          <w:lang w:eastAsia="ar-SA"/>
        </w:rPr>
        <w:t xml:space="preserve"> request their inclusion. </w:t>
      </w:r>
    </w:p>
    <w:p w:rsidR="00D31409" w:rsidRDefault="00D31409" w:rsidP="00D31409">
      <w:pPr>
        <w:rPr>
          <w:lang w:eastAsia="ar-SA"/>
        </w:rPr>
      </w:pPr>
      <w:r w:rsidRPr="00812BB1">
        <w:rPr>
          <w:lang w:eastAsia="ar-SA"/>
        </w:rPr>
        <w:t xml:space="preserve">Identification of the eligible population </w:t>
      </w:r>
      <w:r w:rsidR="00D44EF7">
        <w:rPr>
          <w:lang w:eastAsia="ar-SA"/>
        </w:rPr>
        <w:t>wa</w:t>
      </w:r>
      <w:r w:rsidRPr="00812BB1">
        <w:rPr>
          <w:lang w:eastAsia="ar-SA"/>
        </w:rPr>
        <w:t xml:space="preserve">s undertaken using </w:t>
      </w:r>
      <w:r w:rsidR="005E5F14">
        <w:t>a</w:t>
      </w:r>
      <w:r w:rsidR="005E5F14" w:rsidRPr="005D7DFE">
        <w:t xml:space="preserve"> </w:t>
      </w:r>
      <w:r w:rsidR="005E5F14">
        <w:t xml:space="preserve">purpose-built </w:t>
      </w:r>
      <w:r w:rsidR="005E5F14" w:rsidRPr="005D7DFE">
        <w:t>information system</w:t>
      </w:r>
      <w:r w:rsidR="005E5F14">
        <w:t xml:space="preserve"> </w:t>
      </w:r>
      <w:r w:rsidR="005310B0">
        <w:t>–</w:t>
      </w:r>
      <w:r w:rsidR="005E5F14">
        <w:t xml:space="preserve"> the BSP Population Register (the Register)</w:t>
      </w:r>
      <w:r w:rsidRPr="00812BB1">
        <w:rPr>
          <w:lang w:eastAsia="ar-SA"/>
        </w:rPr>
        <w:t xml:space="preserve">.  </w:t>
      </w:r>
      <w:r>
        <w:rPr>
          <w:lang w:eastAsia="ar-SA"/>
        </w:rPr>
        <w:t xml:space="preserve">Participant details on the Register </w:t>
      </w:r>
      <w:r w:rsidR="00D44EF7">
        <w:rPr>
          <w:lang w:eastAsia="ar-SA"/>
        </w:rPr>
        <w:t>we</w:t>
      </w:r>
      <w:r>
        <w:rPr>
          <w:lang w:eastAsia="ar-SA"/>
        </w:rPr>
        <w:t>re taken from the N</w:t>
      </w:r>
      <w:r w:rsidR="00324BC3">
        <w:rPr>
          <w:lang w:eastAsia="ar-SA"/>
        </w:rPr>
        <w:t>ational Health Index (NHI)</w:t>
      </w:r>
      <w:r>
        <w:rPr>
          <w:lang w:eastAsia="ar-SA"/>
        </w:rPr>
        <w:t xml:space="preserve"> and individuals who self-register</w:t>
      </w:r>
      <w:r w:rsidR="004F4FDE">
        <w:rPr>
          <w:lang w:eastAsia="ar-SA"/>
        </w:rPr>
        <w:t>ed</w:t>
      </w:r>
      <w:r>
        <w:rPr>
          <w:lang w:eastAsia="ar-SA"/>
        </w:rPr>
        <w:t xml:space="preserve">. </w:t>
      </w:r>
    </w:p>
    <w:p w:rsidR="00D31409" w:rsidRDefault="00D31409" w:rsidP="00D31409">
      <w:pPr>
        <w:pStyle w:val="Heading3"/>
        <w:rPr>
          <w:lang w:eastAsia="ar-SA"/>
        </w:rPr>
      </w:pPr>
      <w:r>
        <w:rPr>
          <w:lang w:eastAsia="ar-SA"/>
        </w:rPr>
        <w:t>Pre-invitation</w:t>
      </w:r>
    </w:p>
    <w:p w:rsidR="00D31409" w:rsidRPr="00463B7A" w:rsidRDefault="00D31409" w:rsidP="00D31409">
      <w:pPr>
        <w:rPr>
          <w:lang w:eastAsia="ar-SA"/>
        </w:rPr>
      </w:pPr>
      <w:r w:rsidRPr="00463B7A">
        <w:rPr>
          <w:lang w:eastAsia="ar-SA"/>
        </w:rPr>
        <w:t>In the first screening round, initial contact with the eligible population</w:t>
      </w:r>
      <w:r w:rsidR="00D44EF7">
        <w:rPr>
          <w:lang w:eastAsia="ar-SA"/>
        </w:rPr>
        <w:t xml:space="preserve"> was</w:t>
      </w:r>
      <w:r w:rsidRPr="00463B7A">
        <w:rPr>
          <w:lang w:eastAsia="ar-SA"/>
        </w:rPr>
        <w:t xml:space="preserve"> throug</w:t>
      </w:r>
      <w:r w:rsidR="00D44EF7">
        <w:rPr>
          <w:lang w:eastAsia="ar-SA"/>
        </w:rPr>
        <w:t xml:space="preserve">h a pre-invitation letter </w:t>
      </w:r>
      <w:r w:rsidRPr="00463B7A">
        <w:rPr>
          <w:lang w:eastAsia="ar-SA"/>
        </w:rPr>
        <w:t>sent by the Coordination Centre four weeks before the invitation.</w:t>
      </w:r>
      <w:r w:rsidR="00275322" w:rsidRPr="00697D47">
        <w:rPr>
          <w:rStyle w:val="FootnoteReference"/>
        </w:rPr>
        <w:footnoteReference w:id="4"/>
      </w:r>
      <w:r w:rsidRPr="00463B7A">
        <w:rPr>
          <w:lang w:eastAsia="ar-SA"/>
        </w:rPr>
        <w:t xml:space="preserve">  In the second screening round, </w:t>
      </w:r>
      <w:r w:rsidRPr="00463B7A">
        <w:t>pre-invitation letter</w:t>
      </w:r>
      <w:r w:rsidRPr="00463B7A">
        <w:rPr>
          <w:lang w:eastAsia="ar-SA"/>
        </w:rPr>
        <w:t>s w</w:t>
      </w:r>
      <w:r w:rsidR="00D44EF7">
        <w:rPr>
          <w:lang w:eastAsia="ar-SA"/>
        </w:rPr>
        <w:t xml:space="preserve">ere </w:t>
      </w:r>
      <w:r w:rsidRPr="00463B7A">
        <w:rPr>
          <w:lang w:eastAsia="ar-SA"/>
        </w:rPr>
        <w:t xml:space="preserve">only received by eligible </w:t>
      </w:r>
      <w:r w:rsidRPr="00463B7A">
        <w:t>people who ha</w:t>
      </w:r>
      <w:r w:rsidR="00275322">
        <w:t>d</w:t>
      </w:r>
      <w:r w:rsidRPr="00463B7A">
        <w:t xml:space="preserve"> never been invited to participate. </w:t>
      </w:r>
      <w:r w:rsidRPr="00463B7A">
        <w:rPr>
          <w:lang w:eastAsia="ar-SA"/>
        </w:rPr>
        <w:t xml:space="preserve"> Pre-invitation letters </w:t>
      </w:r>
      <w:r w:rsidR="00D44EF7">
        <w:rPr>
          <w:lang w:eastAsia="ar-SA"/>
        </w:rPr>
        <w:t>we</w:t>
      </w:r>
      <w:r w:rsidRPr="00463B7A">
        <w:rPr>
          <w:lang w:eastAsia="ar-SA"/>
        </w:rPr>
        <w:t xml:space="preserve">re being used in the BSP because they have been shown to increase participation in bowel screening internationally </w:t>
      </w:r>
      <w:r w:rsidRPr="00BD2935">
        <w:rPr>
          <w:lang w:eastAsia="ar-SA"/>
        </w:rPr>
        <w:t xml:space="preserve">(Cole </w:t>
      </w:r>
      <w:r w:rsidR="002E0992" w:rsidRPr="00BD2935">
        <w:rPr>
          <w:lang w:eastAsia="ar-SA"/>
        </w:rPr>
        <w:t>et al</w:t>
      </w:r>
      <w:r w:rsidRPr="00BD2935">
        <w:rPr>
          <w:lang w:eastAsia="ar-SA"/>
        </w:rPr>
        <w:t xml:space="preserve"> 2007).</w:t>
      </w:r>
      <w:r w:rsidRPr="00463B7A">
        <w:rPr>
          <w:lang w:eastAsia="ar-SA"/>
        </w:rPr>
        <w:t xml:space="preserve">  The pre-invitation letter:</w:t>
      </w:r>
    </w:p>
    <w:p w:rsidR="00D31409" w:rsidRPr="00463B7A" w:rsidRDefault="00D31409" w:rsidP="006179C7">
      <w:pPr>
        <w:pStyle w:val="Bullet"/>
        <w:numPr>
          <w:ilvl w:val="0"/>
          <w:numId w:val="10"/>
        </w:numPr>
        <w:ind w:left="1069"/>
      </w:pPr>
      <w:r w:rsidRPr="00463B7A">
        <w:t>advise</w:t>
      </w:r>
      <w:r w:rsidR="00D44EF7">
        <w:t>d</w:t>
      </w:r>
      <w:r w:rsidRPr="00463B7A">
        <w:t xml:space="preserve"> people about the BSP and that they </w:t>
      </w:r>
      <w:r w:rsidR="00D44EF7">
        <w:t>we</w:t>
      </w:r>
      <w:r w:rsidRPr="00463B7A">
        <w:t>re eligible to participate</w:t>
      </w:r>
    </w:p>
    <w:p w:rsidR="00D31409" w:rsidRPr="00463B7A" w:rsidRDefault="00D31409" w:rsidP="006179C7">
      <w:pPr>
        <w:pStyle w:val="Bullet"/>
        <w:numPr>
          <w:ilvl w:val="0"/>
          <w:numId w:val="10"/>
        </w:numPr>
        <w:ind w:left="1069"/>
      </w:pPr>
      <w:r w:rsidRPr="00463B7A">
        <w:t>include</w:t>
      </w:r>
      <w:r w:rsidR="00D44EF7">
        <w:t>d</w:t>
      </w:r>
      <w:r w:rsidRPr="00463B7A">
        <w:t xml:space="preserve"> a generic endorsement by prospective participants’ </w:t>
      </w:r>
      <w:r w:rsidR="000F21AD">
        <w:t>General Practitioner (</w:t>
      </w:r>
      <w:r w:rsidRPr="00463B7A">
        <w:t>GP</w:t>
      </w:r>
      <w:r w:rsidR="000F21AD">
        <w:t>)</w:t>
      </w:r>
      <w:r w:rsidRPr="00463B7A">
        <w:t xml:space="preserve"> </w:t>
      </w:r>
    </w:p>
    <w:p w:rsidR="00D31409" w:rsidRPr="00463B7A" w:rsidRDefault="00D31409" w:rsidP="006179C7">
      <w:pPr>
        <w:pStyle w:val="Bullet"/>
        <w:numPr>
          <w:ilvl w:val="0"/>
          <w:numId w:val="10"/>
        </w:numPr>
        <w:ind w:left="1069"/>
      </w:pPr>
      <w:r w:rsidRPr="00463B7A">
        <w:t>advise</w:t>
      </w:r>
      <w:r w:rsidR="00D44EF7">
        <w:t>d</w:t>
      </w:r>
      <w:r w:rsidRPr="00463B7A">
        <w:t xml:space="preserve"> people that they </w:t>
      </w:r>
      <w:r w:rsidR="00D44EF7">
        <w:t xml:space="preserve">would </w:t>
      </w:r>
      <w:r w:rsidRPr="00463B7A">
        <w:t>receive an invitation and an iFOBT kit from the BSP unless they notif</w:t>
      </w:r>
      <w:r w:rsidR="00275322">
        <w:t>ied</w:t>
      </w:r>
      <w:r w:rsidRPr="00463B7A">
        <w:t xml:space="preserve"> the Coordination Centre they d</w:t>
      </w:r>
      <w:r w:rsidR="00275322">
        <w:t>id</w:t>
      </w:r>
      <w:r w:rsidRPr="00463B7A">
        <w:t xml:space="preserve"> not wish to participate</w:t>
      </w:r>
    </w:p>
    <w:p w:rsidR="00D31409" w:rsidRPr="00463B7A" w:rsidRDefault="00D31409" w:rsidP="006179C7">
      <w:pPr>
        <w:pStyle w:val="Bullet"/>
        <w:numPr>
          <w:ilvl w:val="0"/>
          <w:numId w:val="10"/>
        </w:numPr>
        <w:ind w:left="1069"/>
      </w:pPr>
      <w:r w:rsidRPr="00463B7A">
        <w:t>include</w:t>
      </w:r>
      <w:r w:rsidR="00D44EF7">
        <w:t>d</w:t>
      </w:r>
      <w:r w:rsidRPr="00463B7A">
        <w:t xml:space="preserve"> a detailed booklet to assist people to make an informed decision about participating in the BSP</w:t>
      </w:r>
    </w:p>
    <w:p w:rsidR="00D31409" w:rsidRPr="00463B7A" w:rsidRDefault="00D31409" w:rsidP="006179C7">
      <w:pPr>
        <w:pStyle w:val="Bullet"/>
        <w:numPr>
          <w:ilvl w:val="0"/>
          <w:numId w:val="10"/>
        </w:numPr>
        <w:ind w:left="1069"/>
        <w:rPr>
          <w:lang w:eastAsia="ar-SA"/>
        </w:rPr>
      </w:pPr>
      <w:r w:rsidRPr="00463B7A">
        <w:rPr>
          <w:lang w:eastAsia="ar-SA"/>
        </w:rPr>
        <w:t>advise</w:t>
      </w:r>
      <w:r w:rsidR="00D44EF7">
        <w:rPr>
          <w:lang w:eastAsia="ar-SA"/>
        </w:rPr>
        <w:t>d</w:t>
      </w:r>
      <w:r w:rsidRPr="00463B7A">
        <w:rPr>
          <w:lang w:eastAsia="ar-SA"/>
        </w:rPr>
        <w:t xml:space="preserve"> people who should not participate in the BSP to contact the Coordination Centre. </w:t>
      </w:r>
    </w:p>
    <w:p w:rsidR="00B360F8" w:rsidRPr="00B360F8" w:rsidRDefault="00D31409" w:rsidP="00B360F8">
      <w:pPr>
        <w:rPr>
          <w:lang w:eastAsia="ar-SA"/>
        </w:rPr>
      </w:pPr>
      <w:r w:rsidRPr="00463B7A">
        <w:rPr>
          <w:lang w:eastAsia="ar-SA"/>
        </w:rPr>
        <w:t xml:space="preserve">Pre-invitation letters </w:t>
      </w:r>
      <w:r w:rsidR="00D44EF7">
        <w:rPr>
          <w:lang w:eastAsia="ar-SA"/>
        </w:rPr>
        <w:t>we</w:t>
      </w:r>
      <w:r w:rsidRPr="00463B7A">
        <w:rPr>
          <w:lang w:eastAsia="ar-SA"/>
        </w:rPr>
        <w:t xml:space="preserve">re sent out to approximately 6,000 eligible participants per month. </w:t>
      </w:r>
      <w:r w:rsidR="00292CC3" w:rsidRPr="00E25EE6">
        <w:rPr>
          <w:lang w:eastAsia="ar-SA"/>
        </w:rPr>
        <w:t>Some of the i</w:t>
      </w:r>
      <w:r w:rsidRPr="00E25EE6">
        <w:rPr>
          <w:lang w:eastAsia="ar-SA"/>
        </w:rPr>
        <w:t xml:space="preserve">ncorrectly addressed letters </w:t>
      </w:r>
      <w:r w:rsidR="00D44EF7" w:rsidRPr="00E25EE6">
        <w:rPr>
          <w:lang w:eastAsia="ar-SA"/>
        </w:rPr>
        <w:t>we</w:t>
      </w:r>
      <w:r w:rsidRPr="00E25EE6">
        <w:rPr>
          <w:lang w:eastAsia="ar-SA"/>
        </w:rPr>
        <w:t>re returned to the Coordination Centre.</w:t>
      </w:r>
      <w:r w:rsidR="00CC20D2" w:rsidRPr="00E25EE6">
        <w:rPr>
          <w:lang w:eastAsia="ar-SA"/>
        </w:rPr>
        <w:t xml:space="preserve"> </w:t>
      </w:r>
      <w:r w:rsidR="00E25EE6">
        <w:rPr>
          <w:lang w:eastAsia="ar-SA"/>
        </w:rPr>
        <w:t xml:space="preserve"> </w:t>
      </w:r>
      <w:r w:rsidR="00E25EE6" w:rsidRPr="00E25EE6">
        <w:rPr>
          <w:lang w:eastAsia="ar-SA"/>
        </w:rPr>
        <w:t>Action was taken to identify correct addresses.</w:t>
      </w:r>
      <w:r w:rsidRPr="00463B7A">
        <w:rPr>
          <w:lang w:eastAsia="ar-SA"/>
        </w:rPr>
        <w:t xml:space="preserve">  </w:t>
      </w:r>
      <w:r w:rsidR="00292CC3" w:rsidRPr="00CF57F1">
        <w:rPr>
          <w:lang w:eastAsia="ar-SA"/>
        </w:rPr>
        <w:t xml:space="preserve">People </w:t>
      </w:r>
      <w:r w:rsidR="00292CC3">
        <w:rPr>
          <w:lang w:eastAsia="ar-SA"/>
        </w:rPr>
        <w:t xml:space="preserve">could </w:t>
      </w:r>
      <w:r w:rsidR="00292CC3" w:rsidRPr="00CF57F1">
        <w:rPr>
          <w:lang w:eastAsia="ar-SA"/>
        </w:rPr>
        <w:t>opt out of the BSP at this stage by advising the Coordination Centre</w:t>
      </w:r>
      <w:r w:rsidR="00275322">
        <w:rPr>
          <w:lang w:eastAsia="ar-SA"/>
        </w:rPr>
        <w:t xml:space="preserve"> and their</w:t>
      </w:r>
      <w:r w:rsidR="00292CC3" w:rsidRPr="00CF57F1">
        <w:rPr>
          <w:lang w:eastAsia="ar-SA"/>
        </w:rPr>
        <w:t xml:space="preserve"> decision </w:t>
      </w:r>
      <w:r w:rsidR="00292CC3">
        <w:rPr>
          <w:lang w:eastAsia="ar-SA"/>
        </w:rPr>
        <w:t>wa</w:t>
      </w:r>
      <w:r w:rsidR="00292CC3" w:rsidRPr="00CF57F1">
        <w:rPr>
          <w:lang w:eastAsia="ar-SA"/>
        </w:rPr>
        <w:t xml:space="preserve">s recorded on the Register.  </w:t>
      </w:r>
    </w:p>
    <w:p w:rsidR="00D31409" w:rsidRDefault="00D31409" w:rsidP="00D31409">
      <w:pPr>
        <w:pStyle w:val="Heading3"/>
        <w:rPr>
          <w:lang w:eastAsia="ar-SA"/>
        </w:rPr>
      </w:pPr>
      <w:r w:rsidRPr="00F873CE">
        <w:rPr>
          <w:lang w:eastAsia="ar-SA"/>
        </w:rPr>
        <w:t>Invitation</w:t>
      </w:r>
    </w:p>
    <w:p w:rsidR="00D31409" w:rsidRPr="00CF57F1" w:rsidRDefault="00D31409" w:rsidP="00D31409">
      <w:pPr>
        <w:rPr>
          <w:lang w:eastAsia="ar-SA"/>
        </w:rPr>
      </w:pPr>
      <w:r>
        <w:rPr>
          <w:lang w:eastAsia="ar-SA"/>
        </w:rPr>
        <w:t>Four</w:t>
      </w:r>
      <w:r w:rsidRPr="00CF57F1">
        <w:rPr>
          <w:lang w:eastAsia="ar-SA"/>
        </w:rPr>
        <w:t xml:space="preserve"> weeks after the pre-invitation letter, the Coordination Centre sen</w:t>
      </w:r>
      <w:r w:rsidR="00F873CE">
        <w:rPr>
          <w:lang w:eastAsia="ar-SA"/>
        </w:rPr>
        <w:t>t</w:t>
      </w:r>
      <w:r w:rsidRPr="00CF57F1">
        <w:rPr>
          <w:lang w:eastAsia="ar-SA"/>
        </w:rPr>
        <w:t xml:space="preserve"> an invitation letter to eligible people who ha</w:t>
      </w:r>
      <w:r w:rsidR="004F4FDE">
        <w:rPr>
          <w:lang w:eastAsia="ar-SA"/>
        </w:rPr>
        <w:t>d</w:t>
      </w:r>
      <w:r w:rsidRPr="00CF57F1">
        <w:rPr>
          <w:lang w:eastAsia="ar-SA"/>
        </w:rPr>
        <w:t xml:space="preserve"> not opt</w:t>
      </w:r>
      <w:r w:rsidR="00F873CE">
        <w:rPr>
          <w:lang w:eastAsia="ar-SA"/>
        </w:rPr>
        <w:t>ed out.  The invitation letter wa</w:t>
      </w:r>
      <w:r w:rsidRPr="00CF57F1">
        <w:rPr>
          <w:lang w:eastAsia="ar-SA"/>
        </w:rPr>
        <w:t>s accompanied by:</w:t>
      </w:r>
    </w:p>
    <w:p w:rsidR="00D31409" w:rsidRPr="00CF57F1" w:rsidRDefault="00D31409" w:rsidP="006179C7">
      <w:pPr>
        <w:pStyle w:val="Bullet"/>
        <w:numPr>
          <w:ilvl w:val="0"/>
          <w:numId w:val="10"/>
        </w:numPr>
        <w:ind w:left="1069"/>
        <w:rPr>
          <w:lang w:eastAsia="ar-SA"/>
        </w:rPr>
      </w:pPr>
      <w:r w:rsidRPr="00CF57F1">
        <w:rPr>
          <w:lang w:eastAsia="ar-SA"/>
        </w:rPr>
        <w:t>a leaflet to assist people to make an informed decision about participating in screening</w:t>
      </w:r>
    </w:p>
    <w:p w:rsidR="00D31409" w:rsidRPr="00CF57F1" w:rsidRDefault="00D31409" w:rsidP="006179C7">
      <w:pPr>
        <w:numPr>
          <w:ilvl w:val="0"/>
          <w:numId w:val="10"/>
        </w:numPr>
        <w:autoSpaceDE w:val="0"/>
        <w:autoSpaceDN w:val="0"/>
        <w:adjustRightInd w:val="0"/>
        <w:spacing w:before="120"/>
        <w:ind w:left="1069"/>
        <w:rPr>
          <w:lang w:eastAsia="ar-SA"/>
        </w:rPr>
      </w:pPr>
      <w:r>
        <w:rPr>
          <w:lang w:eastAsia="ar-SA"/>
        </w:rPr>
        <w:t xml:space="preserve">an </w:t>
      </w:r>
      <w:r w:rsidRPr="005336F5">
        <w:rPr>
          <w:lang w:val="en-US"/>
        </w:rPr>
        <w:t>immunochemical faecal occult blood test</w:t>
      </w:r>
      <w:r>
        <w:rPr>
          <w:lang w:val="en-US"/>
        </w:rPr>
        <w:t xml:space="preserve"> (iFOBT)</w:t>
      </w:r>
      <w:r w:rsidRPr="00697D47">
        <w:rPr>
          <w:rStyle w:val="FootnoteReference"/>
        </w:rPr>
        <w:footnoteReference w:id="5"/>
      </w:r>
    </w:p>
    <w:p w:rsidR="00D31409" w:rsidRPr="00CF57F1" w:rsidRDefault="00D31409" w:rsidP="006179C7">
      <w:pPr>
        <w:pStyle w:val="Bullet"/>
        <w:numPr>
          <w:ilvl w:val="0"/>
          <w:numId w:val="10"/>
        </w:numPr>
        <w:ind w:left="1069"/>
        <w:rPr>
          <w:lang w:eastAsia="ar-SA"/>
        </w:rPr>
      </w:pPr>
      <w:r w:rsidRPr="00CF57F1">
        <w:rPr>
          <w:lang w:eastAsia="ar-SA"/>
        </w:rPr>
        <w:t>a consent form</w:t>
      </w:r>
    </w:p>
    <w:p w:rsidR="00D31409" w:rsidRPr="00CF57F1" w:rsidRDefault="00D31409" w:rsidP="006179C7">
      <w:pPr>
        <w:pStyle w:val="Bullet"/>
        <w:numPr>
          <w:ilvl w:val="0"/>
          <w:numId w:val="10"/>
        </w:numPr>
        <w:ind w:left="1069"/>
        <w:rPr>
          <w:lang w:eastAsia="ar-SA"/>
        </w:rPr>
      </w:pPr>
      <w:r w:rsidRPr="00CF57F1">
        <w:rPr>
          <w:lang w:eastAsia="ar-SA"/>
        </w:rPr>
        <w:t>a Freepost envelope to send their sample to LabPLUS.</w:t>
      </w:r>
    </w:p>
    <w:p w:rsidR="00D31409" w:rsidRPr="00CF57F1" w:rsidRDefault="00D31409" w:rsidP="00D31409">
      <w:pPr>
        <w:rPr>
          <w:lang w:eastAsia="ar-SA"/>
        </w:rPr>
      </w:pPr>
      <w:r w:rsidRPr="00CF57F1">
        <w:rPr>
          <w:lang w:eastAsia="ar-SA"/>
        </w:rPr>
        <w:t xml:space="preserve">Eligible Māori and Pacific people </w:t>
      </w:r>
      <w:r w:rsidR="00F873CE">
        <w:rPr>
          <w:lang w:eastAsia="ar-SA"/>
        </w:rPr>
        <w:t xml:space="preserve">may have </w:t>
      </w:r>
      <w:r w:rsidRPr="00CF57F1">
        <w:rPr>
          <w:lang w:eastAsia="ar-SA"/>
        </w:rPr>
        <w:t>receive</w:t>
      </w:r>
      <w:r w:rsidR="00F873CE">
        <w:rPr>
          <w:lang w:eastAsia="ar-SA"/>
        </w:rPr>
        <w:t>d</w:t>
      </w:r>
      <w:r w:rsidRPr="00CF57F1">
        <w:rPr>
          <w:lang w:eastAsia="ar-SA"/>
        </w:rPr>
        <w:t xml:space="preserve"> an invitation via attending a community education session or hui and expressing an interest to take part in the BSP.  Health promoters notif</w:t>
      </w:r>
      <w:r w:rsidR="00F873CE">
        <w:rPr>
          <w:lang w:eastAsia="ar-SA"/>
        </w:rPr>
        <w:t>ied</w:t>
      </w:r>
      <w:r w:rsidRPr="00CF57F1">
        <w:rPr>
          <w:lang w:eastAsia="ar-SA"/>
        </w:rPr>
        <w:t xml:space="preserve"> the Coordination Centre and an i</w:t>
      </w:r>
      <w:r w:rsidR="00F873CE">
        <w:rPr>
          <w:lang w:eastAsia="ar-SA"/>
        </w:rPr>
        <w:t>nvitation letter and iFOBT kit was sent out.  It wa</w:t>
      </w:r>
      <w:r w:rsidRPr="00CF57F1">
        <w:rPr>
          <w:lang w:eastAsia="ar-SA"/>
        </w:rPr>
        <w:t>s not known how many M</w:t>
      </w:r>
      <w:r w:rsidR="00F873CE">
        <w:rPr>
          <w:lang w:eastAsia="ar-SA"/>
        </w:rPr>
        <w:t>āori and Pacific people</w:t>
      </w:r>
      <w:r w:rsidRPr="00CF57F1">
        <w:rPr>
          <w:lang w:eastAsia="ar-SA"/>
        </w:rPr>
        <w:t xml:space="preserve"> received an invitation via attending health promotion activities </w:t>
      </w:r>
      <w:r>
        <w:rPr>
          <w:lang w:eastAsia="ar-SA"/>
        </w:rPr>
        <w:t>facilitated by</w:t>
      </w:r>
      <w:r w:rsidRPr="00CF57F1">
        <w:rPr>
          <w:lang w:eastAsia="ar-SA"/>
        </w:rPr>
        <w:t xml:space="preserve"> the </w:t>
      </w:r>
      <w:r w:rsidR="00CC20D2">
        <w:rPr>
          <w:lang w:eastAsia="ar-SA"/>
        </w:rPr>
        <w:t>community awareness raising (</w:t>
      </w:r>
      <w:r w:rsidRPr="00CF57F1">
        <w:rPr>
          <w:lang w:eastAsia="ar-SA"/>
        </w:rPr>
        <w:t>CAR</w:t>
      </w:r>
      <w:r w:rsidR="00CC20D2">
        <w:rPr>
          <w:lang w:eastAsia="ar-SA"/>
        </w:rPr>
        <w:t>)</w:t>
      </w:r>
      <w:r w:rsidRPr="00CF57F1">
        <w:rPr>
          <w:lang w:eastAsia="ar-SA"/>
        </w:rPr>
        <w:t xml:space="preserve"> coordinators. </w:t>
      </w:r>
    </w:p>
    <w:p w:rsidR="00D31409" w:rsidRDefault="00D31409" w:rsidP="00D31409">
      <w:pPr>
        <w:pStyle w:val="Heading3"/>
        <w:rPr>
          <w:lang w:eastAsia="ar-SA"/>
        </w:rPr>
      </w:pPr>
      <w:r>
        <w:rPr>
          <w:lang w:eastAsia="ar-SA"/>
        </w:rPr>
        <w:t>Participation</w:t>
      </w:r>
    </w:p>
    <w:p w:rsidR="00B61F32" w:rsidRDefault="00D31409" w:rsidP="00B61F32">
      <w:pPr>
        <w:rPr>
          <w:lang w:eastAsia="ar-SA"/>
        </w:rPr>
      </w:pPr>
      <w:r w:rsidRPr="00CF57F1">
        <w:rPr>
          <w:lang w:eastAsia="ar-SA"/>
        </w:rPr>
        <w:t>Participants in the BSP t</w:t>
      </w:r>
      <w:r w:rsidR="00F873CE">
        <w:rPr>
          <w:lang w:eastAsia="ar-SA"/>
        </w:rPr>
        <w:t xml:space="preserve">ook </w:t>
      </w:r>
      <w:r w:rsidRPr="00CF57F1">
        <w:rPr>
          <w:lang w:eastAsia="ar-SA"/>
        </w:rPr>
        <w:t>a single sample at home, using the iFOBT kit.  Participants post</w:t>
      </w:r>
      <w:r w:rsidR="00F873CE">
        <w:rPr>
          <w:lang w:eastAsia="ar-SA"/>
        </w:rPr>
        <w:t>ed</w:t>
      </w:r>
      <w:r w:rsidRPr="00CF57F1">
        <w:rPr>
          <w:lang w:eastAsia="ar-SA"/>
        </w:rPr>
        <w:t xml:space="preserve"> the sample to LabPLUS for testing, using the Freepost envelope provided. </w:t>
      </w:r>
      <w:r w:rsidR="00B61F32">
        <w:rPr>
          <w:lang w:eastAsia="ar-SA"/>
        </w:rPr>
        <w:t>A completed consent form had to be included with the sample.</w:t>
      </w:r>
    </w:p>
    <w:p w:rsidR="00D31409" w:rsidRPr="00CF57F1" w:rsidRDefault="00F873CE" w:rsidP="00D31409">
      <w:pPr>
        <w:rPr>
          <w:lang w:eastAsia="ar-SA"/>
        </w:rPr>
      </w:pPr>
      <w:r>
        <w:rPr>
          <w:lang w:eastAsia="ar-SA"/>
        </w:rPr>
        <w:t>If a sample was</w:t>
      </w:r>
      <w:r w:rsidR="00D31409" w:rsidRPr="00CF57F1">
        <w:rPr>
          <w:lang w:eastAsia="ar-SA"/>
        </w:rPr>
        <w:t xml:space="preserve"> not received by LabPLUS within four weeks and the person ha</w:t>
      </w:r>
      <w:r>
        <w:rPr>
          <w:lang w:eastAsia="ar-SA"/>
        </w:rPr>
        <w:t>d</w:t>
      </w:r>
      <w:r w:rsidR="00D31409" w:rsidRPr="00CF57F1">
        <w:rPr>
          <w:lang w:eastAsia="ar-SA"/>
        </w:rPr>
        <w:t xml:space="preserve"> not opted out of the BSP, </w:t>
      </w:r>
      <w:r w:rsidR="00292CC3" w:rsidRPr="00CF57F1">
        <w:rPr>
          <w:lang w:eastAsia="ar-SA"/>
        </w:rPr>
        <w:t xml:space="preserve">a reminder letter </w:t>
      </w:r>
      <w:r w:rsidR="00292CC3">
        <w:rPr>
          <w:lang w:eastAsia="ar-SA"/>
        </w:rPr>
        <w:t xml:space="preserve">was sent </w:t>
      </w:r>
      <w:r w:rsidR="00292CC3" w:rsidRPr="00CF57F1">
        <w:rPr>
          <w:lang w:eastAsia="ar-SA"/>
        </w:rPr>
        <w:t>from the Coordination Centre</w:t>
      </w:r>
      <w:r w:rsidR="00292CC3">
        <w:rPr>
          <w:lang w:eastAsia="ar-SA"/>
        </w:rPr>
        <w:t xml:space="preserve"> to encourage completion</w:t>
      </w:r>
      <w:r w:rsidR="00292CC3" w:rsidRPr="00CF57F1">
        <w:rPr>
          <w:lang w:eastAsia="ar-SA"/>
        </w:rPr>
        <w:t xml:space="preserve">.  </w:t>
      </w:r>
      <w:r w:rsidR="00292CC3">
        <w:rPr>
          <w:lang w:eastAsia="ar-SA"/>
        </w:rPr>
        <w:t xml:space="preserve">After four weeks, </w:t>
      </w:r>
      <w:r w:rsidR="00CC20D2" w:rsidRPr="00CF57F1">
        <w:rPr>
          <w:lang w:eastAsia="ar-SA"/>
        </w:rPr>
        <w:t>CAR personnel</w:t>
      </w:r>
      <w:r w:rsidR="00CC20D2">
        <w:rPr>
          <w:lang w:eastAsia="ar-SA"/>
        </w:rPr>
        <w:t xml:space="preserve"> followed up by phone or face-to-face with</w:t>
      </w:r>
      <w:r w:rsidR="00292CC3">
        <w:rPr>
          <w:lang w:eastAsia="ar-SA"/>
        </w:rPr>
        <w:t xml:space="preserve"> </w:t>
      </w:r>
      <w:r w:rsidR="00D31409" w:rsidRPr="00CF57F1">
        <w:rPr>
          <w:lang w:eastAsia="ar-SA"/>
        </w:rPr>
        <w:t xml:space="preserve">Māori, Pacific and Asian people </w:t>
      </w:r>
      <w:r w:rsidR="001F7099">
        <w:rPr>
          <w:lang w:eastAsia="ar-SA"/>
        </w:rPr>
        <w:t>who had not responded</w:t>
      </w:r>
      <w:r w:rsidR="00292CC3">
        <w:rPr>
          <w:lang w:eastAsia="ar-SA"/>
        </w:rPr>
        <w:t>.</w:t>
      </w:r>
      <w:r w:rsidR="00D31409" w:rsidRPr="00CF57F1">
        <w:rPr>
          <w:lang w:eastAsia="ar-SA"/>
        </w:rPr>
        <w:t xml:space="preserve"> </w:t>
      </w:r>
    </w:p>
    <w:p w:rsidR="00D31409" w:rsidRDefault="00D31409" w:rsidP="00D31409">
      <w:pPr>
        <w:pStyle w:val="Heading3"/>
        <w:rPr>
          <w:lang w:eastAsia="ar-SA"/>
        </w:rPr>
      </w:pPr>
      <w:r>
        <w:rPr>
          <w:lang w:eastAsia="ar-SA"/>
        </w:rPr>
        <w:t xml:space="preserve">iFOBT test results </w:t>
      </w:r>
    </w:p>
    <w:p w:rsidR="00B360F8" w:rsidRDefault="00D31409" w:rsidP="00D31409">
      <w:pPr>
        <w:rPr>
          <w:lang w:eastAsia="ar-SA"/>
        </w:rPr>
      </w:pPr>
      <w:r w:rsidRPr="00CF57F1">
        <w:rPr>
          <w:lang w:eastAsia="ar-SA"/>
        </w:rPr>
        <w:t>LabPLUS test</w:t>
      </w:r>
      <w:r w:rsidR="00CC20D2">
        <w:rPr>
          <w:lang w:eastAsia="ar-SA"/>
        </w:rPr>
        <w:t>ed</w:t>
      </w:r>
      <w:r w:rsidRPr="00CF57F1">
        <w:rPr>
          <w:lang w:eastAsia="ar-SA"/>
        </w:rPr>
        <w:t xml:space="preserve"> iFOBT samples and </w:t>
      </w:r>
      <w:r w:rsidR="00674C10">
        <w:rPr>
          <w:lang w:eastAsia="ar-SA"/>
        </w:rPr>
        <w:t>sen</w:t>
      </w:r>
      <w:r w:rsidR="00A8775D">
        <w:rPr>
          <w:lang w:eastAsia="ar-SA"/>
        </w:rPr>
        <w:t>t</w:t>
      </w:r>
      <w:r w:rsidR="00674C10">
        <w:rPr>
          <w:lang w:eastAsia="ar-SA"/>
        </w:rPr>
        <w:t xml:space="preserve"> </w:t>
      </w:r>
      <w:r>
        <w:rPr>
          <w:lang w:eastAsia="ar-SA"/>
        </w:rPr>
        <w:t xml:space="preserve">positive and negative </w:t>
      </w:r>
      <w:r w:rsidRPr="00CF57F1">
        <w:rPr>
          <w:lang w:eastAsia="ar-SA"/>
        </w:rPr>
        <w:t xml:space="preserve">results to the BSP Register and participants’ GPs within three working days of sample receipt.  Results </w:t>
      </w:r>
      <w:r w:rsidR="00F873CE">
        <w:rPr>
          <w:lang w:eastAsia="ar-SA"/>
        </w:rPr>
        <w:t>we</w:t>
      </w:r>
      <w:r w:rsidRPr="00CF57F1">
        <w:rPr>
          <w:lang w:eastAsia="ar-SA"/>
        </w:rPr>
        <w:t>re sent electronically, via HL</w:t>
      </w:r>
      <w:r w:rsidR="00AA57E6">
        <w:rPr>
          <w:lang w:eastAsia="ar-SA"/>
        </w:rPr>
        <w:t>-</w:t>
      </w:r>
      <w:r w:rsidRPr="00CF57F1">
        <w:rPr>
          <w:lang w:eastAsia="ar-SA"/>
        </w:rPr>
        <w:t xml:space="preserve">7 messaging on Healthlink.  Results </w:t>
      </w:r>
      <w:r w:rsidR="00F873CE">
        <w:rPr>
          <w:lang w:eastAsia="ar-SA"/>
        </w:rPr>
        <w:t>we</w:t>
      </w:r>
      <w:r w:rsidRPr="00CF57F1">
        <w:rPr>
          <w:lang w:eastAsia="ar-SA"/>
        </w:rPr>
        <w:t>re not sent to participants’ GPs if they ha</w:t>
      </w:r>
      <w:r w:rsidR="00F873CE">
        <w:rPr>
          <w:lang w:eastAsia="ar-SA"/>
        </w:rPr>
        <w:t>d</w:t>
      </w:r>
      <w:r w:rsidRPr="00CF57F1">
        <w:rPr>
          <w:lang w:eastAsia="ar-SA"/>
        </w:rPr>
        <w:t xml:space="preserve"> indicated this option on their consent form, or where the participant d</w:t>
      </w:r>
      <w:r w:rsidR="00F873CE">
        <w:rPr>
          <w:lang w:eastAsia="ar-SA"/>
        </w:rPr>
        <w:t>id</w:t>
      </w:r>
      <w:r w:rsidRPr="00CF57F1">
        <w:rPr>
          <w:lang w:eastAsia="ar-SA"/>
        </w:rPr>
        <w:t xml:space="preserve"> not have an identified GP.  </w:t>
      </w:r>
    </w:p>
    <w:p w:rsidR="00D31409" w:rsidRPr="00CF57F1" w:rsidRDefault="00D31409" w:rsidP="00D31409">
      <w:pPr>
        <w:rPr>
          <w:lang w:eastAsia="ar-SA"/>
        </w:rPr>
      </w:pPr>
      <w:r w:rsidRPr="00CF57F1">
        <w:rPr>
          <w:lang w:eastAsia="ar-SA"/>
        </w:rPr>
        <w:t xml:space="preserve">For a positive iFOBT result, </w:t>
      </w:r>
      <w:r w:rsidR="00B61F32">
        <w:rPr>
          <w:lang w:eastAsia="ar-SA"/>
        </w:rPr>
        <w:t xml:space="preserve">the relevant </w:t>
      </w:r>
      <w:r w:rsidRPr="00CF57F1">
        <w:rPr>
          <w:lang w:eastAsia="ar-SA"/>
        </w:rPr>
        <w:t xml:space="preserve">general practice </w:t>
      </w:r>
      <w:r w:rsidR="00F873CE">
        <w:rPr>
          <w:lang w:eastAsia="ar-SA"/>
        </w:rPr>
        <w:t xml:space="preserve">had to </w:t>
      </w:r>
      <w:r w:rsidRPr="00CF57F1">
        <w:rPr>
          <w:lang w:eastAsia="ar-SA"/>
        </w:rPr>
        <w:t xml:space="preserve">contact their participant within ten working days of receiving a </w:t>
      </w:r>
      <w:r>
        <w:rPr>
          <w:lang w:eastAsia="ar-SA"/>
        </w:rPr>
        <w:t>positive result from LabPLUS</w:t>
      </w:r>
      <w:r w:rsidR="004A10CD">
        <w:rPr>
          <w:lang w:eastAsia="ar-SA"/>
        </w:rPr>
        <w:t xml:space="preserve">. </w:t>
      </w:r>
      <w:r w:rsidR="00B61F32">
        <w:rPr>
          <w:lang w:eastAsia="ar-SA"/>
        </w:rPr>
        <w:t>The g</w:t>
      </w:r>
      <w:r w:rsidR="004A10CD">
        <w:rPr>
          <w:lang w:eastAsia="ar-SA"/>
        </w:rPr>
        <w:t>eneral practice</w:t>
      </w:r>
      <w:r>
        <w:rPr>
          <w:lang w:eastAsia="ar-SA"/>
        </w:rPr>
        <w:t xml:space="preserve"> </w:t>
      </w:r>
      <w:r w:rsidRPr="00CF57F1">
        <w:rPr>
          <w:lang w:eastAsia="ar-SA"/>
        </w:rPr>
        <w:t>inform</w:t>
      </w:r>
      <w:r w:rsidR="004A10CD">
        <w:rPr>
          <w:lang w:eastAsia="ar-SA"/>
        </w:rPr>
        <w:t>ed</w:t>
      </w:r>
      <w:r w:rsidRPr="00CF57F1">
        <w:rPr>
          <w:lang w:eastAsia="ar-SA"/>
        </w:rPr>
        <w:t xml:space="preserve"> their participant of the result</w:t>
      </w:r>
      <w:r>
        <w:rPr>
          <w:lang w:eastAsia="ar-SA"/>
        </w:rPr>
        <w:t xml:space="preserve">, </w:t>
      </w:r>
      <w:r w:rsidRPr="00CF57F1">
        <w:rPr>
          <w:lang w:eastAsia="ar-SA"/>
        </w:rPr>
        <w:t>discuss</w:t>
      </w:r>
      <w:r w:rsidR="004A10CD">
        <w:rPr>
          <w:lang w:eastAsia="ar-SA"/>
        </w:rPr>
        <w:t>ed</w:t>
      </w:r>
      <w:r w:rsidRPr="00CF57F1">
        <w:rPr>
          <w:lang w:eastAsia="ar-SA"/>
        </w:rPr>
        <w:t xml:space="preserve"> the implications of the result</w:t>
      </w:r>
      <w:r>
        <w:rPr>
          <w:lang w:eastAsia="ar-SA"/>
        </w:rPr>
        <w:t xml:space="preserve">, </w:t>
      </w:r>
      <w:r w:rsidRPr="00CF57F1">
        <w:rPr>
          <w:lang w:eastAsia="ar-SA"/>
        </w:rPr>
        <w:t>provide</w:t>
      </w:r>
      <w:r w:rsidR="004A10CD">
        <w:rPr>
          <w:lang w:eastAsia="ar-SA"/>
        </w:rPr>
        <w:t>d</w:t>
      </w:r>
      <w:r w:rsidRPr="00CF57F1">
        <w:rPr>
          <w:lang w:eastAsia="ar-SA"/>
        </w:rPr>
        <w:t xml:space="preserve"> counselling and advice</w:t>
      </w:r>
      <w:r>
        <w:rPr>
          <w:lang w:eastAsia="ar-SA"/>
        </w:rPr>
        <w:t xml:space="preserve"> and </w:t>
      </w:r>
      <w:r w:rsidR="00206E72" w:rsidRPr="00CF57F1">
        <w:rPr>
          <w:lang w:eastAsia="ar-SA"/>
        </w:rPr>
        <w:t>refer</w:t>
      </w:r>
      <w:r w:rsidR="00206E72">
        <w:rPr>
          <w:lang w:eastAsia="ar-SA"/>
        </w:rPr>
        <w:t>red</w:t>
      </w:r>
      <w:r w:rsidRPr="00CF57F1">
        <w:rPr>
          <w:lang w:eastAsia="ar-SA"/>
        </w:rPr>
        <w:t xml:space="preserve"> their participant to the </w:t>
      </w:r>
      <w:r>
        <w:rPr>
          <w:lang w:eastAsia="ar-SA"/>
        </w:rPr>
        <w:t xml:space="preserve">Waitakere Hospital </w:t>
      </w:r>
      <w:r w:rsidRPr="00CF57F1">
        <w:rPr>
          <w:lang w:eastAsia="ar-SA"/>
        </w:rPr>
        <w:t xml:space="preserve">Endoscopy Unit </w:t>
      </w:r>
      <w:r>
        <w:rPr>
          <w:lang w:eastAsia="ar-SA"/>
        </w:rPr>
        <w:t xml:space="preserve">(WHEU) </w:t>
      </w:r>
      <w:r w:rsidRPr="00CF57F1">
        <w:rPr>
          <w:lang w:eastAsia="ar-SA"/>
        </w:rPr>
        <w:t xml:space="preserve">for a screening colonoscopy. </w:t>
      </w:r>
    </w:p>
    <w:p w:rsidR="00D31409" w:rsidRPr="00463B7A" w:rsidRDefault="00D31409" w:rsidP="00D31409">
      <w:pPr>
        <w:rPr>
          <w:lang w:eastAsia="ar-SA"/>
        </w:rPr>
      </w:pPr>
      <w:r w:rsidRPr="00CF57F1">
        <w:rPr>
          <w:lang w:eastAsia="ar-SA"/>
        </w:rPr>
        <w:t>Participants with a positive result who d</w:t>
      </w:r>
      <w:r w:rsidR="00F873CE">
        <w:rPr>
          <w:lang w:eastAsia="ar-SA"/>
        </w:rPr>
        <w:t>id</w:t>
      </w:r>
      <w:r w:rsidRPr="00CF57F1">
        <w:rPr>
          <w:lang w:eastAsia="ar-SA"/>
        </w:rPr>
        <w:t xml:space="preserve"> not have an identified GP or who ha</w:t>
      </w:r>
      <w:r w:rsidR="00F873CE">
        <w:rPr>
          <w:lang w:eastAsia="ar-SA"/>
        </w:rPr>
        <w:t>d</w:t>
      </w:r>
      <w:r w:rsidRPr="00CF57F1">
        <w:rPr>
          <w:lang w:eastAsia="ar-SA"/>
        </w:rPr>
        <w:t xml:space="preserve"> not been contacted by their </w:t>
      </w:r>
      <w:r w:rsidR="00CC20D2">
        <w:rPr>
          <w:lang w:eastAsia="ar-SA"/>
        </w:rPr>
        <w:t>general practice within the ten-</w:t>
      </w:r>
      <w:r w:rsidRPr="00CF57F1">
        <w:rPr>
          <w:lang w:eastAsia="ar-SA"/>
        </w:rPr>
        <w:t xml:space="preserve">day period </w:t>
      </w:r>
      <w:r w:rsidR="00F873CE">
        <w:rPr>
          <w:lang w:eastAsia="ar-SA"/>
        </w:rPr>
        <w:t>we</w:t>
      </w:r>
      <w:r w:rsidRPr="00CF57F1">
        <w:rPr>
          <w:lang w:eastAsia="ar-SA"/>
        </w:rPr>
        <w:t>re contacted by the BSP Endoscopy C</w:t>
      </w:r>
      <w:r>
        <w:rPr>
          <w:lang w:eastAsia="ar-SA"/>
        </w:rPr>
        <w:t xml:space="preserve">linical Nurse </w:t>
      </w:r>
      <w:r w:rsidRPr="00CF57F1">
        <w:rPr>
          <w:lang w:eastAsia="ar-SA"/>
        </w:rPr>
        <w:t>S</w:t>
      </w:r>
      <w:r>
        <w:rPr>
          <w:lang w:eastAsia="ar-SA"/>
        </w:rPr>
        <w:t>pecialist</w:t>
      </w:r>
      <w:r w:rsidRPr="00CF57F1">
        <w:rPr>
          <w:lang w:eastAsia="ar-SA"/>
        </w:rPr>
        <w:t xml:space="preserve"> </w:t>
      </w:r>
      <w:r>
        <w:rPr>
          <w:lang w:eastAsia="ar-SA"/>
        </w:rPr>
        <w:t xml:space="preserve">(CNS) </w:t>
      </w:r>
      <w:r w:rsidRPr="00CF57F1">
        <w:rPr>
          <w:lang w:eastAsia="ar-SA"/>
        </w:rPr>
        <w:t xml:space="preserve">within 15 working days of a positive result.  </w:t>
      </w:r>
      <w:r w:rsidRPr="00463B7A">
        <w:rPr>
          <w:lang w:eastAsia="ar-SA"/>
        </w:rPr>
        <w:t xml:space="preserve">If WHEU </w:t>
      </w:r>
      <w:r w:rsidR="00F873CE">
        <w:rPr>
          <w:lang w:eastAsia="ar-SA"/>
        </w:rPr>
        <w:t>wa</w:t>
      </w:r>
      <w:r w:rsidRPr="00463B7A">
        <w:rPr>
          <w:lang w:eastAsia="ar-SA"/>
        </w:rPr>
        <w:t>s unable to contact a participant with a positive iFOBT, the CNS sen</w:t>
      </w:r>
      <w:r w:rsidR="00F873CE">
        <w:rPr>
          <w:lang w:eastAsia="ar-SA"/>
        </w:rPr>
        <w:t>t</w:t>
      </w:r>
      <w:r w:rsidRPr="00463B7A">
        <w:rPr>
          <w:lang w:eastAsia="ar-SA"/>
        </w:rPr>
        <w:t xml:space="preserve"> the participant and their GP a letter, outlining the positive result and encouraging the participant to contact their general practice or the </w:t>
      </w:r>
      <w:r w:rsidR="00F873CE">
        <w:rPr>
          <w:lang w:eastAsia="ar-SA"/>
        </w:rPr>
        <w:t xml:space="preserve">BSP </w:t>
      </w:r>
      <w:r w:rsidRPr="00463B7A">
        <w:rPr>
          <w:lang w:eastAsia="ar-SA"/>
        </w:rPr>
        <w:t>Coord</w:t>
      </w:r>
      <w:r w:rsidR="00A8775D">
        <w:rPr>
          <w:lang w:eastAsia="ar-SA"/>
        </w:rPr>
        <w:t>ination Centre.  If no contact was made, the participant wa</w:t>
      </w:r>
      <w:r w:rsidR="00CC20D2">
        <w:rPr>
          <w:lang w:eastAsia="ar-SA"/>
        </w:rPr>
        <w:t>s placed on two-</w:t>
      </w:r>
      <w:r w:rsidRPr="00463B7A">
        <w:rPr>
          <w:lang w:eastAsia="ar-SA"/>
        </w:rPr>
        <w:t>year recall and remains on the BSP Register.  A part</w:t>
      </w:r>
      <w:r w:rsidR="00A8775D">
        <w:rPr>
          <w:lang w:eastAsia="ar-SA"/>
        </w:rPr>
        <w:t>icipant with a positive iFOBT could</w:t>
      </w:r>
      <w:r w:rsidRPr="00463B7A">
        <w:rPr>
          <w:lang w:eastAsia="ar-SA"/>
        </w:rPr>
        <w:t xml:space="preserve"> have a colonoscopy at any time in the future.  </w:t>
      </w:r>
    </w:p>
    <w:p w:rsidR="00D31409" w:rsidRDefault="00D31409" w:rsidP="00D31409">
      <w:pPr>
        <w:rPr>
          <w:lang w:eastAsia="ar-SA"/>
        </w:rPr>
      </w:pPr>
      <w:r w:rsidRPr="00463B7A">
        <w:rPr>
          <w:lang w:eastAsia="ar-SA"/>
        </w:rPr>
        <w:t>For a negative</w:t>
      </w:r>
      <w:r w:rsidRPr="00CF57F1">
        <w:rPr>
          <w:lang w:eastAsia="ar-SA"/>
        </w:rPr>
        <w:t xml:space="preserve"> iFOBT result, participants </w:t>
      </w:r>
      <w:r w:rsidR="00F873CE">
        <w:rPr>
          <w:lang w:eastAsia="ar-SA"/>
        </w:rPr>
        <w:t>we</w:t>
      </w:r>
      <w:r w:rsidRPr="00CF57F1">
        <w:rPr>
          <w:lang w:eastAsia="ar-SA"/>
        </w:rPr>
        <w:t xml:space="preserve">re notified in writing by the </w:t>
      </w:r>
      <w:r w:rsidR="00F873CE">
        <w:rPr>
          <w:lang w:eastAsia="ar-SA"/>
        </w:rPr>
        <w:t xml:space="preserve">BSP </w:t>
      </w:r>
      <w:r w:rsidRPr="00CF57F1">
        <w:rPr>
          <w:lang w:eastAsia="ar-SA"/>
        </w:rPr>
        <w:t xml:space="preserve">Coordination Centre within 15 working days of the result being received on the BSP Register.  They </w:t>
      </w:r>
      <w:r w:rsidR="00F873CE">
        <w:rPr>
          <w:lang w:eastAsia="ar-SA"/>
        </w:rPr>
        <w:t>we</w:t>
      </w:r>
      <w:r w:rsidRPr="00CF57F1">
        <w:rPr>
          <w:lang w:eastAsia="ar-SA"/>
        </w:rPr>
        <w:t xml:space="preserve">re advised they </w:t>
      </w:r>
      <w:r w:rsidR="00F873CE">
        <w:rPr>
          <w:lang w:eastAsia="ar-SA"/>
        </w:rPr>
        <w:t xml:space="preserve">would </w:t>
      </w:r>
      <w:r w:rsidRPr="00CF57F1">
        <w:rPr>
          <w:lang w:eastAsia="ar-SA"/>
        </w:rPr>
        <w:t xml:space="preserve">be recalled to screening in two years, if still eligible.  GPs </w:t>
      </w:r>
      <w:r w:rsidR="00F873CE">
        <w:rPr>
          <w:lang w:eastAsia="ar-SA"/>
        </w:rPr>
        <w:t>we</w:t>
      </w:r>
      <w:r w:rsidRPr="00CF57F1">
        <w:rPr>
          <w:lang w:eastAsia="ar-SA"/>
        </w:rPr>
        <w:t xml:space="preserve">re sent negative results but </w:t>
      </w:r>
      <w:r w:rsidR="00F873CE">
        <w:rPr>
          <w:lang w:eastAsia="ar-SA"/>
        </w:rPr>
        <w:t>we</w:t>
      </w:r>
      <w:r w:rsidRPr="00CF57F1">
        <w:rPr>
          <w:lang w:eastAsia="ar-SA"/>
        </w:rPr>
        <w:t>re not required to do anything.</w:t>
      </w:r>
    </w:p>
    <w:p w:rsidR="00D31409" w:rsidRPr="00CF57F1" w:rsidRDefault="00D31409" w:rsidP="00D31409">
      <w:pPr>
        <w:rPr>
          <w:lang w:eastAsia="ar-SA"/>
        </w:rPr>
      </w:pPr>
      <w:r w:rsidRPr="00463B7A">
        <w:rPr>
          <w:lang w:eastAsia="ar-SA"/>
        </w:rPr>
        <w:t xml:space="preserve">If the sample </w:t>
      </w:r>
      <w:r w:rsidR="00F873CE">
        <w:rPr>
          <w:lang w:eastAsia="ar-SA"/>
        </w:rPr>
        <w:t>wa</w:t>
      </w:r>
      <w:r w:rsidRPr="00463B7A">
        <w:rPr>
          <w:lang w:eastAsia="ar-SA"/>
        </w:rPr>
        <w:t>s spoilt</w:t>
      </w:r>
      <w:r w:rsidRPr="00697D47">
        <w:rPr>
          <w:rStyle w:val="FootnoteReference"/>
        </w:rPr>
        <w:footnoteReference w:id="6"/>
      </w:r>
      <w:r w:rsidRPr="00463B7A">
        <w:rPr>
          <w:lang w:eastAsia="ar-SA"/>
        </w:rPr>
        <w:t xml:space="preserve"> or documentation </w:t>
      </w:r>
      <w:r w:rsidR="00F873CE">
        <w:rPr>
          <w:lang w:eastAsia="ar-SA"/>
        </w:rPr>
        <w:t>wa</w:t>
      </w:r>
      <w:r w:rsidRPr="00463B7A">
        <w:rPr>
          <w:lang w:eastAsia="ar-SA"/>
        </w:rPr>
        <w:t>s in</w:t>
      </w:r>
      <w:r w:rsidR="00F873CE">
        <w:rPr>
          <w:lang w:eastAsia="ar-SA"/>
        </w:rPr>
        <w:t xml:space="preserve">complete, </w:t>
      </w:r>
      <w:r w:rsidR="002834B6">
        <w:rPr>
          <w:lang w:eastAsia="ar-SA"/>
        </w:rPr>
        <w:t xml:space="preserve">the laboratory informed the BSP Coordination Centre and </w:t>
      </w:r>
      <w:r w:rsidR="00F873CE">
        <w:rPr>
          <w:lang w:eastAsia="ar-SA"/>
        </w:rPr>
        <w:t>spoilt kit follow-up wa</w:t>
      </w:r>
      <w:r w:rsidRPr="00463B7A">
        <w:rPr>
          <w:lang w:eastAsia="ar-SA"/>
        </w:rPr>
        <w:t>s triggered</w:t>
      </w:r>
      <w:r w:rsidR="00B360F8">
        <w:rPr>
          <w:lang w:eastAsia="ar-SA"/>
        </w:rPr>
        <w:t xml:space="preserve">. </w:t>
      </w:r>
      <w:r w:rsidRPr="00463B7A">
        <w:rPr>
          <w:lang w:eastAsia="ar-SA"/>
        </w:rPr>
        <w:t xml:space="preserve"> Māori, Pacific and Asian people </w:t>
      </w:r>
      <w:r w:rsidR="00F873CE">
        <w:rPr>
          <w:lang w:eastAsia="ar-SA"/>
        </w:rPr>
        <w:t>we</w:t>
      </w:r>
      <w:r w:rsidRPr="00463B7A">
        <w:rPr>
          <w:lang w:eastAsia="ar-SA"/>
        </w:rPr>
        <w:t xml:space="preserve">re followed up with a phone call (if a number </w:t>
      </w:r>
      <w:r w:rsidR="00E25EE6">
        <w:rPr>
          <w:lang w:eastAsia="ar-SA"/>
        </w:rPr>
        <w:t>was available</w:t>
      </w:r>
      <w:r w:rsidRPr="00463B7A">
        <w:rPr>
          <w:lang w:eastAsia="ar-SA"/>
        </w:rPr>
        <w:t>) or letter the first time they return</w:t>
      </w:r>
      <w:r w:rsidR="00F873CE">
        <w:rPr>
          <w:lang w:eastAsia="ar-SA"/>
        </w:rPr>
        <w:t>ed</w:t>
      </w:r>
      <w:r w:rsidRPr="00463B7A">
        <w:rPr>
          <w:lang w:eastAsia="ar-SA"/>
        </w:rPr>
        <w:t xml:space="preserve"> a spoilt kit.  Other populations receive</w:t>
      </w:r>
      <w:r w:rsidR="00F873CE">
        <w:rPr>
          <w:lang w:eastAsia="ar-SA"/>
        </w:rPr>
        <w:t>d</w:t>
      </w:r>
      <w:r w:rsidRPr="00463B7A">
        <w:rPr>
          <w:lang w:eastAsia="ar-SA"/>
        </w:rPr>
        <w:t xml:space="preserve"> a secon</w:t>
      </w:r>
      <w:r w:rsidR="00F873CE">
        <w:rPr>
          <w:lang w:eastAsia="ar-SA"/>
        </w:rPr>
        <w:t>d test kit and a letter explain</w:t>
      </w:r>
      <w:r w:rsidR="004A10CD">
        <w:rPr>
          <w:lang w:eastAsia="ar-SA"/>
        </w:rPr>
        <w:t>ing</w:t>
      </w:r>
      <w:r w:rsidRPr="00463B7A">
        <w:rPr>
          <w:lang w:eastAsia="ar-SA"/>
        </w:rPr>
        <w:t xml:space="preserve"> their error, and if they return</w:t>
      </w:r>
      <w:r w:rsidR="00F873CE">
        <w:rPr>
          <w:lang w:eastAsia="ar-SA"/>
        </w:rPr>
        <w:t>ed</w:t>
      </w:r>
      <w:r w:rsidRPr="00463B7A">
        <w:rPr>
          <w:lang w:eastAsia="ar-SA"/>
        </w:rPr>
        <w:t xml:space="preserve"> a second spoilt kit they </w:t>
      </w:r>
      <w:r w:rsidR="00F873CE">
        <w:rPr>
          <w:lang w:eastAsia="ar-SA"/>
        </w:rPr>
        <w:t>we</w:t>
      </w:r>
      <w:r w:rsidRPr="00463B7A">
        <w:rPr>
          <w:lang w:eastAsia="ar-SA"/>
        </w:rPr>
        <w:t>re followed up with a phone call.</w:t>
      </w:r>
      <w:r w:rsidRPr="00CF57F1">
        <w:rPr>
          <w:lang w:eastAsia="ar-SA"/>
        </w:rPr>
        <w:t xml:space="preserve"> </w:t>
      </w:r>
    </w:p>
    <w:p w:rsidR="00D31409" w:rsidRDefault="00D31409" w:rsidP="00D31409">
      <w:pPr>
        <w:pStyle w:val="Heading3"/>
        <w:keepLines/>
        <w:rPr>
          <w:lang w:eastAsia="ar-SA"/>
        </w:rPr>
      </w:pPr>
      <w:r>
        <w:rPr>
          <w:lang w:eastAsia="ar-SA"/>
        </w:rPr>
        <w:t>Diagnostic testing: pre-assessment</w:t>
      </w:r>
    </w:p>
    <w:p w:rsidR="00D31409" w:rsidRPr="00CF57F1" w:rsidRDefault="00D31409" w:rsidP="00D31409">
      <w:pPr>
        <w:keepNext/>
        <w:keepLines/>
        <w:rPr>
          <w:lang w:eastAsia="ar-SA"/>
        </w:rPr>
      </w:pPr>
      <w:r w:rsidRPr="00CF57F1">
        <w:rPr>
          <w:lang w:eastAsia="ar-SA"/>
        </w:rPr>
        <w:t xml:space="preserve">All participants with positive iFOBT results </w:t>
      </w:r>
      <w:r w:rsidR="00F873CE">
        <w:rPr>
          <w:lang w:eastAsia="ar-SA"/>
        </w:rPr>
        <w:t>we</w:t>
      </w:r>
      <w:r w:rsidRPr="00CF57F1">
        <w:rPr>
          <w:lang w:eastAsia="ar-SA"/>
        </w:rPr>
        <w:t>re referred for a colonoscopy pre-assessment.  The pre-assessment provide</w:t>
      </w:r>
      <w:r w:rsidR="00F873CE">
        <w:rPr>
          <w:lang w:eastAsia="ar-SA"/>
        </w:rPr>
        <w:t>d</w:t>
      </w:r>
      <w:r w:rsidRPr="00CF57F1">
        <w:rPr>
          <w:lang w:eastAsia="ar-SA"/>
        </w:rPr>
        <w:t xml:space="preserve"> an opportunity to assess the participant’s fitness for the procedure as well as </w:t>
      </w:r>
      <w:r w:rsidR="00CC20D2">
        <w:rPr>
          <w:lang w:eastAsia="ar-SA"/>
        </w:rPr>
        <w:t>giving</w:t>
      </w:r>
      <w:r w:rsidRPr="00CF57F1">
        <w:rPr>
          <w:lang w:eastAsia="ar-SA"/>
        </w:rPr>
        <w:t xml:space="preserve"> the participant full information about colonoscopy.  Pre-assessments include</w:t>
      </w:r>
      <w:r w:rsidR="00F873CE">
        <w:rPr>
          <w:lang w:eastAsia="ar-SA"/>
        </w:rPr>
        <w:t>d</w:t>
      </w:r>
      <w:r w:rsidRPr="00CF57F1">
        <w:rPr>
          <w:lang w:eastAsia="ar-SA"/>
        </w:rPr>
        <w:t xml:space="preserve"> assessment of a participant’s medical conditions, bowel condition, discussion of the bowel preparation process, and checking for cultural, mobility or transport problems.  If an interpreter </w:t>
      </w:r>
      <w:r w:rsidR="00F873CE">
        <w:rPr>
          <w:lang w:eastAsia="ar-SA"/>
        </w:rPr>
        <w:t>was needed, this wa</w:t>
      </w:r>
      <w:r w:rsidRPr="00CF57F1">
        <w:rPr>
          <w:lang w:eastAsia="ar-SA"/>
        </w:rPr>
        <w:t>s noted on the pre-assessment form and the BSP administrator organise</w:t>
      </w:r>
      <w:r w:rsidR="00F873CE">
        <w:rPr>
          <w:lang w:eastAsia="ar-SA"/>
        </w:rPr>
        <w:t>d</w:t>
      </w:r>
      <w:r w:rsidRPr="00CF57F1">
        <w:rPr>
          <w:lang w:eastAsia="ar-SA"/>
        </w:rPr>
        <w:t xml:space="preserve"> an interpreter for the day of the procedure.</w:t>
      </w:r>
    </w:p>
    <w:p w:rsidR="00D31409" w:rsidRPr="00CF57F1" w:rsidRDefault="00D31409" w:rsidP="00D31409">
      <w:pPr>
        <w:rPr>
          <w:lang w:eastAsia="ar-SA"/>
        </w:rPr>
      </w:pPr>
      <w:r w:rsidRPr="00CF57F1">
        <w:rPr>
          <w:lang w:eastAsia="ar-SA"/>
        </w:rPr>
        <w:t xml:space="preserve">Pre-assessments </w:t>
      </w:r>
      <w:r w:rsidR="00F873CE">
        <w:rPr>
          <w:lang w:eastAsia="ar-SA"/>
        </w:rPr>
        <w:t>we</w:t>
      </w:r>
      <w:r w:rsidRPr="00CF57F1">
        <w:rPr>
          <w:lang w:eastAsia="ar-SA"/>
        </w:rPr>
        <w:t>re conducted over the phone</w:t>
      </w:r>
      <w:r>
        <w:rPr>
          <w:lang w:eastAsia="ar-SA"/>
        </w:rPr>
        <w:t xml:space="preserve"> </w:t>
      </w:r>
      <w:r w:rsidRPr="00CF57F1">
        <w:rPr>
          <w:lang w:eastAsia="ar-SA"/>
        </w:rPr>
        <w:t>by a CNS or endoscopy nurse.  If the CNS determine</w:t>
      </w:r>
      <w:r w:rsidR="00F873CE">
        <w:rPr>
          <w:lang w:eastAsia="ar-SA"/>
        </w:rPr>
        <w:t>d</w:t>
      </w:r>
      <w:r w:rsidRPr="00CF57F1">
        <w:rPr>
          <w:lang w:eastAsia="ar-SA"/>
        </w:rPr>
        <w:t xml:space="preserve"> a participant’s clinical condition require</w:t>
      </w:r>
      <w:r w:rsidR="00CC20D2">
        <w:rPr>
          <w:lang w:eastAsia="ar-SA"/>
        </w:rPr>
        <w:t>d</w:t>
      </w:r>
      <w:r w:rsidRPr="00CF57F1">
        <w:rPr>
          <w:lang w:eastAsia="ar-SA"/>
        </w:rPr>
        <w:t xml:space="preserve"> further investigation, the participant w</w:t>
      </w:r>
      <w:r w:rsidR="00F873CE">
        <w:rPr>
          <w:lang w:eastAsia="ar-SA"/>
        </w:rPr>
        <w:t xml:space="preserve">ould </w:t>
      </w:r>
      <w:r w:rsidRPr="00CF57F1">
        <w:rPr>
          <w:lang w:eastAsia="ar-SA"/>
        </w:rPr>
        <w:t xml:space="preserve">receive a pre-assessment outpatient consultation.  The CNS </w:t>
      </w:r>
      <w:r w:rsidR="00F873CE">
        <w:rPr>
          <w:lang w:eastAsia="ar-SA"/>
        </w:rPr>
        <w:t>would</w:t>
      </w:r>
      <w:r w:rsidRPr="00CF57F1">
        <w:rPr>
          <w:lang w:eastAsia="ar-SA"/>
        </w:rPr>
        <w:t xml:space="preserve"> arrange this with the participant and the </w:t>
      </w:r>
      <w:r w:rsidR="00892A47">
        <w:rPr>
          <w:lang w:eastAsia="ar-SA"/>
        </w:rPr>
        <w:t>Lead Endoscopist</w:t>
      </w:r>
      <w:r w:rsidRPr="00CF57F1">
        <w:rPr>
          <w:lang w:eastAsia="ar-SA"/>
        </w:rPr>
        <w:t xml:space="preserve">.  </w:t>
      </w:r>
    </w:p>
    <w:p w:rsidR="00D31409" w:rsidRPr="00CF57F1" w:rsidRDefault="00D31409" w:rsidP="00D31409">
      <w:pPr>
        <w:rPr>
          <w:lang w:eastAsia="ar-SA"/>
        </w:rPr>
      </w:pPr>
      <w:r w:rsidRPr="00CF57F1">
        <w:rPr>
          <w:lang w:eastAsia="ar-SA"/>
        </w:rPr>
        <w:t>If a participant decline</w:t>
      </w:r>
      <w:r w:rsidR="00F873CE">
        <w:rPr>
          <w:lang w:eastAsia="ar-SA"/>
        </w:rPr>
        <w:t>d</w:t>
      </w:r>
      <w:r w:rsidRPr="00CF57F1">
        <w:rPr>
          <w:lang w:eastAsia="ar-SA"/>
        </w:rPr>
        <w:t xml:space="preserve"> a colonoscopy after a positive iFOBT, the participant </w:t>
      </w:r>
      <w:r w:rsidR="00AA0187">
        <w:rPr>
          <w:lang w:eastAsia="ar-SA"/>
        </w:rPr>
        <w:t>(</w:t>
      </w:r>
      <w:r w:rsidRPr="00CF57F1">
        <w:rPr>
          <w:lang w:eastAsia="ar-SA"/>
        </w:rPr>
        <w:t>and the</w:t>
      </w:r>
      <w:r w:rsidR="00AA0187">
        <w:rPr>
          <w:lang w:eastAsia="ar-SA"/>
        </w:rPr>
        <w:t>ir</w:t>
      </w:r>
      <w:r w:rsidRPr="00CF57F1">
        <w:rPr>
          <w:lang w:eastAsia="ar-SA"/>
        </w:rPr>
        <w:t xml:space="preserve"> GP</w:t>
      </w:r>
      <w:r w:rsidR="00AA0187">
        <w:rPr>
          <w:lang w:eastAsia="ar-SA"/>
        </w:rPr>
        <w:t>)</w:t>
      </w:r>
      <w:r w:rsidRPr="00CF57F1">
        <w:rPr>
          <w:lang w:eastAsia="ar-SA"/>
        </w:rPr>
        <w:t xml:space="preserve"> </w:t>
      </w:r>
      <w:r w:rsidR="00F873CE">
        <w:rPr>
          <w:lang w:eastAsia="ar-SA"/>
        </w:rPr>
        <w:t xml:space="preserve">would </w:t>
      </w:r>
      <w:r w:rsidRPr="00CF57F1">
        <w:rPr>
          <w:lang w:eastAsia="ar-SA"/>
        </w:rPr>
        <w:t xml:space="preserve">receive a letter to confirm this decision, and </w:t>
      </w:r>
      <w:r w:rsidR="00F873CE">
        <w:rPr>
          <w:lang w:eastAsia="ar-SA"/>
        </w:rPr>
        <w:t>w</w:t>
      </w:r>
      <w:r w:rsidR="00AA0187">
        <w:rPr>
          <w:lang w:eastAsia="ar-SA"/>
        </w:rPr>
        <w:t>as</w:t>
      </w:r>
      <w:r w:rsidR="00F873CE">
        <w:rPr>
          <w:lang w:eastAsia="ar-SA"/>
        </w:rPr>
        <w:t xml:space="preserve"> </w:t>
      </w:r>
      <w:r w:rsidRPr="00CF57F1">
        <w:rPr>
          <w:lang w:eastAsia="ar-SA"/>
        </w:rPr>
        <w:t>inform</w:t>
      </w:r>
      <w:r w:rsidR="00F873CE">
        <w:rPr>
          <w:lang w:eastAsia="ar-SA"/>
        </w:rPr>
        <w:t>ed</w:t>
      </w:r>
      <w:r w:rsidRPr="00CF57F1">
        <w:rPr>
          <w:lang w:eastAsia="ar-SA"/>
        </w:rPr>
        <w:t xml:space="preserve"> that the</w:t>
      </w:r>
      <w:r w:rsidR="00AA0187">
        <w:rPr>
          <w:lang w:eastAsia="ar-SA"/>
        </w:rPr>
        <w:t>y</w:t>
      </w:r>
      <w:r w:rsidRPr="00CF57F1">
        <w:rPr>
          <w:lang w:eastAsia="ar-SA"/>
        </w:rPr>
        <w:t xml:space="preserve"> may contact the BSP or the</w:t>
      </w:r>
      <w:r w:rsidR="00AA0187">
        <w:rPr>
          <w:lang w:eastAsia="ar-SA"/>
        </w:rPr>
        <w:t>ir GP at any time in the future</w:t>
      </w:r>
      <w:r w:rsidRPr="00CF57F1">
        <w:rPr>
          <w:lang w:eastAsia="ar-SA"/>
        </w:rPr>
        <w:t xml:space="preserve"> if they wish</w:t>
      </w:r>
      <w:r w:rsidR="00F873CE">
        <w:rPr>
          <w:lang w:eastAsia="ar-SA"/>
        </w:rPr>
        <w:t>ed</w:t>
      </w:r>
      <w:r w:rsidRPr="00CF57F1">
        <w:rPr>
          <w:lang w:eastAsia="ar-SA"/>
        </w:rPr>
        <w:t xml:space="preserve"> to have the procedure.  Otherwise they w</w:t>
      </w:r>
      <w:r w:rsidR="00F873CE">
        <w:rPr>
          <w:lang w:eastAsia="ar-SA"/>
        </w:rPr>
        <w:t xml:space="preserve">ould </w:t>
      </w:r>
      <w:r w:rsidRPr="00CF57F1">
        <w:rPr>
          <w:lang w:eastAsia="ar-SA"/>
        </w:rPr>
        <w:t xml:space="preserve">be re-invited to participate in the </w:t>
      </w:r>
      <w:r>
        <w:rPr>
          <w:lang w:eastAsia="ar-SA"/>
        </w:rPr>
        <w:t>p</w:t>
      </w:r>
      <w:r w:rsidRPr="00CF57F1">
        <w:rPr>
          <w:lang w:eastAsia="ar-SA"/>
        </w:rPr>
        <w:t xml:space="preserve">ilot in two years. </w:t>
      </w:r>
    </w:p>
    <w:p w:rsidR="00D31409" w:rsidRPr="00CF57F1" w:rsidRDefault="00D31409" w:rsidP="00D31409">
      <w:pPr>
        <w:rPr>
          <w:lang w:eastAsia="ar-SA"/>
        </w:rPr>
      </w:pPr>
      <w:r w:rsidRPr="00CF57F1">
        <w:rPr>
          <w:lang w:eastAsia="ar-SA"/>
        </w:rPr>
        <w:t xml:space="preserve">Participants deemed fit for colonoscopy </w:t>
      </w:r>
      <w:r w:rsidR="00F873CE">
        <w:rPr>
          <w:lang w:eastAsia="ar-SA"/>
        </w:rPr>
        <w:t>we</w:t>
      </w:r>
      <w:r w:rsidRPr="00CF57F1">
        <w:rPr>
          <w:lang w:eastAsia="ar-SA"/>
        </w:rPr>
        <w:t>re offered an appointment for the procedure during t</w:t>
      </w:r>
      <w:r w:rsidR="00F873CE">
        <w:rPr>
          <w:lang w:eastAsia="ar-SA"/>
        </w:rPr>
        <w:t>he pre-assessment. Colonoscopy had to</w:t>
      </w:r>
      <w:r w:rsidRPr="00CF57F1">
        <w:rPr>
          <w:lang w:eastAsia="ar-SA"/>
        </w:rPr>
        <w:t xml:space="preserve"> be completed within 5</w:t>
      </w:r>
      <w:r>
        <w:rPr>
          <w:lang w:eastAsia="ar-SA"/>
        </w:rPr>
        <w:t>5</w:t>
      </w:r>
      <w:r w:rsidRPr="00CF57F1">
        <w:rPr>
          <w:lang w:eastAsia="ar-SA"/>
        </w:rPr>
        <w:t xml:space="preserve"> working days of the positive iFOBT result. Participants not deemed fit for colonoscopy (and those who ha</w:t>
      </w:r>
      <w:r w:rsidR="00AA0187">
        <w:rPr>
          <w:lang w:eastAsia="ar-SA"/>
        </w:rPr>
        <w:t>d</w:t>
      </w:r>
      <w:r w:rsidRPr="00CF57F1">
        <w:rPr>
          <w:lang w:eastAsia="ar-SA"/>
        </w:rPr>
        <w:t xml:space="preserve"> </w:t>
      </w:r>
      <w:r w:rsidR="002834B6" w:rsidRPr="00CF57F1">
        <w:rPr>
          <w:lang w:eastAsia="ar-SA"/>
        </w:rPr>
        <w:t xml:space="preserve">a </w:t>
      </w:r>
      <w:r w:rsidRPr="00CF57F1">
        <w:rPr>
          <w:lang w:eastAsia="ar-SA"/>
        </w:rPr>
        <w:t xml:space="preserve">failed colonoscopy) </w:t>
      </w:r>
      <w:r w:rsidR="00F873CE">
        <w:rPr>
          <w:lang w:eastAsia="ar-SA"/>
        </w:rPr>
        <w:t>we</w:t>
      </w:r>
      <w:r w:rsidRPr="00CF57F1">
        <w:rPr>
          <w:lang w:eastAsia="ar-SA"/>
        </w:rPr>
        <w:t xml:space="preserve">re referred for an alternative diagnostic investigation, </w:t>
      </w:r>
      <w:r w:rsidR="005E5F14" w:rsidRPr="003A598E">
        <w:rPr>
          <w:lang w:val="en-US"/>
        </w:rPr>
        <w:t>Computerised Tomographic Colonography</w:t>
      </w:r>
      <w:r w:rsidR="005E5F14" w:rsidRPr="00CF57F1">
        <w:rPr>
          <w:lang w:eastAsia="ar-SA"/>
        </w:rPr>
        <w:t xml:space="preserve"> </w:t>
      </w:r>
      <w:r w:rsidR="005E5F14">
        <w:rPr>
          <w:lang w:eastAsia="ar-SA"/>
        </w:rPr>
        <w:t>(</w:t>
      </w:r>
      <w:r w:rsidRPr="00CF57F1">
        <w:rPr>
          <w:lang w:eastAsia="ar-SA"/>
        </w:rPr>
        <w:t>CTC</w:t>
      </w:r>
      <w:r w:rsidR="005E5F14">
        <w:rPr>
          <w:lang w:eastAsia="ar-SA"/>
        </w:rPr>
        <w:t xml:space="preserve">) </w:t>
      </w:r>
      <w:r>
        <w:rPr>
          <w:lang w:eastAsia="ar-SA"/>
        </w:rPr>
        <w:t xml:space="preserve">or </w:t>
      </w:r>
      <w:r w:rsidRPr="00B57F6C">
        <w:t xml:space="preserve">to have a colonoscopy under </w:t>
      </w:r>
      <w:r>
        <w:t>g</w:t>
      </w:r>
      <w:r w:rsidRPr="00B57F6C">
        <w:t xml:space="preserve">eneral </w:t>
      </w:r>
      <w:r>
        <w:t>a</w:t>
      </w:r>
      <w:r w:rsidRPr="00B57F6C">
        <w:t>naesthetic</w:t>
      </w:r>
      <w:r w:rsidRPr="00CF57F1">
        <w:rPr>
          <w:lang w:eastAsia="ar-SA"/>
        </w:rPr>
        <w:t>.</w:t>
      </w:r>
    </w:p>
    <w:p w:rsidR="00D31409" w:rsidRPr="00CF57F1" w:rsidRDefault="00D31409" w:rsidP="00D31409">
      <w:pPr>
        <w:rPr>
          <w:lang w:eastAsia="ar-SA"/>
        </w:rPr>
      </w:pPr>
      <w:r w:rsidRPr="00CF57F1">
        <w:rPr>
          <w:lang w:eastAsia="ar-SA"/>
        </w:rPr>
        <w:t>Participants assessed as high</w:t>
      </w:r>
      <w:r>
        <w:rPr>
          <w:lang w:eastAsia="ar-SA"/>
        </w:rPr>
        <w:t xml:space="preserve"> </w:t>
      </w:r>
      <w:r w:rsidRPr="00CF57F1">
        <w:rPr>
          <w:lang w:eastAsia="ar-SA"/>
        </w:rPr>
        <w:t>risk for colonoscopy (e.g. on Warfarin medication) require</w:t>
      </w:r>
      <w:r w:rsidR="00F873CE">
        <w:rPr>
          <w:lang w:eastAsia="ar-SA"/>
        </w:rPr>
        <w:t>d</w:t>
      </w:r>
      <w:r w:rsidRPr="00CF57F1">
        <w:rPr>
          <w:lang w:eastAsia="ar-SA"/>
        </w:rPr>
        <w:t xml:space="preserve"> certain precautions to be taken to minimise risk during the procedure. Participants </w:t>
      </w:r>
      <w:r w:rsidR="00F873CE">
        <w:rPr>
          <w:lang w:eastAsia="ar-SA"/>
        </w:rPr>
        <w:t>could</w:t>
      </w:r>
      <w:r w:rsidRPr="00CF57F1">
        <w:rPr>
          <w:lang w:eastAsia="ar-SA"/>
        </w:rPr>
        <w:t xml:space="preserve"> also be deemed high</w:t>
      </w:r>
      <w:r>
        <w:rPr>
          <w:lang w:eastAsia="ar-SA"/>
        </w:rPr>
        <w:t xml:space="preserve"> </w:t>
      </w:r>
      <w:r w:rsidRPr="00CF57F1">
        <w:rPr>
          <w:lang w:eastAsia="ar-SA"/>
        </w:rPr>
        <w:t xml:space="preserve">risk due to a significant </w:t>
      </w:r>
      <w:r w:rsidRPr="00CF57F1">
        <w:t>co-morbidity</w:t>
      </w:r>
      <w:r w:rsidRPr="00CF57F1">
        <w:rPr>
          <w:lang w:eastAsia="ar-SA"/>
        </w:rPr>
        <w:t xml:space="preserve">. In this situation, the </w:t>
      </w:r>
      <w:r w:rsidR="00206E72">
        <w:rPr>
          <w:lang w:eastAsia="ar-SA"/>
        </w:rPr>
        <w:t>WHEU</w:t>
      </w:r>
      <w:r w:rsidRPr="00CF57F1">
        <w:rPr>
          <w:lang w:eastAsia="ar-SA"/>
        </w:rPr>
        <w:t xml:space="preserve"> coordinate</w:t>
      </w:r>
      <w:r w:rsidR="00F873CE">
        <w:rPr>
          <w:lang w:eastAsia="ar-SA"/>
        </w:rPr>
        <w:t>d</w:t>
      </w:r>
      <w:r w:rsidRPr="00CF57F1">
        <w:rPr>
          <w:lang w:eastAsia="ar-SA"/>
        </w:rPr>
        <w:t xml:space="preserve"> a multi-disciplinary discussion and facilitate</w:t>
      </w:r>
      <w:r w:rsidR="00F873CE">
        <w:rPr>
          <w:lang w:eastAsia="ar-SA"/>
        </w:rPr>
        <w:t>d</w:t>
      </w:r>
      <w:r w:rsidRPr="00CF57F1">
        <w:rPr>
          <w:lang w:eastAsia="ar-SA"/>
        </w:rPr>
        <w:t xml:space="preserve"> a decision on</w:t>
      </w:r>
      <w:r w:rsidR="00F873CE">
        <w:rPr>
          <w:lang w:eastAsia="ar-SA"/>
        </w:rPr>
        <w:t xml:space="preserve"> appropriate management, and ke</w:t>
      </w:r>
      <w:r w:rsidRPr="00CF57F1">
        <w:rPr>
          <w:lang w:eastAsia="ar-SA"/>
        </w:rPr>
        <w:t>p</w:t>
      </w:r>
      <w:r w:rsidR="00F873CE">
        <w:rPr>
          <w:lang w:eastAsia="ar-SA"/>
        </w:rPr>
        <w:t>t</w:t>
      </w:r>
      <w:r w:rsidRPr="00CF57F1">
        <w:rPr>
          <w:lang w:eastAsia="ar-SA"/>
        </w:rPr>
        <w:t xml:space="preserve"> the participant’s GP involved in this process.</w:t>
      </w:r>
    </w:p>
    <w:p w:rsidR="00D31409" w:rsidRPr="00463B7A" w:rsidRDefault="00D31409" w:rsidP="00D31409">
      <w:pPr>
        <w:rPr>
          <w:lang w:eastAsia="ar-SA"/>
        </w:rPr>
      </w:pPr>
      <w:r w:rsidRPr="00463B7A">
        <w:rPr>
          <w:lang w:eastAsia="ar-SA"/>
        </w:rPr>
        <w:t>Participants assessed as fit and who consent</w:t>
      </w:r>
      <w:r w:rsidR="00F873CE">
        <w:rPr>
          <w:lang w:eastAsia="ar-SA"/>
        </w:rPr>
        <w:t>ed</w:t>
      </w:r>
      <w:r w:rsidRPr="00463B7A">
        <w:rPr>
          <w:lang w:eastAsia="ar-SA"/>
        </w:rPr>
        <w:t xml:space="preserve"> to colonoscopy </w:t>
      </w:r>
      <w:r w:rsidR="00F873CE">
        <w:rPr>
          <w:lang w:eastAsia="ar-SA"/>
        </w:rPr>
        <w:t>we</w:t>
      </w:r>
      <w:r w:rsidRPr="00463B7A">
        <w:rPr>
          <w:lang w:eastAsia="ar-SA"/>
        </w:rPr>
        <w:t>re sent an appointment letter which contain</w:t>
      </w:r>
      <w:r w:rsidR="00F873CE">
        <w:rPr>
          <w:lang w:eastAsia="ar-SA"/>
        </w:rPr>
        <w:t>ed</w:t>
      </w:r>
      <w:r w:rsidRPr="00463B7A">
        <w:rPr>
          <w:lang w:eastAsia="ar-SA"/>
        </w:rPr>
        <w:t>:</w:t>
      </w:r>
    </w:p>
    <w:p w:rsidR="00D31409" w:rsidRDefault="00D31409" w:rsidP="006179C7">
      <w:pPr>
        <w:pStyle w:val="Bullet"/>
        <w:numPr>
          <w:ilvl w:val="0"/>
          <w:numId w:val="10"/>
        </w:numPr>
        <w:tabs>
          <w:tab w:val="num" w:pos="2126"/>
          <w:tab w:val="num" w:pos="6663"/>
        </w:tabs>
        <w:ind w:left="1069"/>
        <w:rPr>
          <w:lang w:eastAsia="ar-SA"/>
        </w:rPr>
      </w:pPr>
      <w:r w:rsidRPr="00463B7A">
        <w:rPr>
          <w:lang w:eastAsia="ar-SA"/>
        </w:rPr>
        <w:t>written confirmation</w:t>
      </w:r>
      <w:r>
        <w:rPr>
          <w:lang w:eastAsia="ar-SA"/>
        </w:rPr>
        <w:t xml:space="preserve"> of their positive result</w:t>
      </w:r>
      <w:r w:rsidRPr="00697D47">
        <w:rPr>
          <w:rStyle w:val="FootnoteReference"/>
        </w:rPr>
        <w:footnoteReference w:id="7"/>
      </w:r>
    </w:p>
    <w:p w:rsidR="00D31409" w:rsidRDefault="00D31409" w:rsidP="006179C7">
      <w:pPr>
        <w:pStyle w:val="Bullet"/>
        <w:numPr>
          <w:ilvl w:val="0"/>
          <w:numId w:val="10"/>
        </w:numPr>
        <w:tabs>
          <w:tab w:val="num" w:pos="2126"/>
          <w:tab w:val="num" w:pos="6663"/>
        </w:tabs>
        <w:ind w:left="1069"/>
        <w:rPr>
          <w:lang w:eastAsia="ar-SA"/>
        </w:rPr>
      </w:pPr>
      <w:r>
        <w:rPr>
          <w:lang w:eastAsia="ar-SA"/>
        </w:rPr>
        <w:t xml:space="preserve">appointment date and time </w:t>
      </w:r>
    </w:p>
    <w:p w:rsidR="00D31409" w:rsidRPr="00CF57F1" w:rsidRDefault="00D31409" w:rsidP="006179C7">
      <w:pPr>
        <w:pStyle w:val="Bullet"/>
        <w:numPr>
          <w:ilvl w:val="0"/>
          <w:numId w:val="10"/>
        </w:numPr>
        <w:tabs>
          <w:tab w:val="num" w:pos="2126"/>
          <w:tab w:val="num" w:pos="6663"/>
        </w:tabs>
        <w:ind w:left="1069"/>
        <w:rPr>
          <w:lang w:eastAsia="ar-SA"/>
        </w:rPr>
      </w:pPr>
      <w:r w:rsidRPr="00CF57F1">
        <w:rPr>
          <w:lang w:eastAsia="ar-SA"/>
        </w:rPr>
        <w:t>information about bowel preparation and instructions</w:t>
      </w:r>
    </w:p>
    <w:p w:rsidR="00D31409" w:rsidRPr="00CF57F1" w:rsidRDefault="00D31409" w:rsidP="006179C7">
      <w:pPr>
        <w:pStyle w:val="Bullet"/>
        <w:numPr>
          <w:ilvl w:val="0"/>
          <w:numId w:val="10"/>
        </w:numPr>
        <w:tabs>
          <w:tab w:val="num" w:pos="2126"/>
          <w:tab w:val="num" w:pos="6663"/>
        </w:tabs>
        <w:ind w:left="1069"/>
        <w:rPr>
          <w:lang w:eastAsia="ar-SA"/>
        </w:rPr>
      </w:pPr>
      <w:r w:rsidRPr="00CF57F1">
        <w:rPr>
          <w:lang w:eastAsia="ar-SA"/>
        </w:rPr>
        <w:t>information about the procedure</w:t>
      </w:r>
    </w:p>
    <w:p w:rsidR="00D31409" w:rsidRPr="00CF57F1" w:rsidRDefault="00D31409" w:rsidP="006179C7">
      <w:pPr>
        <w:pStyle w:val="Bullet"/>
        <w:numPr>
          <w:ilvl w:val="0"/>
          <w:numId w:val="10"/>
        </w:numPr>
        <w:tabs>
          <w:tab w:val="num" w:pos="2126"/>
          <w:tab w:val="num" w:pos="6663"/>
        </w:tabs>
        <w:ind w:left="1069"/>
        <w:rPr>
          <w:lang w:eastAsia="ar-SA"/>
        </w:rPr>
      </w:pPr>
      <w:r w:rsidRPr="00CF57F1">
        <w:rPr>
          <w:lang w:eastAsia="ar-SA"/>
        </w:rPr>
        <w:t xml:space="preserve">details of culturally appropriate support </w:t>
      </w:r>
      <w:r>
        <w:rPr>
          <w:lang w:eastAsia="ar-SA"/>
        </w:rPr>
        <w:t>available</w:t>
      </w:r>
      <w:r w:rsidRPr="00CF57F1">
        <w:rPr>
          <w:lang w:eastAsia="ar-SA"/>
        </w:rPr>
        <w:t>, if required</w:t>
      </w:r>
    </w:p>
    <w:p w:rsidR="00D31409" w:rsidRPr="00CF57F1" w:rsidRDefault="00D31409" w:rsidP="006179C7">
      <w:pPr>
        <w:pStyle w:val="Bullet"/>
        <w:numPr>
          <w:ilvl w:val="0"/>
          <w:numId w:val="10"/>
        </w:numPr>
        <w:tabs>
          <w:tab w:val="num" w:pos="2126"/>
          <w:tab w:val="num" w:pos="6663"/>
        </w:tabs>
        <w:ind w:left="1069"/>
        <w:rPr>
          <w:lang w:eastAsia="ar-SA"/>
        </w:rPr>
      </w:pPr>
      <w:r w:rsidRPr="00CF57F1">
        <w:rPr>
          <w:lang w:eastAsia="ar-SA"/>
        </w:rPr>
        <w:t>information on links to local support services.</w:t>
      </w:r>
    </w:p>
    <w:p w:rsidR="00D31409" w:rsidRDefault="00D31409" w:rsidP="00D31409">
      <w:pPr>
        <w:pStyle w:val="Heading3"/>
        <w:rPr>
          <w:lang w:eastAsia="ar-SA"/>
        </w:rPr>
      </w:pPr>
      <w:r w:rsidRPr="006F24C3">
        <w:rPr>
          <w:lang w:eastAsia="ar-SA"/>
        </w:rPr>
        <w:t>Diagnostic testing: colonoscopy</w:t>
      </w:r>
    </w:p>
    <w:p w:rsidR="00D31409" w:rsidRDefault="00D31409" w:rsidP="00D31409">
      <w:pPr>
        <w:rPr>
          <w:lang w:eastAsia="ar-SA"/>
        </w:rPr>
      </w:pPr>
      <w:r>
        <w:rPr>
          <w:lang w:eastAsia="ar-SA"/>
        </w:rPr>
        <w:t xml:space="preserve">BSP colonoscopies </w:t>
      </w:r>
      <w:r w:rsidR="00F873CE">
        <w:rPr>
          <w:lang w:eastAsia="ar-SA"/>
        </w:rPr>
        <w:t>we</w:t>
      </w:r>
      <w:r>
        <w:rPr>
          <w:lang w:eastAsia="ar-SA"/>
        </w:rPr>
        <w:t>re undertaken at the WHEU.</w:t>
      </w:r>
      <w:r w:rsidR="00AA0187">
        <w:rPr>
          <w:rStyle w:val="FootnoteReference"/>
          <w:lang w:eastAsia="ar-SA"/>
        </w:rPr>
        <w:footnoteReference w:id="8"/>
      </w:r>
      <w:r w:rsidR="00AA0187">
        <w:rPr>
          <w:lang w:eastAsia="ar-SA"/>
        </w:rPr>
        <w:t xml:space="preserve"> </w:t>
      </w:r>
      <w:r>
        <w:rPr>
          <w:lang w:eastAsia="ar-SA"/>
        </w:rPr>
        <w:t xml:space="preserve"> The procedure</w:t>
      </w:r>
      <w:r w:rsidR="00F873CE">
        <w:rPr>
          <w:lang w:eastAsia="ar-SA"/>
        </w:rPr>
        <w:t xml:space="preserve"> was</w:t>
      </w:r>
      <w:r>
        <w:rPr>
          <w:lang w:eastAsia="ar-SA"/>
        </w:rPr>
        <w:t xml:space="preserve"> as follows:</w:t>
      </w:r>
    </w:p>
    <w:p w:rsidR="00D31409" w:rsidRDefault="00D31409" w:rsidP="006179C7">
      <w:pPr>
        <w:pStyle w:val="Bullet"/>
        <w:keepNext/>
        <w:keepLines/>
        <w:numPr>
          <w:ilvl w:val="0"/>
          <w:numId w:val="10"/>
        </w:numPr>
        <w:tabs>
          <w:tab w:val="num" w:pos="2126"/>
          <w:tab w:val="num" w:pos="6663"/>
        </w:tabs>
        <w:ind w:left="1069"/>
        <w:rPr>
          <w:lang w:eastAsia="ar-SA"/>
        </w:rPr>
      </w:pPr>
      <w:r>
        <w:rPr>
          <w:lang w:eastAsia="ar-SA"/>
        </w:rPr>
        <w:t>BSP participants arrive</w:t>
      </w:r>
      <w:r w:rsidR="00F873CE">
        <w:rPr>
          <w:lang w:eastAsia="ar-SA"/>
        </w:rPr>
        <w:t>d</w:t>
      </w:r>
      <w:r>
        <w:rPr>
          <w:lang w:eastAsia="ar-SA"/>
        </w:rPr>
        <w:t xml:space="preserve"> at the hospital and </w:t>
      </w:r>
      <w:r w:rsidR="00F873CE">
        <w:rPr>
          <w:lang w:eastAsia="ar-SA"/>
        </w:rPr>
        <w:t>we</w:t>
      </w:r>
      <w:r>
        <w:rPr>
          <w:lang w:eastAsia="ar-SA"/>
        </w:rPr>
        <w:t>re admitted as a day case.</w:t>
      </w:r>
    </w:p>
    <w:p w:rsidR="00D31409" w:rsidRDefault="00D31409" w:rsidP="006179C7">
      <w:pPr>
        <w:pStyle w:val="Bullet"/>
        <w:numPr>
          <w:ilvl w:val="0"/>
          <w:numId w:val="10"/>
        </w:numPr>
        <w:tabs>
          <w:tab w:val="num" w:pos="2126"/>
          <w:tab w:val="num" w:pos="6663"/>
        </w:tabs>
        <w:ind w:left="1069"/>
        <w:rPr>
          <w:lang w:eastAsia="ar-SA"/>
        </w:rPr>
      </w:pPr>
      <w:r>
        <w:rPr>
          <w:lang w:eastAsia="ar-SA"/>
        </w:rPr>
        <w:t xml:space="preserve">An endoscopy nurse </w:t>
      </w:r>
      <w:r w:rsidR="00F873CE">
        <w:rPr>
          <w:lang w:eastAsia="ar-SA"/>
        </w:rPr>
        <w:t xml:space="preserve">went </w:t>
      </w:r>
      <w:r>
        <w:rPr>
          <w:lang w:eastAsia="ar-SA"/>
        </w:rPr>
        <w:t>through the pre-procedure checklist with the participant.</w:t>
      </w:r>
    </w:p>
    <w:p w:rsidR="00D31409" w:rsidRDefault="00D31409" w:rsidP="006179C7">
      <w:pPr>
        <w:pStyle w:val="Bullet"/>
        <w:numPr>
          <w:ilvl w:val="0"/>
          <w:numId w:val="10"/>
        </w:numPr>
        <w:tabs>
          <w:tab w:val="num" w:pos="2126"/>
          <w:tab w:val="num" w:pos="6663"/>
        </w:tabs>
        <w:ind w:left="1069"/>
        <w:rPr>
          <w:lang w:eastAsia="ar-SA"/>
        </w:rPr>
      </w:pPr>
      <w:r>
        <w:rPr>
          <w:lang w:eastAsia="ar-SA"/>
        </w:rPr>
        <w:t>The endoscopist met with the participant to get their consent for the procedure.</w:t>
      </w:r>
    </w:p>
    <w:p w:rsidR="00D31409" w:rsidRDefault="00D31409" w:rsidP="006179C7">
      <w:pPr>
        <w:pStyle w:val="Bullet"/>
        <w:numPr>
          <w:ilvl w:val="0"/>
          <w:numId w:val="10"/>
        </w:numPr>
        <w:tabs>
          <w:tab w:val="num" w:pos="2126"/>
          <w:tab w:val="num" w:pos="6663"/>
        </w:tabs>
        <w:ind w:left="1069"/>
        <w:rPr>
          <w:lang w:eastAsia="ar-SA"/>
        </w:rPr>
      </w:pPr>
      <w:r>
        <w:rPr>
          <w:lang w:eastAsia="ar-SA"/>
        </w:rPr>
        <w:t xml:space="preserve">The participant’s nurse, who </w:t>
      </w:r>
      <w:r w:rsidR="00F873CE">
        <w:rPr>
          <w:lang w:eastAsia="ar-SA"/>
        </w:rPr>
        <w:t xml:space="preserve">would </w:t>
      </w:r>
      <w:r>
        <w:rPr>
          <w:lang w:eastAsia="ar-SA"/>
        </w:rPr>
        <w:t>be in the endoscopy room during the procedure, introduce</w:t>
      </w:r>
      <w:r w:rsidR="00B9236E">
        <w:rPr>
          <w:lang w:eastAsia="ar-SA"/>
        </w:rPr>
        <w:t>d</w:t>
      </w:r>
      <w:r>
        <w:rPr>
          <w:lang w:eastAsia="ar-SA"/>
        </w:rPr>
        <w:t xml:space="preserve"> themself, check</w:t>
      </w:r>
      <w:r w:rsidR="00B9236E">
        <w:rPr>
          <w:lang w:eastAsia="ar-SA"/>
        </w:rPr>
        <w:t>ed</w:t>
      </w:r>
      <w:r w:rsidR="00776F16">
        <w:rPr>
          <w:lang w:eastAsia="ar-SA"/>
        </w:rPr>
        <w:t xml:space="preserve"> the</w:t>
      </w:r>
      <w:r>
        <w:rPr>
          <w:lang w:eastAsia="ar-SA"/>
        </w:rPr>
        <w:t xml:space="preserve"> participant’s identity and br</w:t>
      </w:r>
      <w:r w:rsidR="00B9236E">
        <w:rPr>
          <w:lang w:eastAsia="ar-SA"/>
        </w:rPr>
        <w:t xml:space="preserve">ought </w:t>
      </w:r>
      <w:r>
        <w:rPr>
          <w:lang w:eastAsia="ar-SA"/>
        </w:rPr>
        <w:t>them into the endoscopy room.</w:t>
      </w:r>
    </w:p>
    <w:p w:rsidR="00D31409" w:rsidRDefault="00D31409" w:rsidP="006179C7">
      <w:pPr>
        <w:pStyle w:val="Bullet"/>
        <w:numPr>
          <w:ilvl w:val="0"/>
          <w:numId w:val="10"/>
        </w:numPr>
        <w:tabs>
          <w:tab w:val="num" w:pos="2126"/>
          <w:tab w:val="num" w:pos="6663"/>
        </w:tabs>
        <w:ind w:left="1069"/>
        <w:rPr>
          <w:lang w:eastAsia="ar-SA"/>
        </w:rPr>
      </w:pPr>
      <w:r>
        <w:rPr>
          <w:lang w:eastAsia="ar-SA"/>
        </w:rPr>
        <w:t xml:space="preserve">The colonoscopy </w:t>
      </w:r>
      <w:r w:rsidR="00B9236E">
        <w:rPr>
          <w:lang w:eastAsia="ar-SA"/>
        </w:rPr>
        <w:t>wa</w:t>
      </w:r>
      <w:r>
        <w:rPr>
          <w:lang w:eastAsia="ar-SA"/>
        </w:rPr>
        <w:t xml:space="preserve">s conducted under ‘conscious sedation’; usually there </w:t>
      </w:r>
      <w:r w:rsidR="00B9236E">
        <w:rPr>
          <w:lang w:eastAsia="ar-SA"/>
        </w:rPr>
        <w:t>we</w:t>
      </w:r>
      <w:r>
        <w:rPr>
          <w:lang w:eastAsia="ar-SA"/>
        </w:rPr>
        <w:t>re two nurses and an endoscopist in the room.</w:t>
      </w:r>
    </w:p>
    <w:p w:rsidR="00D31409" w:rsidRDefault="00B9236E" w:rsidP="006179C7">
      <w:pPr>
        <w:pStyle w:val="Bullet"/>
        <w:numPr>
          <w:ilvl w:val="0"/>
          <w:numId w:val="10"/>
        </w:numPr>
        <w:tabs>
          <w:tab w:val="num" w:pos="2126"/>
          <w:tab w:val="num" w:pos="6663"/>
        </w:tabs>
        <w:ind w:left="1069"/>
        <w:rPr>
          <w:lang w:eastAsia="ar-SA"/>
        </w:rPr>
      </w:pPr>
      <w:r>
        <w:rPr>
          <w:lang w:eastAsia="ar-SA"/>
        </w:rPr>
        <w:t>The participant wa</w:t>
      </w:r>
      <w:r w:rsidR="00D31409">
        <w:rPr>
          <w:lang w:eastAsia="ar-SA"/>
        </w:rPr>
        <w:t xml:space="preserve">s taken to </w:t>
      </w:r>
      <w:r w:rsidR="00AA0187">
        <w:rPr>
          <w:lang w:eastAsia="ar-SA"/>
        </w:rPr>
        <w:t>r</w:t>
      </w:r>
      <w:r w:rsidR="00D31409">
        <w:rPr>
          <w:lang w:eastAsia="ar-SA"/>
        </w:rPr>
        <w:t xml:space="preserve">ecovery where they </w:t>
      </w:r>
      <w:r>
        <w:rPr>
          <w:lang w:eastAsia="ar-SA"/>
        </w:rPr>
        <w:t>we</w:t>
      </w:r>
      <w:r w:rsidR="00D31409">
        <w:rPr>
          <w:lang w:eastAsia="ar-SA"/>
        </w:rPr>
        <w:t xml:space="preserve">re kept under observation for a period. </w:t>
      </w:r>
    </w:p>
    <w:p w:rsidR="00D31409" w:rsidRDefault="00D31409" w:rsidP="006179C7">
      <w:pPr>
        <w:pStyle w:val="Bullet"/>
        <w:numPr>
          <w:ilvl w:val="0"/>
          <w:numId w:val="10"/>
        </w:numPr>
        <w:tabs>
          <w:tab w:val="num" w:pos="2126"/>
          <w:tab w:val="num" w:pos="6663"/>
        </w:tabs>
        <w:ind w:left="1069"/>
        <w:rPr>
          <w:lang w:eastAsia="ar-SA"/>
        </w:rPr>
      </w:pPr>
      <w:r>
        <w:rPr>
          <w:lang w:eastAsia="ar-SA"/>
        </w:rPr>
        <w:t xml:space="preserve">The endoscopist usually met with the participant at this time to discuss the outcome of the colonoscopy; the endoscopist </w:t>
      </w:r>
      <w:r w:rsidR="00B9236E">
        <w:rPr>
          <w:lang w:eastAsia="ar-SA"/>
        </w:rPr>
        <w:t xml:space="preserve">would </w:t>
      </w:r>
      <w:r>
        <w:rPr>
          <w:lang w:eastAsia="ar-SA"/>
        </w:rPr>
        <w:t>always meet wit</w:t>
      </w:r>
      <w:r w:rsidR="00B9236E">
        <w:rPr>
          <w:lang w:eastAsia="ar-SA"/>
        </w:rPr>
        <w:t>h a participant if the outcome wa</w:t>
      </w:r>
      <w:r>
        <w:rPr>
          <w:lang w:eastAsia="ar-SA"/>
        </w:rPr>
        <w:t>s abnormal.</w:t>
      </w:r>
    </w:p>
    <w:p w:rsidR="00D31409" w:rsidRDefault="00D31409" w:rsidP="006179C7">
      <w:pPr>
        <w:pStyle w:val="Bullet"/>
        <w:numPr>
          <w:ilvl w:val="0"/>
          <w:numId w:val="10"/>
        </w:numPr>
        <w:tabs>
          <w:tab w:val="num" w:pos="2126"/>
          <w:tab w:val="num" w:pos="6663"/>
        </w:tabs>
        <w:ind w:left="1069"/>
        <w:rPr>
          <w:lang w:eastAsia="ar-SA"/>
        </w:rPr>
      </w:pPr>
      <w:r>
        <w:rPr>
          <w:lang w:eastAsia="ar-SA"/>
        </w:rPr>
        <w:t>The participant’s nurse reiterate</w:t>
      </w:r>
      <w:r w:rsidR="00B9236E">
        <w:rPr>
          <w:lang w:eastAsia="ar-SA"/>
        </w:rPr>
        <w:t>d</w:t>
      </w:r>
      <w:r>
        <w:rPr>
          <w:lang w:eastAsia="ar-SA"/>
        </w:rPr>
        <w:t xml:space="preserve"> the outcome and talk</w:t>
      </w:r>
      <w:r w:rsidR="00B9236E">
        <w:rPr>
          <w:lang w:eastAsia="ar-SA"/>
        </w:rPr>
        <w:t>ed</w:t>
      </w:r>
      <w:r>
        <w:rPr>
          <w:lang w:eastAsia="ar-SA"/>
        </w:rPr>
        <w:t xml:space="preserve"> with the participant about post-procedure risks and what they need</w:t>
      </w:r>
      <w:r w:rsidR="00B9236E">
        <w:rPr>
          <w:lang w:eastAsia="ar-SA"/>
        </w:rPr>
        <w:t>ed</w:t>
      </w:r>
      <w:r>
        <w:rPr>
          <w:lang w:eastAsia="ar-SA"/>
        </w:rPr>
        <w:t xml:space="preserve"> to do in the immediate post-procedure period.</w:t>
      </w:r>
    </w:p>
    <w:p w:rsidR="006C314B" w:rsidRPr="006C314B" w:rsidRDefault="006C314B" w:rsidP="006C314B">
      <w:pPr>
        <w:pStyle w:val="Bullet"/>
        <w:numPr>
          <w:ilvl w:val="0"/>
          <w:numId w:val="10"/>
        </w:numPr>
        <w:tabs>
          <w:tab w:val="num" w:pos="2126"/>
          <w:tab w:val="num" w:pos="6663"/>
        </w:tabs>
        <w:ind w:left="1069"/>
        <w:rPr>
          <w:lang w:eastAsia="ar-SA"/>
        </w:rPr>
      </w:pPr>
      <w:r>
        <w:rPr>
          <w:lang w:eastAsia="ar-SA"/>
        </w:rPr>
        <w:t xml:space="preserve">As sedation was given, the participant </w:t>
      </w:r>
      <w:r w:rsidR="00AA0187">
        <w:rPr>
          <w:lang w:eastAsia="ar-SA"/>
        </w:rPr>
        <w:t>wa</w:t>
      </w:r>
      <w:r>
        <w:rPr>
          <w:lang w:eastAsia="ar-SA"/>
        </w:rPr>
        <w:t xml:space="preserve">s taken home by their </w:t>
      </w:r>
      <w:r w:rsidRPr="006C314B">
        <w:rPr>
          <w:lang w:eastAsia="ar-SA"/>
        </w:rPr>
        <w:t xml:space="preserve">responsible adult </w:t>
      </w:r>
      <w:r>
        <w:rPr>
          <w:lang w:eastAsia="ar-SA"/>
        </w:rPr>
        <w:t xml:space="preserve">who </w:t>
      </w:r>
      <w:r w:rsidRPr="006C314B">
        <w:rPr>
          <w:lang w:eastAsia="ar-SA"/>
        </w:rPr>
        <w:t>remain</w:t>
      </w:r>
      <w:r w:rsidR="00AA0187">
        <w:rPr>
          <w:lang w:eastAsia="ar-SA"/>
        </w:rPr>
        <w:t>ed</w:t>
      </w:r>
      <w:r w:rsidRPr="006C314B">
        <w:rPr>
          <w:lang w:eastAsia="ar-SA"/>
        </w:rPr>
        <w:t xml:space="preserve"> with </w:t>
      </w:r>
      <w:r>
        <w:rPr>
          <w:lang w:eastAsia="ar-SA"/>
        </w:rPr>
        <w:t xml:space="preserve">the participant </w:t>
      </w:r>
      <w:r w:rsidRPr="006C314B">
        <w:rPr>
          <w:lang w:eastAsia="ar-SA"/>
        </w:rPr>
        <w:t>for the rest of the day.</w:t>
      </w:r>
    </w:p>
    <w:p w:rsidR="00D31409" w:rsidRDefault="00D31409" w:rsidP="00D31409">
      <w:pPr>
        <w:rPr>
          <w:lang w:val="en-US"/>
        </w:rPr>
      </w:pPr>
      <w:r w:rsidRPr="003F64CE">
        <w:rPr>
          <w:lang w:val="en-US"/>
        </w:rPr>
        <w:t xml:space="preserve">Both </w:t>
      </w:r>
      <w:r w:rsidR="009924DB">
        <w:rPr>
          <w:lang w:val="en-US"/>
        </w:rPr>
        <w:t xml:space="preserve">gastroenterologists </w:t>
      </w:r>
      <w:r w:rsidRPr="003F64CE">
        <w:rPr>
          <w:lang w:val="en-US"/>
        </w:rPr>
        <w:t>and surgeons undert</w:t>
      </w:r>
      <w:r w:rsidR="00B9236E">
        <w:rPr>
          <w:lang w:val="en-US"/>
        </w:rPr>
        <w:t>ook</w:t>
      </w:r>
      <w:r w:rsidRPr="003F64CE">
        <w:rPr>
          <w:lang w:val="en-US"/>
        </w:rPr>
        <w:t xml:space="preserve"> colonoscopies </w:t>
      </w:r>
      <w:r w:rsidR="00776F16">
        <w:rPr>
          <w:lang w:val="en-US"/>
        </w:rPr>
        <w:t>i</w:t>
      </w:r>
      <w:r w:rsidRPr="003F64CE">
        <w:rPr>
          <w:lang w:val="en-US"/>
        </w:rPr>
        <w:t xml:space="preserve">n the BSP.  </w:t>
      </w:r>
    </w:p>
    <w:p w:rsidR="00D31409" w:rsidRDefault="00D31409" w:rsidP="00D31409">
      <w:pPr>
        <w:pStyle w:val="Bullet"/>
        <w:numPr>
          <w:ilvl w:val="0"/>
          <w:numId w:val="0"/>
        </w:numPr>
        <w:ind w:left="709"/>
        <w:rPr>
          <w:lang w:eastAsia="ar-SA"/>
        </w:rPr>
      </w:pPr>
      <w:r w:rsidRPr="00A5772E">
        <w:rPr>
          <w:lang w:eastAsia="ar-SA"/>
        </w:rPr>
        <w:t xml:space="preserve">Participants with normal colonoscopies </w:t>
      </w:r>
      <w:r w:rsidR="00B9236E">
        <w:rPr>
          <w:lang w:eastAsia="ar-SA"/>
        </w:rPr>
        <w:t>we</w:t>
      </w:r>
      <w:r>
        <w:rPr>
          <w:lang w:eastAsia="ar-SA"/>
        </w:rPr>
        <w:t xml:space="preserve">re advised they </w:t>
      </w:r>
      <w:r w:rsidRPr="00A5772E">
        <w:rPr>
          <w:lang w:eastAsia="ar-SA"/>
        </w:rPr>
        <w:t>d</w:t>
      </w:r>
      <w:r w:rsidR="00776F16">
        <w:rPr>
          <w:lang w:eastAsia="ar-SA"/>
        </w:rPr>
        <w:t>id</w:t>
      </w:r>
      <w:r w:rsidRPr="00A5772E">
        <w:rPr>
          <w:lang w:eastAsia="ar-SA"/>
        </w:rPr>
        <w:t xml:space="preserve"> not need to undergo another iFOBT screening episode for five years and </w:t>
      </w:r>
      <w:r w:rsidR="00B9236E">
        <w:rPr>
          <w:lang w:eastAsia="ar-SA"/>
        </w:rPr>
        <w:t>we</w:t>
      </w:r>
      <w:r w:rsidRPr="00A5772E">
        <w:rPr>
          <w:lang w:eastAsia="ar-SA"/>
        </w:rPr>
        <w:t xml:space="preserve">re placed on </w:t>
      </w:r>
      <w:r w:rsidR="00AA0187">
        <w:rPr>
          <w:lang w:eastAsia="ar-SA"/>
        </w:rPr>
        <w:t>a five-</w:t>
      </w:r>
      <w:r w:rsidRPr="00A5772E">
        <w:rPr>
          <w:lang w:eastAsia="ar-SA"/>
        </w:rPr>
        <w:t>year recall on the Register</w:t>
      </w:r>
      <w:r>
        <w:rPr>
          <w:lang w:eastAsia="ar-SA"/>
        </w:rPr>
        <w:t xml:space="preserve">. Their GP </w:t>
      </w:r>
      <w:r w:rsidR="00B9236E">
        <w:rPr>
          <w:lang w:eastAsia="ar-SA"/>
        </w:rPr>
        <w:t>wa</w:t>
      </w:r>
      <w:r>
        <w:rPr>
          <w:lang w:eastAsia="ar-SA"/>
        </w:rPr>
        <w:t>s informed of this.</w:t>
      </w:r>
    </w:p>
    <w:p w:rsidR="00D31409" w:rsidRPr="00A5772E" w:rsidRDefault="002E0A4E" w:rsidP="00D31409">
      <w:pPr>
        <w:pStyle w:val="Bullet"/>
        <w:numPr>
          <w:ilvl w:val="0"/>
          <w:numId w:val="0"/>
        </w:numPr>
        <w:ind w:left="709"/>
        <w:rPr>
          <w:lang w:eastAsia="ar-SA"/>
        </w:rPr>
      </w:pPr>
      <w:r>
        <w:rPr>
          <w:lang w:eastAsia="ar-SA"/>
        </w:rPr>
        <w:t>Most p</w:t>
      </w:r>
      <w:r w:rsidR="00D31409" w:rsidRPr="00A5772E">
        <w:rPr>
          <w:lang w:eastAsia="ar-SA"/>
        </w:rPr>
        <w:t xml:space="preserve">articipants with </w:t>
      </w:r>
      <w:r w:rsidR="00D31409">
        <w:rPr>
          <w:lang w:eastAsia="ar-SA"/>
        </w:rPr>
        <w:t xml:space="preserve">a family history of bowel cancer </w:t>
      </w:r>
      <w:r w:rsidR="00B9236E">
        <w:rPr>
          <w:lang w:eastAsia="ar-SA"/>
        </w:rPr>
        <w:t>we</w:t>
      </w:r>
      <w:r w:rsidR="00D31409">
        <w:rPr>
          <w:lang w:eastAsia="ar-SA"/>
        </w:rPr>
        <w:t>re referred to the</w:t>
      </w:r>
      <w:r w:rsidR="00D31409" w:rsidRPr="00441ABF">
        <w:rPr>
          <w:lang w:eastAsia="ar-SA"/>
        </w:rPr>
        <w:t xml:space="preserve"> New Zealand Familial Gastrointestinal Cancer Registry</w:t>
      </w:r>
      <w:r w:rsidR="00D31409">
        <w:rPr>
          <w:lang w:eastAsia="ar-SA"/>
        </w:rPr>
        <w:t>, a</w:t>
      </w:r>
      <w:r w:rsidR="00D31409" w:rsidRPr="00441ABF">
        <w:rPr>
          <w:lang w:eastAsia="ar-SA"/>
        </w:rPr>
        <w:t xml:space="preserve"> service that offers assessment, diagnosis and surveillance of inherited gastrointestinal cancer syndromes</w:t>
      </w:r>
      <w:r w:rsidR="00D31409">
        <w:rPr>
          <w:lang w:eastAsia="ar-SA"/>
        </w:rPr>
        <w:t>.</w:t>
      </w:r>
    </w:p>
    <w:p w:rsidR="00D31409" w:rsidRDefault="00D31409" w:rsidP="00D31409">
      <w:pPr>
        <w:pStyle w:val="Heading3"/>
        <w:rPr>
          <w:lang w:eastAsia="ar-SA"/>
        </w:rPr>
      </w:pPr>
      <w:bookmarkStart w:id="39" w:name="_Toc376617524"/>
      <w:r w:rsidRPr="006F24C3">
        <w:rPr>
          <w:lang w:eastAsia="ar-SA"/>
        </w:rPr>
        <w:t xml:space="preserve">Diagnostic testing: </w:t>
      </w:r>
      <w:r>
        <w:rPr>
          <w:lang w:eastAsia="ar-SA"/>
        </w:rPr>
        <w:t>histopathology</w:t>
      </w:r>
      <w:bookmarkEnd w:id="39"/>
      <w:r>
        <w:rPr>
          <w:lang w:eastAsia="ar-SA"/>
        </w:rPr>
        <w:t xml:space="preserve"> </w:t>
      </w:r>
    </w:p>
    <w:p w:rsidR="00D31409" w:rsidRPr="000E2360" w:rsidRDefault="00D31409" w:rsidP="00D31409">
      <w:pPr>
        <w:rPr>
          <w:lang w:eastAsia="ar-SA"/>
        </w:rPr>
      </w:pPr>
      <w:r w:rsidRPr="00EA1F0D">
        <w:t xml:space="preserve">LabPLUS </w:t>
      </w:r>
      <w:r w:rsidR="00B9236E">
        <w:t>wa</w:t>
      </w:r>
      <w:r w:rsidRPr="00EA1F0D">
        <w:t>s required to provide histopathology results within ten working days.</w:t>
      </w:r>
      <w:r>
        <w:rPr>
          <w:b/>
        </w:rPr>
        <w:t xml:space="preserve">  </w:t>
      </w:r>
      <w:r w:rsidRPr="000E2360">
        <w:rPr>
          <w:lang w:eastAsia="ar-SA"/>
        </w:rPr>
        <w:t>LabPLUS report</w:t>
      </w:r>
      <w:r w:rsidR="00B9236E">
        <w:rPr>
          <w:lang w:eastAsia="ar-SA"/>
        </w:rPr>
        <w:t>ed</w:t>
      </w:r>
      <w:r w:rsidRPr="000E2360">
        <w:rPr>
          <w:lang w:eastAsia="ar-SA"/>
        </w:rPr>
        <w:t xml:space="preserve"> histopathology results</w:t>
      </w:r>
      <w:r>
        <w:rPr>
          <w:lang w:eastAsia="ar-SA"/>
        </w:rPr>
        <w:t xml:space="preserve"> </w:t>
      </w:r>
      <w:r w:rsidRPr="000E2360">
        <w:rPr>
          <w:lang w:eastAsia="ar-SA"/>
        </w:rPr>
        <w:t>directly into Concerto (the WDHB</w:t>
      </w:r>
      <w:r>
        <w:rPr>
          <w:lang w:eastAsia="ar-SA"/>
        </w:rPr>
        <w:t xml:space="preserve"> patient record system) </w:t>
      </w:r>
      <w:r w:rsidRPr="000E2360">
        <w:rPr>
          <w:lang w:eastAsia="ar-SA"/>
        </w:rPr>
        <w:t xml:space="preserve">using a </w:t>
      </w:r>
      <w:r>
        <w:rPr>
          <w:lang w:eastAsia="ar-SA"/>
        </w:rPr>
        <w:t xml:space="preserve">standardised BSP reporting template. </w:t>
      </w:r>
    </w:p>
    <w:p w:rsidR="00D31409" w:rsidRPr="005B5541" w:rsidRDefault="00D31409" w:rsidP="00D31409">
      <w:pPr>
        <w:rPr>
          <w:lang w:eastAsia="ar-SA"/>
        </w:rPr>
      </w:pPr>
      <w:r>
        <w:t xml:space="preserve">From 2013, the CNS has </w:t>
      </w:r>
      <w:r w:rsidR="00B9236E">
        <w:t>reviewed</w:t>
      </w:r>
      <w:r>
        <w:t xml:space="preserve"> the colonoscopy reports and the histopatholgy results and advise</w:t>
      </w:r>
      <w:r w:rsidR="00B9236E">
        <w:t>d</w:t>
      </w:r>
      <w:r>
        <w:t xml:space="preserve"> the BSP administrator of the correct letters to send out to participants, their GP, and WDHB notes.  The CNS prepare</w:t>
      </w:r>
      <w:r w:rsidR="00B9236E">
        <w:t>d</w:t>
      </w:r>
      <w:r>
        <w:t xml:space="preserve"> a spreadsheet of actions taken which </w:t>
      </w:r>
      <w:r w:rsidR="00B9236E">
        <w:t>wa</w:t>
      </w:r>
      <w:r>
        <w:t xml:space="preserve">s </w:t>
      </w:r>
      <w:r w:rsidRPr="00E078D0">
        <w:t xml:space="preserve">reviewed by </w:t>
      </w:r>
      <w:r>
        <w:t xml:space="preserve">the WDHB </w:t>
      </w:r>
      <w:r w:rsidRPr="00E078D0">
        <w:rPr>
          <w:lang w:eastAsia="ar-SA"/>
        </w:rPr>
        <w:t xml:space="preserve">BSP Clinical Director or </w:t>
      </w:r>
      <w:r>
        <w:rPr>
          <w:lang w:eastAsia="ar-SA"/>
        </w:rPr>
        <w:t xml:space="preserve">WDHB BSP </w:t>
      </w:r>
      <w:r w:rsidRPr="00E078D0">
        <w:rPr>
          <w:lang w:eastAsia="ar-SA"/>
        </w:rPr>
        <w:t xml:space="preserve">Lead Endoscopist.  </w:t>
      </w:r>
      <w:r w:rsidRPr="00E078D0">
        <w:t>Where there</w:t>
      </w:r>
      <w:r>
        <w:t xml:space="preserve"> </w:t>
      </w:r>
      <w:r w:rsidR="00B9236E">
        <w:t>wa</w:t>
      </w:r>
      <w:r>
        <w:t xml:space="preserve">s any concern or uncertainty, the </w:t>
      </w:r>
      <w:r w:rsidRPr="005B5541">
        <w:t>CNS discusse</w:t>
      </w:r>
      <w:r w:rsidR="00B9236E">
        <w:t>d</w:t>
      </w:r>
      <w:r w:rsidRPr="005B5541">
        <w:t xml:space="preserve"> the results with the </w:t>
      </w:r>
      <w:r w:rsidRPr="005B5541">
        <w:rPr>
          <w:lang w:eastAsia="ar-SA"/>
        </w:rPr>
        <w:t xml:space="preserve">BSP Clinical Director </w:t>
      </w:r>
      <w:r>
        <w:rPr>
          <w:lang w:eastAsia="ar-SA"/>
        </w:rPr>
        <w:t>or</w:t>
      </w:r>
      <w:r w:rsidRPr="005B5541">
        <w:rPr>
          <w:lang w:eastAsia="ar-SA"/>
        </w:rPr>
        <w:t xml:space="preserve"> Lead Endoscopist. </w:t>
      </w:r>
      <w:r>
        <w:rPr>
          <w:lang w:eastAsia="ar-SA"/>
        </w:rPr>
        <w:t xml:space="preserve"> A formal policy </w:t>
      </w:r>
      <w:r w:rsidR="00B9236E">
        <w:rPr>
          <w:lang w:eastAsia="ar-SA"/>
        </w:rPr>
        <w:t>was</w:t>
      </w:r>
      <w:r>
        <w:rPr>
          <w:lang w:eastAsia="ar-SA"/>
        </w:rPr>
        <w:t xml:space="preserve"> developed (</w:t>
      </w:r>
      <w:r w:rsidRPr="00EE0C26">
        <w:rPr>
          <w:i/>
          <w:lang w:eastAsia="ar-SA"/>
        </w:rPr>
        <w:t>Histology Results Management</w:t>
      </w:r>
      <w:r w:rsidR="00B9236E">
        <w:rPr>
          <w:lang w:eastAsia="ar-SA"/>
        </w:rPr>
        <w:t>) which set</w:t>
      </w:r>
      <w:r>
        <w:rPr>
          <w:lang w:eastAsia="ar-SA"/>
        </w:rPr>
        <w:t xml:space="preserve"> out p</w:t>
      </w:r>
      <w:r w:rsidR="00B9236E">
        <w:rPr>
          <w:lang w:eastAsia="ar-SA"/>
        </w:rPr>
        <w:t xml:space="preserve">arameters within which the CNS </w:t>
      </w:r>
      <w:r>
        <w:rPr>
          <w:lang w:eastAsia="ar-SA"/>
        </w:rPr>
        <w:t>make</w:t>
      </w:r>
      <w:r w:rsidR="00B9236E">
        <w:rPr>
          <w:lang w:eastAsia="ar-SA"/>
        </w:rPr>
        <w:t>s</w:t>
      </w:r>
      <w:r>
        <w:rPr>
          <w:lang w:eastAsia="ar-SA"/>
        </w:rPr>
        <w:t xml:space="preserve"> decisions.  </w:t>
      </w:r>
    </w:p>
    <w:p w:rsidR="00D31409" w:rsidRDefault="00D31409" w:rsidP="00D31409">
      <w:pPr>
        <w:pStyle w:val="Heading3"/>
        <w:rPr>
          <w:lang w:eastAsia="ar-SA"/>
        </w:rPr>
      </w:pPr>
      <w:r>
        <w:rPr>
          <w:lang w:eastAsia="ar-SA"/>
        </w:rPr>
        <w:t>Diagnostic testing: alternative investigation</w:t>
      </w:r>
    </w:p>
    <w:p w:rsidR="00D31409" w:rsidRPr="00B57F6C" w:rsidRDefault="00D31409" w:rsidP="00D31409">
      <w:r>
        <w:rPr>
          <w:lang w:eastAsia="ar-SA"/>
        </w:rPr>
        <w:t>BSP p</w:t>
      </w:r>
      <w:r w:rsidRPr="00B57F6C">
        <w:rPr>
          <w:lang w:eastAsia="ar-SA"/>
        </w:rPr>
        <w:t xml:space="preserve">articipants assessed as unfit for colonoscopy or with an incomplete colonoscopy </w:t>
      </w:r>
      <w:r w:rsidR="00B9236E">
        <w:rPr>
          <w:lang w:eastAsia="ar-SA"/>
        </w:rPr>
        <w:t>we</w:t>
      </w:r>
      <w:r w:rsidRPr="00B57F6C">
        <w:rPr>
          <w:lang w:eastAsia="ar-SA"/>
        </w:rPr>
        <w:t>re offered a CTC</w:t>
      </w:r>
      <w:r w:rsidR="00B9236E">
        <w:rPr>
          <w:lang w:eastAsia="ar-SA"/>
        </w:rPr>
        <w:t xml:space="preserve"> i</w:t>
      </w:r>
      <w:r w:rsidRPr="00B57F6C">
        <w:rPr>
          <w:lang w:eastAsia="ar-SA"/>
        </w:rPr>
        <w:t>nvestigation. O</w:t>
      </w:r>
      <w:r w:rsidRPr="00B57F6C">
        <w:t>ccasionally when a colonoscopy fail</w:t>
      </w:r>
      <w:r w:rsidR="00B9236E">
        <w:t>ed</w:t>
      </w:r>
      <w:r w:rsidRPr="00B57F6C">
        <w:t xml:space="preserve">, the person </w:t>
      </w:r>
      <w:r w:rsidR="00B9236E">
        <w:t>would</w:t>
      </w:r>
      <w:r w:rsidRPr="00B57F6C">
        <w:t xml:space="preserve"> proceed to have a colonoscopy under </w:t>
      </w:r>
      <w:r>
        <w:t>g</w:t>
      </w:r>
      <w:r w:rsidRPr="00B57F6C">
        <w:t xml:space="preserve">eneral </w:t>
      </w:r>
      <w:r>
        <w:t>a</w:t>
      </w:r>
      <w:r w:rsidRPr="00B57F6C">
        <w:t xml:space="preserve">naesthetic.  </w:t>
      </w:r>
    </w:p>
    <w:p w:rsidR="00D31409" w:rsidRDefault="00D31409" w:rsidP="00D31409">
      <w:r w:rsidRPr="00B57F6C">
        <w:rPr>
          <w:lang w:eastAsia="ar-SA"/>
        </w:rPr>
        <w:t xml:space="preserve">Participants </w:t>
      </w:r>
      <w:r w:rsidR="00B9236E">
        <w:rPr>
          <w:lang w:eastAsia="ar-SA"/>
        </w:rPr>
        <w:t>we</w:t>
      </w:r>
      <w:r w:rsidRPr="00B57F6C">
        <w:rPr>
          <w:lang w:eastAsia="ar-SA"/>
        </w:rPr>
        <w:t>re referred to the Radiology Department by the Endoscopy CNS.</w:t>
      </w:r>
      <w:r>
        <w:rPr>
          <w:lang w:eastAsia="ar-SA"/>
        </w:rPr>
        <w:t xml:space="preserve"> Referral </w:t>
      </w:r>
      <w:r w:rsidR="00B9236E">
        <w:rPr>
          <w:lang w:eastAsia="ar-SA"/>
        </w:rPr>
        <w:t>wa</w:t>
      </w:r>
      <w:r>
        <w:rPr>
          <w:lang w:eastAsia="ar-SA"/>
        </w:rPr>
        <w:t xml:space="preserve">s via WDHB’s usual referral system.  </w:t>
      </w:r>
      <w:r>
        <w:t>The CTC policy agreed between</w:t>
      </w:r>
      <w:r w:rsidR="00B9065B">
        <w:t xml:space="preserve"> the </w:t>
      </w:r>
      <w:r>
        <w:t xml:space="preserve">BSP and Radiology states that when a BSP colonoscopy fails in the morning, the person will have a CTC that afternoon, and when it fails in the afternoon the person will have one the following morning.  The exception to this </w:t>
      </w:r>
      <w:r w:rsidR="00B9236E">
        <w:t>wa</w:t>
      </w:r>
      <w:r>
        <w:t>s when the colonoscopy fail</w:t>
      </w:r>
      <w:r w:rsidR="00B9236E">
        <w:t>ed</w:t>
      </w:r>
      <w:r>
        <w:t xml:space="preserve"> on Friday afternoon.  Ensuring same or next day referral to CTC mean</w:t>
      </w:r>
      <w:r w:rsidR="00B9236E">
        <w:t>t</w:t>
      </w:r>
      <w:r>
        <w:t xml:space="preserve"> the BSP participant d</w:t>
      </w:r>
      <w:r w:rsidR="00B9236E">
        <w:t>id</w:t>
      </w:r>
      <w:r>
        <w:t xml:space="preserve"> not have to go through bowel preparation twice.  </w:t>
      </w:r>
    </w:p>
    <w:p w:rsidR="00D31409" w:rsidRDefault="00D31409" w:rsidP="00D31409">
      <w:r w:rsidRPr="00463B7A">
        <w:t xml:space="preserve">Participants with </w:t>
      </w:r>
      <w:r w:rsidRPr="00463B7A">
        <w:rPr>
          <w:lang w:eastAsia="ar-SA"/>
        </w:rPr>
        <w:t>an incomplete colonoscopy</w:t>
      </w:r>
      <w:r w:rsidRPr="00463B7A">
        <w:t xml:space="preserve"> in which a polypectomy was performed </w:t>
      </w:r>
      <w:r w:rsidR="00776F16">
        <w:t>we</w:t>
      </w:r>
      <w:r w:rsidRPr="00463B7A">
        <w:t xml:space="preserve">re </w:t>
      </w:r>
      <w:r w:rsidRPr="00E25EE6">
        <w:t>referred to have a CTC between 30 and 50 days</w:t>
      </w:r>
      <w:r w:rsidR="00AA0187" w:rsidRPr="00E25EE6">
        <w:t xml:space="preserve"> </w:t>
      </w:r>
      <w:r w:rsidR="00E25EE6" w:rsidRPr="00E25EE6">
        <w:t>later</w:t>
      </w:r>
      <w:r w:rsidRPr="00E25EE6">
        <w:t>.</w:t>
      </w:r>
      <w:r>
        <w:t xml:space="preserve"> </w:t>
      </w:r>
    </w:p>
    <w:p w:rsidR="00D31409" w:rsidRDefault="00D31409" w:rsidP="00D31409">
      <w:pPr>
        <w:rPr>
          <w:lang w:eastAsia="ar-SA"/>
        </w:rPr>
      </w:pPr>
      <w:r w:rsidRPr="00B57F6C">
        <w:rPr>
          <w:lang w:eastAsia="ar-SA"/>
        </w:rPr>
        <w:t xml:space="preserve">Referrals </w:t>
      </w:r>
      <w:r>
        <w:rPr>
          <w:lang w:eastAsia="ar-SA"/>
        </w:rPr>
        <w:t xml:space="preserve">to CTC </w:t>
      </w:r>
      <w:r w:rsidRPr="00B57F6C">
        <w:rPr>
          <w:lang w:eastAsia="ar-SA"/>
        </w:rPr>
        <w:t xml:space="preserve">for BSP participants </w:t>
      </w:r>
      <w:r>
        <w:rPr>
          <w:lang w:eastAsia="ar-SA"/>
        </w:rPr>
        <w:t xml:space="preserve">unfit for colonoscopy </w:t>
      </w:r>
      <w:r w:rsidR="00B9236E">
        <w:rPr>
          <w:lang w:eastAsia="ar-SA"/>
        </w:rPr>
        <w:t>we</w:t>
      </w:r>
      <w:r w:rsidRPr="00B57F6C">
        <w:rPr>
          <w:lang w:eastAsia="ar-SA"/>
        </w:rPr>
        <w:t>re given a unique BSP code by the Radiology Department.</w:t>
      </w:r>
      <w:r>
        <w:rPr>
          <w:b/>
          <w:lang w:eastAsia="ar-SA"/>
        </w:rPr>
        <w:t xml:space="preserve"> </w:t>
      </w:r>
      <w:r>
        <w:rPr>
          <w:lang w:eastAsia="ar-SA"/>
        </w:rPr>
        <w:t>This code flag</w:t>
      </w:r>
      <w:r w:rsidR="00B9236E">
        <w:rPr>
          <w:lang w:eastAsia="ar-SA"/>
        </w:rPr>
        <w:t>ged</w:t>
      </w:r>
      <w:r>
        <w:rPr>
          <w:lang w:eastAsia="ar-SA"/>
        </w:rPr>
        <w:t xml:space="preserve"> that the participant must be given a different level of priority to meet the BSP requirement that a date for a CTC must be given within five days and the procedure completed within 20 days.  </w:t>
      </w:r>
    </w:p>
    <w:p w:rsidR="00D31409" w:rsidRPr="00B57F6C" w:rsidRDefault="00D31409" w:rsidP="00D31409">
      <w:r w:rsidRPr="00B57F6C">
        <w:rPr>
          <w:lang w:eastAsia="ar-SA"/>
        </w:rPr>
        <w:t xml:space="preserve">Results </w:t>
      </w:r>
      <w:r w:rsidR="00B9236E">
        <w:rPr>
          <w:lang w:eastAsia="ar-SA"/>
        </w:rPr>
        <w:t>we</w:t>
      </w:r>
      <w:r w:rsidRPr="00B57F6C">
        <w:rPr>
          <w:lang w:eastAsia="ar-SA"/>
        </w:rPr>
        <w:t>re sent back to the referring clinician (usually the WDHB BSP Clinical Director) using the hospital’s usual results system</w:t>
      </w:r>
      <w:r w:rsidRPr="00B57F6C">
        <w:t xml:space="preserve">. </w:t>
      </w:r>
    </w:p>
    <w:p w:rsidR="00D31409" w:rsidRDefault="00D31409" w:rsidP="00D31409">
      <w:pPr>
        <w:pStyle w:val="Heading3"/>
        <w:rPr>
          <w:lang w:eastAsia="ar-SA"/>
        </w:rPr>
      </w:pPr>
      <w:bookmarkStart w:id="40" w:name="_Toc356566351"/>
      <w:bookmarkStart w:id="41" w:name="_Toc376617526"/>
      <w:r>
        <w:rPr>
          <w:lang w:eastAsia="ar-SA"/>
        </w:rPr>
        <w:t>Surveillance</w:t>
      </w:r>
      <w:bookmarkEnd w:id="40"/>
      <w:bookmarkEnd w:id="41"/>
    </w:p>
    <w:p w:rsidR="00D31409" w:rsidRDefault="00D31409" w:rsidP="00D31409">
      <w:pPr>
        <w:rPr>
          <w:lang w:eastAsia="ar-SA"/>
        </w:rPr>
      </w:pPr>
      <w:r w:rsidRPr="000A70B1">
        <w:rPr>
          <w:lang w:eastAsia="ar-SA"/>
        </w:rPr>
        <w:t>Participants requiring ongoing surveillance</w:t>
      </w:r>
      <w:r>
        <w:rPr>
          <w:lang w:eastAsia="ar-SA"/>
        </w:rPr>
        <w:t xml:space="preserve"> </w:t>
      </w:r>
      <w:r w:rsidR="00B9236E">
        <w:rPr>
          <w:lang w:eastAsia="ar-SA"/>
        </w:rPr>
        <w:t>we</w:t>
      </w:r>
      <w:r w:rsidRPr="000A70B1">
        <w:rPr>
          <w:lang w:eastAsia="ar-SA"/>
        </w:rPr>
        <w:t xml:space="preserve">re exited from the BSP, referred to a surveillance programme, and not recalled for subsequent screening.  </w:t>
      </w:r>
    </w:p>
    <w:p w:rsidR="00D31409" w:rsidRDefault="00D31409" w:rsidP="00D31409">
      <w:pPr>
        <w:rPr>
          <w:lang w:eastAsia="ar-SA"/>
        </w:rPr>
      </w:pPr>
      <w:r>
        <w:rPr>
          <w:lang w:eastAsia="ar-SA"/>
        </w:rPr>
        <w:t xml:space="preserve">WDHB Endoscopy Service </w:t>
      </w:r>
      <w:r w:rsidR="00B9236E">
        <w:rPr>
          <w:lang w:eastAsia="ar-SA"/>
        </w:rPr>
        <w:t>wa</w:t>
      </w:r>
      <w:r>
        <w:rPr>
          <w:lang w:eastAsia="ar-SA"/>
        </w:rPr>
        <w:t>s responsible for ensuring participants receive</w:t>
      </w:r>
      <w:r w:rsidR="00B9236E">
        <w:rPr>
          <w:lang w:eastAsia="ar-SA"/>
        </w:rPr>
        <w:t>d</w:t>
      </w:r>
      <w:r>
        <w:rPr>
          <w:lang w:eastAsia="ar-SA"/>
        </w:rPr>
        <w:t xml:space="preserve"> their </w:t>
      </w:r>
      <w:r w:rsidRPr="00F2390A">
        <w:rPr>
          <w:lang w:eastAsia="ar-SA"/>
        </w:rPr>
        <w:t xml:space="preserve">surveillance colonoscopy within the recommended timeframe (according to guidelines </w:t>
      </w:r>
      <w:r w:rsidR="00F2390A" w:rsidRPr="00F2390A">
        <w:rPr>
          <w:lang w:eastAsia="ar-SA"/>
        </w:rPr>
        <w:t xml:space="preserve">in </w:t>
      </w:r>
      <w:r w:rsidRPr="00F2390A">
        <w:rPr>
          <w:i/>
          <w:lang w:eastAsia="ar-SA"/>
        </w:rPr>
        <w:t xml:space="preserve">Surveillance and Management of Groups at Increased Risk of Colorectal Cancer, </w:t>
      </w:r>
      <w:r w:rsidRPr="00F2390A">
        <w:rPr>
          <w:lang w:eastAsia="ar-SA"/>
        </w:rPr>
        <w:t>Ministry of Health 2004).</w:t>
      </w:r>
      <w:r>
        <w:rPr>
          <w:lang w:eastAsia="ar-SA"/>
        </w:rPr>
        <w:t xml:space="preserve">  </w:t>
      </w:r>
      <w:r w:rsidRPr="000A70B1">
        <w:rPr>
          <w:lang w:eastAsia="ar-SA"/>
        </w:rPr>
        <w:t xml:space="preserve">The BSP </w:t>
      </w:r>
      <w:r w:rsidR="002B3F34">
        <w:rPr>
          <w:lang w:eastAsia="ar-SA"/>
        </w:rPr>
        <w:t>WHEU</w:t>
      </w:r>
      <w:r w:rsidRPr="000A70B1">
        <w:rPr>
          <w:lang w:eastAsia="ar-SA"/>
        </w:rPr>
        <w:t xml:space="preserve"> </w:t>
      </w:r>
      <w:r>
        <w:rPr>
          <w:lang w:eastAsia="ar-SA"/>
        </w:rPr>
        <w:t>advise</w:t>
      </w:r>
      <w:r w:rsidR="00B9236E">
        <w:rPr>
          <w:lang w:eastAsia="ar-SA"/>
        </w:rPr>
        <w:t>d</w:t>
      </w:r>
      <w:r w:rsidRPr="000A70B1">
        <w:rPr>
          <w:lang w:eastAsia="ar-SA"/>
        </w:rPr>
        <w:t xml:space="preserve"> participants they ha</w:t>
      </w:r>
      <w:r w:rsidR="00622AEB">
        <w:rPr>
          <w:lang w:eastAsia="ar-SA"/>
        </w:rPr>
        <w:t>d</w:t>
      </w:r>
      <w:r w:rsidRPr="000A70B1">
        <w:rPr>
          <w:lang w:eastAsia="ar-SA"/>
        </w:rPr>
        <w:t xml:space="preserve"> been referre</w:t>
      </w:r>
      <w:r>
        <w:rPr>
          <w:lang w:eastAsia="ar-SA"/>
        </w:rPr>
        <w:t>d for surveillance and notif</w:t>
      </w:r>
      <w:r w:rsidR="00B9065B">
        <w:rPr>
          <w:lang w:eastAsia="ar-SA"/>
        </w:rPr>
        <w:t>ied</w:t>
      </w:r>
      <w:r w:rsidRPr="000A70B1">
        <w:rPr>
          <w:lang w:eastAsia="ar-SA"/>
        </w:rPr>
        <w:t xml:space="preserve"> participants’ GPs.</w:t>
      </w:r>
      <w:r>
        <w:rPr>
          <w:b/>
          <w:lang w:eastAsia="ar-SA"/>
        </w:rPr>
        <w:t xml:space="preserve">  </w:t>
      </w:r>
      <w:r>
        <w:rPr>
          <w:lang w:eastAsia="ar-SA"/>
        </w:rPr>
        <w:t xml:space="preserve">The </w:t>
      </w:r>
      <w:r w:rsidRPr="002B3F34">
        <w:rPr>
          <w:lang w:eastAsia="ar-SA"/>
        </w:rPr>
        <w:t xml:space="preserve">BSP </w:t>
      </w:r>
      <w:r w:rsidR="002B3F34" w:rsidRPr="002B3F34">
        <w:rPr>
          <w:lang w:eastAsia="ar-SA"/>
        </w:rPr>
        <w:t>WHEU</w:t>
      </w:r>
      <w:r>
        <w:rPr>
          <w:lang w:eastAsia="ar-SA"/>
        </w:rPr>
        <w:t xml:space="preserve"> record</w:t>
      </w:r>
      <w:r w:rsidR="00B9236E">
        <w:rPr>
          <w:lang w:eastAsia="ar-SA"/>
        </w:rPr>
        <w:t>ed</w:t>
      </w:r>
      <w:r>
        <w:rPr>
          <w:lang w:eastAsia="ar-SA"/>
        </w:rPr>
        <w:t xml:space="preserve"> surveillance requirements on the BSP Register</w:t>
      </w:r>
      <w:r w:rsidRPr="00697D47">
        <w:rPr>
          <w:rStyle w:val="FootnoteReference"/>
        </w:rPr>
        <w:footnoteReference w:id="9"/>
      </w:r>
      <w:r>
        <w:rPr>
          <w:lang w:eastAsia="ar-SA"/>
        </w:rPr>
        <w:t xml:space="preserve"> and remove</w:t>
      </w:r>
      <w:r w:rsidR="00B9236E">
        <w:rPr>
          <w:lang w:eastAsia="ar-SA"/>
        </w:rPr>
        <w:t xml:space="preserve">d </w:t>
      </w:r>
      <w:r>
        <w:rPr>
          <w:lang w:eastAsia="ar-SA"/>
        </w:rPr>
        <w:t xml:space="preserve">the participant from the screening pathway.  The </w:t>
      </w:r>
      <w:r w:rsidRPr="002B3F34">
        <w:rPr>
          <w:lang w:eastAsia="ar-SA"/>
        </w:rPr>
        <w:t xml:space="preserve">BSP </w:t>
      </w:r>
      <w:r w:rsidR="002B3F34" w:rsidRPr="002B3F34">
        <w:rPr>
          <w:lang w:eastAsia="ar-SA"/>
        </w:rPr>
        <w:t>WHEU</w:t>
      </w:r>
      <w:r w:rsidRPr="000A70B1">
        <w:rPr>
          <w:lang w:eastAsia="ar-SA"/>
        </w:rPr>
        <w:t xml:space="preserve"> </w:t>
      </w:r>
      <w:r w:rsidR="00B9236E">
        <w:rPr>
          <w:lang w:eastAsia="ar-SA"/>
        </w:rPr>
        <w:t>also logged</w:t>
      </w:r>
      <w:r>
        <w:rPr>
          <w:lang w:eastAsia="ar-SA"/>
        </w:rPr>
        <w:t xml:space="preserve"> the referral for surveillance in </w:t>
      </w:r>
      <w:r w:rsidRPr="00995633">
        <w:rPr>
          <w:lang w:eastAsia="ar-SA"/>
        </w:rPr>
        <w:t>Intelligent P</w:t>
      </w:r>
      <w:r>
        <w:rPr>
          <w:lang w:eastAsia="ar-SA"/>
        </w:rPr>
        <w:t xml:space="preserve">atient Information Systems (iPIMS) where the surveillance period </w:t>
      </w:r>
      <w:r w:rsidR="00B9236E">
        <w:rPr>
          <w:lang w:eastAsia="ar-SA"/>
        </w:rPr>
        <w:t>wa</w:t>
      </w:r>
      <w:r>
        <w:rPr>
          <w:lang w:eastAsia="ar-SA"/>
        </w:rPr>
        <w:t xml:space="preserve">s captured.  </w:t>
      </w:r>
    </w:p>
    <w:p w:rsidR="00D31409" w:rsidRDefault="00D31409" w:rsidP="00D31409">
      <w:pPr>
        <w:pStyle w:val="Heading3"/>
        <w:rPr>
          <w:lang w:eastAsia="ar-SA"/>
        </w:rPr>
      </w:pPr>
      <w:bookmarkStart w:id="42" w:name="_Toc376617527"/>
      <w:r>
        <w:rPr>
          <w:lang w:eastAsia="ar-SA"/>
        </w:rPr>
        <w:t>Treatment</w:t>
      </w:r>
      <w:bookmarkEnd w:id="42"/>
    </w:p>
    <w:p w:rsidR="00D31409" w:rsidRPr="00547801" w:rsidRDefault="00D31409" w:rsidP="00D31409">
      <w:pPr>
        <w:rPr>
          <w:lang w:eastAsia="ar-SA"/>
        </w:rPr>
      </w:pPr>
      <w:r w:rsidRPr="00547801">
        <w:rPr>
          <w:lang w:eastAsia="ar-SA"/>
        </w:rPr>
        <w:t xml:space="preserve">Participants diagnosed with cancer </w:t>
      </w:r>
      <w:r>
        <w:rPr>
          <w:lang w:eastAsia="ar-SA"/>
        </w:rPr>
        <w:t xml:space="preserve">or high risk polyps </w:t>
      </w:r>
      <w:r w:rsidR="00B9236E">
        <w:rPr>
          <w:lang w:eastAsia="ar-SA"/>
        </w:rPr>
        <w:t>we</w:t>
      </w:r>
      <w:r w:rsidRPr="00547801">
        <w:rPr>
          <w:lang w:eastAsia="ar-SA"/>
        </w:rPr>
        <w:t xml:space="preserve">re referred to a colorectal </w:t>
      </w:r>
      <w:r w:rsidR="00622AEB">
        <w:rPr>
          <w:lang w:eastAsia="ar-SA"/>
        </w:rPr>
        <w:t>m</w:t>
      </w:r>
      <w:r w:rsidRPr="00547801">
        <w:rPr>
          <w:lang w:eastAsia="ar-SA"/>
        </w:rPr>
        <w:t>ulti-</w:t>
      </w:r>
      <w:r w:rsidR="00622AEB">
        <w:rPr>
          <w:lang w:eastAsia="ar-SA"/>
        </w:rPr>
        <w:t>d</w:t>
      </w:r>
      <w:r w:rsidRPr="00547801">
        <w:rPr>
          <w:lang w:eastAsia="ar-SA"/>
        </w:rPr>
        <w:t xml:space="preserve">isciplinary </w:t>
      </w:r>
      <w:r w:rsidR="00622AEB">
        <w:rPr>
          <w:lang w:eastAsia="ar-SA"/>
        </w:rPr>
        <w:t>m</w:t>
      </w:r>
      <w:r w:rsidRPr="00547801">
        <w:rPr>
          <w:lang w:eastAsia="ar-SA"/>
        </w:rPr>
        <w:t>eeting (MDM) by the WDHB BSP Clinical Director/</w:t>
      </w:r>
      <w:r w:rsidRPr="00547801">
        <w:t xml:space="preserve">WDHB BSP </w:t>
      </w:r>
      <w:r w:rsidRPr="00547801">
        <w:rPr>
          <w:lang w:eastAsia="ar-SA"/>
        </w:rPr>
        <w:t xml:space="preserve">Lead Endoscopist.  Referrals </w:t>
      </w:r>
      <w:r w:rsidR="00B9236E">
        <w:rPr>
          <w:lang w:eastAsia="ar-SA"/>
        </w:rPr>
        <w:t>we</w:t>
      </w:r>
      <w:r w:rsidRPr="00547801">
        <w:rPr>
          <w:lang w:eastAsia="ar-SA"/>
        </w:rPr>
        <w:t xml:space="preserve">re made using a standardised regional bowel cancer MDM form.  BSP MDMs </w:t>
      </w:r>
      <w:r w:rsidR="00B9236E">
        <w:rPr>
          <w:lang w:eastAsia="ar-SA"/>
        </w:rPr>
        <w:t>we</w:t>
      </w:r>
      <w:r w:rsidRPr="00547801">
        <w:rPr>
          <w:lang w:eastAsia="ar-SA"/>
        </w:rPr>
        <w:t>re held every two weeks at North Shore Hospital and include</w:t>
      </w:r>
      <w:r w:rsidR="00622AEB">
        <w:rPr>
          <w:lang w:eastAsia="ar-SA"/>
        </w:rPr>
        <w:t>d</w:t>
      </w:r>
      <w:r w:rsidRPr="00547801">
        <w:rPr>
          <w:lang w:eastAsia="ar-SA"/>
        </w:rPr>
        <w:t xml:space="preserve"> representation from </w:t>
      </w:r>
      <w:r w:rsidR="00622AEB">
        <w:rPr>
          <w:lang w:eastAsia="ar-SA"/>
        </w:rPr>
        <w:t>m</w:t>
      </w:r>
      <w:r w:rsidRPr="00547801">
        <w:rPr>
          <w:lang w:eastAsia="ar-SA"/>
        </w:rPr>
        <w:t xml:space="preserve">edical </w:t>
      </w:r>
      <w:r w:rsidR="00622AEB">
        <w:rPr>
          <w:lang w:eastAsia="ar-SA"/>
        </w:rPr>
        <w:t>o</w:t>
      </w:r>
      <w:r w:rsidRPr="00547801">
        <w:rPr>
          <w:lang w:eastAsia="ar-SA"/>
        </w:rPr>
        <w:t xml:space="preserve">ncology, </w:t>
      </w:r>
      <w:r w:rsidR="00622AEB">
        <w:rPr>
          <w:lang w:eastAsia="ar-SA"/>
        </w:rPr>
        <w:t>p</w:t>
      </w:r>
      <w:r w:rsidRPr="00547801">
        <w:rPr>
          <w:lang w:eastAsia="ar-SA"/>
        </w:rPr>
        <w:t xml:space="preserve">athology, </w:t>
      </w:r>
      <w:r w:rsidR="00622AEB">
        <w:rPr>
          <w:lang w:eastAsia="ar-SA"/>
        </w:rPr>
        <w:t>r</w:t>
      </w:r>
      <w:r w:rsidRPr="00547801">
        <w:rPr>
          <w:lang w:eastAsia="ar-SA"/>
        </w:rPr>
        <w:t xml:space="preserve">adiation </w:t>
      </w:r>
      <w:r w:rsidR="00622AEB">
        <w:rPr>
          <w:lang w:eastAsia="ar-SA"/>
        </w:rPr>
        <w:t>o</w:t>
      </w:r>
      <w:r w:rsidRPr="00547801">
        <w:rPr>
          <w:lang w:eastAsia="ar-SA"/>
        </w:rPr>
        <w:t xml:space="preserve">ncology, </w:t>
      </w:r>
      <w:r w:rsidR="00622AEB">
        <w:rPr>
          <w:lang w:eastAsia="ar-SA"/>
        </w:rPr>
        <w:t>d</w:t>
      </w:r>
      <w:r w:rsidRPr="00547801">
        <w:rPr>
          <w:lang w:eastAsia="ar-SA"/>
        </w:rPr>
        <w:t xml:space="preserve">iagnostic </w:t>
      </w:r>
      <w:r w:rsidR="00622AEB">
        <w:rPr>
          <w:lang w:eastAsia="ar-SA"/>
        </w:rPr>
        <w:t>r</w:t>
      </w:r>
      <w:r w:rsidRPr="00547801">
        <w:rPr>
          <w:lang w:eastAsia="ar-SA"/>
        </w:rPr>
        <w:t xml:space="preserve">adiology, </w:t>
      </w:r>
      <w:r w:rsidR="00622AEB">
        <w:rPr>
          <w:lang w:eastAsia="ar-SA"/>
        </w:rPr>
        <w:t>s</w:t>
      </w:r>
      <w:r w:rsidRPr="00547801">
        <w:rPr>
          <w:lang w:eastAsia="ar-SA"/>
        </w:rPr>
        <w:t xml:space="preserve">urgery and </w:t>
      </w:r>
      <w:r w:rsidR="00622AEB">
        <w:rPr>
          <w:lang w:eastAsia="ar-SA"/>
        </w:rPr>
        <w:t>n</w:t>
      </w:r>
      <w:r w:rsidRPr="00547801">
        <w:rPr>
          <w:lang w:eastAsia="ar-SA"/>
        </w:rPr>
        <w:t>ursing.  MDMs provide</w:t>
      </w:r>
      <w:r w:rsidR="00B9236E">
        <w:rPr>
          <w:lang w:eastAsia="ar-SA"/>
        </w:rPr>
        <w:t>d</w:t>
      </w:r>
      <w:r w:rsidRPr="00547801">
        <w:rPr>
          <w:lang w:eastAsia="ar-SA"/>
        </w:rPr>
        <w:t xml:space="preserve"> recommendations for culturally appropriate and coordinated care, advice and support.  Outcomes of MDMs </w:t>
      </w:r>
      <w:r w:rsidR="00B9236E">
        <w:rPr>
          <w:lang w:eastAsia="ar-SA"/>
        </w:rPr>
        <w:t>were</w:t>
      </w:r>
      <w:r w:rsidRPr="00547801">
        <w:rPr>
          <w:lang w:eastAsia="ar-SA"/>
        </w:rPr>
        <w:t xml:space="preserve"> communicated to the participant and their GP, and </w:t>
      </w:r>
      <w:r w:rsidR="00B9236E">
        <w:rPr>
          <w:lang w:eastAsia="ar-SA"/>
        </w:rPr>
        <w:t>wer</w:t>
      </w:r>
      <w:r w:rsidRPr="00547801">
        <w:rPr>
          <w:lang w:eastAsia="ar-SA"/>
        </w:rPr>
        <w:t xml:space="preserve">e documented in the medical records. </w:t>
      </w:r>
    </w:p>
    <w:p w:rsidR="00D31409" w:rsidRPr="00547801" w:rsidRDefault="00D31409" w:rsidP="00D31409">
      <w:pPr>
        <w:rPr>
          <w:i/>
          <w:lang w:eastAsia="ar-SA"/>
        </w:rPr>
      </w:pPr>
      <w:r w:rsidRPr="00547801">
        <w:rPr>
          <w:lang w:eastAsia="ar-SA"/>
        </w:rPr>
        <w:t>All participants who require</w:t>
      </w:r>
      <w:r w:rsidR="00B9236E">
        <w:rPr>
          <w:lang w:eastAsia="ar-SA"/>
        </w:rPr>
        <w:t>d</w:t>
      </w:r>
      <w:r w:rsidRPr="00547801">
        <w:rPr>
          <w:lang w:eastAsia="ar-SA"/>
        </w:rPr>
        <w:t xml:space="preserve"> chemotherapy and/or radiation therapy </w:t>
      </w:r>
      <w:r w:rsidR="00B9236E">
        <w:rPr>
          <w:lang w:eastAsia="ar-SA"/>
        </w:rPr>
        <w:t>we</w:t>
      </w:r>
      <w:r w:rsidRPr="00547801">
        <w:rPr>
          <w:lang w:eastAsia="ar-SA"/>
        </w:rPr>
        <w:t>re managed by the Auckland Regional Cancer and Blood Service at A</w:t>
      </w:r>
      <w:r>
        <w:rPr>
          <w:lang w:eastAsia="ar-SA"/>
        </w:rPr>
        <w:t>uckland D</w:t>
      </w:r>
      <w:r w:rsidR="00FF0997">
        <w:rPr>
          <w:lang w:eastAsia="ar-SA"/>
        </w:rPr>
        <w:t xml:space="preserve">istrict Health Board.  </w:t>
      </w:r>
      <w:r w:rsidR="00FF0997" w:rsidRPr="00547801">
        <w:rPr>
          <w:lang w:eastAsia="ar-SA"/>
        </w:rPr>
        <w:t>A</w:t>
      </w:r>
      <w:r w:rsidR="00FF0997">
        <w:rPr>
          <w:lang w:eastAsia="ar-SA"/>
        </w:rPr>
        <w:t>uckland District Health Board</w:t>
      </w:r>
      <w:r w:rsidRPr="00547801">
        <w:rPr>
          <w:lang w:eastAsia="ar-SA"/>
        </w:rPr>
        <w:t xml:space="preserve"> </w:t>
      </w:r>
      <w:r w:rsidR="00B9236E">
        <w:rPr>
          <w:lang w:eastAsia="ar-SA"/>
        </w:rPr>
        <w:t>wa</w:t>
      </w:r>
      <w:r w:rsidRPr="00547801">
        <w:rPr>
          <w:lang w:eastAsia="ar-SA"/>
        </w:rPr>
        <w:t>s the regional provider of oncology services for the WDHB population.</w:t>
      </w:r>
      <w:r w:rsidRPr="00547801">
        <w:rPr>
          <w:i/>
          <w:lang w:eastAsia="ar-SA"/>
        </w:rPr>
        <w:t xml:space="preserve"> </w:t>
      </w:r>
    </w:p>
    <w:p w:rsidR="00D31409" w:rsidRDefault="00D31409" w:rsidP="00D31409">
      <w:pPr>
        <w:rPr>
          <w:lang w:eastAsia="ar-SA"/>
        </w:rPr>
      </w:pPr>
      <w:r w:rsidRPr="00547801">
        <w:rPr>
          <w:lang w:eastAsia="ar-SA"/>
        </w:rPr>
        <w:t xml:space="preserve">Participants diagnosed with cancer </w:t>
      </w:r>
      <w:r w:rsidR="00B9236E">
        <w:rPr>
          <w:lang w:eastAsia="ar-SA"/>
        </w:rPr>
        <w:t>we</w:t>
      </w:r>
      <w:r w:rsidRPr="00547801">
        <w:rPr>
          <w:lang w:eastAsia="ar-SA"/>
        </w:rPr>
        <w:t xml:space="preserve">re not recalled for screening.  </w:t>
      </w:r>
    </w:p>
    <w:p w:rsidR="00D31409" w:rsidRDefault="00D31409" w:rsidP="00D31409">
      <w:pPr>
        <w:pStyle w:val="Figure"/>
      </w:pPr>
      <w:bookmarkStart w:id="43" w:name="_Toc391847771"/>
      <w:bookmarkStart w:id="44" w:name="_Toc391848123"/>
      <w:bookmarkStart w:id="45" w:name="_Toc393398337"/>
      <w:bookmarkStart w:id="46" w:name="_Toc397164642"/>
      <w:bookmarkStart w:id="47" w:name="_Toc397510543"/>
      <w:bookmarkStart w:id="48" w:name="_Toc406015739"/>
      <w:bookmarkStart w:id="49" w:name="_Toc412540130"/>
      <w:r>
        <w:t xml:space="preserve">Figure </w:t>
      </w:r>
      <w:r w:rsidR="00544745">
        <w:t>1</w:t>
      </w:r>
      <w:r>
        <w:t xml:space="preserve">: </w:t>
      </w:r>
      <w:r w:rsidRPr="002A084C">
        <w:t>Overview of screening pathway (WDHB 2012)</w:t>
      </w:r>
      <w:bookmarkEnd w:id="43"/>
      <w:bookmarkEnd w:id="44"/>
      <w:bookmarkEnd w:id="45"/>
      <w:bookmarkEnd w:id="46"/>
      <w:bookmarkEnd w:id="47"/>
      <w:bookmarkEnd w:id="48"/>
      <w:bookmarkEnd w:id="49"/>
    </w:p>
    <w:p w:rsidR="00891E5A" w:rsidRPr="00891E5A" w:rsidRDefault="00565301" w:rsidP="00891E5A">
      <w:r>
        <w:rPr>
          <w:noProof/>
          <w:lang w:eastAsia="en-NZ"/>
        </w:rPr>
        <mc:AlternateContent>
          <mc:Choice Requires="wps">
            <w:drawing>
              <wp:anchor distT="0" distB="0" distL="114300" distR="114300" simplePos="0" relativeHeight="251662336" behindDoc="0" locked="0" layoutInCell="1" allowOverlap="1" wp14:anchorId="001D011B">
                <wp:simplePos x="0" y="0"/>
                <wp:positionH relativeFrom="column">
                  <wp:posOffset>2444115</wp:posOffset>
                </wp:positionH>
                <wp:positionV relativeFrom="paragraph">
                  <wp:posOffset>4809490</wp:posOffset>
                </wp:positionV>
                <wp:extent cx="699135" cy="181610"/>
                <wp:effectExtent l="0" t="0" r="24765" b="27940"/>
                <wp:wrapNone/>
                <wp:docPr id="7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135" cy="181610"/>
                        </a:xfrm>
                        <a:prstGeom prst="rect">
                          <a:avLst/>
                        </a:prstGeom>
                        <a:solidFill>
                          <a:srgbClr val="9BBB59">
                            <a:lumMod val="20000"/>
                            <a:lumOff val="80000"/>
                            <a:alpha val="84000"/>
                          </a:srgbClr>
                        </a:solidFill>
                        <a:ln w="6350">
                          <a:solidFill>
                            <a:srgbClr val="92D050"/>
                          </a:solidFill>
                          <a:prstDash val="sysDash"/>
                        </a:ln>
                        <a:effectLst/>
                      </wps:spPr>
                      <wps:txbx>
                        <w:txbxContent>
                          <w:p w:rsidR="00371B10" w:rsidRPr="00891E5A" w:rsidRDefault="00371B10" w:rsidP="00891E5A">
                            <w:pPr>
                              <w:spacing w:before="0"/>
                              <w:ind w:left="0"/>
                              <w:rPr>
                                <w:rFonts w:ascii="Calibri" w:hAnsi="Calibri" w:cs="Calibri"/>
                                <w:sz w:val="12"/>
                                <w:szCs w:val="14"/>
                              </w:rPr>
                            </w:pPr>
                            <w:r>
                              <w:rPr>
                                <w:rFonts w:ascii="Calibri" w:hAnsi="Calibri" w:cs="Calibri"/>
                                <w:sz w:val="12"/>
                                <w:szCs w:val="14"/>
                              </w:rPr>
                              <w:t xml:space="preserve">      </w:t>
                            </w:r>
                            <w:r w:rsidRPr="00891E5A">
                              <w:rPr>
                                <w:rFonts w:ascii="Calibri" w:hAnsi="Calibri" w:cs="Calibri"/>
                                <w:sz w:val="12"/>
                                <w:szCs w:val="14"/>
                              </w:rPr>
                              <w:t>55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D011B" id="_x0000_t202" coordsize="21600,21600" o:spt="202" path="m,l,21600r21600,l21600,xe">
                <v:stroke joinstyle="miter"/>
                <v:path gradientshapeok="t" o:connecttype="rect"/>
              </v:shapetype>
              <v:shape id="Text Box 30" o:spid="_x0000_s1026" type="#_x0000_t202" style="position:absolute;left:0;text-align:left;margin-left:192.45pt;margin-top:378.7pt;width:55.05pt;height:1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" fillcolor="#ebf1de" strokecolor="#92d050" strokeweight=".5pt">
                <v:fill opacity="54998f"/>
                <v:stroke dashstyle="3 1"/>
                <v:path arrowok="t"/>
                <v:textbox>
                  <w:txbxContent>
                    <w:p w:rsidR="00371B10" w:rsidRPr="00891E5A" w:rsidRDefault="00371B10" w:rsidP="00891E5A">
                      <w:pPr>
                        <w:spacing w:before="0"/>
                        <w:ind w:left="0"/>
                        <w:rPr>
                          <w:rFonts w:ascii="Calibri" w:hAnsi="Calibri" w:cs="Calibri"/>
                          <w:sz w:val="12"/>
                          <w:szCs w:val="14"/>
                        </w:rPr>
                      </w:pPr>
                      <w:r>
                        <w:rPr>
                          <w:rFonts w:ascii="Calibri" w:hAnsi="Calibri" w:cs="Calibri"/>
                          <w:sz w:val="12"/>
                          <w:szCs w:val="14"/>
                        </w:rPr>
                        <w:t xml:space="preserve">      </w:t>
                      </w:r>
                      <w:r w:rsidRPr="00891E5A">
                        <w:rPr>
                          <w:rFonts w:ascii="Calibri" w:hAnsi="Calibri" w:cs="Calibri"/>
                          <w:sz w:val="12"/>
                          <w:szCs w:val="14"/>
                        </w:rPr>
                        <w:t>55 DAYS</w:t>
                      </w:r>
                    </w:p>
                  </w:txbxContent>
                </v:textbox>
              </v:shape>
            </w:pict>
          </mc:Fallback>
        </mc:AlternateContent>
      </w:r>
      <w:r>
        <w:rPr>
          <w:noProof/>
          <w:lang w:eastAsia="en-NZ"/>
        </w:rPr>
        <mc:AlternateContent>
          <mc:Choice Requires="wps">
            <w:drawing>
              <wp:anchor distT="0" distB="0" distL="114300" distR="114300" simplePos="0" relativeHeight="251658239" behindDoc="0" locked="0" layoutInCell="1" allowOverlap="1" wp14:anchorId="2BF17F4B">
                <wp:simplePos x="0" y="0"/>
                <wp:positionH relativeFrom="column">
                  <wp:posOffset>2462530</wp:posOffset>
                </wp:positionH>
                <wp:positionV relativeFrom="paragraph">
                  <wp:posOffset>4822825</wp:posOffset>
                </wp:positionV>
                <wp:extent cx="664845" cy="172085"/>
                <wp:effectExtent l="0" t="0" r="1905" b="0"/>
                <wp:wrapNone/>
                <wp:docPr id="73"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845" cy="17208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79B1F9" id="Rounded Rectangle 27" o:spid="_x0000_s1026" style="position:absolute;margin-left:193.9pt;margin-top:379.75pt;width:52.35pt;height:13.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" fillcolor="white [3212]" stroked="f" strokeweight="2pt">
                <v:path arrowok="t"/>
              </v:roundrect>
            </w:pict>
          </mc:Fallback>
        </mc:AlternateContent>
      </w:r>
      <w:r w:rsidR="00891E5A">
        <w:rPr>
          <w:noProof/>
          <w:lang w:eastAsia="en-NZ"/>
        </w:rPr>
        <w:drawing>
          <wp:inline distT="0" distB="0" distL="0" distR="0">
            <wp:extent cx="5943600" cy="6191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6191250"/>
                    </a:xfrm>
                    <a:prstGeom prst="rect">
                      <a:avLst/>
                    </a:prstGeom>
                    <a:ln>
                      <a:noFill/>
                      <a:prstDash val="sysDot"/>
                    </a:ln>
                  </pic:spPr>
                </pic:pic>
              </a:graphicData>
            </a:graphic>
          </wp:inline>
        </w:drawing>
      </w:r>
    </w:p>
    <w:p w:rsidR="00D31409" w:rsidRDefault="00565301" w:rsidP="00D31409">
      <w:pPr>
        <w:ind w:left="0"/>
      </w:pPr>
      <w:r>
        <w:rPr>
          <w:noProof/>
          <w:lang w:eastAsia="en-NZ"/>
        </w:rPr>
        <mc:AlternateContent>
          <mc:Choice Requires="wps">
            <w:drawing>
              <wp:anchor distT="0" distB="0" distL="114300" distR="114300" simplePos="0" relativeHeight="251660288" behindDoc="0" locked="0" layoutInCell="1" allowOverlap="1" wp14:anchorId="29CD180A">
                <wp:simplePos x="0" y="0"/>
                <wp:positionH relativeFrom="column">
                  <wp:posOffset>3660775</wp:posOffset>
                </wp:positionH>
                <wp:positionV relativeFrom="paragraph">
                  <wp:posOffset>319405</wp:posOffset>
                </wp:positionV>
                <wp:extent cx="1510030" cy="699135"/>
                <wp:effectExtent l="0" t="0" r="13970" b="24765"/>
                <wp:wrapNone/>
                <wp:docPr id="7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0030" cy="69913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71B10" w:rsidRDefault="00371B10" w:rsidP="00D3140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D180A" id="Text Box 29" o:spid="_x0000_s1027" type="#_x0000_t202" style="position:absolute;margin-left:288.25pt;margin-top:25.15pt;width:118.9pt;height:5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" fillcolor="white [3212]" strokecolor="white [3212]" strokeweight=".5pt">
                <v:path arrowok="t"/>
                <v:textbox>
                  <w:txbxContent>
                    <w:p w:rsidR="00371B10" w:rsidRDefault="00371B10" w:rsidP="00D31409">
                      <w:pPr>
                        <w:ind w:left="0"/>
                      </w:pPr>
                    </w:p>
                  </w:txbxContent>
                </v:textbox>
              </v:shape>
            </w:pict>
          </mc:Fallback>
        </mc:AlternateContent>
      </w:r>
      <w:r>
        <w:rPr>
          <w:noProof/>
          <w:lang w:eastAsia="en-NZ"/>
        </w:rPr>
        <mc:AlternateContent>
          <mc:Choice Requires="wps">
            <w:drawing>
              <wp:anchor distT="0" distB="0" distL="114300" distR="114300" simplePos="0" relativeHeight="251659264" behindDoc="0" locked="0" layoutInCell="1" allowOverlap="1" wp14:anchorId="4E055D29">
                <wp:simplePos x="0" y="0"/>
                <wp:positionH relativeFrom="column">
                  <wp:posOffset>2002790</wp:posOffset>
                </wp:positionH>
                <wp:positionV relativeFrom="paragraph">
                  <wp:posOffset>5387975</wp:posOffset>
                </wp:positionV>
                <wp:extent cx="699770" cy="181610"/>
                <wp:effectExtent l="0" t="0" r="24130" b="27940"/>
                <wp:wrapNone/>
                <wp:docPr id="6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770" cy="18161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71B10" w:rsidRPr="00756A8A" w:rsidRDefault="00371B10" w:rsidP="00D31409">
                            <w:pPr>
                              <w:spacing w:before="0"/>
                              <w:ind w:left="0"/>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55D29" id="Text Box 31" o:spid="_x0000_s1028" type="#_x0000_t202" style="position:absolute;margin-left:157.7pt;margin-top:424.25pt;width:55.1pt;height: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" fillcolor="white [3212]" strokecolor="white [3212]" strokeweight=".5pt">
                <v:path arrowok="t"/>
                <v:textbox>
                  <w:txbxContent>
                    <w:p w:rsidR="00371B10" w:rsidRPr="00756A8A" w:rsidRDefault="00371B10" w:rsidP="00D31409">
                      <w:pPr>
                        <w:spacing w:before="0"/>
                        <w:ind w:left="0"/>
                        <w:rPr>
                          <w:sz w:val="14"/>
                          <w:szCs w:val="14"/>
                        </w:rPr>
                      </w:pPr>
                    </w:p>
                  </w:txbxContent>
                </v:textbox>
              </v:shape>
            </w:pict>
          </mc:Fallback>
        </mc:AlternateContent>
      </w:r>
    </w:p>
    <w:p w:rsidR="000D6F6F" w:rsidRDefault="000D6F6F">
      <w:pPr>
        <w:spacing w:before="0"/>
        <w:ind w:left="0"/>
        <w:rPr>
          <w:b/>
          <w:sz w:val="28"/>
          <w:szCs w:val="28"/>
        </w:rPr>
      </w:pPr>
      <w:bookmarkStart w:id="50" w:name="_Toc390872201"/>
      <w:bookmarkStart w:id="51" w:name="_Toc412540022"/>
      <w:r>
        <w:br w:type="page"/>
      </w:r>
    </w:p>
    <w:p w:rsidR="000D6F6F" w:rsidRDefault="000D6F6F" w:rsidP="000D6F6F">
      <w:pPr>
        <w:pStyle w:val="Heading2"/>
        <w:rPr>
          <w:lang w:eastAsia="ar-SA"/>
        </w:rPr>
      </w:pPr>
      <w:bookmarkStart w:id="52" w:name="_Toc457842113"/>
      <w:r>
        <w:rPr>
          <w:lang w:eastAsia="ar-SA"/>
        </w:rPr>
        <w:t>2.4</w:t>
      </w:r>
      <w:r>
        <w:rPr>
          <w:lang w:eastAsia="ar-SA"/>
        </w:rPr>
        <w:tab/>
      </w:r>
      <w:r w:rsidRPr="000D6F6F">
        <w:rPr>
          <w:lang w:eastAsia="ar-SA"/>
        </w:rPr>
        <w:t xml:space="preserve">Changes in </w:t>
      </w:r>
      <w:r w:rsidR="00F72955">
        <w:rPr>
          <w:lang w:eastAsia="ar-SA"/>
        </w:rPr>
        <w:t>Round 2</w:t>
      </w:r>
      <w:bookmarkEnd w:id="52"/>
    </w:p>
    <w:p w:rsidR="000D6F6F" w:rsidRDefault="000D6F6F" w:rsidP="000D6F6F">
      <w:r>
        <w:t xml:space="preserve">The interim BSP evaluation report on screening </w:t>
      </w:r>
      <w:r w:rsidR="00F72955">
        <w:t>Round 1</w:t>
      </w:r>
      <w:r>
        <w:t xml:space="preserve"> (Litmus </w:t>
      </w:r>
      <w:r w:rsidR="00B9065B">
        <w:t xml:space="preserve">et al </w:t>
      </w:r>
      <w:r>
        <w:t>2015) highlighted that the</w:t>
      </w:r>
      <w:r w:rsidRPr="008B1F1E">
        <w:t xml:space="preserve"> BSP, as </w:t>
      </w:r>
      <w:r>
        <w:t xml:space="preserve">it was then being </w:t>
      </w:r>
      <w:r w:rsidRPr="008B1F1E">
        <w:t xml:space="preserve">delivered, </w:t>
      </w:r>
      <w:r>
        <w:t>wa</w:t>
      </w:r>
      <w:r w:rsidRPr="008B1F1E">
        <w:t>s increasing inequities for M</w:t>
      </w:r>
      <w:r w:rsidRPr="008B1F1E">
        <w:rPr>
          <w:rFonts w:cs="Arial"/>
        </w:rPr>
        <w:t>ā</w:t>
      </w:r>
      <w:r w:rsidRPr="008B1F1E">
        <w:t xml:space="preserve">ori </w:t>
      </w:r>
      <w:r>
        <w:t xml:space="preserve">and those </w:t>
      </w:r>
      <w:r w:rsidRPr="009826F2">
        <w:rPr>
          <w:rFonts w:cs="Arial"/>
        </w:rPr>
        <w:t xml:space="preserve">people living in the most deprived areas </w:t>
      </w:r>
      <w:r w:rsidRPr="008B1F1E">
        <w:t xml:space="preserve">due to their low participation and high disease burden.  </w:t>
      </w:r>
      <w:r w:rsidR="00B9065B" w:rsidRPr="009826F2">
        <w:t xml:space="preserve">Pacific </w:t>
      </w:r>
      <w:r w:rsidR="00B9065B" w:rsidRPr="009826F2">
        <w:rPr>
          <w:lang w:eastAsia="ar-SA"/>
        </w:rPr>
        <w:t>people ha</w:t>
      </w:r>
      <w:r w:rsidR="00B9065B">
        <w:rPr>
          <w:lang w:eastAsia="ar-SA"/>
        </w:rPr>
        <w:t>d</w:t>
      </w:r>
      <w:r w:rsidR="00B9065B" w:rsidRPr="009826F2">
        <w:rPr>
          <w:lang w:eastAsia="ar-SA"/>
        </w:rPr>
        <w:t xml:space="preserve"> the lowest participation rates and face inequ</w:t>
      </w:r>
      <w:r w:rsidR="00B9065B">
        <w:rPr>
          <w:lang w:eastAsia="ar-SA"/>
        </w:rPr>
        <w:t>ities</w:t>
      </w:r>
      <w:r w:rsidR="00B9065B" w:rsidRPr="009826F2">
        <w:rPr>
          <w:lang w:eastAsia="ar-SA"/>
        </w:rPr>
        <w:t xml:space="preserve"> relating to access; however their disease burden is lower</w:t>
      </w:r>
      <w:r w:rsidR="00B9065B">
        <w:rPr>
          <w:lang w:eastAsia="ar-SA"/>
        </w:rPr>
        <w:t xml:space="preserve">.  </w:t>
      </w:r>
      <w:r w:rsidR="002E0A4E">
        <w:t>S</w:t>
      </w:r>
      <w:r w:rsidRPr="008B1F1E">
        <w:t xml:space="preserve">creening </w:t>
      </w:r>
      <w:r w:rsidR="00F72955">
        <w:t>Round 2</w:t>
      </w:r>
      <w:r w:rsidRPr="008B1F1E">
        <w:t xml:space="preserve"> of the </w:t>
      </w:r>
      <w:r w:rsidR="00B9236E">
        <w:t>p</w:t>
      </w:r>
      <w:r w:rsidRPr="008B1F1E">
        <w:t xml:space="preserve">ilot </w:t>
      </w:r>
      <w:r>
        <w:t xml:space="preserve">was </w:t>
      </w:r>
      <w:r w:rsidRPr="008B1F1E">
        <w:t xml:space="preserve">used to trial </w:t>
      </w:r>
      <w:r w:rsidRPr="008B1F1E">
        <w:rPr>
          <w:lang w:eastAsia="ar-SA"/>
        </w:rPr>
        <w:t>new initiatives</w:t>
      </w:r>
      <w:r w:rsidRPr="008B1F1E">
        <w:t xml:space="preserve"> to increase participation by M</w:t>
      </w:r>
      <w:r w:rsidRPr="008B1F1E">
        <w:rPr>
          <w:rFonts w:cs="Arial"/>
        </w:rPr>
        <w:t>ā</w:t>
      </w:r>
      <w:r>
        <w:t>ori and Pacific people</w:t>
      </w:r>
      <w:r w:rsidR="00B81A8B">
        <w:t>.</w:t>
      </w:r>
      <w:r>
        <w:t xml:space="preserve">  </w:t>
      </w:r>
      <w:r w:rsidR="00E939B2">
        <w:t>All</w:t>
      </w:r>
      <w:r w:rsidR="00412364">
        <w:t xml:space="preserve"> initiative</w:t>
      </w:r>
      <w:r w:rsidR="00D43679">
        <w:t>s</w:t>
      </w:r>
      <w:r w:rsidR="00B9236E">
        <w:t xml:space="preserve"> implemented</w:t>
      </w:r>
      <w:r w:rsidR="00412364">
        <w:t xml:space="preserve"> to increase M</w:t>
      </w:r>
      <w:r w:rsidR="00B9236E">
        <w:rPr>
          <w:rFonts w:cs="Arial"/>
        </w:rPr>
        <w:t>ā</w:t>
      </w:r>
      <w:r w:rsidR="00412364">
        <w:t>ori and Pacific participation</w:t>
      </w:r>
      <w:r w:rsidR="00E939B2">
        <w:t xml:space="preserve"> are described below</w:t>
      </w:r>
      <w:r w:rsidR="00412364">
        <w:t xml:space="preserve">. </w:t>
      </w:r>
    </w:p>
    <w:p w:rsidR="00B81A8B" w:rsidRPr="008B1F1E" w:rsidRDefault="00B81A8B" w:rsidP="00B81A8B">
      <w:pPr>
        <w:pStyle w:val="Heading3"/>
      </w:pPr>
      <w:r w:rsidRPr="008B1F1E">
        <w:t xml:space="preserve">Established initiatives to increase Māori and Pacific participation  </w:t>
      </w:r>
    </w:p>
    <w:p w:rsidR="00B81A8B" w:rsidRPr="008B1F1E" w:rsidRDefault="00B81A8B" w:rsidP="00B81A8B">
      <w:pPr>
        <w:rPr>
          <w:lang w:eastAsia="ar-SA"/>
        </w:rPr>
      </w:pPr>
      <w:r w:rsidRPr="008B1F1E">
        <w:rPr>
          <w:lang w:eastAsia="ar-SA"/>
        </w:rPr>
        <w:t>The BSP Coordination Centre undert</w:t>
      </w:r>
      <w:r w:rsidR="00B9236E">
        <w:rPr>
          <w:lang w:eastAsia="ar-SA"/>
        </w:rPr>
        <w:t>ook</w:t>
      </w:r>
      <w:r w:rsidRPr="008B1F1E">
        <w:rPr>
          <w:lang w:eastAsia="ar-SA"/>
        </w:rPr>
        <w:t xml:space="preserve"> a range of activities to support M</w:t>
      </w:r>
      <w:r w:rsidRPr="008B1F1E">
        <w:rPr>
          <w:rFonts w:cs="Arial"/>
          <w:lang w:eastAsia="ar-SA"/>
        </w:rPr>
        <w:t>ā</w:t>
      </w:r>
      <w:r w:rsidR="00B9065B">
        <w:rPr>
          <w:lang w:eastAsia="ar-SA"/>
        </w:rPr>
        <w:t>ori and Pacific people</w:t>
      </w:r>
      <w:r w:rsidRPr="008B1F1E">
        <w:rPr>
          <w:lang w:eastAsia="ar-SA"/>
        </w:rPr>
        <w:t xml:space="preserve">s </w:t>
      </w:r>
      <w:r>
        <w:rPr>
          <w:lang w:eastAsia="ar-SA"/>
        </w:rPr>
        <w:t xml:space="preserve">and others </w:t>
      </w:r>
      <w:r w:rsidRPr="008B1F1E">
        <w:rPr>
          <w:lang w:eastAsia="ar-SA"/>
        </w:rPr>
        <w:t xml:space="preserve">participation in the BSP, namely: </w:t>
      </w:r>
    </w:p>
    <w:p w:rsidR="00B81A8B" w:rsidRPr="00762E9D" w:rsidRDefault="00B81A8B" w:rsidP="006179C7">
      <w:pPr>
        <w:numPr>
          <w:ilvl w:val="0"/>
          <w:numId w:val="13"/>
        </w:numPr>
        <w:spacing w:before="120"/>
        <w:ind w:left="1066" w:hanging="357"/>
        <w:rPr>
          <w:szCs w:val="24"/>
        </w:rPr>
      </w:pPr>
      <w:r>
        <w:rPr>
          <w:szCs w:val="24"/>
        </w:rPr>
        <w:t xml:space="preserve">Since 2013, </w:t>
      </w:r>
      <w:r w:rsidR="000F11FA">
        <w:rPr>
          <w:szCs w:val="24"/>
        </w:rPr>
        <w:t>W</w:t>
      </w:r>
      <w:r w:rsidRPr="00762E9D">
        <w:rPr>
          <w:szCs w:val="24"/>
        </w:rPr>
        <w:t>DHB’s Kaitiaki Roopu provided a Treaty of Waitangi based partnership and participation oversight to the BSP.  Kaitiaki Roopu also provide</w:t>
      </w:r>
      <w:r w:rsidR="00B9236E">
        <w:rPr>
          <w:szCs w:val="24"/>
        </w:rPr>
        <w:t>d</w:t>
      </w:r>
      <w:r w:rsidRPr="00762E9D">
        <w:rPr>
          <w:szCs w:val="24"/>
        </w:rPr>
        <w:t xml:space="preserve"> guidance, support, advice and links into the Māori community serviced by </w:t>
      </w:r>
      <w:r w:rsidR="00D43679">
        <w:rPr>
          <w:szCs w:val="24"/>
        </w:rPr>
        <w:t>W</w:t>
      </w:r>
      <w:r w:rsidRPr="00762E9D">
        <w:rPr>
          <w:szCs w:val="24"/>
        </w:rPr>
        <w:t>DHB to ensure Māori make informed decisions about the BSP.</w:t>
      </w:r>
    </w:p>
    <w:p w:rsidR="00B81A8B" w:rsidRPr="00762E9D" w:rsidRDefault="00B81A8B" w:rsidP="006179C7">
      <w:pPr>
        <w:numPr>
          <w:ilvl w:val="0"/>
          <w:numId w:val="13"/>
        </w:numPr>
        <w:spacing w:before="120"/>
        <w:ind w:left="1066" w:hanging="357"/>
        <w:rPr>
          <w:szCs w:val="24"/>
          <w:lang w:eastAsia="ar-SA"/>
        </w:rPr>
      </w:pPr>
      <w:r w:rsidRPr="00762E9D">
        <w:rPr>
          <w:szCs w:val="24"/>
          <w:lang w:eastAsia="ar-SA"/>
        </w:rPr>
        <w:t xml:space="preserve">Active follow-up (refer below as this initiative </w:t>
      </w:r>
      <w:r>
        <w:rPr>
          <w:szCs w:val="24"/>
          <w:lang w:eastAsia="ar-SA"/>
        </w:rPr>
        <w:t>was</w:t>
      </w:r>
      <w:r w:rsidRPr="00762E9D">
        <w:rPr>
          <w:szCs w:val="24"/>
          <w:lang w:eastAsia="ar-SA"/>
        </w:rPr>
        <w:t xml:space="preserve"> strengthened in </w:t>
      </w:r>
      <w:r w:rsidR="00F72955">
        <w:rPr>
          <w:szCs w:val="24"/>
          <w:lang w:eastAsia="ar-SA"/>
        </w:rPr>
        <w:t>Round 2</w:t>
      </w:r>
      <w:r w:rsidRPr="00762E9D">
        <w:rPr>
          <w:szCs w:val="24"/>
          <w:lang w:eastAsia="ar-SA"/>
        </w:rPr>
        <w:t xml:space="preserve">) </w:t>
      </w:r>
    </w:p>
    <w:p w:rsidR="00B81A8B" w:rsidRPr="00762E9D" w:rsidRDefault="00B81A8B" w:rsidP="006179C7">
      <w:pPr>
        <w:numPr>
          <w:ilvl w:val="0"/>
          <w:numId w:val="13"/>
        </w:numPr>
        <w:spacing w:before="120"/>
        <w:ind w:left="1066" w:hanging="357"/>
        <w:rPr>
          <w:szCs w:val="24"/>
          <w:lang w:eastAsia="ar-SA"/>
        </w:rPr>
      </w:pPr>
      <w:r w:rsidRPr="00762E9D">
        <w:rPr>
          <w:szCs w:val="24"/>
          <w:lang w:eastAsia="ar-SA"/>
        </w:rPr>
        <w:t>CAR activities includ</w:t>
      </w:r>
      <w:r w:rsidR="00B9236E">
        <w:rPr>
          <w:szCs w:val="24"/>
          <w:lang w:eastAsia="ar-SA"/>
        </w:rPr>
        <w:t>ed</w:t>
      </w:r>
      <w:r w:rsidRPr="00762E9D">
        <w:rPr>
          <w:szCs w:val="24"/>
          <w:lang w:eastAsia="ar-SA"/>
        </w:rPr>
        <w:t xml:space="preserve">:  </w:t>
      </w:r>
    </w:p>
    <w:p w:rsidR="00B81A8B" w:rsidRPr="00762E9D" w:rsidRDefault="00B81A8B" w:rsidP="00E02E6A">
      <w:pPr>
        <w:numPr>
          <w:ilvl w:val="0"/>
          <w:numId w:val="14"/>
        </w:numPr>
        <w:tabs>
          <w:tab w:val="left" w:pos="1134"/>
        </w:tabs>
        <w:spacing w:beforeLines="60" w:before="144"/>
        <w:ind w:left="1560" w:hanging="426"/>
        <w:rPr>
          <w:szCs w:val="24"/>
          <w:lang w:eastAsia="ar-SA"/>
        </w:rPr>
      </w:pPr>
      <w:r w:rsidRPr="00762E9D">
        <w:rPr>
          <w:szCs w:val="24"/>
          <w:lang w:eastAsia="ar-SA"/>
        </w:rPr>
        <w:t xml:space="preserve">Community engagement activities by Māori CAR </w:t>
      </w:r>
      <w:r w:rsidR="00E939B2">
        <w:rPr>
          <w:szCs w:val="24"/>
          <w:lang w:eastAsia="ar-SA"/>
        </w:rPr>
        <w:t>c</w:t>
      </w:r>
      <w:r w:rsidRPr="00762E9D">
        <w:rPr>
          <w:szCs w:val="24"/>
          <w:lang w:eastAsia="ar-SA"/>
        </w:rPr>
        <w:t xml:space="preserve">oordinators with Māori organisations and Māori stakeholder groups such as kaumātua and kuia groups affiliated to Māori health providers. </w:t>
      </w:r>
    </w:p>
    <w:p w:rsidR="00B81A8B" w:rsidRPr="00762E9D" w:rsidRDefault="00B81A8B" w:rsidP="00E02E6A">
      <w:pPr>
        <w:numPr>
          <w:ilvl w:val="0"/>
          <w:numId w:val="14"/>
        </w:numPr>
        <w:tabs>
          <w:tab w:val="left" w:pos="1134"/>
        </w:tabs>
        <w:spacing w:beforeLines="60" w:before="144"/>
        <w:ind w:left="1560" w:hanging="426"/>
        <w:rPr>
          <w:szCs w:val="24"/>
          <w:lang w:val="en-AU"/>
        </w:rPr>
      </w:pPr>
      <w:r w:rsidRPr="00762E9D">
        <w:rPr>
          <w:szCs w:val="24"/>
          <w:lang w:eastAsia="ar-SA"/>
        </w:rPr>
        <w:t xml:space="preserve">Community engagement activities by Pacific CAR </w:t>
      </w:r>
      <w:r w:rsidR="00E939B2">
        <w:rPr>
          <w:szCs w:val="24"/>
          <w:lang w:eastAsia="ar-SA"/>
        </w:rPr>
        <w:t>c</w:t>
      </w:r>
      <w:r w:rsidRPr="00762E9D">
        <w:rPr>
          <w:szCs w:val="24"/>
          <w:lang w:eastAsia="ar-SA"/>
        </w:rPr>
        <w:t>oordinator</w:t>
      </w:r>
      <w:r>
        <w:rPr>
          <w:szCs w:val="24"/>
          <w:lang w:eastAsia="ar-SA"/>
        </w:rPr>
        <w:t xml:space="preserve">s </w:t>
      </w:r>
      <w:r w:rsidRPr="00762E9D">
        <w:rPr>
          <w:szCs w:val="24"/>
          <w:lang w:eastAsia="ar-SA"/>
        </w:rPr>
        <w:t>including presentations in commun</w:t>
      </w:r>
      <w:r w:rsidR="00E939B2">
        <w:rPr>
          <w:szCs w:val="24"/>
          <w:lang w:eastAsia="ar-SA"/>
        </w:rPr>
        <w:t>ity settings, churches and work</w:t>
      </w:r>
      <w:r w:rsidRPr="00762E9D">
        <w:rPr>
          <w:szCs w:val="24"/>
          <w:lang w:eastAsia="ar-SA"/>
        </w:rPr>
        <w:t>place settings where businesses employ</w:t>
      </w:r>
      <w:r w:rsidR="00A56D8D">
        <w:rPr>
          <w:szCs w:val="24"/>
          <w:lang w:eastAsia="ar-SA"/>
        </w:rPr>
        <w:t>ed</w:t>
      </w:r>
      <w:r w:rsidRPr="00762E9D">
        <w:rPr>
          <w:szCs w:val="24"/>
          <w:lang w:eastAsia="ar-SA"/>
        </w:rPr>
        <w:t xml:space="preserve"> significant numbers of Pacific people.</w:t>
      </w:r>
    </w:p>
    <w:p w:rsidR="00B81A8B" w:rsidRPr="00762E9D" w:rsidRDefault="00B81A8B" w:rsidP="00E02E6A">
      <w:pPr>
        <w:numPr>
          <w:ilvl w:val="0"/>
          <w:numId w:val="14"/>
        </w:numPr>
        <w:tabs>
          <w:tab w:val="left" w:pos="1134"/>
        </w:tabs>
        <w:spacing w:beforeLines="60" w:before="144"/>
        <w:ind w:left="1560" w:hanging="426"/>
        <w:rPr>
          <w:szCs w:val="24"/>
          <w:lang w:val="en-AU"/>
        </w:rPr>
      </w:pPr>
      <w:r w:rsidRPr="00762E9D">
        <w:rPr>
          <w:szCs w:val="24"/>
          <w:lang w:eastAsia="ar-SA"/>
        </w:rPr>
        <w:t>Education</w:t>
      </w:r>
      <w:r w:rsidRPr="00762E9D">
        <w:rPr>
          <w:szCs w:val="24"/>
        </w:rPr>
        <w:t xml:space="preserve"> sessions</w:t>
      </w:r>
      <w:r w:rsidRPr="00762E9D">
        <w:rPr>
          <w:szCs w:val="24"/>
          <w:lang w:eastAsia="ar-SA"/>
        </w:rPr>
        <w:t xml:space="preserve"> </w:t>
      </w:r>
      <w:r w:rsidRPr="00762E9D">
        <w:rPr>
          <w:szCs w:val="24"/>
        </w:rPr>
        <w:t>by West Fono health promoters conducted in Samoan, Tongan, Niuean, Fijian, Cook Island M</w:t>
      </w:r>
      <w:r w:rsidRPr="00762E9D">
        <w:rPr>
          <w:rFonts w:cs="Arial"/>
          <w:szCs w:val="24"/>
        </w:rPr>
        <w:t>ā</w:t>
      </w:r>
      <w:r w:rsidRPr="00762E9D">
        <w:rPr>
          <w:szCs w:val="24"/>
        </w:rPr>
        <w:t>ori and Tuvaluan.  The sessions focus</w:t>
      </w:r>
      <w:r w:rsidR="00A56D8D">
        <w:rPr>
          <w:szCs w:val="24"/>
        </w:rPr>
        <w:t>ed</w:t>
      </w:r>
      <w:r w:rsidRPr="00762E9D">
        <w:rPr>
          <w:szCs w:val="24"/>
        </w:rPr>
        <w:t xml:space="preserve"> on the iFOBT, </w:t>
      </w:r>
      <w:r w:rsidR="00B9065B">
        <w:rPr>
          <w:szCs w:val="24"/>
        </w:rPr>
        <w:t>including a demonstration of</w:t>
      </w:r>
      <w:r w:rsidRPr="00762E9D">
        <w:rPr>
          <w:szCs w:val="24"/>
        </w:rPr>
        <w:t xml:space="preserve"> how to do the test, and key messages about bowel cancer and bowel screening.</w:t>
      </w:r>
    </w:p>
    <w:p w:rsidR="00B81A8B" w:rsidRPr="00FC66EF" w:rsidRDefault="00B81A8B" w:rsidP="006179C7">
      <w:pPr>
        <w:numPr>
          <w:ilvl w:val="0"/>
          <w:numId w:val="13"/>
        </w:numPr>
        <w:spacing w:before="120"/>
        <w:ind w:left="1066" w:hanging="357"/>
        <w:rPr>
          <w:szCs w:val="24"/>
          <w:lang w:eastAsia="ar-SA"/>
        </w:rPr>
      </w:pPr>
      <w:r w:rsidRPr="00762E9D">
        <w:rPr>
          <w:szCs w:val="24"/>
          <w:lang w:eastAsia="ar-SA"/>
        </w:rPr>
        <w:t xml:space="preserve">Media </w:t>
      </w:r>
      <w:r w:rsidRPr="00762E9D">
        <w:rPr>
          <w:rFonts w:cs="Arial"/>
          <w:lang w:val="en-AU"/>
        </w:rPr>
        <w:t>targeting the</w:t>
      </w:r>
      <w:r w:rsidRPr="00762E9D">
        <w:rPr>
          <w:szCs w:val="24"/>
          <w:lang w:val="en-US"/>
        </w:rPr>
        <w:t xml:space="preserve"> eligible population and their influencers via </w:t>
      </w:r>
      <w:r w:rsidR="00E939B2">
        <w:rPr>
          <w:szCs w:val="24"/>
          <w:lang w:val="en-US"/>
        </w:rPr>
        <w:t xml:space="preserve">a </w:t>
      </w:r>
      <w:r w:rsidRPr="00762E9D">
        <w:rPr>
          <w:szCs w:val="24"/>
          <w:lang w:val="en-US"/>
        </w:rPr>
        <w:t>monthly advertorial alternating with</w:t>
      </w:r>
      <w:r w:rsidRPr="00FC66EF">
        <w:rPr>
          <w:szCs w:val="24"/>
          <w:lang w:val="en-US"/>
        </w:rPr>
        <w:t xml:space="preserve"> a poster in the five community newspapers.  Advertisements/ posters/articles </w:t>
      </w:r>
      <w:r w:rsidR="00A56D8D">
        <w:rPr>
          <w:szCs w:val="24"/>
          <w:lang w:val="en-US"/>
        </w:rPr>
        <w:t>were</w:t>
      </w:r>
      <w:r w:rsidR="00A56D8D" w:rsidRPr="00FC66EF">
        <w:rPr>
          <w:szCs w:val="24"/>
          <w:lang w:val="en-US"/>
        </w:rPr>
        <w:t xml:space="preserve"> </w:t>
      </w:r>
      <w:r w:rsidRPr="00FC66EF">
        <w:rPr>
          <w:szCs w:val="24"/>
          <w:lang w:val="en-US"/>
        </w:rPr>
        <w:t xml:space="preserve">also published in the Rodney Times, the Village Voice (Wellsford), Maharangi Matters, Hibiscus Matters, Good Neighbour (North Shore and Waitakere). </w:t>
      </w:r>
      <w:r>
        <w:rPr>
          <w:szCs w:val="24"/>
          <w:lang w:val="en-US"/>
        </w:rPr>
        <w:t xml:space="preserve"> </w:t>
      </w:r>
      <w:r w:rsidR="00E939B2">
        <w:rPr>
          <w:szCs w:val="24"/>
          <w:lang w:val="en-US"/>
        </w:rPr>
        <w:t>R</w:t>
      </w:r>
      <w:r>
        <w:rPr>
          <w:szCs w:val="24"/>
          <w:lang w:val="en-US"/>
        </w:rPr>
        <w:t xml:space="preserve">adio stations targeting </w:t>
      </w:r>
      <w:r w:rsidRPr="00FC66EF">
        <w:rPr>
          <w:szCs w:val="24"/>
          <w:lang w:eastAsia="ar-SA"/>
        </w:rPr>
        <w:t>M</w:t>
      </w:r>
      <w:r>
        <w:rPr>
          <w:rFonts w:cs="Arial"/>
          <w:szCs w:val="24"/>
          <w:lang w:eastAsia="ar-SA"/>
        </w:rPr>
        <w:t>ā</w:t>
      </w:r>
      <w:r w:rsidRPr="00FC66EF">
        <w:rPr>
          <w:szCs w:val="24"/>
          <w:lang w:eastAsia="ar-SA"/>
        </w:rPr>
        <w:t xml:space="preserve">ori and Pacific </w:t>
      </w:r>
      <w:r>
        <w:rPr>
          <w:szCs w:val="24"/>
          <w:lang w:eastAsia="ar-SA"/>
        </w:rPr>
        <w:t xml:space="preserve">people </w:t>
      </w:r>
      <w:r w:rsidR="00E939B2">
        <w:rPr>
          <w:szCs w:val="24"/>
          <w:lang w:eastAsia="ar-SA"/>
        </w:rPr>
        <w:t xml:space="preserve">also advertised the BSP </w:t>
      </w:r>
      <w:r>
        <w:rPr>
          <w:szCs w:val="24"/>
          <w:lang w:eastAsia="ar-SA"/>
        </w:rPr>
        <w:t xml:space="preserve">via regular interviews with </w:t>
      </w:r>
      <w:r w:rsidRPr="00FC66EF">
        <w:rPr>
          <w:szCs w:val="24"/>
          <w:lang w:eastAsia="ar-SA"/>
        </w:rPr>
        <w:t>M</w:t>
      </w:r>
      <w:r>
        <w:rPr>
          <w:rFonts w:cs="Arial"/>
          <w:szCs w:val="24"/>
          <w:lang w:eastAsia="ar-SA"/>
        </w:rPr>
        <w:t>ā</w:t>
      </w:r>
      <w:r w:rsidRPr="00FC66EF">
        <w:rPr>
          <w:szCs w:val="24"/>
          <w:lang w:eastAsia="ar-SA"/>
        </w:rPr>
        <w:t xml:space="preserve">ori and Pacific </w:t>
      </w:r>
      <w:r>
        <w:rPr>
          <w:szCs w:val="24"/>
          <w:lang w:eastAsia="ar-SA"/>
        </w:rPr>
        <w:t xml:space="preserve">CAR </w:t>
      </w:r>
      <w:r w:rsidR="00E939B2">
        <w:rPr>
          <w:szCs w:val="24"/>
          <w:lang w:eastAsia="ar-SA"/>
        </w:rPr>
        <w:t>c</w:t>
      </w:r>
      <w:r>
        <w:rPr>
          <w:szCs w:val="24"/>
          <w:lang w:eastAsia="ar-SA"/>
        </w:rPr>
        <w:t>oordinators</w:t>
      </w:r>
      <w:r w:rsidRPr="00FC66EF">
        <w:rPr>
          <w:szCs w:val="24"/>
          <w:lang w:eastAsia="ar-SA"/>
        </w:rPr>
        <w:t>.</w:t>
      </w:r>
    </w:p>
    <w:p w:rsidR="00B81A8B" w:rsidRDefault="00B81A8B" w:rsidP="00B81A8B">
      <w:pPr>
        <w:rPr>
          <w:lang w:eastAsia="ar-SA"/>
        </w:rPr>
      </w:pPr>
      <w:r w:rsidRPr="008B1F1E">
        <w:rPr>
          <w:lang w:eastAsia="ar-SA"/>
        </w:rPr>
        <w:t>In 201</w:t>
      </w:r>
      <w:r w:rsidR="00211FAD">
        <w:rPr>
          <w:lang w:eastAsia="ar-SA"/>
        </w:rPr>
        <w:t>3, the BSP Coordination Centre</w:t>
      </w:r>
      <w:r w:rsidRPr="008B1F1E">
        <w:rPr>
          <w:lang w:eastAsia="ar-SA"/>
        </w:rPr>
        <w:t xml:space="preserve"> revised the</w:t>
      </w:r>
      <w:r w:rsidRPr="008B1F1E">
        <w:rPr>
          <w:b/>
          <w:lang w:eastAsia="ar-SA"/>
        </w:rPr>
        <w:t xml:space="preserve"> </w:t>
      </w:r>
      <w:r w:rsidRPr="008B1F1E">
        <w:rPr>
          <w:lang w:eastAsia="ar-SA"/>
        </w:rPr>
        <w:t xml:space="preserve">pre-invitation letter, kit instructions and consent form to be </w:t>
      </w:r>
      <w:r w:rsidRPr="008B1F1E">
        <w:t>more</w:t>
      </w:r>
      <w:r w:rsidRPr="008B1F1E">
        <w:rPr>
          <w:lang w:eastAsia="ar-SA"/>
        </w:rPr>
        <w:t xml:space="preserve"> accessible to a wider range of literacy levels.  These revised documents were introduced in January 2014 (</w:t>
      </w:r>
      <w:r w:rsidR="00F72955">
        <w:rPr>
          <w:lang w:eastAsia="ar-SA"/>
        </w:rPr>
        <w:t>Round 2</w:t>
      </w:r>
      <w:r w:rsidRPr="008B1F1E">
        <w:rPr>
          <w:lang w:eastAsia="ar-SA"/>
        </w:rPr>
        <w:t xml:space="preserve">).  </w:t>
      </w:r>
      <w:r>
        <w:rPr>
          <w:lang w:eastAsia="ar-SA"/>
        </w:rPr>
        <w:t xml:space="preserve">The time between getting the pre-invite letter and the iFOBT kit </w:t>
      </w:r>
      <w:r w:rsidR="00B9065B">
        <w:rPr>
          <w:lang w:eastAsia="ar-SA"/>
        </w:rPr>
        <w:t>was</w:t>
      </w:r>
      <w:r>
        <w:rPr>
          <w:lang w:eastAsia="ar-SA"/>
        </w:rPr>
        <w:t xml:space="preserve"> reduced </w:t>
      </w:r>
      <w:r w:rsidR="00B9065B">
        <w:rPr>
          <w:lang w:eastAsia="ar-SA"/>
        </w:rPr>
        <w:t xml:space="preserve">in January 2014 </w:t>
      </w:r>
      <w:r>
        <w:rPr>
          <w:lang w:eastAsia="ar-SA"/>
        </w:rPr>
        <w:t>from four to two weeks, following advice from M</w:t>
      </w:r>
      <w:r>
        <w:rPr>
          <w:rFonts w:cs="Arial"/>
          <w:lang w:eastAsia="ar-SA"/>
        </w:rPr>
        <w:t>ā</w:t>
      </w:r>
      <w:r>
        <w:rPr>
          <w:lang w:eastAsia="ar-SA"/>
        </w:rPr>
        <w:t xml:space="preserve">ori and Pacific advisors. </w:t>
      </w:r>
    </w:p>
    <w:p w:rsidR="00B81A8B" w:rsidRPr="00F27794" w:rsidRDefault="00B81A8B" w:rsidP="00B81A8B">
      <w:pPr>
        <w:pStyle w:val="Heading3"/>
      </w:pPr>
      <w:r w:rsidRPr="00B81A8B">
        <w:t>New</w:t>
      </w:r>
      <w:r w:rsidRPr="00F27794">
        <w:t xml:space="preserve"> or strengthened initiatives to increase Māori and Pacific participation </w:t>
      </w:r>
    </w:p>
    <w:p w:rsidR="00B81A8B" w:rsidRPr="008B1F1E" w:rsidRDefault="00B81A8B" w:rsidP="00B81A8B">
      <w:pPr>
        <w:rPr>
          <w:lang w:eastAsia="ar-SA"/>
        </w:rPr>
      </w:pPr>
      <w:r>
        <w:t xml:space="preserve">In </w:t>
      </w:r>
      <w:r w:rsidR="00F72955">
        <w:t>Round 2</w:t>
      </w:r>
      <w:r>
        <w:t>,</w:t>
      </w:r>
      <w:r w:rsidR="00B9065B">
        <w:t xml:space="preserve"> the </w:t>
      </w:r>
      <w:r w:rsidRPr="008B1F1E">
        <w:t>BSP Coordination Centre work</w:t>
      </w:r>
      <w:r w:rsidR="002378AB">
        <w:t>ed</w:t>
      </w:r>
      <w:r w:rsidRPr="008B1F1E">
        <w:t xml:space="preserve"> with </w:t>
      </w:r>
      <w:r w:rsidRPr="008B1F1E">
        <w:rPr>
          <w:lang w:eastAsia="ar-SA"/>
        </w:rPr>
        <w:t>Kaitiaki Roopu</w:t>
      </w:r>
      <w:r w:rsidR="00B9065B">
        <w:rPr>
          <w:lang w:eastAsia="ar-SA"/>
        </w:rPr>
        <w:t>, M</w:t>
      </w:r>
      <w:r w:rsidR="00B9065B">
        <w:rPr>
          <w:rFonts w:cs="Arial"/>
          <w:lang w:eastAsia="ar-SA"/>
        </w:rPr>
        <w:t>ā</w:t>
      </w:r>
      <w:r w:rsidR="00B9065B">
        <w:rPr>
          <w:lang w:eastAsia="ar-SA"/>
        </w:rPr>
        <w:t>ori clinical leaders</w:t>
      </w:r>
      <w:r w:rsidRPr="008B1F1E">
        <w:rPr>
          <w:lang w:eastAsia="ar-SA"/>
        </w:rPr>
        <w:t xml:space="preserve"> and Pacific advisors</w:t>
      </w:r>
      <w:r w:rsidRPr="008B1F1E">
        <w:t xml:space="preserve"> </w:t>
      </w:r>
      <w:r w:rsidR="002378AB">
        <w:t xml:space="preserve">to </w:t>
      </w:r>
      <w:r w:rsidRPr="008B1F1E">
        <w:t xml:space="preserve">develop </w:t>
      </w:r>
      <w:r w:rsidRPr="008B1F1E">
        <w:rPr>
          <w:lang w:eastAsia="ar-SA"/>
        </w:rPr>
        <w:t xml:space="preserve">four initiatives to </w:t>
      </w:r>
      <w:r w:rsidRPr="008B1F1E">
        <w:t>enhance the systems, processes and structures of the BSP</w:t>
      </w:r>
      <w:r w:rsidR="00E939B2">
        <w:t>.</w:t>
      </w:r>
      <w:r w:rsidRPr="008B1F1E">
        <w:t xml:space="preserve"> </w:t>
      </w:r>
      <w:r w:rsidR="00E939B2">
        <w:t>T</w:t>
      </w:r>
      <w:r w:rsidRPr="008B1F1E">
        <w:t xml:space="preserve">he goal </w:t>
      </w:r>
      <w:r w:rsidR="00E939B2">
        <w:t>was to</w:t>
      </w:r>
      <w:r w:rsidRPr="008B1F1E">
        <w:t xml:space="preserve"> </w:t>
      </w:r>
      <w:r w:rsidRPr="008B1F1E">
        <w:rPr>
          <w:lang w:eastAsia="ar-SA"/>
        </w:rPr>
        <w:t>increas</w:t>
      </w:r>
      <w:r w:rsidR="00E939B2">
        <w:rPr>
          <w:lang w:eastAsia="ar-SA"/>
        </w:rPr>
        <w:t>e</w:t>
      </w:r>
      <w:r w:rsidRPr="008B1F1E">
        <w:rPr>
          <w:lang w:eastAsia="ar-SA"/>
        </w:rPr>
        <w:t xml:space="preserve"> Māori and Pacific participation in the BSP.</w:t>
      </w:r>
      <w:r>
        <w:rPr>
          <w:lang w:eastAsia="ar-SA"/>
        </w:rPr>
        <w:t xml:space="preserve">  </w:t>
      </w:r>
      <w:r w:rsidRPr="008B1F1E">
        <w:rPr>
          <w:lang w:eastAsia="ar-SA"/>
        </w:rPr>
        <w:t xml:space="preserve">The new initiatives </w:t>
      </w:r>
      <w:r>
        <w:rPr>
          <w:lang w:eastAsia="ar-SA"/>
        </w:rPr>
        <w:t>were</w:t>
      </w:r>
      <w:r w:rsidRPr="008B1F1E">
        <w:rPr>
          <w:lang w:eastAsia="ar-SA"/>
        </w:rPr>
        <w:t xml:space="preserve"> enabled via enhanced M</w:t>
      </w:r>
      <w:r w:rsidRPr="008B1F1E">
        <w:rPr>
          <w:rFonts w:cs="Arial"/>
          <w:lang w:eastAsia="ar-SA"/>
        </w:rPr>
        <w:t>ā</w:t>
      </w:r>
      <w:r w:rsidRPr="008B1F1E">
        <w:rPr>
          <w:lang w:eastAsia="ar-SA"/>
        </w:rPr>
        <w:t xml:space="preserve">ori and Pacific partnership and leadership through: </w:t>
      </w:r>
    </w:p>
    <w:p w:rsidR="00B81A8B" w:rsidRDefault="00B81A8B" w:rsidP="006179C7">
      <w:pPr>
        <w:numPr>
          <w:ilvl w:val="0"/>
          <w:numId w:val="13"/>
        </w:numPr>
        <w:spacing w:before="120"/>
        <w:ind w:left="1066" w:hanging="357"/>
        <w:rPr>
          <w:szCs w:val="24"/>
        </w:rPr>
      </w:pPr>
      <w:r w:rsidRPr="00762E9D">
        <w:rPr>
          <w:szCs w:val="24"/>
        </w:rPr>
        <w:t xml:space="preserve">Representatives from two Pacific providers </w:t>
      </w:r>
      <w:r w:rsidR="00E939B2">
        <w:rPr>
          <w:szCs w:val="24"/>
        </w:rPr>
        <w:t>giv</w:t>
      </w:r>
      <w:r w:rsidRPr="00762E9D">
        <w:rPr>
          <w:szCs w:val="24"/>
        </w:rPr>
        <w:t>ing advice to the BSP Coordination Centre via the CAR group.  The DHB’s Manager, Pacific Health also attend</w:t>
      </w:r>
      <w:r w:rsidR="00A56D8D">
        <w:rPr>
          <w:szCs w:val="24"/>
        </w:rPr>
        <w:t>ed</w:t>
      </w:r>
      <w:r w:rsidRPr="00762E9D">
        <w:rPr>
          <w:szCs w:val="24"/>
        </w:rPr>
        <w:t xml:space="preserve"> CAR meetings from time to time and </w:t>
      </w:r>
      <w:r w:rsidR="00A56D8D">
        <w:rPr>
          <w:szCs w:val="24"/>
        </w:rPr>
        <w:t>wa</w:t>
      </w:r>
      <w:r w:rsidRPr="00762E9D">
        <w:rPr>
          <w:szCs w:val="24"/>
        </w:rPr>
        <w:t>s available for ad hoc advice.</w:t>
      </w:r>
    </w:p>
    <w:p w:rsidR="00B81A8B" w:rsidRPr="00762E9D" w:rsidRDefault="00B81A8B" w:rsidP="006179C7">
      <w:pPr>
        <w:numPr>
          <w:ilvl w:val="0"/>
          <w:numId w:val="13"/>
        </w:numPr>
        <w:spacing w:before="120"/>
        <w:ind w:left="1066" w:hanging="357"/>
        <w:rPr>
          <w:szCs w:val="24"/>
        </w:rPr>
      </w:pPr>
      <w:r>
        <w:rPr>
          <w:szCs w:val="24"/>
        </w:rPr>
        <w:t>Te Wh</w:t>
      </w:r>
      <w:r w:rsidR="00CF326D">
        <w:rPr>
          <w:rFonts w:cs="Arial"/>
          <w:szCs w:val="24"/>
        </w:rPr>
        <w:t>ā</w:t>
      </w:r>
      <w:r>
        <w:rPr>
          <w:szCs w:val="24"/>
        </w:rPr>
        <w:t xml:space="preserve">nau o Waipareira Trust was contracted in August 2015 for two kuia to manage the follow-up calls for four East Tamaki Health Care practices.  </w:t>
      </w:r>
    </w:p>
    <w:p w:rsidR="00B81A8B" w:rsidRPr="004B21BE" w:rsidRDefault="00B81A8B" w:rsidP="006179C7">
      <w:pPr>
        <w:numPr>
          <w:ilvl w:val="0"/>
          <w:numId w:val="13"/>
        </w:numPr>
        <w:spacing w:before="120"/>
        <w:ind w:left="1066" w:hanging="357"/>
        <w:rPr>
          <w:szCs w:val="24"/>
          <w:lang w:eastAsia="ar-SA"/>
        </w:rPr>
      </w:pPr>
      <w:r w:rsidRPr="004B21BE">
        <w:rPr>
          <w:szCs w:val="24"/>
          <w:lang w:eastAsia="ar-SA"/>
        </w:rPr>
        <w:t>Te H</w:t>
      </w:r>
      <w:r w:rsidR="00B360F8">
        <w:rPr>
          <w:rFonts w:cs="Arial"/>
          <w:szCs w:val="24"/>
          <w:lang w:eastAsia="ar-SA"/>
        </w:rPr>
        <w:t>ā</w:t>
      </w:r>
      <w:r w:rsidRPr="004B21BE">
        <w:rPr>
          <w:szCs w:val="24"/>
          <w:lang w:eastAsia="ar-SA"/>
        </w:rPr>
        <w:t xml:space="preserve"> o Ng</w:t>
      </w:r>
      <w:r w:rsidR="00B360F8">
        <w:rPr>
          <w:rFonts w:cs="Arial"/>
          <w:szCs w:val="24"/>
          <w:lang w:eastAsia="ar-SA"/>
        </w:rPr>
        <w:t>ā</w:t>
      </w:r>
      <w:r w:rsidRPr="004B21BE">
        <w:rPr>
          <w:szCs w:val="24"/>
          <w:lang w:eastAsia="ar-SA"/>
        </w:rPr>
        <w:t>ti Wh</w:t>
      </w:r>
      <w:r w:rsidR="00B360F8">
        <w:rPr>
          <w:rFonts w:cs="Arial"/>
          <w:szCs w:val="24"/>
          <w:lang w:eastAsia="ar-SA"/>
        </w:rPr>
        <w:t>ā</w:t>
      </w:r>
      <w:r w:rsidRPr="004B21BE">
        <w:rPr>
          <w:szCs w:val="24"/>
          <w:lang w:eastAsia="ar-SA"/>
        </w:rPr>
        <w:t xml:space="preserve">tua’s </w:t>
      </w:r>
      <w:r w:rsidRPr="00FC66EF">
        <w:rPr>
          <w:szCs w:val="24"/>
          <w:lang w:eastAsia="ar-SA"/>
        </w:rPr>
        <w:t xml:space="preserve">(Māori health provider) </w:t>
      </w:r>
      <w:r>
        <w:rPr>
          <w:szCs w:val="24"/>
          <w:lang w:eastAsia="ar-SA"/>
        </w:rPr>
        <w:t xml:space="preserve">have </w:t>
      </w:r>
      <w:r w:rsidRPr="004B21BE">
        <w:rPr>
          <w:szCs w:val="24"/>
          <w:lang w:eastAsia="ar-SA"/>
        </w:rPr>
        <w:t>two BSP funded bowel screening coordinators in Helensville and Wellsford</w:t>
      </w:r>
      <w:r>
        <w:rPr>
          <w:szCs w:val="24"/>
          <w:lang w:eastAsia="ar-SA"/>
        </w:rPr>
        <w:t xml:space="preserve"> who </w:t>
      </w:r>
      <w:r w:rsidR="008B61E5">
        <w:rPr>
          <w:szCs w:val="24"/>
          <w:lang w:eastAsia="ar-SA"/>
        </w:rPr>
        <w:t xml:space="preserve">each </w:t>
      </w:r>
      <w:r w:rsidRPr="004B21BE">
        <w:rPr>
          <w:szCs w:val="24"/>
          <w:lang w:eastAsia="ar-SA"/>
        </w:rPr>
        <w:t xml:space="preserve">work for the </w:t>
      </w:r>
      <w:r>
        <w:rPr>
          <w:szCs w:val="24"/>
          <w:lang w:eastAsia="ar-SA"/>
        </w:rPr>
        <w:t>pilot t</w:t>
      </w:r>
      <w:r w:rsidRPr="004B21BE">
        <w:rPr>
          <w:szCs w:val="24"/>
          <w:lang w:eastAsia="ar-SA"/>
        </w:rPr>
        <w:t>wo days</w:t>
      </w:r>
      <w:r>
        <w:rPr>
          <w:szCs w:val="24"/>
          <w:lang w:eastAsia="ar-SA"/>
        </w:rPr>
        <w:t xml:space="preserve"> </w:t>
      </w:r>
      <w:r w:rsidR="002B3F34">
        <w:rPr>
          <w:szCs w:val="24"/>
          <w:lang w:eastAsia="ar-SA"/>
        </w:rPr>
        <w:t xml:space="preserve">a week </w:t>
      </w:r>
      <w:r w:rsidRPr="004B21BE">
        <w:rPr>
          <w:szCs w:val="24"/>
          <w:lang w:eastAsia="ar-SA"/>
        </w:rPr>
        <w:t>follow</w:t>
      </w:r>
      <w:r>
        <w:rPr>
          <w:szCs w:val="24"/>
          <w:lang w:eastAsia="ar-SA"/>
        </w:rPr>
        <w:t xml:space="preserve">ing </w:t>
      </w:r>
      <w:r w:rsidRPr="004B21BE">
        <w:rPr>
          <w:szCs w:val="24"/>
          <w:lang w:eastAsia="ar-SA"/>
        </w:rPr>
        <w:t>up all M</w:t>
      </w:r>
      <w:r>
        <w:rPr>
          <w:rFonts w:cs="Arial"/>
          <w:szCs w:val="24"/>
          <w:lang w:eastAsia="ar-SA"/>
        </w:rPr>
        <w:t>ā</w:t>
      </w:r>
      <w:r w:rsidRPr="004B21BE">
        <w:rPr>
          <w:szCs w:val="24"/>
          <w:lang w:eastAsia="ar-SA"/>
        </w:rPr>
        <w:t>ori non-responders</w:t>
      </w:r>
      <w:r w:rsidR="00B9065B">
        <w:rPr>
          <w:rStyle w:val="FootnoteReference"/>
          <w:szCs w:val="24"/>
          <w:lang w:eastAsia="ar-SA"/>
        </w:rPr>
        <w:footnoteReference w:id="10"/>
      </w:r>
      <w:r w:rsidRPr="004B21BE">
        <w:rPr>
          <w:szCs w:val="24"/>
          <w:lang w:eastAsia="ar-SA"/>
        </w:rPr>
        <w:t xml:space="preserve"> who live in the</w:t>
      </w:r>
      <w:r>
        <w:rPr>
          <w:szCs w:val="24"/>
          <w:lang w:eastAsia="ar-SA"/>
        </w:rPr>
        <w:t xml:space="preserve">se areas. </w:t>
      </w:r>
      <w:r w:rsidRPr="004B21BE">
        <w:rPr>
          <w:szCs w:val="24"/>
          <w:lang w:eastAsia="ar-SA"/>
        </w:rPr>
        <w:t xml:space="preserve"> Te H</w:t>
      </w:r>
      <w:r w:rsidR="002378AB">
        <w:rPr>
          <w:rFonts w:cs="Arial"/>
          <w:szCs w:val="24"/>
          <w:lang w:eastAsia="ar-SA"/>
        </w:rPr>
        <w:t>ā</w:t>
      </w:r>
      <w:r w:rsidRPr="004B21BE">
        <w:rPr>
          <w:szCs w:val="24"/>
          <w:lang w:eastAsia="ar-SA"/>
        </w:rPr>
        <w:t xml:space="preserve"> has worked with the Coast to Coast general practice to support them to encourage participation of their enrolled patients. They have also promot</w:t>
      </w:r>
      <w:r w:rsidR="00A56D8D">
        <w:rPr>
          <w:szCs w:val="24"/>
          <w:lang w:eastAsia="ar-SA"/>
        </w:rPr>
        <w:t>ed</w:t>
      </w:r>
      <w:r w:rsidRPr="004B21BE">
        <w:rPr>
          <w:szCs w:val="24"/>
          <w:lang w:eastAsia="ar-SA"/>
        </w:rPr>
        <w:t xml:space="preserve"> the programme through community health events.</w:t>
      </w:r>
    </w:p>
    <w:p w:rsidR="00B81A8B" w:rsidRPr="008B1F1E" w:rsidRDefault="00B81A8B" w:rsidP="00B81A8B">
      <w:r w:rsidRPr="008B1F1E">
        <w:rPr>
          <w:lang w:eastAsia="ar-SA"/>
        </w:rPr>
        <w:t>The four initiatives are described below.</w:t>
      </w:r>
      <w:r w:rsidRPr="008B1F1E">
        <w:t xml:space="preserve"> </w:t>
      </w:r>
    </w:p>
    <w:p w:rsidR="00B81A8B" w:rsidRPr="008B1F1E" w:rsidRDefault="00B81A8B" w:rsidP="00B503AA">
      <w:pPr>
        <w:pStyle w:val="Heading4"/>
        <w:spacing w:after="120"/>
        <w:rPr>
          <w:lang w:eastAsia="ar-SA"/>
        </w:rPr>
      </w:pPr>
      <w:r w:rsidRPr="008B1F1E">
        <w:rPr>
          <w:lang w:eastAsia="ar-SA"/>
        </w:rPr>
        <w:t>Active follow-up (strengthening initiative)</w:t>
      </w:r>
    </w:p>
    <w:p w:rsidR="00B81A8B" w:rsidRPr="008B1F1E" w:rsidRDefault="00B81A8B" w:rsidP="00B503AA">
      <w:pPr>
        <w:spacing w:before="120"/>
        <w:rPr>
          <w:lang w:eastAsia="ar-SA"/>
        </w:rPr>
      </w:pPr>
      <w:r w:rsidRPr="008B1F1E">
        <w:t xml:space="preserve">Since the </w:t>
      </w:r>
      <w:r w:rsidR="002378AB">
        <w:t>p</w:t>
      </w:r>
      <w:r w:rsidRPr="008B1F1E">
        <w:t>ilot</w:t>
      </w:r>
      <w:r w:rsidR="002378AB">
        <w:t xml:space="preserve"> began</w:t>
      </w:r>
      <w:r w:rsidRPr="008B1F1E">
        <w:t xml:space="preserve">, BSP Coordination Centre’s CAR </w:t>
      </w:r>
      <w:r w:rsidR="002378AB">
        <w:rPr>
          <w:lang w:eastAsia="ar-SA"/>
        </w:rPr>
        <w:t>c</w:t>
      </w:r>
      <w:r w:rsidRPr="008B1F1E">
        <w:rPr>
          <w:lang w:eastAsia="ar-SA"/>
        </w:rPr>
        <w:t>oordinators</w:t>
      </w:r>
      <w:r w:rsidRPr="008B1F1E">
        <w:t xml:space="preserve"> have a</w:t>
      </w:r>
      <w:r w:rsidRPr="008B1F1E">
        <w:rPr>
          <w:lang w:eastAsia="ar-SA"/>
        </w:rPr>
        <w:t xml:space="preserve">ctively followed up Māori, Pacific and Asian non-responders four weeks after receiving their kit.  The purpose of active follow-up is to encourage and enable people to complete their test kit.  </w:t>
      </w:r>
    </w:p>
    <w:p w:rsidR="00B81A8B" w:rsidRPr="008B1F1E" w:rsidRDefault="00B81A8B" w:rsidP="00B81A8B">
      <w:pPr>
        <w:rPr>
          <w:lang w:eastAsia="ar-SA"/>
        </w:rPr>
      </w:pPr>
      <w:r w:rsidRPr="008B1F1E">
        <w:rPr>
          <w:lang w:eastAsia="ar-SA"/>
        </w:rPr>
        <w:t xml:space="preserve">CAR </w:t>
      </w:r>
      <w:r w:rsidR="002378AB">
        <w:rPr>
          <w:lang w:eastAsia="ar-SA"/>
        </w:rPr>
        <w:t>c</w:t>
      </w:r>
      <w:r w:rsidRPr="008B1F1E">
        <w:rPr>
          <w:lang w:eastAsia="ar-SA"/>
        </w:rPr>
        <w:t>oordinators receive</w:t>
      </w:r>
      <w:r w:rsidR="00A56D8D">
        <w:rPr>
          <w:lang w:eastAsia="ar-SA"/>
        </w:rPr>
        <w:t>d</w:t>
      </w:r>
      <w:r w:rsidRPr="008B1F1E">
        <w:rPr>
          <w:lang w:eastAsia="ar-SA"/>
        </w:rPr>
        <w:t xml:space="preserve"> a list of Māori, Pacific and Asian non-responders and call</w:t>
      </w:r>
      <w:r w:rsidR="00A56D8D">
        <w:rPr>
          <w:lang w:eastAsia="ar-SA"/>
        </w:rPr>
        <w:t>ed</w:t>
      </w:r>
      <w:r w:rsidRPr="008B1F1E">
        <w:rPr>
          <w:lang w:eastAsia="ar-SA"/>
        </w:rPr>
        <w:t xml:space="preserve"> the person during the day, and then again in the evening if they c</w:t>
      </w:r>
      <w:r w:rsidR="00A56D8D">
        <w:rPr>
          <w:lang w:eastAsia="ar-SA"/>
        </w:rPr>
        <w:t xml:space="preserve">ould not </w:t>
      </w:r>
      <w:r w:rsidRPr="008B1F1E">
        <w:rPr>
          <w:lang w:eastAsia="ar-SA"/>
        </w:rPr>
        <w:t xml:space="preserve">make contact during the day. </w:t>
      </w:r>
      <w:r>
        <w:rPr>
          <w:lang w:eastAsia="ar-SA"/>
        </w:rPr>
        <w:t xml:space="preserve"> </w:t>
      </w:r>
      <w:r w:rsidRPr="008B1F1E">
        <w:rPr>
          <w:lang w:eastAsia="ar-SA"/>
        </w:rPr>
        <w:t xml:space="preserve">CAR </w:t>
      </w:r>
      <w:r w:rsidR="002378AB">
        <w:rPr>
          <w:lang w:eastAsia="ar-SA"/>
        </w:rPr>
        <w:t>c</w:t>
      </w:r>
      <w:r w:rsidRPr="008B1F1E">
        <w:rPr>
          <w:lang w:eastAsia="ar-SA"/>
        </w:rPr>
        <w:t>oordinators talk</w:t>
      </w:r>
      <w:r w:rsidR="00A56D8D">
        <w:rPr>
          <w:lang w:eastAsia="ar-SA"/>
        </w:rPr>
        <w:t>ed</w:t>
      </w:r>
      <w:r w:rsidRPr="008B1F1E">
        <w:rPr>
          <w:lang w:eastAsia="ar-SA"/>
        </w:rPr>
        <w:t xml:space="preserve"> to non-responders about the BSP and the test kit, and </w:t>
      </w:r>
      <w:r w:rsidR="00A56D8D">
        <w:rPr>
          <w:lang w:eastAsia="ar-SA"/>
        </w:rPr>
        <w:t>sought</w:t>
      </w:r>
      <w:r w:rsidR="00A56D8D" w:rsidRPr="008B1F1E">
        <w:rPr>
          <w:lang w:eastAsia="ar-SA"/>
        </w:rPr>
        <w:t xml:space="preserve"> </w:t>
      </w:r>
      <w:r w:rsidRPr="008B1F1E">
        <w:rPr>
          <w:lang w:eastAsia="ar-SA"/>
        </w:rPr>
        <w:t xml:space="preserve">to address any concerns.  The success of the active follow-up phone calls </w:t>
      </w:r>
      <w:r w:rsidR="00A56D8D">
        <w:rPr>
          <w:lang w:eastAsia="ar-SA"/>
        </w:rPr>
        <w:t>wa</w:t>
      </w:r>
      <w:r w:rsidRPr="008B1F1E">
        <w:rPr>
          <w:lang w:eastAsia="ar-SA"/>
        </w:rPr>
        <w:t>s constrained by whether a phone number c</w:t>
      </w:r>
      <w:r w:rsidR="00A56D8D">
        <w:rPr>
          <w:lang w:eastAsia="ar-SA"/>
        </w:rPr>
        <w:t>ould</w:t>
      </w:r>
      <w:r w:rsidRPr="008B1F1E">
        <w:rPr>
          <w:lang w:eastAsia="ar-SA"/>
        </w:rPr>
        <w:t xml:space="preserve"> be identified via the </w:t>
      </w:r>
      <w:r w:rsidR="000F11FA">
        <w:rPr>
          <w:lang w:eastAsia="ar-SA"/>
        </w:rPr>
        <w:t>W</w:t>
      </w:r>
      <w:r w:rsidRPr="008B1F1E">
        <w:rPr>
          <w:lang w:eastAsia="ar-SA"/>
        </w:rPr>
        <w:t xml:space="preserve">DHB patient management systems as the BSP Register does not have </w:t>
      </w:r>
      <w:r w:rsidR="00CE5CEF">
        <w:rPr>
          <w:lang w:eastAsia="ar-SA"/>
        </w:rPr>
        <w:t xml:space="preserve">all </w:t>
      </w:r>
      <w:r w:rsidRPr="008B1F1E">
        <w:rPr>
          <w:lang w:eastAsia="ar-SA"/>
        </w:rPr>
        <w:t xml:space="preserve">phone numbers.  CAR </w:t>
      </w:r>
      <w:r w:rsidR="002378AB">
        <w:rPr>
          <w:lang w:eastAsia="ar-SA"/>
        </w:rPr>
        <w:t>c</w:t>
      </w:r>
      <w:r w:rsidRPr="008B1F1E">
        <w:rPr>
          <w:lang w:eastAsia="ar-SA"/>
        </w:rPr>
        <w:t xml:space="preserve">oordinators may follow-up with a home visit, if requested.  </w:t>
      </w:r>
    </w:p>
    <w:p w:rsidR="00B81A8B" w:rsidRPr="008B1F1E" w:rsidRDefault="00B81A8B" w:rsidP="00B81A8B">
      <w:pPr>
        <w:rPr>
          <w:lang w:eastAsia="ar-SA"/>
        </w:rPr>
      </w:pPr>
      <w:r w:rsidRPr="008B1F1E">
        <w:rPr>
          <w:lang w:eastAsia="ar-SA"/>
        </w:rPr>
        <w:t xml:space="preserve">In 2014, the BSP Coordination Centre’s active follow-up process was strengthened by: </w:t>
      </w:r>
    </w:p>
    <w:p w:rsidR="00B81A8B" w:rsidRPr="008B1F1E" w:rsidRDefault="00B81A8B" w:rsidP="006179C7">
      <w:pPr>
        <w:numPr>
          <w:ilvl w:val="0"/>
          <w:numId w:val="13"/>
        </w:numPr>
        <w:spacing w:before="120"/>
        <w:ind w:left="1066" w:hanging="357"/>
        <w:rPr>
          <w:szCs w:val="24"/>
        </w:rPr>
      </w:pPr>
      <w:r w:rsidRPr="008B1F1E">
        <w:rPr>
          <w:szCs w:val="24"/>
        </w:rPr>
        <w:t xml:space="preserve">undertaking a minimum of three phone calls within </w:t>
      </w:r>
      <w:r>
        <w:rPr>
          <w:szCs w:val="24"/>
        </w:rPr>
        <w:t xml:space="preserve">a month </w:t>
      </w:r>
      <w:r w:rsidRPr="008B1F1E">
        <w:rPr>
          <w:szCs w:val="24"/>
        </w:rPr>
        <w:t xml:space="preserve">of referral to the active follow-up database; at least one of the calls made out of office hours </w:t>
      </w:r>
    </w:p>
    <w:p w:rsidR="00B81A8B" w:rsidRPr="008B1F1E" w:rsidRDefault="00B81A8B" w:rsidP="006179C7">
      <w:pPr>
        <w:numPr>
          <w:ilvl w:val="0"/>
          <w:numId w:val="13"/>
        </w:numPr>
        <w:spacing w:before="120"/>
        <w:ind w:left="1066" w:hanging="357"/>
        <w:rPr>
          <w:szCs w:val="24"/>
        </w:rPr>
      </w:pPr>
      <w:r w:rsidRPr="008B1F1E">
        <w:rPr>
          <w:szCs w:val="24"/>
        </w:rPr>
        <w:t xml:space="preserve">reviewing and refining the follow-up call scripts by Workbase (health literacy experts) </w:t>
      </w:r>
    </w:p>
    <w:p w:rsidR="00B81A8B" w:rsidRPr="008B1F1E" w:rsidRDefault="00B81A8B" w:rsidP="006179C7">
      <w:pPr>
        <w:numPr>
          <w:ilvl w:val="0"/>
          <w:numId w:val="13"/>
        </w:numPr>
        <w:spacing w:before="120"/>
        <w:ind w:left="1066" w:hanging="357"/>
        <w:rPr>
          <w:szCs w:val="24"/>
          <w:lang w:eastAsia="ar-SA"/>
        </w:rPr>
      </w:pPr>
      <w:r w:rsidRPr="008B1F1E">
        <w:rPr>
          <w:szCs w:val="24"/>
        </w:rPr>
        <w:t xml:space="preserve">training CAR </w:t>
      </w:r>
      <w:r w:rsidR="002378AB">
        <w:rPr>
          <w:szCs w:val="24"/>
        </w:rPr>
        <w:t>c</w:t>
      </w:r>
      <w:r w:rsidRPr="008B1F1E">
        <w:rPr>
          <w:szCs w:val="24"/>
        </w:rPr>
        <w:t>oordinators in using the revised script as a guideline for their engagement with non-responders</w:t>
      </w:r>
      <w:r w:rsidRPr="008B1F1E">
        <w:rPr>
          <w:szCs w:val="24"/>
          <w:lang w:eastAsia="ar-SA"/>
        </w:rPr>
        <w:t xml:space="preserve">.  Workbase undertook this training  </w:t>
      </w:r>
    </w:p>
    <w:p w:rsidR="00B81A8B" w:rsidRPr="00B9065B" w:rsidRDefault="00B81A8B" w:rsidP="006179C7">
      <w:pPr>
        <w:numPr>
          <w:ilvl w:val="0"/>
          <w:numId w:val="13"/>
        </w:numPr>
        <w:spacing w:before="120"/>
        <w:ind w:left="1066" w:hanging="357"/>
        <w:rPr>
          <w:szCs w:val="24"/>
        </w:rPr>
      </w:pPr>
      <w:r w:rsidRPr="00B9065B">
        <w:rPr>
          <w:szCs w:val="24"/>
        </w:rPr>
        <w:t xml:space="preserve">increasing the number of people trained to undertake active follow-up calls and using temporary call centre staff to undertake calls.  Note: Workforce capacity can be a key limiting factor to complete active follow-up in the </w:t>
      </w:r>
      <w:r w:rsidR="002378AB">
        <w:rPr>
          <w:szCs w:val="24"/>
        </w:rPr>
        <w:t>1-</w:t>
      </w:r>
      <w:r w:rsidRPr="00B9065B">
        <w:rPr>
          <w:szCs w:val="24"/>
        </w:rPr>
        <w:t>month timeframe</w:t>
      </w:r>
      <w:r w:rsidR="00B9065B" w:rsidRPr="00B9065B">
        <w:rPr>
          <w:szCs w:val="24"/>
        </w:rPr>
        <w:t>; for example if staff are ill or on leave.</w:t>
      </w:r>
      <w:r w:rsidRPr="00B9065B">
        <w:rPr>
          <w:szCs w:val="24"/>
        </w:rPr>
        <w:t xml:space="preserve"> </w:t>
      </w:r>
    </w:p>
    <w:p w:rsidR="00B81A8B" w:rsidRPr="008B1F1E" w:rsidRDefault="00B81A8B" w:rsidP="006179C7">
      <w:pPr>
        <w:numPr>
          <w:ilvl w:val="0"/>
          <w:numId w:val="13"/>
        </w:numPr>
        <w:spacing w:before="120"/>
        <w:ind w:left="1066" w:hanging="357"/>
        <w:rPr>
          <w:szCs w:val="24"/>
        </w:rPr>
      </w:pPr>
      <w:r w:rsidRPr="008B1F1E">
        <w:rPr>
          <w:szCs w:val="24"/>
        </w:rPr>
        <w:t>monitoring the active follow-up pathway to track work completed (i.e. number of calls per person) and outcomes achieved (i.e. intent to complete kit and whether completed or not)</w:t>
      </w:r>
    </w:p>
    <w:p w:rsidR="00B81A8B" w:rsidRPr="008B1F1E" w:rsidRDefault="00B81A8B" w:rsidP="006179C7">
      <w:pPr>
        <w:numPr>
          <w:ilvl w:val="0"/>
          <w:numId w:val="13"/>
        </w:numPr>
        <w:spacing w:before="120"/>
        <w:ind w:left="1066" w:hanging="357"/>
        <w:rPr>
          <w:szCs w:val="24"/>
        </w:rPr>
      </w:pPr>
      <w:r w:rsidRPr="008B1F1E">
        <w:rPr>
          <w:szCs w:val="24"/>
        </w:rPr>
        <w:t xml:space="preserve">referring non-contactable people after three attempts to primary care follow-up (refer </w:t>
      </w:r>
      <w:r>
        <w:rPr>
          <w:szCs w:val="24"/>
        </w:rPr>
        <w:t>DRINFO</w:t>
      </w:r>
      <w:r w:rsidRPr="008B1F1E">
        <w:rPr>
          <w:szCs w:val="24"/>
        </w:rPr>
        <w:t xml:space="preserve"> below)</w:t>
      </w:r>
    </w:p>
    <w:p w:rsidR="00B81A8B" w:rsidRPr="008B1F1E" w:rsidRDefault="00B81A8B" w:rsidP="006179C7">
      <w:pPr>
        <w:numPr>
          <w:ilvl w:val="0"/>
          <w:numId w:val="13"/>
        </w:numPr>
        <w:spacing w:before="120"/>
        <w:ind w:left="1066" w:hanging="357"/>
        <w:rPr>
          <w:szCs w:val="24"/>
        </w:rPr>
      </w:pPr>
      <w:r w:rsidRPr="008B1F1E">
        <w:rPr>
          <w:szCs w:val="24"/>
        </w:rPr>
        <w:t xml:space="preserve">developing three </w:t>
      </w:r>
      <w:r w:rsidR="002378AB">
        <w:rPr>
          <w:szCs w:val="24"/>
        </w:rPr>
        <w:t>k</w:t>
      </w:r>
      <w:r w:rsidRPr="008B1F1E">
        <w:rPr>
          <w:szCs w:val="24"/>
        </w:rPr>
        <w:t xml:space="preserve">ey </w:t>
      </w:r>
      <w:r w:rsidR="002378AB">
        <w:rPr>
          <w:szCs w:val="24"/>
        </w:rPr>
        <w:t>p</w:t>
      </w:r>
      <w:r w:rsidRPr="008B1F1E">
        <w:rPr>
          <w:szCs w:val="24"/>
        </w:rPr>
        <w:t xml:space="preserve">erformance </w:t>
      </w:r>
      <w:r w:rsidR="002378AB">
        <w:rPr>
          <w:szCs w:val="24"/>
        </w:rPr>
        <w:t>i</w:t>
      </w:r>
      <w:r w:rsidRPr="008B1F1E">
        <w:rPr>
          <w:szCs w:val="24"/>
        </w:rPr>
        <w:t xml:space="preserve">ndicators </w:t>
      </w:r>
      <w:r>
        <w:rPr>
          <w:szCs w:val="24"/>
        </w:rPr>
        <w:t xml:space="preserve">(KPIs) </w:t>
      </w:r>
      <w:r w:rsidRPr="008B1F1E">
        <w:rPr>
          <w:szCs w:val="24"/>
        </w:rPr>
        <w:t xml:space="preserve">to report to </w:t>
      </w:r>
      <w:r>
        <w:rPr>
          <w:szCs w:val="24"/>
        </w:rPr>
        <w:t xml:space="preserve">WDHB Steering Group and </w:t>
      </w:r>
      <w:r w:rsidRPr="008B1F1E">
        <w:rPr>
          <w:szCs w:val="24"/>
        </w:rPr>
        <w:t>the Ministry on the outputs and outcomes of active fol</w:t>
      </w:r>
      <w:r>
        <w:rPr>
          <w:szCs w:val="24"/>
        </w:rPr>
        <w:t>low-up.</w:t>
      </w:r>
      <w:r w:rsidRPr="008B1F1E">
        <w:rPr>
          <w:szCs w:val="24"/>
        </w:rPr>
        <w:t xml:space="preserve"> </w:t>
      </w:r>
    </w:p>
    <w:p w:rsidR="00B81A8B" w:rsidRPr="00F27794" w:rsidRDefault="00B81A8B" w:rsidP="00F2390A">
      <w:pPr>
        <w:pStyle w:val="Heading4"/>
        <w:spacing w:after="120"/>
        <w:rPr>
          <w:lang w:eastAsia="ar-SA"/>
        </w:rPr>
      </w:pPr>
      <w:r w:rsidRPr="00F27794">
        <w:rPr>
          <w:lang w:eastAsia="ar-SA"/>
        </w:rPr>
        <w:t xml:space="preserve">Two </w:t>
      </w:r>
      <w:r w:rsidR="006336D9" w:rsidRPr="00F27794">
        <w:rPr>
          <w:lang w:eastAsia="ar-SA"/>
        </w:rPr>
        <w:t>primary</w:t>
      </w:r>
      <w:r w:rsidR="006336D9">
        <w:rPr>
          <w:lang w:eastAsia="ar-SA"/>
        </w:rPr>
        <w:t>-</w:t>
      </w:r>
      <w:r w:rsidRPr="00F27794">
        <w:rPr>
          <w:lang w:eastAsia="ar-SA"/>
        </w:rPr>
        <w:t xml:space="preserve">care initiatives </w:t>
      </w:r>
    </w:p>
    <w:p w:rsidR="00B81A8B" w:rsidRPr="008B1F1E" w:rsidRDefault="00B81A8B" w:rsidP="00F2390A">
      <w:pPr>
        <w:spacing w:before="120"/>
      </w:pPr>
      <w:r>
        <w:t>Until early 2015, p</w:t>
      </w:r>
      <w:r w:rsidRPr="008B1F1E">
        <w:t xml:space="preserve">romotion </w:t>
      </w:r>
      <w:r>
        <w:t>of the BSP by general practice wa</w:t>
      </w:r>
      <w:r w:rsidRPr="008B1F1E">
        <w:t xml:space="preserve">s opportunistic.  </w:t>
      </w:r>
      <w:r w:rsidR="006336D9">
        <w:t>Primary-</w:t>
      </w:r>
      <w:r>
        <w:t xml:space="preserve">care </w:t>
      </w:r>
      <w:r w:rsidRPr="008B1F1E">
        <w:t xml:space="preserve">practices </w:t>
      </w:r>
      <w:r>
        <w:t>we</w:t>
      </w:r>
      <w:r w:rsidRPr="008B1F1E">
        <w:t>re unaware of the non-respond</w:t>
      </w:r>
      <w:r>
        <w:t xml:space="preserve">ers in their practice </w:t>
      </w:r>
      <w:r w:rsidR="006336D9">
        <w:t xml:space="preserve">because </w:t>
      </w:r>
      <w:r>
        <w:t>there wa</w:t>
      </w:r>
      <w:r w:rsidRPr="008B1F1E">
        <w:t>s no system to</w:t>
      </w:r>
      <w:r>
        <w:t xml:space="preserve"> inform general practice</w:t>
      </w:r>
      <w:r w:rsidR="00B61F32">
        <w:t>s</w:t>
      </w:r>
      <w:r>
        <w:t xml:space="preserve"> </w:t>
      </w:r>
      <w:r w:rsidR="002378AB">
        <w:t xml:space="preserve">of </w:t>
      </w:r>
      <w:r>
        <w:t>who had</w:t>
      </w:r>
      <w:r w:rsidRPr="008B1F1E">
        <w:t xml:space="preserve"> received an iFOBT kit and not returned it.  </w:t>
      </w:r>
      <w:r>
        <w:t>In early 2015, t</w:t>
      </w:r>
      <w:r w:rsidRPr="008B1F1E">
        <w:t xml:space="preserve">wo new initiatives </w:t>
      </w:r>
      <w:r>
        <w:t xml:space="preserve">were </w:t>
      </w:r>
      <w:r w:rsidRPr="008B1F1E">
        <w:t xml:space="preserve">developed </w:t>
      </w:r>
      <w:r>
        <w:t xml:space="preserve">and introduced </w:t>
      </w:r>
      <w:r w:rsidRPr="008B1F1E">
        <w:t>to enable general practice</w:t>
      </w:r>
      <w:r w:rsidR="00B61F32">
        <w:t>s</w:t>
      </w:r>
      <w:r w:rsidRPr="008B1F1E">
        <w:t xml:space="preserve"> to systematically remind non-responders in their practice to complete and return their kit, and to support opportunistic follow-up of bowel screening. </w:t>
      </w:r>
    </w:p>
    <w:p w:rsidR="00B81A8B" w:rsidRPr="008B1F1E" w:rsidRDefault="00B81A8B" w:rsidP="00F2390A">
      <w:pPr>
        <w:pStyle w:val="Heading4"/>
        <w:spacing w:after="120"/>
        <w:rPr>
          <w:lang w:eastAsia="ar-SA"/>
        </w:rPr>
      </w:pPr>
      <w:r>
        <w:rPr>
          <w:lang w:eastAsia="ar-SA"/>
        </w:rPr>
        <w:t>DRINFO</w:t>
      </w:r>
      <w:r w:rsidR="002378AB" w:rsidRPr="002378AB">
        <w:rPr>
          <w:b w:val="0"/>
          <w:vertAlign w:val="superscript"/>
        </w:rPr>
        <w:footnoteReference w:id="11"/>
      </w:r>
      <w:r w:rsidR="002378AB" w:rsidRPr="008B1F1E">
        <w:rPr>
          <w:vertAlign w:val="superscript"/>
        </w:rPr>
        <w:t xml:space="preserve"> </w:t>
      </w:r>
      <w:r w:rsidRPr="008B1F1E">
        <w:rPr>
          <w:lang w:eastAsia="ar-SA"/>
        </w:rPr>
        <w:t xml:space="preserve"> </w:t>
      </w:r>
    </w:p>
    <w:p w:rsidR="00B81A8B" w:rsidRDefault="00B81A8B" w:rsidP="00F2390A">
      <w:pPr>
        <w:spacing w:before="120"/>
      </w:pPr>
      <w:r w:rsidRPr="008B1F1E">
        <w:t xml:space="preserve">The BSP Coordination Centre </w:t>
      </w:r>
      <w:r>
        <w:t>worked with DRINFO</w:t>
      </w:r>
      <w:r w:rsidR="002378AB">
        <w:t xml:space="preserve"> </w:t>
      </w:r>
      <w:r w:rsidRPr="008B1F1E">
        <w:t xml:space="preserve">to </w:t>
      </w:r>
      <w:r>
        <w:t xml:space="preserve">enable practices to identify, on a quarterly basis, </w:t>
      </w:r>
      <w:r w:rsidRPr="008B1F1E">
        <w:t xml:space="preserve">eligible BSP participants </w:t>
      </w:r>
      <w:r>
        <w:t xml:space="preserve">in their practice </w:t>
      </w:r>
      <w:r w:rsidRPr="008B1F1E">
        <w:t>who ha</w:t>
      </w:r>
      <w:r w:rsidR="00A10CAF">
        <w:t>d</w:t>
      </w:r>
      <w:r w:rsidRPr="008B1F1E">
        <w:t xml:space="preserve"> received and not completed their </w:t>
      </w:r>
      <w:r>
        <w:t xml:space="preserve">bowel screening </w:t>
      </w:r>
      <w:r w:rsidRPr="008B1F1E">
        <w:t xml:space="preserve">kit.  The intent </w:t>
      </w:r>
      <w:r>
        <w:t>wa</w:t>
      </w:r>
      <w:r w:rsidRPr="008B1F1E">
        <w:t xml:space="preserve">s to enable practices to send out bulk text reminders via </w:t>
      </w:r>
      <w:r>
        <w:t>DRINFO</w:t>
      </w:r>
      <w:r w:rsidRPr="008B1F1E">
        <w:t xml:space="preserve"> SMS</w:t>
      </w:r>
      <w:r w:rsidR="0099310D">
        <w:t xml:space="preserve"> or reminder letters on their letterhead</w:t>
      </w:r>
      <w:r w:rsidRPr="008B1F1E">
        <w:t xml:space="preserve"> to BSP non-responders.  </w:t>
      </w:r>
      <w:r w:rsidR="00976FB8">
        <w:t xml:space="preserve">Some practices also telephone their patients to encourage participation.  </w:t>
      </w:r>
      <w:r w:rsidRPr="00330415">
        <w:t xml:space="preserve">The first upload of data to </w:t>
      </w:r>
      <w:r>
        <w:t>DRINFO</w:t>
      </w:r>
      <w:r w:rsidRPr="00330415">
        <w:t xml:space="preserve"> occurred at the begin</w:t>
      </w:r>
      <w:r>
        <w:t xml:space="preserve">ning of July 2015. </w:t>
      </w:r>
      <w:r w:rsidRPr="00330415">
        <w:t xml:space="preserve"> Quarterly uploads </w:t>
      </w:r>
      <w:r w:rsidR="006336D9">
        <w:t xml:space="preserve">have </w:t>
      </w:r>
      <w:r w:rsidRPr="00330415">
        <w:t>occurred since th</w:t>
      </w:r>
      <w:r w:rsidR="002378AB">
        <w:t>en</w:t>
      </w:r>
      <w:r w:rsidRPr="00330415">
        <w:t>.</w:t>
      </w:r>
      <w:r w:rsidR="0099310D">
        <w:t xml:space="preserve">  The BSP Coordination Centre covers the cost of the SMS and postage. </w:t>
      </w:r>
    </w:p>
    <w:p w:rsidR="00B81A8B" w:rsidRPr="00F27794" w:rsidRDefault="00B81A8B" w:rsidP="00F2390A">
      <w:pPr>
        <w:pStyle w:val="Heading4"/>
        <w:spacing w:after="120"/>
        <w:ind w:left="142" w:firstLine="567"/>
        <w:rPr>
          <w:lang w:eastAsia="ar-SA"/>
        </w:rPr>
      </w:pPr>
      <w:r w:rsidRPr="00F27794">
        <w:rPr>
          <w:lang w:eastAsia="ar-SA"/>
        </w:rPr>
        <w:t xml:space="preserve">Patient Dashboard </w:t>
      </w:r>
    </w:p>
    <w:p w:rsidR="00B81A8B" w:rsidRPr="008B1F1E" w:rsidRDefault="00B81A8B" w:rsidP="00F2390A">
      <w:pPr>
        <w:spacing w:before="120"/>
      </w:pPr>
      <w:r w:rsidRPr="008B1F1E">
        <w:t xml:space="preserve">MedTech’s Patient Dashboard is a form that displays within MedTech every time a new patient record is opened and shows all key clinical information relevant to routine management of the patient.  </w:t>
      </w:r>
    </w:p>
    <w:p w:rsidR="00B81A8B" w:rsidRPr="008B1F1E" w:rsidRDefault="00B81A8B" w:rsidP="00B81A8B">
      <w:pPr>
        <w:rPr>
          <w:rFonts w:cs="Arial"/>
        </w:rPr>
      </w:pPr>
      <w:r w:rsidRPr="008B1F1E">
        <w:rPr>
          <w:rFonts w:cs="Arial"/>
        </w:rPr>
        <w:t xml:space="preserve">The new version of Patient Dashboard prompts </w:t>
      </w:r>
      <w:r>
        <w:rPr>
          <w:rFonts w:cs="Arial"/>
        </w:rPr>
        <w:t>general practice</w:t>
      </w:r>
      <w:r w:rsidRPr="008B1F1E">
        <w:rPr>
          <w:rFonts w:cs="Arial"/>
        </w:rPr>
        <w:t xml:space="preserve"> to discuss bowel screening with patients when there is no evidence of participation on the clinical record.  Dashboard includes the ability to generate a pre-populated form to fax to the BSP Coordination Centre requesting a new kit be sent to their patient. </w:t>
      </w:r>
      <w:r>
        <w:rPr>
          <w:rFonts w:cs="Arial"/>
        </w:rPr>
        <w:t xml:space="preserve"> </w:t>
      </w:r>
      <w:r w:rsidRPr="008B1F1E">
        <w:rPr>
          <w:rFonts w:cs="Arial"/>
        </w:rPr>
        <w:t xml:space="preserve">The form can also be given to the patient and the patient can call the BSP Coordination Centre to request a kit. </w:t>
      </w:r>
    </w:p>
    <w:p w:rsidR="00B81A8B" w:rsidRDefault="00297D75" w:rsidP="00B81A8B">
      <w:pPr>
        <w:rPr>
          <w:rFonts w:cs="Arial"/>
        </w:rPr>
      </w:pPr>
      <w:r>
        <w:rPr>
          <w:rFonts w:cs="Arial"/>
        </w:rPr>
        <w:t>A</w:t>
      </w:r>
      <w:r w:rsidR="002378AB">
        <w:rPr>
          <w:rFonts w:cs="Arial"/>
        </w:rPr>
        <w:t xml:space="preserve"> staggered roll-</w:t>
      </w:r>
      <w:r w:rsidR="00B81A8B">
        <w:rPr>
          <w:rFonts w:cs="Arial"/>
        </w:rPr>
        <w:t>out of the new version of P</w:t>
      </w:r>
      <w:r w:rsidR="00B81A8B" w:rsidRPr="00E516F8">
        <w:rPr>
          <w:rFonts w:cs="Arial"/>
        </w:rPr>
        <w:t xml:space="preserve">atient </w:t>
      </w:r>
      <w:r w:rsidR="00B81A8B">
        <w:rPr>
          <w:rFonts w:cs="Arial"/>
        </w:rPr>
        <w:t>D</w:t>
      </w:r>
      <w:r w:rsidR="00B81A8B" w:rsidRPr="00E516F8">
        <w:rPr>
          <w:rFonts w:cs="Arial"/>
        </w:rPr>
        <w:t>ashboard</w:t>
      </w:r>
      <w:r w:rsidR="00B81A8B">
        <w:rPr>
          <w:rFonts w:cs="Arial"/>
        </w:rPr>
        <w:t xml:space="preserve"> occurred.  </w:t>
      </w:r>
      <w:r w:rsidR="00B81A8B" w:rsidRPr="00E516F8">
        <w:rPr>
          <w:rFonts w:cs="Arial"/>
        </w:rPr>
        <w:t xml:space="preserve"> Waitemat</w:t>
      </w:r>
      <w:r w:rsidR="000F11FA">
        <w:rPr>
          <w:rFonts w:cs="Arial"/>
        </w:rPr>
        <w:t>ā</w:t>
      </w:r>
      <w:r w:rsidR="00B81A8B" w:rsidRPr="00E516F8">
        <w:rPr>
          <w:rFonts w:cs="Arial"/>
        </w:rPr>
        <w:t xml:space="preserve"> </w:t>
      </w:r>
      <w:r w:rsidR="00B81A8B">
        <w:rPr>
          <w:rFonts w:cs="Arial"/>
        </w:rPr>
        <w:t xml:space="preserve">Primary Health Organisation (PHO) completed the implementation of the new version of Dashboard by October 2014; Auckland </w:t>
      </w:r>
      <w:r w:rsidR="00B81A8B" w:rsidRPr="00E516F8">
        <w:rPr>
          <w:rFonts w:cs="Arial"/>
        </w:rPr>
        <w:t>PHO</w:t>
      </w:r>
      <w:r w:rsidR="00B81A8B">
        <w:rPr>
          <w:rFonts w:cs="Arial"/>
        </w:rPr>
        <w:t xml:space="preserve"> by November 2014,</w:t>
      </w:r>
      <w:r w:rsidR="002378AB">
        <w:rPr>
          <w:rStyle w:val="FootnoteReference"/>
          <w:rFonts w:cs="Arial"/>
        </w:rPr>
        <w:footnoteReference w:id="12"/>
      </w:r>
      <w:r w:rsidR="00B81A8B">
        <w:rPr>
          <w:rFonts w:cs="Arial"/>
        </w:rPr>
        <w:t xml:space="preserve"> </w:t>
      </w:r>
      <w:r w:rsidR="003E7AA9">
        <w:rPr>
          <w:rFonts w:cs="Arial"/>
        </w:rPr>
        <w:t>ProCare</w:t>
      </w:r>
      <w:r w:rsidR="00B81A8B">
        <w:rPr>
          <w:rFonts w:cs="Arial"/>
        </w:rPr>
        <w:t xml:space="preserve"> by January 2015, and the </w:t>
      </w:r>
      <w:r w:rsidR="00B81A8B" w:rsidRPr="007A6AB2">
        <w:rPr>
          <w:rFonts w:cs="Arial"/>
        </w:rPr>
        <w:t xml:space="preserve">National Hauora Coalition </w:t>
      </w:r>
      <w:r w:rsidR="00B81A8B">
        <w:rPr>
          <w:rFonts w:cs="Arial"/>
        </w:rPr>
        <w:t xml:space="preserve">by </w:t>
      </w:r>
      <w:r w:rsidR="00B81A8B" w:rsidRPr="007A6AB2">
        <w:rPr>
          <w:rFonts w:cs="Arial"/>
        </w:rPr>
        <w:t>March 2015</w:t>
      </w:r>
      <w:r w:rsidR="00B81A8B">
        <w:rPr>
          <w:rFonts w:cs="Arial"/>
        </w:rPr>
        <w:t xml:space="preserve">.  The Dashboard initiative was therefore in place across </w:t>
      </w:r>
      <w:r w:rsidR="002378AB">
        <w:rPr>
          <w:rFonts w:cs="Arial"/>
        </w:rPr>
        <w:t>most</w:t>
      </w:r>
      <w:r w:rsidR="00B81A8B">
        <w:rPr>
          <w:rFonts w:cs="Arial"/>
        </w:rPr>
        <w:t xml:space="preserve"> general practices whose patients are eligible to take part in the BSP by January 2015. </w:t>
      </w:r>
    </w:p>
    <w:p w:rsidR="00B81A8B" w:rsidRDefault="00B81A8B" w:rsidP="00B81A8B">
      <w:pPr>
        <w:rPr>
          <w:rFonts w:cs="Arial"/>
        </w:rPr>
      </w:pPr>
      <w:r w:rsidRPr="007A6AB2">
        <w:rPr>
          <w:rFonts w:cs="Arial"/>
        </w:rPr>
        <w:t xml:space="preserve">ProCare modified the system </w:t>
      </w:r>
      <w:r>
        <w:rPr>
          <w:rFonts w:cs="Arial"/>
        </w:rPr>
        <w:t xml:space="preserve">by removing </w:t>
      </w:r>
      <w:r w:rsidRPr="007A6AB2">
        <w:rPr>
          <w:rFonts w:cs="Arial"/>
        </w:rPr>
        <w:t xml:space="preserve">the capacity to print fax </w:t>
      </w:r>
      <w:r>
        <w:rPr>
          <w:rFonts w:cs="Arial"/>
        </w:rPr>
        <w:t>requests and provid</w:t>
      </w:r>
      <w:r w:rsidR="00C20368">
        <w:rPr>
          <w:rFonts w:cs="Arial"/>
        </w:rPr>
        <w:t>ing</w:t>
      </w:r>
      <w:r>
        <w:rPr>
          <w:rFonts w:cs="Arial"/>
        </w:rPr>
        <w:t xml:space="preserve"> practices with </w:t>
      </w:r>
      <w:r w:rsidRPr="007A6AB2">
        <w:rPr>
          <w:rFonts w:cs="Arial"/>
        </w:rPr>
        <w:t xml:space="preserve">the BSP 0800 number to </w:t>
      </w:r>
      <w:r>
        <w:rPr>
          <w:rFonts w:cs="Arial"/>
        </w:rPr>
        <w:t xml:space="preserve">give to patients to </w:t>
      </w:r>
      <w:r w:rsidRPr="007A6AB2">
        <w:rPr>
          <w:rFonts w:cs="Arial"/>
        </w:rPr>
        <w:t>call for a new kit kit</w:t>
      </w:r>
      <w:r>
        <w:rPr>
          <w:rFonts w:cs="Arial"/>
        </w:rPr>
        <w:t xml:space="preserve">.  BSP Coordination Centre has no mechanism to record the number of people </w:t>
      </w:r>
      <w:r w:rsidRPr="007A6AB2">
        <w:rPr>
          <w:rFonts w:cs="Arial"/>
        </w:rPr>
        <w:t xml:space="preserve">who phone for a kit as a result of a </w:t>
      </w:r>
      <w:r>
        <w:rPr>
          <w:rFonts w:cs="Arial"/>
        </w:rPr>
        <w:t>D</w:t>
      </w:r>
      <w:r w:rsidRPr="007A6AB2">
        <w:rPr>
          <w:rFonts w:cs="Arial"/>
        </w:rPr>
        <w:t xml:space="preserve">ashboard prompted conversation </w:t>
      </w:r>
      <w:r>
        <w:rPr>
          <w:rFonts w:cs="Arial"/>
        </w:rPr>
        <w:t xml:space="preserve">in </w:t>
      </w:r>
      <w:r w:rsidR="0099310D">
        <w:rPr>
          <w:rFonts w:cs="Arial"/>
        </w:rPr>
        <w:t xml:space="preserve">a ProCare </w:t>
      </w:r>
      <w:r>
        <w:rPr>
          <w:rFonts w:cs="Arial"/>
        </w:rPr>
        <w:t>general practice</w:t>
      </w:r>
      <w:r w:rsidRPr="007A6AB2">
        <w:rPr>
          <w:rFonts w:cs="Arial"/>
        </w:rPr>
        <w:t xml:space="preserve">.  </w:t>
      </w:r>
    </w:p>
    <w:p w:rsidR="00B81A8B" w:rsidRPr="00F27794" w:rsidRDefault="00B81A8B" w:rsidP="00F2390A">
      <w:pPr>
        <w:pStyle w:val="Heading4"/>
        <w:spacing w:after="120"/>
        <w:rPr>
          <w:lang w:eastAsia="ar-SA"/>
        </w:rPr>
      </w:pPr>
      <w:r w:rsidRPr="00F27794">
        <w:rPr>
          <w:lang w:eastAsia="ar-SA"/>
        </w:rPr>
        <w:t>Non-postal return of completed kit</w:t>
      </w:r>
    </w:p>
    <w:p w:rsidR="00B81A8B" w:rsidRPr="008B1F1E" w:rsidRDefault="00B81A8B" w:rsidP="00F2390A">
      <w:pPr>
        <w:spacing w:before="120"/>
        <w:rPr>
          <w:lang w:eastAsia="ar-SA"/>
        </w:rPr>
      </w:pPr>
      <w:r w:rsidRPr="008B1F1E">
        <w:t>Research indicate</w:t>
      </w:r>
      <w:r w:rsidR="00B9236E">
        <w:t>d</w:t>
      </w:r>
      <w:r>
        <w:t xml:space="preserve"> that </w:t>
      </w:r>
      <w:r w:rsidRPr="008B1F1E">
        <w:t>some M</w:t>
      </w:r>
      <w:r w:rsidRPr="008B1F1E">
        <w:rPr>
          <w:rFonts w:cs="Arial"/>
        </w:rPr>
        <w:t>ā</w:t>
      </w:r>
      <w:r w:rsidRPr="008B1F1E">
        <w:t xml:space="preserve">ori and Pacific non-responders dislike posting their completed </w:t>
      </w:r>
      <w:r>
        <w:t xml:space="preserve">iFOBT </w:t>
      </w:r>
      <w:r w:rsidRPr="008B1F1E">
        <w:t xml:space="preserve">kit due to cultural norms (Litmus 2013).  </w:t>
      </w:r>
      <w:r w:rsidRPr="008B1F1E">
        <w:rPr>
          <w:lang w:eastAsia="ar-SA"/>
        </w:rPr>
        <w:t xml:space="preserve">Kaitiaki Roopu and Pacific advisors also </w:t>
      </w:r>
      <w:r w:rsidR="00C20368">
        <w:rPr>
          <w:lang w:eastAsia="ar-SA"/>
        </w:rPr>
        <w:t>not</w:t>
      </w:r>
      <w:r w:rsidRPr="008B1F1E">
        <w:rPr>
          <w:lang w:eastAsia="ar-SA"/>
        </w:rPr>
        <w:t>e</w:t>
      </w:r>
      <w:r w:rsidR="005D6E3A">
        <w:rPr>
          <w:lang w:eastAsia="ar-SA"/>
        </w:rPr>
        <w:t>d</w:t>
      </w:r>
      <w:r w:rsidRPr="008B1F1E">
        <w:rPr>
          <w:lang w:eastAsia="ar-SA"/>
        </w:rPr>
        <w:t xml:space="preserve"> that posting a faecal sample can be culturally unacceptable.  T</w:t>
      </w:r>
      <w:r w:rsidR="00B9236E">
        <w:t xml:space="preserve">he BSP Coordination Centre </w:t>
      </w:r>
      <w:r w:rsidR="00C20368">
        <w:t>sought</w:t>
      </w:r>
      <w:r w:rsidRPr="008B1F1E">
        <w:t xml:space="preserve"> to identify whether M</w:t>
      </w:r>
      <w:r w:rsidRPr="008B1F1E">
        <w:rPr>
          <w:rFonts w:cs="Arial"/>
        </w:rPr>
        <w:t>ā</w:t>
      </w:r>
      <w:r w:rsidRPr="008B1F1E">
        <w:t xml:space="preserve">ori and Pacific participation in the BSP would increase if they offered the option of returning their completed iFOBT kits via a non-postal route.  </w:t>
      </w:r>
    </w:p>
    <w:p w:rsidR="00B81A8B" w:rsidRDefault="00B81A8B" w:rsidP="00B81A8B">
      <w:r w:rsidRPr="008B1F1E">
        <w:t>The BSP Coordination Centre in consultation with LabP</w:t>
      </w:r>
      <w:r w:rsidR="008E4A3C">
        <w:t>LUS</w:t>
      </w:r>
      <w:r w:rsidRPr="008B1F1E">
        <w:t xml:space="preserve"> and PHOs explored a number of drop-off options.  Dropping off completed kits at a community laboratory centre was deemed the be</w:t>
      </w:r>
      <w:r>
        <w:t>s</w:t>
      </w:r>
      <w:r w:rsidRPr="008B1F1E">
        <w:t xml:space="preserve">t option as it </w:t>
      </w:r>
      <w:r w:rsidR="0099310D">
        <w:t xml:space="preserve">is familiar to participants, </w:t>
      </w:r>
      <w:r w:rsidRPr="008B1F1E">
        <w:t>maintai</w:t>
      </w:r>
      <w:r w:rsidR="0099310D">
        <w:t>ns the integrity of the sample</w:t>
      </w:r>
      <w:r w:rsidRPr="008B1F1E">
        <w:t xml:space="preserve"> and ensure</w:t>
      </w:r>
      <w:r>
        <w:t>s</w:t>
      </w:r>
      <w:r w:rsidRPr="008B1F1E">
        <w:t xml:space="preserve"> the delivery of the sample to LabP</w:t>
      </w:r>
      <w:r w:rsidR="008E4A3C">
        <w:t>LUS</w:t>
      </w:r>
      <w:r w:rsidRPr="008B1F1E">
        <w:t xml:space="preserve">. </w:t>
      </w:r>
      <w:r>
        <w:t xml:space="preserve"> </w:t>
      </w:r>
    </w:p>
    <w:p w:rsidR="00B81A8B" w:rsidRDefault="00B81A8B" w:rsidP="00B81A8B">
      <w:r>
        <w:t xml:space="preserve">Between 1 May and 30 September 2015, all eligible BSP participants received a letter with their iFOBT kit informing them of </w:t>
      </w:r>
      <w:r w:rsidR="0099310D">
        <w:t>the two options of posting their sample back or dropping off at a collection centre</w:t>
      </w:r>
      <w:r>
        <w:t xml:space="preserve">.  </w:t>
      </w:r>
      <w:r w:rsidR="00C20368">
        <w:t>With statistical analytical support, t</w:t>
      </w:r>
      <w:r w:rsidR="0099310D">
        <w:t xml:space="preserve">he BSP </w:t>
      </w:r>
      <w:r w:rsidR="003E7AA9">
        <w:t>Coordination</w:t>
      </w:r>
      <w:r w:rsidR="0099310D">
        <w:t xml:space="preserve"> Centre </w:t>
      </w:r>
      <w:r w:rsidR="00B9065B">
        <w:t>are undertaking an assessment of</w:t>
      </w:r>
      <w:r>
        <w:t xml:space="preserve"> the changes in participation. </w:t>
      </w:r>
    </w:p>
    <w:p w:rsidR="000D6F6F" w:rsidRDefault="00B81A8B" w:rsidP="00B81A8B">
      <w:pPr>
        <w:pStyle w:val="Heading3"/>
        <w:rPr>
          <w:lang w:eastAsia="ar-SA"/>
        </w:rPr>
      </w:pPr>
      <w:r>
        <w:rPr>
          <w:lang w:eastAsia="ar-SA"/>
        </w:rPr>
        <w:t xml:space="preserve">Other changes in </w:t>
      </w:r>
      <w:r w:rsidR="00F72955">
        <w:rPr>
          <w:lang w:eastAsia="ar-SA"/>
        </w:rPr>
        <w:t>Round 2</w:t>
      </w:r>
    </w:p>
    <w:p w:rsidR="00F4263B" w:rsidRDefault="00F4263B" w:rsidP="00F2390A">
      <w:pPr>
        <w:pStyle w:val="Heading4"/>
        <w:spacing w:after="120"/>
        <w:rPr>
          <w:lang w:eastAsia="ar-SA"/>
        </w:rPr>
      </w:pPr>
      <w:r>
        <w:rPr>
          <w:lang w:eastAsia="ar-SA"/>
        </w:rPr>
        <w:t>Workforce changes</w:t>
      </w:r>
    </w:p>
    <w:p w:rsidR="00E118BD" w:rsidRPr="00893ABA" w:rsidRDefault="00E118BD" w:rsidP="00F2390A">
      <w:pPr>
        <w:spacing w:before="120"/>
      </w:pPr>
      <w:r w:rsidRPr="00893ABA">
        <w:t xml:space="preserve">The BSP workforce has remained </w:t>
      </w:r>
      <w:r w:rsidR="00C20368">
        <w:t>relativel</w:t>
      </w:r>
      <w:r w:rsidRPr="00893ABA">
        <w:t xml:space="preserve">y constant in </w:t>
      </w:r>
      <w:r w:rsidR="00F72955">
        <w:t>Round 2</w:t>
      </w:r>
      <w:r w:rsidRPr="00893ABA">
        <w:t xml:space="preserve">. Some noted changes include: </w:t>
      </w:r>
    </w:p>
    <w:p w:rsidR="00E118BD" w:rsidRPr="00893ABA" w:rsidRDefault="00E118BD" w:rsidP="006179C7">
      <w:pPr>
        <w:numPr>
          <w:ilvl w:val="0"/>
          <w:numId w:val="10"/>
        </w:numPr>
        <w:tabs>
          <w:tab w:val="left" w:pos="1276"/>
          <w:tab w:val="num" w:pos="6663"/>
        </w:tabs>
        <w:spacing w:before="120"/>
        <w:ind w:left="1069"/>
        <w:rPr>
          <w:lang w:val="en-US"/>
        </w:rPr>
      </w:pPr>
      <w:r>
        <w:rPr>
          <w:lang w:val="en-US"/>
        </w:rPr>
        <w:t xml:space="preserve">The quality manager resigned </w:t>
      </w:r>
      <w:r w:rsidR="005D6E3A">
        <w:rPr>
          <w:lang w:val="en-US"/>
        </w:rPr>
        <w:t xml:space="preserve">in </w:t>
      </w:r>
      <w:r>
        <w:rPr>
          <w:lang w:val="en-US"/>
        </w:rPr>
        <w:t xml:space="preserve">April 2015.  </w:t>
      </w:r>
      <w:r w:rsidR="0037087B">
        <w:rPr>
          <w:lang w:val="en-US"/>
        </w:rPr>
        <w:t>T</w:t>
      </w:r>
      <w:r w:rsidRPr="00893ABA">
        <w:rPr>
          <w:lang w:val="en-US"/>
        </w:rPr>
        <w:t xml:space="preserve">he quality monitoring systems </w:t>
      </w:r>
      <w:r w:rsidR="0037087B">
        <w:rPr>
          <w:lang w:val="en-US"/>
        </w:rPr>
        <w:t xml:space="preserve">for the BSP </w:t>
      </w:r>
      <w:r w:rsidRPr="00893ABA">
        <w:rPr>
          <w:lang w:val="en-US"/>
        </w:rPr>
        <w:t xml:space="preserve">were set up in </w:t>
      </w:r>
      <w:r w:rsidR="00F72955">
        <w:rPr>
          <w:lang w:val="en-US"/>
        </w:rPr>
        <w:t>Round 1</w:t>
      </w:r>
      <w:r w:rsidRPr="00893ABA">
        <w:rPr>
          <w:lang w:val="en-US"/>
        </w:rPr>
        <w:t xml:space="preserve">.  The focus in </w:t>
      </w:r>
      <w:r w:rsidR="00F72955">
        <w:rPr>
          <w:lang w:val="en-US"/>
        </w:rPr>
        <w:t>Round 2</w:t>
      </w:r>
      <w:r w:rsidRPr="00893ABA">
        <w:rPr>
          <w:lang w:val="en-US"/>
        </w:rPr>
        <w:t xml:space="preserve"> was on monitoring and audit.  </w:t>
      </w:r>
      <w:r w:rsidR="007E6E06">
        <w:rPr>
          <w:lang w:val="en-US"/>
        </w:rPr>
        <w:t>T</w:t>
      </w:r>
      <w:r w:rsidR="002B3F34">
        <w:rPr>
          <w:lang w:val="en-US"/>
        </w:rPr>
        <w:t xml:space="preserve">he new </w:t>
      </w:r>
      <w:r w:rsidRPr="00893ABA">
        <w:rPr>
          <w:lang w:val="en-US"/>
        </w:rPr>
        <w:t xml:space="preserve">quality manager </w:t>
      </w:r>
      <w:r w:rsidR="00C20368">
        <w:rPr>
          <w:lang w:val="en-US"/>
        </w:rPr>
        <w:t>started</w:t>
      </w:r>
      <w:r>
        <w:rPr>
          <w:lang w:val="en-US"/>
        </w:rPr>
        <w:t xml:space="preserve"> in January 2016</w:t>
      </w:r>
      <w:r w:rsidR="002B3F34">
        <w:rPr>
          <w:lang w:val="en-US"/>
        </w:rPr>
        <w:t xml:space="preserve">; </w:t>
      </w:r>
      <w:r w:rsidR="00C20368">
        <w:rPr>
          <w:lang w:val="en-US"/>
        </w:rPr>
        <w:t>R</w:t>
      </w:r>
      <w:r w:rsidR="002B3F34">
        <w:rPr>
          <w:lang w:val="en-US"/>
        </w:rPr>
        <w:t xml:space="preserve">ound </w:t>
      </w:r>
      <w:r w:rsidR="00C20368">
        <w:rPr>
          <w:lang w:val="en-US"/>
        </w:rPr>
        <w:t>3</w:t>
      </w:r>
      <w:r>
        <w:rPr>
          <w:lang w:val="en-US"/>
        </w:rPr>
        <w:t>.</w:t>
      </w:r>
    </w:p>
    <w:p w:rsidR="00E118BD" w:rsidRPr="00893ABA" w:rsidRDefault="00E118BD" w:rsidP="006179C7">
      <w:pPr>
        <w:numPr>
          <w:ilvl w:val="0"/>
          <w:numId w:val="10"/>
        </w:numPr>
        <w:tabs>
          <w:tab w:val="left" w:pos="1276"/>
          <w:tab w:val="num" w:pos="6663"/>
        </w:tabs>
        <w:spacing w:before="120"/>
        <w:ind w:left="1069"/>
        <w:rPr>
          <w:lang w:val="en-US"/>
        </w:rPr>
      </w:pPr>
      <w:r w:rsidRPr="00893ABA">
        <w:rPr>
          <w:lang w:val="en-US"/>
        </w:rPr>
        <w:t xml:space="preserve">The BSP Coordination Centre introduced a student panel to develop a flexible workforce to assist with the many manual activities related with the Register. </w:t>
      </w:r>
    </w:p>
    <w:p w:rsidR="00E118BD" w:rsidRPr="00893ABA" w:rsidRDefault="00E118BD" w:rsidP="006179C7">
      <w:pPr>
        <w:numPr>
          <w:ilvl w:val="0"/>
          <w:numId w:val="10"/>
        </w:numPr>
        <w:tabs>
          <w:tab w:val="left" w:pos="1276"/>
          <w:tab w:val="num" w:pos="6663"/>
        </w:tabs>
        <w:spacing w:before="120"/>
        <w:ind w:left="1069"/>
        <w:rPr>
          <w:lang w:val="en-US"/>
        </w:rPr>
      </w:pPr>
      <w:r w:rsidRPr="00893ABA">
        <w:rPr>
          <w:lang w:val="en-US"/>
        </w:rPr>
        <w:t>Pacific CAR increased from 0.6 FTE to 1.1 FTE</w:t>
      </w:r>
      <w:r w:rsidR="00C20368">
        <w:rPr>
          <w:lang w:val="en-US"/>
        </w:rPr>
        <w:t>,</w:t>
      </w:r>
      <w:r w:rsidRPr="00893ABA">
        <w:rPr>
          <w:lang w:val="en-US"/>
        </w:rPr>
        <w:t xml:space="preserve"> split between two people. </w:t>
      </w:r>
    </w:p>
    <w:p w:rsidR="00E118BD" w:rsidRPr="00893ABA" w:rsidRDefault="00E118BD" w:rsidP="006179C7">
      <w:pPr>
        <w:numPr>
          <w:ilvl w:val="0"/>
          <w:numId w:val="10"/>
        </w:numPr>
        <w:tabs>
          <w:tab w:val="left" w:pos="1276"/>
          <w:tab w:val="num" w:pos="6663"/>
        </w:tabs>
        <w:spacing w:before="120"/>
        <w:ind w:left="1069"/>
        <w:rPr>
          <w:lang w:val="en-US"/>
        </w:rPr>
      </w:pPr>
      <w:r w:rsidRPr="00893ABA">
        <w:rPr>
          <w:lang w:val="en-US"/>
        </w:rPr>
        <w:t xml:space="preserve">Two Māori health providers were contracted to support CAR activities and active follow-up of non-responders four weeks after receiving their iFOBT kit. </w:t>
      </w:r>
    </w:p>
    <w:p w:rsidR="00F4263B" w:rsidRDefault="00F4263B" w:rsidP="00F2390A">
      <w:pPr>
        <w:pStyle w:val="Heading4"/>
        <w:spacing w:after="120"/>
        <w:rPr>
          <w:lang w:eastAsia="ar-SA"/>
        </w:rPr>
      </w:pPr>
      <w:r>
        <w:rPr>
          <w:lang w:eastAsia="ar-SA"/>
        </w:rPr>
        <w:t>BSP Register</w:t>
      </w:r>
    </w:p>
    <w:p w:rsidR="00F4263B" w:rsidRDefault="00F4263B" w:rsidP="00F2390A">
      <w:pPr>
        <w:spacing w:before="120"/>
        <w:rPr>
          <w:lang w:eastAsia="ar-SA"/>
        </w:rPr>
      </w:pPr>
      <w:r>
        <w:rPr>
          <w:lang w:eastAsia="ar-SA"/>
        </w:rPr>
        <w:t xml:space="preserve">In </w:t>
      </w:r>
      <w:r w:rsidR="00F72955">
        <w:rPr>
          <w:lang w:eastAsia="ar-SA"/>
        </w:rPr>
        <w:t>Round 2</w:t>
      </w:r>
      <w:r>
        <w:rPr>
          <w:lang w:eastAsia="ar-SA"/>
        </w:rPr>
        <w:t>, a number of ch</w:t>
      </w:r>
      <w:r w:rsidR="00C20368">
        <w:rPr>
          <w:lang w:eastAsia="ar-SA"/>
        </w:rPr>
        <w:t>anges were made to the Register</w:t>
      </w:r>
      <w:r>
        <w:rPr>
          <w:lang w:eastAsia="ar-SA"/>
        </w:rPr>
        <w:t xml:space="preserve"> and the staff and processes supporting it.  Following</w:t>
      </w:r>
      <w:r w:rsidRPr="005B08D3">
        <w:rPr>
          <w:b/>
          <w:lang w:eastAsia="ar-SA"/>
        </w:rPr>
        <w:t xml:space="preserve"> </w:t>
      </w:r>
      <w:r>
        <w:rPr>
          <w:lang w:eastAsia="ar-SA"/>
        </w:rPr>
        <w:t>the submission of the interim evaluation report (Litmus et al 2015), the Ministry undertook two targeted reviews of the BSP Register to assess data quality and completeness of the eligible population listed in the Register</w:t>
      </w:r>
      <w:r w:rsidR="007E6E06">
        <w:rPr>
          <w:lang w:eastAsia="ar-SA"/>
        </w:rPr>
        <w:t xml:space="preserve"> (Karalic 2014, Lee 2014)</w:t>
      </w:r>
      <w:r>
        <w:rPr>
          <w:lang w:eastAsia="ar-SA"/>
        </w:rPr>
        <w:t>.  The Register is discuss</w:t>
      </w:r>
      <w:r w:rsidR="0032747B">
        <w:rPr>
          <w:lang w:eastAsia="ar-SA"/>
        </w:rPr>
        <w:t>ed</w:t>
      </w:r>
      <w:r>
        <w:rPr>
          <w:lang w:eastAsia="ar-SA"/>
        </w:rPr>
        <w:t xml:space="preserve"> in section 6.</w:t>
      </w:r>
    </w:p>
    <w:p w:rsidR="00F4263B" w:rsidRDefault="00F4263B" w:rsidP="00F2390A">
      <w:pPr>
        <w:pStyle w:val="Heading4"/>
        <w:spacing w:after="120"/>
        <w:rPr>
          <w:lang w:eastAsia="ar-SA"/>
        </w:rPr>
      </w:pPr>
      <w:r>
        <w:rPr>
          <w:lang w:eastAsia="ar-SA"/>
        </w:rPr>
        <w:t>Histopathology</w:t>
      </w:r>
    </w:p>
    <w:p w:rsidR="00F4263B" w:rsidRDefault="00F4263B" w:rsidP="00F2390A">
      <w:pPr>
        <w:spacing w:before="120"/>
      </w:pPr>
      <w:r w:rsidRPr="00C4561A">
        <w:t xml:space="preserve">In </w:t>
      </w:r>
      <w:r w:rsidR="00F72955">
        <w:t>Round 2</w:t>
      </w:r>
      <w:r w:rsidRPr="00C4561A">
        <w:t xml:space="preserve">, the number of pathologists involved in the BSP </w:t>
      </w:r>
      <w:r>
        <w:t>i</w:t>
      </w:r>
      <w:r w:rsidRPr="00C4561A">
        <w:t xml:space="preserve">ncreased from two to five.  </w:t>
      </w:r>
      <w:r>
        <w:t xml:space="preserve">Pathologists are joining MDMs via video conference which is more time efficient.  </w:t>
      </w:r>
    </w:p>
    <w:p w:rsidR="00892168" w:rsidRPr="00400F7F" w:rsidRDefault="00892168" w:rsidP="00F2390A">
      <w:pPr>
        <w:pStyle w:val="Heading4"/>
        <w:spacing w:after="120"/>
        <w:rPr>
          <w:lang w:eastAsia="ar-SA"/>
        </w:rPr>
      </w:pPr>
      <w:r w:rsidRPr="00400F7F">
        <w:rPr>
          <w:lang w:eastAsia="ar-SA"/>
        </w:rPr>
        <w:t xml:space="preserve">Quality monitoring </w:t>
      </w:r>
    </w:p>
    <w:p w:rsidR="00400F7F" w:rsidRDefault="00400F7F" w:rsidP="00F2390A">
      <w:pPr>
        <w:spacing w:before="120"/>
        <w:rPr>
          <w:lang w:eastAsia="ar-SA"/>
        </w:rPr>
      </w:pPr>
      <w:r>
        <w:rPr>
          <w:lang w:eastAsia="ar-SA"/>
        </w:rPr>
        <w:t xml:space="preserve">Quality indicators are reviewed in every third WDHB Steering Group meeting.  The Clinical Governance and Quality Review Groups have therefore been disbanded.  The Endoscopy Review group meets monthly (previously fortnightly) to review all issues relating to the endoscopy services, including the readmissions, incidents and clinical performance data.  </w:t>
      </w:r>
    </w:p>
    <w:p w:rsidR="00390442" w:rsidRDefault="00D31409" w:rsidP="00390442">
      <w:pPr>
        <w:pStyle w:val="Heading2"/>
      </w:pPr>
      <w:bookmarkStart w:id="53" w:name="_Toc457842114"/>
      <w:r>
        <w:t>2.</w:t>
      </w:r>
      <w:r w:rsidR="000D6F6F">
        <w:t>5</w:t>
      </w:r>
      <w:r>
        <w:tab/>
        <w:t>Evaluation methodology</w:t>
      </w:r>
      <w:bookmarkEnd w:id="50"/>
      <w:bookmarkEnd w:id="51"/>
      <w:bookmarkEnd w:id="53"/>
      <w:r>
        <w:t xml:space="preserve"> </w:t>
      </w:r>
    </w:p>
    <w:p w:rsidR="00E01A7E" w:rsidRDefault="00E01A7E" w:rsidP="00E01A7E">
      <w:r>
        <w:t>This report is the final evaluation report of the BSP followi</w:t>
      </w:r>
      <w:r w:rsidR="00B61F32">
        <w:t xml:space="preserve">ng the completion of the </w:t>
      </w:r>
      <w:r>
        <w:t xml:space="preserve">distribution </w:t>
      </w:r>
      <w:r w:rsidR="00B61F32">
        <w:t xml:space="preserve">of invitations </w:t>
      </w:r>
      <w:r>
        <w:t xml:space="preserve">for screening </w:t>
      </w:r>
      <w:r w:rsidR="007E6E06">
        <w:t>R</w:t>
      </w:r>
      <w:r>
        <w:t xml:space="preserve">ounds </w:t>
      </w:r>
      <w:r w:rsidR="007E6E06">
        <w:t xml:space="preserve">1 </w:t>
      </w:r>
      <w:r>
        <w:t xml:space="preserve">and </w:t>
      </w:r>
      <w:r w:rsidR="007E6E06">
        <w:t>2</w:t>
      </w:r>
      <w:r>
        <w:t xml:space="preserve"> (January 2012 – December 2015</w:t>
      </w:r>
      <w:r w:rsidR="00215BEB">
        <w:t>)</w:t>
      </w:r>
      <w:r w:rsidR="00C20368">
        <w:t>.</w:t>
      </w:r>
      <w:r w:rsidRPr="00215BEB">
        <w:rPr>
          <w:rStyle w:val="FootnoteReference"/>
        </w:rPr>
        <w:footnoteReference w:id="13"/>
      </w:r>
      <w:r w:rsidRPr="00215BEB">
        <w:rPr>
          <w:rStyle w:val="FootnoteReference"/>
        </w:rPr>
        <w:t xml:space="preserve"> </w:t>
      </w:r>
      <w:r>
        <w:t xml:space="preserve"> The report draws </w:t>
      </w:r>
      <w:r w:rsidR="00B61F32">
        <w:t>from</w:t>
      </w:r>
      <w:r>
        <w:t xml:space="preserve"> a range of data and info</w:t>
      </w:r>
      <w:r w:rsidR="00215BEB">
        <w:t>rmation sources to address the goal and four aims of the pilot</w:t>
      </w:r>
      <w:r>
        <w:t>.</w:t>
      </w:r>
      <w:r w:rsidR="00C20368" w:rsidRPr="00C20368">
        <w:rPr>
          <w:rStyle w:val="FootnoteReference"/>
        </w:rPr>
        <w:footnoteReference w:id="14"/>
      </w:r>
      <w:r>
        <w:t xml:space="preserve">  </w:t>
      </w:r>
    </w:p>
    <w:p w:rsidR="00E01A7E" w:rsidRDefault="00E01A7E" w:rsidP="00A57621">
      <w:r>
        <w:t xml:space="preserve">The following reports and data sources inform the </w:t>
      </w:r>
      <w:r w:rsidR="00215BEB">
        <w:t>final evaluation</w:t>
      </w:r>
      <w:r>
        <w:t xml:space="preserve"> report</w:t>
      </w:r>
      <w:r w:rsidR="00A57621">
        <w:t>.</w:t>
      </w:r>
      <w:r w:rsidR="00C20368" w:rsidRPr="00215BEB">
        <w:rPr>
          <w:rStyle w:val="FootnoteReference"/>
        </w:rPr>
        <w:footnoteReference w:id="15"/>
      </w:r>
    </w:p>
    <w:p w:rsidR="00E01A7E" w:rsidRPr="00806BBA" w:rsidRDefault="00E01A7E" w:rsidP="00246F71">
      <w:pPr>
        <w:pStyle w:val="Heading3"/>
        <w:rPr>
          <w:b w:val="0"/>
          <w:i w:val="0"/>
          <w:sz w:val="22"/>
          <w:szCs w:val="22"/>
        </w:rPr>
      </w:pPr>
      <w:r w:rsidRPr="001F107F">
        <w:t xml:space="preserve">BSP epidemiology analysis </w:t>
      </w:r>
      <w:r w:rsidR="007E6E06">
        <w:t xml:space="preserve">– </w:t>
      </w:r>
      <w:r w:rsidRPr="001F107F">
        <w:t xml:space="preserve">the Centre for Public Health Research (CPHR) </w:t>
      </w:r>
      <w:r w:rsidRPr="00806BBA">
        <w:rPr>
          <w:b w:val="0"/>
        </w:rPr>
        <w:t>(Read</w:t>
      </w:r>
      <w:r w:rsidR="00806BBA" w:rsidRPr="00806BBA">
        <w:rPr>
          <w:b w:val="0"/>
        </w:rPr>
        <w:t xml:space="preserve"> et al</w:t>
      </w:r>
      <w:r w:rsidRPr="00806BBA">
        <w:rPr>
          <w:b w:val="0"/>
        </w:rPr>
        <w:t xml:space="preserve"> 2016)</w:t>
      </w:r>
      <w:r w:rsidRPr="00806BBA">
        <w:rPr>
          <w:b w:val="0"/>
          <w:i w:val="0"/>
          <w:sz w:val="22"/>
          <w:szCs w:val="22"/>
        </w:rPr>
        <w:t xml:space="preserve">  </w:t>
      </w:r>
    </w:p>
    <w:p w:rsidR="00AE1646" w:rsidRPr="00AE1646" w:rsidRDefault="00AE1646" w:rsidP="00B70696">
      <w:r w:rsidRPr="001F107F">
        <w:t>The scope of the epidemiological analysis was approved by the Ministry</w:t>
      </w:r>
      <w:r w:rsidR="003F7B1E">
        <w:t xml:space="preserve"> of Health</w:t>
      </w:r>
      <w:r w:rsidRPr="001F107F">
        <w:t xml:space="preserve"> (</w:t>
      </w:r>
      <w:r w:rsidR="007E6E06">
        <w:t>Read et al</w:t>
      </w:r>
      <w:r w:rsidRPr="001F107F">
        <w:t xml:space="preserve"> 2015). It was based on the evaluation of the English bowel cancer screening pilot (Weller et al 2006).</w:t>
      </w:r>
      <w:r w:rsidR="007E6E06">
        <w:t xml:space="preserve">  </w:t>
      </w:r>
      <w:r w:rsidRPr="00AE1646">
        <w:t>The data were extracted by the Ministry</w:t>
      </w:r>
      <w:r w:rsidR="003F7B1E">
        <w:t xml:space="preserve"> of Health</w:t>
      </w:r>
      <w:r w:rsidRPr="00AE1646">
        <w:t xml:space="preserve"> from the BSP Register.</w:t>
      </w:r>
    </w:p>
    <w:p w:rsidR="00AE1646" w:rsidRPr="00AE1646" w:rsidRDefault="00AE1646" w:rsidP="00B70696">
      <w:r w:rsidRPr="00AE1646">
        <w:t xml:space="preserve">The results represent the first (or prevalence) screening round and the first 12 months of the second round. The first screening round </w:t>
      </w:r>
      <w:r w:rsidR="00C20368">
        <w:t>began</w:t>
      </w:r>
      <w:r w:rsidRPr="00AE1646">
        <w:t xml:space="preserve"> on 1 January 2012 and was completed on 31 December 2013. The second screening round </w:t>
      </w:r>
      <w:r w:rsidR="00C20368">
        <w:t>began</w:t>
      </w:r>
      <w:r w:rsidRPr="00AE1646">
        <w:t xml:space="preserve"> on 1 January 2014 and was completed on 31 December 2015. The full second screening round could not be analysed due to the timing of data extraction</w:t>
      </w:r>
      <w:r w:rsidRPr="00AE1646">
        <w:rPr>
          <w:rStyle w:val="FootnoteReference"/>
        </w:rPr>
        <w:footnoteReference w:id="16"/>
      </w:r>
      <w:r w:rsidRPr="00AE1646">
        <w:rPr>
          <w:rStyle w:val="FootnoteReference"/>
        </w:rPr>
        <w:t xml:space="preserve"> </w:t>
      </w:r>
      <w:r w:rsidRPr="00AE1646">
        <w:t xml:space="preserve">and the need to allow sufficient time to pass for those people who were invited to complete the full screening pathway. Restricting the analysis to the first year of </w:t>
      </w:r>
      <w:r w:rsidR="00F72955">
        <w:t>Round 2</w:t>
      </w:r>
      <w:r w:rsidRPr="00AE1646">
        <w:t xml:space="preserve"> allowed participants invited at the end of that year over eight months to complete the pathway. The first round interim analysis found 88% of participants completed the process in about six months (Read et al 2014). </w:t>
      </w:r>
    </w:p>
    <w:p w:rsidR="00AE1646" w:rsidRPr="00AE1646" w:rsidRDefault="00AE1646" w:rsidP="00B70696">
      <w:r w:rsidRPr="00AE1646">
        <w:t xml:space="preserve">The timing of data extraction </w:t>
      </w:r>
      <w:r w:rsidR="00C20368">
        <w:t>before</w:t>
      </w:r>
      <w:r w:rsidRPr="00AE1646">
        <w:t xml:space="preserve"> the completion of </w:t>
      </w:r>
      <w:r w:rsidR="00F72955">
        <w:t>Round 2</w:t>
      </w:r>
      <w:r w:rsidRPr="00AE1646">
        <w:t xml:space="preserve"> meant that the sensitivity of the iFOBT could not reliably be calculated</w:t>
      </w:r>
      <w:r w:rsidR="00C20368">
        <w:t>,</w:t>
      </w:r>
      <w:r w:rsidRPr="00AE1646">
        <w:t xml:space="preserve"> so this has been excluded from the analysis. </w:t>
      </w:r>
    </w:p>
    <w:p w:rsidR="00AE1646" w:rsidRPr="00AE1646" w:rsidRDefault="00AE1646" w:rsidP="00B70696">
      <w:r w:rsidRPr="00AE1646">
        <w:t>Logistic regression has been used to investigate associations between demographic variables and screening outcom</w:t>
      </w:r>
      <w:r w:rsidR="007E6E06">
        <w:t xml:space="preserve">es. The results are given </w:t>
      </w:r>
      <w:r w:rsidR="007E6E06" w:rsidRPr="00A8645C">
        <w:t xml:space="preserve">in the Appendix </w:t>
      </w:r>
      <w:r w:rsidR="007E6E06">
        <w:t>of the full epidemiology report</w:t>
      </w:r>
      <w:r w:rsidRPr="00AE1646">
        <w:t xml:space="preserve"> as odds ratios, both unadjusted and adjusted for all other demographic variables, with 95% confidence intervals. </w:t>
      </w:r>
    </w:p>
    <w:p w:rsidR="00AE1646" w:rsidRPr="00AE1646" w:rsidRDefault="00AE1646" w:rsidP="00B70696">
      <w:r w:rsidRPr="00AE1646">
        <w:t xml:space="preserve">Key findings are presented and only counts and percentages together with the adjusted odds ratios are discussed. Adjusted odds ratios allow for the effects of all demographic variables other than the one under consideration to be assessed. For example, when considering participation by age group, the results have been adjusted to take account of the potential confounding effects of sex, ethnicity and </w:t>
      </w:r>
      <w:r w:rsidRPr="00E25EE6">
        <w:t>deprivation (NZDep</w:t>
      </w:r>
      <w:r w:rsidR="00CB7B8A" w:rsidRPr="00E25EE6">
        <w:t xml:space="preserve"> </w:t>
      </w:r>
      <w:r w:rsidRPr="00E25EE6">
        <w:t>2013).</w:t>
      </w:r>
      <w:r w:rsidRPr="00AE1646">
        <w:t xml:space="preserve"> </w:t>
      </w:r>
    </w:p>
    <w:p w:rsidR="00AE1646" w:rsidRDefault="00AE1646" w:rsidP="00B70696">
      <w:r w:rsidRPr="00AE1646">
        <w:t>Chi-square statistics were calculated to test for any statistically significant diff</w:t>
      </w:r>
      <w:r w:rsidR="007E6E06">
        <w:t>erences between and within the R</w:t>
      </w:r>
      <w:r w:rsidRPr="00AE1646">
        <w:t>ounds.</w:t>
      </w:r>
    </w:p>
    <w:p w:rsidR="00AE1646" w:rsidRPr="00AE1646" w:rsidRDefault="00AE1646" w:rsidP="00B70696">
      <w:pPr>
        <w:rPr>
          <w:rFonts w:cs="Arial"/>
          <w:b/>
        </w:rPr>
      </w:pPr>
      <w:r w:rsidRPr="00AE1646">
        <w:t xml:space="preserve">Unless otherwise stated, the results </w:t>
      </w:r>
      <w:r w:rsidR="00215BEB">
        <w:t>discussed</w:t>
      </w:r>
      <w:r w:rsidRPr="00AE1646">
        <w:t xml:space="preserve"> are statistically significant;</w:t>
      </w:r>
      <w:r w:rsidRPr="00AE1646">
        <w:rPr>
          <w:rStyle w:val="FootnoteReference"/>
        </w:rPr>
        <w:footnoteReference w:id="17"/>
      </w:r>
      <w:r w:rsidRPr="00AE1646">
        <w:rPr>
          <w:rStyle w:val="FootnoteReference"/>
        </w:rPr>
        <w:t xml:space="preserve"> </w:t>
      </w:r>
      <w:r w:rsidRPr="00AE1646">
        <w:t xml:space="preserve">in this context, differences labelled </w:t>
      </w:r>
      <w:r w:rsidR="00CB7B8A">
        <w:t>‘</w:t>
      </w:r>
      <w:r w:rsidRPr="00AE1646">
        <w:t>slightly less</w:t>
      </w:r>
      <w:r w:rsidR="00CB7B8A">
        <w:t>’</w:t>
      </w:r>
      <w:r w:rsidRPr="00AE1646">
        <w:t xml:space="preserve"> or ‘slightly more</w:t>
      </w:r>
      <w:r w:rsidR="00CB7B8A">
        <w:t>’</w:t>
      </w:r>
      <w:r w:rsidRPr="00AE1646">
        <w:t xml:space="preserve"> are statistically different but the</w:t>
      </w:r>
      <w:r w:rsidRPr="00AE1646">
        <w:rPr>
          <w:rFonts w:cs="Arial"/>
        </w:rPr>
        <w:t xml:space="preserve"> adjusted odds ratio is either greater than 0.7 times or less than 1.5 times as much as the reference group, respectively.</w:t>
      </w:r>
    </w:p>
    <w:p w:rsidR="00AE1646" w:rsidRPr="00AE1646" w:rsidRDefault="00AE1646" w:rsidP="00B70696">
      <w:r w:rsidRPr="00AE1646">
        <w:t>Results for the two rounds are presented separately.</w:t>
      </w:r>
    </w:p>
    <w:p w:rsidR="00AE1646" w:rsidRDefault="00AE1646" w:rsidP="00B70696">
      <w:r w:rsidRPr="00AE1646">
        <w:t>Results in the second round are compared with the first round. Where re</w:t>
      </w:r>
      <w:r w:rsidR="00CB7B8A">
        <w:t>levant, results for both rounds</w:t>
      </w:r>
      <w:r w:rsidRPr="00AE1646">
        <w:t xml:space="preserve"> are also compared with those reported in the pilot population-based screening programme in England</w:t>
      </w:r>
      <w:r w:rsidR="008D3FE2">
        <w:rPr>
          <w:rStyle w:val="FootnoteReference"/>
        </w:rPr>
        <w:footnoteReference w:id="18"/>
      </w:r>
      <w:r w:rsidRPr="00AE1646">
        <w:t xml:space="preserve"> (Alexander and Weller 2003; Weller et al 2006, 2007), the European guidelines for quality assurance in colorectal cancer screening and diagnosis (European guidelines) (</w:t>
      </w:r>
      <w:r w:rsidR="006A3E16">
        <w:t>Seagan</w:t>
      </w:r>
      <w:r w:rsidRPr="00AE1646">
        <w:t xml:space="preserve"> et al 2010) and the UK Quality assurance guidelines for colonoscopy (UK guidelines) (Chilton and Rutter 2011).</w:t>
      </w:r>
    </w:p>
    <w:p w:rsidR="007E6E06" w:rsidRPr="00AE1646" w:rsidRDefault="001F2F42" w:rsidP="007E6E06">
      <w:hyperlink w:anchor="_Appendix_1:_" w:history="1">
        <w:r w:rsidR="007E6E06" w:rsidRPr="00FF27DA">
          <w:t xml:space="preserve">Appendix </w:t>
        </w:r>
        <w:r w:rsidR="007E6E06">
          <w:t>2</w:t>
        </w:r>
      </w:hyperlink>
      <w:r w:rsidR="007E6E06">
        <w:t xml:space="preserve"> contains the full epidemiology report including methodology, analysis, and the </w:t>
      </w:r>
      <w:r w:rsidR="007E6E06" w:rsidRPr="00AE1646">
        <w:t>possible pathway process of a participant in the BSP.</w:t>
      </w:r>
    </w:p>
    <w:p w:rsidR="00390442" w:rsidRPr="00390442" w:rsidRDefault="00390442" w:rsidP="00246F71">
      <w:pPr>
        <w:pStyle w:val="Heading3"/>
      </w:pPr>
      <w:r w:rsidRPr="007F5994">
        <w:t>Costing analysis</w:t>
      </w:r>
      <w:r w:rsidR="00246F71">
        <w:t xml:space="preserve"> </w:t>
      </w:r>
      <w:r w:rsidRPr="007F5994">
        <w:t>– Sapere</w:t>
      </w:r>
      <w:r>
        <w:t xml:space="preserve"> </w:t>
      </w:r>
      <w:r w:rsidR="00246F71">
        <w:t>Research Group</w:t>
      </w:r>
      <w:r w:rsidR="007E6E06">
        <w:t xml:space="preserve"> 2016</w:t>
      </w:r>
    </w:p>
    <w:p w:rsidR="007F5994" w:rsidRDefault="007F5994" w:rsidP="007F5994">
      <w:r w:rsidRPr="00A8645C">
        <w:t xml:space="preserve">For details of the </w:t>
      </w:r>
      <w:r>
        <w:t>methodology</w:t>
      </w:r>
      <w:r w:rsidRPr="00A8645C">
        <w:t>, including definitions</w:t>
      </w:r>
      <w:r>
        <w:t xml:space="preserve"> of key terms,</w:t>
      </w:r>
      <w:r w:rsidRPr="00A8645C">
        <w:t xml:space="preserve"> </w:t>
      </w:r>
      <w:r>
        <w:t xml:space="preserve">assumptions </w:t>
      </w:r>
      <w:r w:rsidRPr="00A1741A">
        <w:t xml:space="preserve">and the modelling approach, see Appendix </w:t>
      </w:r>
      <w:r w:rsidR="00886D56">
        <w:t>3</w:t>
      </w:r>
      <w:r>
        <w:t xml:space="preserve"> (which provides a </w:t>
      </w:r>
      <w:r w:rsidRPr="00C769A0">
        <w:t>full copy of Sapere</w:t>
      </w:r>
      <w:r w:rsidR="007E6E06">
        <w:t xml:space="preserve">’s </w:t>
      </w:r>
      <w:r>
        <w:t>costing analysis</w:t>
      </w:r>
      <w:r w:rsidR="007E6E06">
        <w:t xml:space="preserve"> report</w:t>
      </w:r>
      <w:r>
        <w:t>.</w:t>
      </w:r>
      <w:r w:rsidR="00246F71">
        <w:t xml:space="preserve">  </w:t>
      </w:r>
      <w:r>
        <w:t>In broad terms, two primary costing approaches are applied:</w:t>
      </w:r>
    </w:p>
    <w:p w:rsidR="007F5994" w:rsidRPr="00246F71" w:rsidRDefault="007F5994" w:rsidP="006179C7">
      <w:pPr>
        <w:numPr>
          <w:ilvl w:val="0"/>
          <w:numId w:val="13"/>
        </w:numPr>
        <w:spacing w:before="120"/>
        <w:ind w:left="1066" w:hanging="357"/>
        <w:rPr>
          <w:szCs w:val="24"/>
        </w:rPr>
      </w:pPr>
      <w:r w:rsidRPr="00246F71">
        <w:rPr>
          <w:szCs w:val="24"/>
        </w:rPr>
        <w:t xml:space="preserve">Assessment of the cost of the pilot is based on a detailed bottom-up costing model of the screening pathway that determines unit costs for all key programme inputs and applies actual volumes of activity undertaken. </w:t>
      </w:r>
    </w:p>
    <w:p w:rsidR="007F5994" w:rsidRPr="00246F71" w:rsidRDefault="007F5994" w:rsidP="006179C7">
      <w:pPr>
        <w:numPr>
          <w:ilvl w:val="0"/>
          <w:numId w:val="13"/>
        </w:numPr>
        <w:spacing w:before="120"/>
        <w:ind w:left="1066" w:hanging="357"/>
        <w:rPr>
          <w:szCs w:val="24"/>
        </w:rPr>
      </w:pPr>
      <w:r w:rsidRPr="00246F71">
        <w:rPr>
          <w:szCs w:val="24"/>
        </w:rPr>
        <w:t xml:space="preserve">Estimates of costs associated with treatment of bowel cancers detected as a result of the pilot are based on estimates of average New Zealand lifetime costs of treating bowel cancer diagnosed at different stages.  </w:t>
      </w:r>
    </w:p>
    <w:p w:rsidR="007F5994" w:rsidRDefault="007F5994" w:rsidP="007F5994">
      <w:r>
        <w:t>Primary data sources are:</w:t>
      </w:r>
    </w:p>
    <w:p w:rsidR="007F5994" w:rsidRDefault="007F5994" w:rsidP="006179C7">
      <w:pPr>
        <w:numPr>
          <w:ilvl w:val="0"/>
          <w:numId w:val="13"/>
        </w:numPr>
        <w:spacing w:before="120"/>
        <w:ind w:left="1066" w:hanging="357"/>
      </w:pPr>
      <w:r>
        <w:t xml:space="preserve">Cost data: </w:t>
      </w:r>
      <w:r w:rsidR="00CB7B8A">
        <w:t>two detailed six-</w:t>
      </w:r>
      <w:r w:rsidRPr="00FC4A26">
        <w:t>month</w:t>
      </w:r>
      <w:r>
        <w:t xml:space="preserve"> samples of actual cost data from the pilot; and cost data from the Ministry of Health.</w:t>
      </w:r>
    </w:p>
    <w:p w:rsidR="007F5994" w:rsidRDefault="007F5994" w:rsidP="006179C7">
      <w:pPr>
        <w:numPr>
          <w:ilvl w:val="0"/>
          <w:numId w:val="13"/>
        </w:numPr>
        <w:spacing w:before="120"/>
        <w:ind w:left="1066" w:hanging="357"/>
      </w:pPr>
      <w:r>
        <w:t xml:space="preserve">Volumes data: information reported by the BSP to the Ministry of Health on a bi-annual basis, identifying activity volumes for key parameters for the </w:t>
      </w:r>
      <w:r w:rsidRPr="00FC4A26">
        <w:t>full two-year screening</w:t>
      </w:r>
      <w:r>
        <w:t xml:space="preserve"> round; and data from the Ministry of Health</w:t>
      </w:r>
      <w:r w:rsidR="00CB7B8A">
        <w:t>’s</w:t>
      </w:r>
      <w:r>
        <w:t xml:space="preserve"> published BSP monitoring indicators for the period to December 2013.</w:t>
      </w:r>
    </w:p>
    <w:p w:rsidR="007F5994" w:rsidRDefault="007F5994" w:rsidP="007F5994">
      <w:r>
        <w:t xml:space="preserve">Appendix </w:t>
      </w:r>
      <w:r w:rsidR="00246F71">
        <w:t>3</w:t>
      </w:r>
      <w:r w:rsidRPr="00A1741A">
        <w:t xml:space="preserve"> </w:t>
      </w:r>
      <w:r>
        <w:t xml:space="preserve">contains the complete costing analysis report and </w:t>
      </w:r>
      <w:r w:rsidRPr="00A1741A">
        <w:t>provides the results obtained for key input parameters and tables of</w:t>
      </w:r>
      <w:r>
        <w:t xml:space="preserve"> the variable and fixed cost components of the screening pathway model. </w:t>
      </w:r>
    </w:p>
    <w:p w:rsidR="007F5994" w:rsidRDefault="007F5994" w:rsidP="007F5994">
      <w:r>
        <w:t>The results present:</w:t>
      </w:r>
    </w:p>
    <w:p w:rsidR="007F5994" w:rsidRDefault="007F5994" w:rsidP="006179C7">
      <w:pPr>
        <w:numPr>
          <w:ilvl w:val="0"/>
          <w:numId w:val="13"/>
        </w:numPr>
        <w:spacing w:before="120"/>
        <w:ind w:left="1066" w:hanging="357"/>
      </w:pPr>
      <w:r>
        <w:t>an analysis of the nature and quantum of costs associated with the design, implementation and operation of the pilot to date;</w:t>
      </w:r>
    </w:p>
    <w:p w:rsidR="007F5994" w:rsidRDefault="007F5994" w:rsidP="006179C7">
      <w:pPr>
        <w:numPr>
          <w:ilvl w:val="0"/>
          <w:numId w:val="13"/>
        </w:numPr>
        <w:spacing w:before="120"/>
        <w:ind w:left="1066" w:hanging="357"/>
      </w:pPr>
      <w:r>
        <w:t xml:space="preserve">a forecast of estimated total cost of the BSP for </w:t>
      </w:r>
      <w:r w:rsidRPr="00FC4A26">
        <w:t>two full screening rounds;</w:t>
      </w:r>
      <w:r>
        <w:t xml:space="preserve"> and </w:t>
      </w:r>
    </w:p>
    <w:p w:rsidR="007F5994" w:rsidRDefault="007F5994" w:rsidP="006179C7">
      <w:pPr>
        <w:numPr>
          <w:ilvl w:val="0"/>
          <w:numId w:val="13"/>
        </w:numPr>
        <w:spacing w:before="120"/>
        <w:ind w:left="1066" w:hanging="357"/>
      </w:pPr>
      <w:r>
        <w:t xml:space="preserve">an extrapolation of high-level estimates of the potential ‘steady state’ cost of operating a bowel screening programme on a national basis (excluding development/start-up costs and on </w:t>
      </w:r>
      <w:r w:rsidR="008D3FE2">
        <w:t xml:space="preserve">the </w:t>
      </w:r>
      <w:r w:rsidR="00EA6F39">
        <w:t>basis of some broad-</w:t>
      </w:r>
      <w:r>
        <w:t>brush assumptions).  This is also presented from a regional perspective.</w:t>
      </w:r>
    </w:p>
    <w:p w:rsidR="007F5994" w:rsidRDefault="007F5994" w:rsidP="007F5994">
      <w:r>
        <w:t xml:space="preserve">It is important to emphasise that this costing analysis is </w:t>
      </w:r>
      <w:r w:rsidRPr="00B30F88">
        <w:t>n</w:t>
      </w:r>
      <w:r w:rsidRPr="00F36FE5">
        <w:t xml:space="preserve">ot </w:t>
      </w:r>
      <w:r w:rsidRPr="00925412">
        <w:t>an incremental analysis</w:t>
      </w:r>
      <w:r w:rsidR="00CB7B8A">
        <w:t>, but rather takes a ‘snap</w:t>
      </w:r>
      <w:r>
        <w:t xml:space="preserve">shot’ perspective of costs incurred to design and run the pilot, with some extrapolation to inform understanding of potential future costs.  As such, it does not account, for example, for the fact that some cancers detected as a result of pilot screening, may have been detected symptomatically anyway.   </w:t>
      </w:r>
    </w:p>
    <w:p w:rsidR="007F5994" w:rsidRDefault="007F5994" w:rsidP="007F5994">
      <w:r>
        <w:t>Further, in extrapolating high-level estimates for the operating cost of bowel screening on a national basis, in the absence of key policy decisions about the configuration and implementation approach, we have based our analysis on some broad-brush assumptions about the way a national bowel screening programme may run in ‘steady state’.</w:t>
      </w:r>
    </w:p>
    <w:p w:rsidR="007F5994" w:rsidRPr="006556B1" w:rsidRDefault="007F5994" w:rsidP="00246F71">
      <w:pPr>
        <w:pStyle w:val="Heading3"/>
      </w:pPr>
      <w:r>
        <w:t xml:space="preserve">Bowel Cancer Screening in New Zealand: A cost-utility analysis based on the findings of </w:t>
      </w:r>
      <w:r w:rsidR="00246F71">
        <w:t>the</w:t>
      </w:r>
      <w:r>
        <w:t xml:space="preserve"> pilot – Sapere </w:t>
      </w:r>
      <w:r w:rsidR="007E6E06">
        <w:t>Research Group 2016</w:t>
      </w:r>
    </w:p>
    <w:p w:rsidR="007F5994" w:rsidRDefault="007F5994" w:rsidP="007F5994">
      <w:r>
        <w:t xml:space="preserve">The cost-utility analysis estimates the cost-effectiveness of bowel cancer screening in New Zealand, with a number of the assumptions informed by the experience in the pilot.  </w:t>
      </w:r>
      <w:r w:rsidRPr="00A8645C">
        <w:t xml:space="preserve">For details of the </w:t>
      </w:r>
      <w:r>
        <w:t>methodology</w:t>
      </w:r>
      <w:r w:rsidRPr="00A8645C">
        <w:t>, including definitions</w:t>
      </w:r>
      <w:r>
        <w:t xml:space="preserve"> of key terms,</w:t>
      </w:r>
      <w:r w:rsidRPr="00A8645C">
        <w:t xml:space="preserve"> </w:t>
      </w:r>
      <w:r>
        <w:t xml:space="preserve">assumptions </w:t>
      </w:r>
      <w:r w:rsidRPr="00A1741A">
        <w:t xml:space="preserve">and the modelling approach, see Appendix </w:t>
      </w:r>
      <w:r w:rsidR="00246F71">
        <w:t>4</w:t>
      </w:r>
      <w:r>
        <w:t xml:space="preserve"> (which provides a </w:t>
      </w:r>
      <w:r w:rsidR="007E6E06">
        <w:t>full copy of</w:t>
      </w:r>
      <w:r w:rsidRPr="00C769A0">
        <w:t xml:space="preserve"> Sapere</w:t>
      </w:r>
      <w:r w:rsidR="007E6E06">
        <w:t>’s</w:t>
      </w:r>
      <w:r w:rsidRPr="00C769A0">
        <w:t xml:space="preserve"> </w:t>
      </w:r>
      <w:r>
        <w:t xml:space="preserve">cost-utility analysis </w:t>
      </w:r>
      <w:r w:rsidRPr="00C769A0">
        <w:t>report</w:t>
      </w:r>
      <w:r w:rsidR="007E6E06">
        <w:t>)</w:t>
      </w:r>
      <w:r>
        <w:t>.</w:t>
      </w:r>
    </w:p>
    <w:p w:rsidR="007F5994" w:rsidRPr="00C769A0" w:rsidRDefault="007F5994" w:rsidP="007F5994">
      <w:r>
        <w:t>Cost-utility analysis is a form of cost-e</w:t>
      </w:r>
      <w:r w:rsidR="005B0A5C">
        <w:t>ffectiveness analysis. The benefit</w:t>
      </w:r>
      <w:r>
        <w:t>s are measured using quality adjusted li</w:t>
      </w:r>
      <w:r w:rsidR="007E6E06">
        <w:t xml:space="preserve">fe years </w:t>
      </w:r>
      <w:r w:rsidR="007E6E06" w:rsidRPr="00EA6F39">
        <w:t>(QALYs). QALYs</w:t>
      </w:r>
      <w:r w:rsidR="007E6E06">
        <w:t xml:space="preserve"> take in</w:t>
      </w:r>
      <w:r>
        <w:t xml:space="preserve">to account improvements in both increased quality of life and increased life expectancy. </w:t>
      </w:r>
    </w:p>
    <w:p w:rsidR="007F5994" w:rsidRDefault="00246F71" w:rsidP="007F5994">
      <w:r>
        <w:t>Sapere’s</w:t>
      </w:r>
      <w:r w:rsidR="007F5994">
        <w:t xml:space="preserve"> analysis was performed using the following process:</w:t>
      </w:r>
    </w:p>
    <w:p w:rsidR="007F5994" w:rsidRDefault="007F5994" w:rsidP="006179C7">
      <w:pPr>
        <w:numPr>
          <w:ilvl w:val="1"/>
          <w:numId w:val="17"/>
        </w:numPr>
        <w:autoSpaceDE w:val="0"/>
        <w:autoSpaceDN w:val="0"/>
        <w:adjustRightInd w:val="0"/>
        <w:spacing w:before="120"/>
      </w:pPr>
      <w:r>
        <w:t>Model the natural history of bowel cancer</w:t>
      </w:r>
    </w:p>
    <w:p w:rsidR="007F5994" w:rsidRDefault="007F5994" w:rsidP="006179C7">
      <w:pPr>
        <w:numPr>
          <w:ilvl w:val="1"/>
          <w:numId w:val="17"/>
        </w:numPr>
        <w:autoSpaceDE w:val="0"/>
        <w:autoSpaceDN w:val="0"/>
        <w:adjustRightInd w:val="0"/>
        <w:spacing w:before="120"/>
      </w:pPr>
      <w:r>
        <w:t>Estimate the changes in health outcomes from bowel cancer screening</w:t>
      </w:r>
    </w:p>
    <w:p w:rsidR="007F5994" w:rsidRDefault="00EA6F39" w:rsidP="00EA6F39">
      <w:pPr>
        <w:numPr>
          <w:ilvl w:val="2"/>
          <w:numId w:val="17"/>
        </w:numPr>
        <w:autoSpaceDE w:val="0"/>
        <w:autoSpaceDN w:val="0"/>
        <w:adjustRightInd w:val="0"/>
        <w:spacing w:before="120"/>
        <w:ind w:left="1843" w:hanging="425"/>
      </w:pPr>
      <w:r>
        <w:t>u</w:t>
      </w:r>
      <w:r w:rsidR="007F5994">
        <w:t>sing results of the NZ pilot to inform screening parameters</w:t>
      </w:r>
    </w:p>
    <w:p w:rsidR="007F5994" w:rsidRDefault="007F5994" w:rsidP="006179C7">
      <w:pPr>
        <w:numPr>
          <w:ilvl w:val="1"/>
          <w:numId w:val="17"/>
        </w:numPr>
        <w:autoSpaceDE w:val="0"/>
        <w:autoSpaceDN w:val="0"/>
        <w:adjustRightInd w:val="0"/>
        <w:spacing w:before="120"/>
      </w:pPr>
      <w:r>
        <w:t>Use QALYs to quantify health bene</w:t>
      </w:r>
      <w:r w:rsidR="005B0A5C">
        <w:t>fit</w:t>
      </w:r>
      <w:r>
        <w:t>s</w:t>
      </w:r>
    </w:p>
    <w:p w:rsidR="007F5994" w:rsidRDefault="007F5994" w:rsidP="006179C7">
      <w:pPr>
        <w:numPr>
          <w:ilvl w:val="1"/>
          <w:numId w:val="17"/>
        </w:numPr>
        <w:autoSpaceDE w:val="0"/>
        <w:autoSpaceDN w:val="0"/>
        <w:adjustRightInd w:val="0"/>
        <w:spacing w:before="120"/>
      </w:pPr>
      <w:r>
        <w:t>Estimate the cost</w:t>
      </w:r>
      <w:r w:rsidR="00EA6F39">
        <w:t xml:space="preserve"> </w:t>
      </w:r>
      <w:r>
        <w:t>savings from screening (i.e. reduction in cancer treatment costs)</w:t>
      </w:r>
    </w:p>
    <w:p w:rsidR="007F5994" w:rsidRDefault="007F5994" w:rsidP="006179C7">
      <w:pPr>
        <w:numPr>
          <w:ilvl w:val="1"/>
          <w:numId w:val="17"/>
        </w:numPr>
        <w:autoSpaceDE w:val="0"/>
        <w:autoSpaceDN w:val="0"/>
        <w:adjustRightInd w:val="0"/>
        <w:spacing w:before="120"/>
      </w:pPr>
      <w:r>
        <w:t xml:space="preserve">Estimate the additional costs from screening </w:t>
      </w:r>
    </w:p>
    <w:p w:rsidR="007F5994" w:rsidRDefault="007F5994" w:rsidP="00EA6F39">
      <w:pPr>
        <w:numPr>
          <w:ilvl w:val="2"/>
          <w:numId w:val="17"/>
        </w:numPr>
        <w:autoSpaceDE w:val="0"/>
        <w:autoSpaceDN w:val="0"/>
        <w:adjustRightInd w:val="0"/>
        <w:spacing w:before="120"/>
        <w:ind w:left="1843" w:hanging="425"/>
      </w:pPr>
      <w:r>
        <w:t xml:space="preserve">i.e. </w:t>
      </w:r>
      <w:r w:rsidR="00246F71">
        <w:t>i</w:t>
      </w:r>
      <w:r>
        <w:t>FOBTs and additional colonoscopies</w:t>
      </w:r>
    </w:p>
    <w:p w:rsidR="007F5994" w:rsidRDefault="007F5994" w:rsidP="002F6579">
      <w:pPr>
        <w:keepNext/>
        <w:numPr>
          <w:ilvl w:val="1"/>
          <w:numId w:val="17"/>
        </w:numPr>
        <w:autoSpaceDE w:val="0"/>
        <w:autoSpaceDN w:val="0"/>
        <w:adjustRightInd w:val="0"/>
        <w:spacing w:before="120"/>
      </w:pPr>
      <w:r>
        <w:t>Report the cost</w:t>
      </w:r>
      <w:r w:rsidR="00EA6F39">
        <w:t xml:space="preserve"> </w:t>
      </w:r>
      <w:r>
        <w:t>effectiveness</w:t>
      </w:r>
    </w:p>
    <w:p w:rsidR="007F5994" w:rsidRDefault="00EA6F39" w:rsidP="002F6579">
      <w:pPr>
        <w:keepNext/>
        <w:numPr>
          <w:ilvl w:val="2"/>
          <w:numId w:val="17"/>
        </w:numPr>
        <w:autoSpaceDE w:val="0"/>
        <w:autoSpaceDN w:val="0"/>
        <w:adjustRightInd w:val="0"/>
        <w:spacing w:before="120"/>
        <w:ind w:left="1843" w:hanging="425"/>
      </w:pPr>
      <w:r>
        <w:t>c</w:t>
      </w:r>
      <w:r w:rsidR="007F5994">
        <w:t>ost-effectives reported as additional cost per QALY gained</w:t>
      </w:r>
    </w:p>
    <w:p w:rsidR="007F5994" w:rsidRDefault="00EA6F39" w:rsidP="002F6579">
      <w:pPr>
        <w:keepNext/>
        <w:numPr>
          <w:ilvl w:val="2"/>
          <w:numId w:val="17"/>
        </w:numPr>
        <w:autoSpaceDE w:val="0"/>
        <w:autoSpaceDN w:val="0"/>
        <w:adjustRightInd w:val="0"/>
        <w:spacing w:before="120"/>
        <w:ind w:left="1843" w:hanging="425"/>
      </w:pPr>
      <w:r>
        <w:t>c</w:t>
      </w:r>
      <w:r w:rsidR="007F5994">
        <w:t>ost effective</w:t>
      </w:r>
      <w:r w:rsidR="00246F71">
        <w:t>ness under different scenario</w:t>
      </w:r>
      <w:r w:rsidR="007F5994">
        <w:t>s</w:t>
      </w:r>
      <w:r w:rsidR="00246F71">
        <w:t>.</w:t>
      </w:r>
    </w:p>
    <w:p w:rsidR="007F5994" w:rsidRDefault="00246F71" w:rsidP="007F5994">
      <w:r>
        <w:t>Sapere</w:t>
      </w:r>
      <w:r w:rsidR="007F5994" w:rsidRPr="00844D4B">
        <w:t xml:space="preserve"> used</w:t>
      </w:r>
      <w:r w:rsidR="007F5994">
        <w:t xml:space="preserve"> a micro</w:t>
      </w:r>
      <w:r w:rsidR="007F5994" w:rsidRPr="00844D4B">
        <w:t xml:space="preserve">simulation to model the natural history of bowel cancer. The </w:t>
      </w:r>
      <w:r w:rsidR="007F5994">
        <w:t>MoDCONZ</w:t>
      </w:r>
      <w:r w:rsidR="007F5994" w:rsidRPr="00844D4B">
        <w:t xml:space="preserve"> (Modelling Disease and Cancer Outcomes in NZ) microsimulation model was developed by a team of researchers from the University of Otago.</w:t>
      </w:r>
      <w:r w:rsidR="007F5994">
        <w:t xml:space="preserve"> </w:t>
      </w:r>
      <w:r w:rsidR="007F5994" w:rsidRPr="00844D4B">
        <w:rPr>
          <w:lang w:eastAsia="en-AU"/>
        </w:rPr>
        <w:t xml:space="preserve">The </w:t>
      </w:r>
      <w:r w:rsidR="007F5994">
        <w:t>MoDCONZ</w:t>
      </w:r>
      <w:r w:rsidR="007F5994" w:rsidRPr="00844D4B">
        <w:t xml:space="preserve"> model </w:t>
      </w:r>
      <w:r w:rsidR="007F5994">
        <w:t>simulates the</w:t>
      </w:r>
      <w:r w:rsidR="007F5994" w:rsidRPr="00844D4B">
        <w:t xml:space="preserve"> life histories for a hypothetical sample of people. The sample is defined by age and gender parameter</w:t>
      </w:r>
      <w:r w:rsidR="007F5994">
        <w:t>s</w:t>
      </w:r>
      <w:r w:rsidR="007F5994" w:rsidRPr="00844D4B">
        <w:t>. The model has at its core a natural history of colorectal cancer, which captures the adenoma-carcin</w:t>
      </w:r>
      <w:r w:rsidR="007F5994">
        <w:t xml:space="preserve">oma sequence, with assumptions </w:t>
      </w:r>
      <w:r w:rsidR="007F5994" w:rsidRPr="00844D4B">
        <w:t>based on the probabilities of initiation, progression and response to treatment of colorectal cancers.</w:t>
      </w:r>
    </w:p>
    <w:p w:rsidR="007F5994" w:rsidRDefault="00246F71" w:rsidP="007F5994">
      <w:r>
        <w:t>Sapere</w:t>
      </w:r>
      <w:r w:rsidR="007F5994">
        <w:t xml:space="preserve"> have added a screening intervention model to MoDCONZ to estimate the bene</w:t>
      </w:r>
      <w:r>
        <w:t>fit</w:t>
      </w:r>
      <w:r w:rsidR="007F5994">
        <w:t>s and costs of bowel cancer screening. The screening intervention estimates the:</w:t>
      </w:r>
    </w:p>
    <w:p w:rsidR="007F5994" w:rsidRDefault="007F5994" w:rsidP="006179C7">
      <w:pPr>
        <w:numPr>
          <w:ilvl w:val="0"/>
          <w:numId w:val="13"/>
        </w:numPr>
        <w:spacing w:before="120"/>
        <w:ind w:left="1066" w:hanging="357"/>
      </w:pPr>
      <w:r>
        <w:t>earlier detection of bowel cancer and the resulting changes in bowel cancer mortality</w:t>
      </w:r>
    </w:p>
    <w:p w:rsidR="007F5994" w:rsidRDefault="007F5994" w:rsidP="006179C7">
      <w:pPr>
        <w:numPr>
          <w:ilvl w:val="0"/>
          <w:numId w:val="13"/>
        </w:numPr>
        <w:spacing w:before="120"/>
        <w:ind w:left="1066" w:hanging="357"/>
      </w:pPr>
      <w:r>
        <w:t>costs of scr</w:t>
      </w:r>
      <w:r w:rsidR="008E461F">
        <w:t>eening (including surveillance)</w:t>
      </w:r>
    </w:p>
    <w:p w:rsidR="007F5994" w:rsidRDefault="008D3FE2" w:rsidP="006179C7">
      <w:pPr>
        <w:numPr>
          <w:ilvl w:val="0"/>
          <w:numId w:val="13"/>
        </w:numPr>
        <w:spacing w:before="120"/>
        <w:ind w:left="1066" w:hanging="357"/>
      </w:pPr>
      <w:r>
        <w:t>cost offsets from reduced</w:t>
      </w:r>
      <w:r w:rsidR="007F5994">
        <w:t xml:space="preserve"> treatment of cancer</w:t>
      </w:r>
      <w:r w:rsidR="008E461F">
        <w:t>.</w:t>
      </w:r>
    </w:p>
    <w:p w:rsidR="007F5994" w:rsidRPr="00E83E33" w:rsidRDefault="005B0A5C" w:rsidP="007F5994">
      <w:r w:rsidRPr="00E83E33">
        <w:t>iFOBT participation is based on the experience of the pilot; where iFOBT participation is defined as the proportion of people that ar</w:t>
      </w:r>
      <w:r w:rsidR="008E461F">
        <w:t>e sent an iFOBT kit that return a kit that provide</w:t>
      </w:r>
      <w:r w:rsidRPr="00E83E33">
        <w:t xml:space="preserve"> a definite result</w:t>
      </w:r>
      <w:r w:rsidR="00D44A9B">
        <w:t xml:space="preserve"> (96%)</w:t>
      </w:r>
      <w:r w:rsidRPr="00E83E33">
        <w:t xml:space="preserve">. </w:t>
      </w:r>
      <w:r w:rsidR="00246F71" w:rsidRPr="00E83E33">
        <w:t>i</w:t>
      </w:r>
      <w:r w:rsidR="007F5994" w:rsidRPr="00E83E33">
        <w:t>FOBT participation in the first round is based on the first round of the pilot (57%)</w:t>
      </w:r>
      <w:r w:rsidR="008E461F">
        <w:t>.</w:t>
      </w:r>
      <w:r w:rsidR="007F5994" w:rsidRPr="00E83E33">
        <w:t xml:space="preserve"> </w:t>
      </w:r>
      <w:r w:rsidR="00246F71" w:rsidRPr="00E83E33">
        <w:t>i</w:t>
      </w:r>
      <w:r w:rsidR="007F5994" w:rsidRPr="00E83E33">
        <w:t xml:space="preserve">FOBT participation in subsequent rounds is based on the second round of the pilot, with 83% for those who participated in the previous round and 24% for those who did not participate in </w:t>
      </w:r>
      <w:r w:rsidR="008E461F">
        <w:t xml:space="preserve">the </w:t>
      </w:r>
      <w:r w:rsidR="007F5994" w:rsidRPr="00E83E33">
        <w:t>previous round. After 13 screening rounds, the estimated participation rate is 59%</w:t>
      </w:r>
      <w:r w:rsidR="00A57621">
        <w:t>.</w:t>
      </w:r>
    </w:p>
    <w:p w:rsidR="007F5994" w:rsidRDefault="007F5994" w:rsidP="007F5994">
      <w:r w:rsidRPr="00E83E33">
        <w:t xml:space="preserve">The performance of </w:t>
      </w:r>
      <w:r w:rsidR="00246F71" w:rsidRPr="00E83E33">
        <w:t>i</w:t>
      </w:r>
      <w:r w:rsidRPr="00E83E33">
        <w:t xml:space="preserve">FOBT is measured as sensitivity and specificity. Our approach to determine the performance of </w:t>
      </w:r>
      <w:r w:rsidR="00246F71" w:rsidRPr="00E83E33">
        <w:t>i</w:t>
      </w:r>
      <w:r w:rsidR="008E461F">
        <w:t>FOBT was twofold. First</w:t>
      </w:r>
      <w:r w:rsidRPr="00E83E33">
        <w:t xml:space="preserve"> we used studies where all participants receive a colonoscopy to determine the sensitivity and specificity at a given cut-off. Secondly we used the results </w:t>
      </w:r>
      <w:r w:rsidR="007E6E06" w:rsidRPr="00E83E33">
        <w:t xml:space="preserve">from the </w:t>
      </w:r>
      <w:r w:rsidRPr="00E83E33">
        <w:t>pilot to infer</w:t>
      </w:r>
      <w:r w:rsidRPr="00844D4B">
        <w:t xml:space="preserve"> how the sensitivity and specificity change for different cut-off levels</w:t>
      </w:r>
      <w:r>
        <w:t xml:space="preserve">. </w:t>
      </w:r>
      <w:r w:rsidRPr="00844D4B">
        <w:t xml:space="preserve">The estimate </w:t>
      </w:r>
      <w:r>
        <w:t xml:space="preserve">of </w:t>
      </w:r>
      <w:r w:rsidRPr="00844D4B">
        <w:t>sensitivity for early stage cancer (stage I or II) is 59.7</w:t>
      </w:r>
      <w:r w:rsidR="008E461F">
        <w:t>%</w:t>
      </w:r>
      <w:r w:rsidRPr="00844D4B">
        <w:t>, compared with late stage cancer (stage III or</w:t>
      </w:r>
      <w:r w:rsidR="008E461F">
        <w:t xml:space="preserve"> IV) with a sensitivity of 85.9%</w:t>
      </w:r>
      <w:r w:rsidRPr="00844D4B">
        <w:t>. The sensitivity for adenomas is relatively low with a 7.7</w:t>
      </w:r>
      <w:r w:rsidR="008E461F">
        <w:t>%</w:t>
      </w:r>
      <w:r w:rsidRPr="00844D4B">
        <w:t xml:space="preserve"> and 25.2</w:t>
      </w:r>
      <w:r w:rsidR="008E461F">
        <w:t>%</w:t>
      </w:r>
      <w:r w:rsidRPr="00844D4B">
        <w:t xml:space="preserve"> sensitivity for small (&lt; 10mm) and large (&gt;=10mm) adenomas</w:t>
      </w:r>
      <w:r w:rsidR="008E461F">
        <w:t>,</w:t>
      </w:r>
      <w:r w:rsidRPr="00844D4B">
        <w:t xml:space="preserve"> respectively. The specificity is estimated to be 94.7%, that is a person without an adenoma or cancer has a 5.3</w:t>
      </w:r>
      <w:r w:rsidR="008E461F">
        <w:t>%</w:t>
      </w:r>
      <w:r w:rsidRPr="00844D4B">
        <w:t xml:space="preserve"> chance of a posi</w:t>
      </w:r>
      <w:r>
        <w:t xml:space="preserve">tive </w:t>
      </w:r>
      <w:r w:rsidR="00246F71">
        <w:t>iFOBT</w:t>
      </w:r>
      <w:r>
        <w:t xml:space="preserve"> (i.e. false positive). Using a higher </w:t>
      </w:r>
      <w:r w:rsidR="00246F71">
        <w:t>iFOBT</w:t>
      </w:r>
      <w:r>
        <w:t xml:space="preserve"> cut-off increases the specificity and decreases the sensitivity. </w:t>
      </w:r>
    </w:p>
    <w:p w:rsidR="00D44A9B" w:rsidRPr="00535D44" w:rsidRDefault="00D44A9B" w:rsidP="00D44A9B">
      <w:r w:rsidRPr="00535D44">
        <w:t>Those with a positive iFOBT have a 92.5</w:t>
      </w:r>
      <w:r>
        <w:t>%</w:t>
      </w:r>
      <w:r w:rsidRPr="00535D44">
        <w:t xml:space="preserve"> chance of having a successful colonoscopy</w:t>
      </w:r>
      <w:r w:rsidR="008E461F">
        <w:t>;</w:t>
      </w:r>
      <w:r w:rsidRPr="00535D44">
        <w:t xml:space="preserve"> </w:t>
      </w:r>
      <w:r w:rsidR="008E461F">
        <w:t>that is,</w:t>
      </w:r>
      <w:r w:rsidRPr="00535D44">
        <w:t xml:space="preserve"> some people may not respond, wh</w:t>
      </w:r>
      <w:r w:rsidR="008E461F">
        <w:t>ereas</w:t>
      </w:r>
      <w:r w:rsidRPr="00535D44">
        <w:t xml:space="preserve"> in some cases a colonoscopy cannot successfully be performed. </w:t>
      </w:r>
    </w:p>
    <w:p w:rsidR="007F5994" w:rsidRDefault="00F36573" w:rsidP="007F5994">
      <w:r>
        <w:t>D</w:t>
      </w:r>
      <w:r w:rsidR="007F5994" w:rsidRPr="00844D4B">
        <w:t xml:space="preserve">ifferent </w:t>
      </w:r>
      <w:r w:rsidR="005153FF">
        <w:t>Quality of Life (</w:t>
      </w:r>
      <w:r w:rsidR="007F5994" w:rsidRPr="005153FF">
        <w:t>QoL</w:t>
      </w:r>
      <w:r w:rsidR="005153FF" w:rsidRPr="005153FF">
        <w:t>)</w:t>
      </w:r>
      <w:r w:rsidR="00672810" w:rsidRPr="005153FF">
        <w:t xml:space="preserve"> </w:t>
      </w:r>
      <w:r w:rsidR="007F5994" w:rsidRPr="00844D4B">
        <w:t xml:space="preserve">scores </w:t>
      </w:r>
      <w:r>
        <w:t xml:space="preserve">were used </w:t>
      </w:r>
      <w:r w:rsidR="007F5994" w:rsidRPr="00844D4B">
        <w:t>for the three phases of cancer</w:t>
      </w:r>
      <w:r w:rsidR="0086229B">
        <w:t>:</w:t>
      </w:r>
      <w:r w:rsidR="007F5994" w:rsidRPr="00844D4B">
        <w:t xml:space="preserve"> initial, continuing care and terminal phase. </w:t>
      </w:r>
    </w:p>
    <w:p w:rsidR="007F5994" w:rsidRDefault="007F5994" w:rsidP="006179C7">
      <w:pPr>
        <w:numPr>
          <w:ilvl w:val="0"/>
          <w:numId w:val="13"/>
        </w:numPr>
        <w:spacing w:before="120"/>
        <w:ind w:left="1066" w:hanging="357"/>
      </w:pPr>
      <w:r w:rsidRPr="00844D4B">
        <w:t>The QoL in the initial phase was dependant on the stage at diagnosis, with more advanced cancer being associated with a lower QoL score.  It was assumed that those without bowel cancer would have the QoL of the general population. We used a population average of 0.</w:t>
      </w:r>
      <w:r w:rsidR="00D44A9B">
        <w:t>792, based</w:t>
      </w:r>
      <w:r w:rsidR="00672810">
        <w:t xml:space="preserve"> </w:t>
      </w:r>
      <w:r w:rsidR="00D44A9B">
        <w:t>on the New Zealand population aged 50 and over</w:t>
      </w:r>
      <w:r w:rsidRPr="00844D4B">
        <w:t>.</w:t>
      </w:r>
      <w:r w:rsidR="005B0A5C">
        <w:t xml:space="preserve">  </w:t>
      </w:r>
      <w:r w:rsidRPr="00844D4B">
        <w:t>The QoL scores for the initial phase can</w:t>
      </w:r>
      <w:r>
        <w:t>cer were taken from a published cost-utility analysis.  T</w:t>
      </w:r>
      <w:r w:rsidRPr="00844D4B">
        <w:t xml:space="preserve">he QoL scores ranged from 0.74 for </w:t>
      </w:r>
      <w:r w:rsidRPr="00FC4A26">
        <w:t xml:space="preserve">‘stage I rectal or stage I/II colon cancer’ </w:t>
      </w:r>
      <w:r w:rsidRPr="00844D4B">
        <w:t>and 0.25 for ‘stage IV rectal or colon cancer’. These values are used for the stage I and stage IV</w:t>
      </w:r>
      <w:r w:rsidR="00672810">
        <w:t>,</w:t>
      </w:r>
      <w:r w:rsidRPr="00844D4B">
        <w:t xml:space="preserve"> respectively</w:t>
      </w:r>
      <w:r>
        <w:t xml:space="preserve">; with </w:t>
      </w:r>
      <w:r w:rsidR="00AA57E6">
        <w:t>s</w:t>
      </w:r>
      <w:r w:rsidRPr="00844D4B">
        <w:t xml:space="preserve">tage II and </w:t>
      </w:r>
      <w:r w:rsidR="00AA57E6">
        <w:t>s</w:t>
      </w:r>
      <w:r w:rsidRPr="00844D4B">
        <w:t>tage III as having QoL scores of 0.70 and 0.50</w:t>
      </w:r>
      <w:r w:rsidR="00672810">
        <w:t>,</w:t>
      </w:r>
      <w:r w:rsidRPr="00844D4B">
        <w:t xml:space="preserve"> respectively</w:t>
      </w:r>
      <w:r>
        <w:t>.</w:t>
      </w:r>
    </w:p>
    <w:p w:rsidR="007F5994" w:rsidRDefault="007F5994" w:rsidP="006179C7">
      <w:pPr>
        <w:numPr>
          <w:ilvl w:val="0"/>
          <w:numId w:val="13"/>
        </w:numPr>
        <w:spacing w:before="120"/>
        <w:ind w:left="1066" w:hanging="357"/>
      </w:pPr>
      <w:r>
        <w:t xml:space="preserve">Studies </w:t>
      </w:r>
      <w:r w:rsidRPr="00844D4B">
        <w:t>suggest that over time patients</w:t>
      </w:r>
      <w:r w:rsidR="00672810">
        <w:t>’</w:t>
      </w:r>
      <w:r w:rsidRPr="00844D4B">
        <w:t xml:space="preserve"> QoL improves and that the QoL is close to the general population. Therefore we assume that in the continuing care phase, after the initial phase, patients QoL improves to </w:t>
      </w:r>
      <w:r w:rsidR="00672810">
        <w:t xml:space="preserve">that of </w:t>
      </w:r>
      <w:r w:rsidRPr="00844D4B">
        <w:t>th</w:t>
      </w:r>
      <w:r w:rsidR="0086229B">
        <w:t>e general population, i.e. 0.</w:t>
      </w:r>
      <w:r w:rsidR="00D44A9B">
        <w:t>792</w:t>
      </w:r>
      <w:r w:rsidRPr="00844D4B">
        <w:t>.</w:t>
      </w:r>
      <w:r>
        <w:t xml:space="preserve"> </w:t>
      </w:r>
    </w:p>
    <w:p w:rsidR="007F5994" w:rsidRDefault="007F5994" w:rsidP="006179C7">
      <w:pPr>
        <w:numPr>
          <w:ilvl w:val="0"/>
          <w:numId w:val="13"/>
        </w:numPr>
        <w:spacing w:before="120"/>
        <w:ind w:left="1066" w:hanging="357"/>
      </w:pPr>
      <w:r w:rsidRPr="00844D4B">
        <w:t>In the terminal phase, last year of life, the QoL score is assumed to be 0.25. This is based on the assumption that the last year will be similar to being in stage IV.</w:t>
      </w:r>
    </w:p>
    <w:p w:rsidR="007F5994" w:rsidRDefault="007F5994" w:rsidP="007F5994">
      <w:r w:rsidRPr="00844D4B">
        <w:t>Bowel cancer is estimated to cost the health sector an additional $46,000</w:t>
      </w:r>
      <w:r w:rsidRPr="00844D4B">
        <w:rPr>
          <w:rStyle w:val="FootnoteReference"/>
        </w:rPr>
        <w:footnoteReference w:id="19"/>
      </w:r>
      <w:r w:rsidRPr="00844D4B">
        <w:t xml:space="preserve"> </w:t>
      </w:r>
      <w:r w:rsidR="00D44A9B">
        <w:t xml:space="preserve">on average </w:t>
      </w:r>
      <w:r w:rsidRPr="00844D4B">
        <w:t>per person</w:t>
      </w:r>
      <w:bookmarkStart w:id="54" w:name="_Ref440465640"/>
      <w:r w:rsidRPr="00844D4B">
        <w:t xml:space="preserve"> diagnosed with bowel cancer</w:t>
      </w:r>
      <w:bookmarkEnd w:id="54"/>
      <w:r w:rsidR="00D44A9B">
        <w:t xml:space="preserve">, with the </w:t>
      </w:r>
      <w:r w:rsidR="00672810">
        <w:t>co</w:t>
      </w:r>
      <w:r w:rsidR="00D44A9B">
        <w:t>st varying substantially by stage of cancer at diagnosis</w:t>
      </w:r>
      <w:r w:rsidRPr="00844D4B">
        <w:t>. We base our estimates on work done by th</w:t>
      </w:r>
      <w:r>
        <w:t>e Department of Public Health, U</w:t>
      </w:r>
      <w:r w:rsidRPr="00844D4B">
        <w:t>niversity of Otago</w:t>
      </w:r>
      <w:r>
        <w:t xml:space="preserve"> Wellington (the BODE3 research team: Blakely et al 2015)</w:t>
      </w:r>
      <w:r w:rsidRPr="00844D4B">
        <w:t>. An excess difference approach was used to estimate the additional cost incurred by those with bowel cancer, compared with the general population</w:t>
      </w:r>
      <w:r w:rsidR="00672810">
        <w:t>. Costs were broken down in</w:t>
      </w:r>
      <w:r>
        <w:t>to three time periods:</w:t>
      </w:r>
    </w:p>
    <w:p w:rsidR="007F5994" w:rsidRDefault="007F5994" w:rsidP="006179C7">
      <w:pPr>
        <w:numPr>
          <w:ilvl w:val="0"/>
          <w:numId w:val="13"/>
        </w:numPr>
        <w:spacing w:before="120"/>
        <w:ind w:left="1066" w:hanging="357"/>
      </w:pPr>
      <w:r>
        <w:t xml:space="preserve">the </w:t>
      </w:r>
      <w:r w:rsidR="007E6E06">
        <w:t>first</w:t>
      </w:r>
      <w:r>
        <w:t xml:space="preserve"> yea</w:t>
      </w:r>
      <w:r w:rsidR="00F2390A">
        <w:t>r following diagnosis</w:t>
      </w:r>
    </w:p>
    <w:p w:rsidR="007F5994" w:rsidRDefault="007F5994" w:rsidP="006179C7">
      <w:pPr>
        <w:numPr>
          <w:ilvl w:val="0"/>
          <w:numId w:val="13"/>
        </w:numPr>
        <w:spacing w:before="120"/>
        <w:ind w:left="1066" w:hanging="357"/>
      </w:pPr>
      <w:r>
        <w:t>remission (time between 1 year and last 6 months)</w:t>
      </w:r>
    </w:p>
    <w:p w:rsidR="007F5994" w:rsidRDefault="007F5994" w:rsidP="006179C7">
      <w:pPr>
        <w:numPr>
          <w:ilvl w:val="0"/>
          <w:numId w:val="13"/>
        </w:numPr>
        <w:spacing w:before="120"/>
        <w:ind w:left="1066" w:hanging="357"/>
      </w:pPr>
      <w:r>
        <w:t xml:space="preserve">6 months </w:t>
      </w:r>
      <w:r w:rsidR="00672810">
        <w:t>before</w:t>
      </w:r>
      <w:r>
        <w:t xml:space="preserve"> death.</w:t>
      </w:r>
    </w:p>
    <w:p w:rsidR="007F5994" w:rsidRDefault="007F5994" w:rsidP="007F5994">
      <w:r>
        <w:t xml:space="preserve">The costs were estimated by age band, gender and stage of cancer. </w:t>
      </w:r>
    </w:p>
    <w:p w:rsidR="00544745" w:rsidRDefault="007F5994" w:rsidP="007F5994">
      <w:r>
        <w:t xml:space="preserve">The cost of screening used in our analysis is based on the second round of the pilot, since </w:t>
      </w:r>
      <w:r w:rsidR="00F72955">
        <w:t>Round 2</w:t>
      </w:r>
      <w:r>
        <w:t xml:space="preserve"> is expected to represent steady state costs. Screening costs are described in detail in </w:t>
      </w:r>
      <w:r w:rsidR="00672810">
        <w:t>A</w:t>
      </w:r>
      <w:r>
        <w:t xml:space="preserve">ppendix </w:t>
      </w:r>
      <w:r w:rsidR="00544745">
        <w:t>3.</w:t>
      </w:r>
    </w:p>
    <w:p w:rsidR="007F5994" w:rsidRDefault="00F36573" w:rsidP="007F5994">
      <w:r>
        <w:t>P</w:t>
      </w:r>
      <w:r w:rsidR="007F5994">
        <w:t xml:space="preserve">robabilistic sensitivity analysis </w:t>
      </w:r>
      <w:r>
        <w:t xml:space="preserve">was used </w:t>
      </w:r>
      <w:r w:rsidR="007F5994">
        <w:t xml:space="preserve">to model parameter uncertainty. </w:t>
      </w:r>
      <w:r w:rsidR="007F5994" w:rsidRPr="00844D4B">
        <w:t xml:space="preserve">The base microsimulation model addresses the sensitivity of the natural history parameters </w:t>
      </w:r>
      <w:r w:rsidR="007F5994" w:rsidRPr="00844D4B">
        <w:rPr>
          <w:lang w:eastAsia="en-AU"/>
        </w:rPr>
        <w:t>through</w:t>
      </w:r>
      <w:r w:rsidR="007F5994" w:rsidRPr="00844D4B">
        <w:t xml:space="preserve"> </w:t>
      </w:r>
      <w:r w:rsidR="007F5994">
        <w:t>a</w:t>
      </w:r>
      <w:r w:rsidR="007F5994" w:rsidRPr="00844D4B">
        <w:t xml:space="preserve"> Bayesian calibration with incidence and death dat</w:t>
      </w:r>
      <w:r w:rsidR="007F5994">
        <w:t xml:space="preserve">a. </w:t>
      </w:r>
      <w:r w:rsidR="007F5994" w:rsidRPr="00844D4B">
        <w:t>The screening intervention model introduces new sets of parameters related to the decision points for each individual proceeding through the screening program</w:t>
      </w:r>
      <w:r w:rsidR="00672810">
        <w:t>me</w:t>
      </w:r>
      <w:r w:rsidR="007F5994" w:rsidRPr="00844D4B">
        <w:t xml:space="preserve"> and the performance of </w:t>
      </w:r>
      <w:r w:rsidR="00246F71">
        <w:t>iFOBT</w:t>
      </w:r>
      <w:r w:rsidR="007F5994" w:rsidRPr="00844D4B">
        <w:t>s.</w:t>
      </w:r>
      <w:r w:rsidR="007F5994" w:rsidRPr="00844D4B">
        <w:rPr>
          <w:lang w:eastAsia="en-AU"/>
        </w:rPr>
        <w:t xml:space="preserve"> </w:t>
      </w:r>
      <w:r>
        <w:rPr>
          <w:lang w:eastAsia="en-AU"/>
        </w:rPr>
        <w:t>P</w:t>
      </w:r>
      <w:r w:rsidR="007F5994" w:rsidRPr="00844D4B">
        <w:rPr>
          <w:lang w:eastAsia="en-AU"/>
        </w:rPr>
        <w:t xml:space="preserve">robabilistic sensitivity analysis of these </w:t>
      </w:r>
      <w:r w:rsidR="007F5994" w:rsidRPr="00844D4B">
        <w:t>screening</w:t>
      </w:r>
      <w:r w:rsidR="007F5994">
        <w:rPr>
          <w:lang w:eastAsia="en-AU"/>
        </w:rPr>
        <w:t xml:space="preserve"> parameters </w:t>
      </w:r>
      <w:r>
        <w:rPr>
          <w:lang w:eastAsia="en-AU"/>
        </w:rPr>
        <w:t xml:space="preserve">was incorporated </w:t>
      </w:r>
      <w:r w:rsidR="007F5994">
        <w:rPr>
          <w:lang w:eastAsia="en-AU"/>
        </w:rPr>
        <w:t>into the MoDCONZ</w:t>
      </w:r>
      <w:r w:rsidR="007F5994" w:rsidRPr="00844D4B">
        <w:rPr>
          <w:lang w:eastAsia="en-AU"/>
        </w:rPr>
        <w:t xml:space="preserve"> screening model by performing a random draw on the distributions for these screening parameters at the same time as the draw of natural history parameters for each simulation run over the cohort of individuals.</w:t>
      </w:r>
    </w:p>
    <w:p w:rsidR="00E36046" w:rsidRPr="00CA7B1F" w:rsidRDefault="00CA7B1F" w:rsidP="00246F71">
      <w:pPr>
        <w:pStyle w:val="Heading3"/>
      </w:pPr>
      <w:r>
        <w:t>Research with e</w:t>
      </w:r>
      <w:r w:rsidR="00E36046" w:rsidRPr="00CA7B1F">
        <w:t>ligible BSP participants</w:t>
      </w:r>
      <w:r w:rsidRPr="00CA7B1F">
        <w:t xml:space="preserve">, providers on BSP </w:t>
      </w:r>
      <w:r w:rsidR="00E36046" w:rsidRPr="00CA7B1F">
        <w:t>screening pathw</w:t>
      </w:r>
      <w:r w:rsidRPr="00CA7B1F">
        <w:t>ay and national and regional stakeholders</w:t>
      </w:r>
      <w:r>
        <w:t xml:space="preserve"> </w:t>
      </w:r>
      <w:r w:rsidR="00672810">
        <w:t>–</w:t>
      </w:r>
      <w:r w:rsidR="007E6E06">
        <w:t xml:space="preserve"> </w:t>
      </w:r>
      <w:r>
        <w:t>Litmus</w:t>
      </w:r>
      <w:r w:rsidRPr="00CA7B1F">
        <w:t xml:space="preserve"> </w:t>
      </w:r>
    </w:p>
    <w:p w:rsidR="005B5069" w:rsidRDefault="00CA7B1F" w:rsidP="00CA7B1F">
      <w:pPr>
        <w:autoSpaceDE w:val="0"/>
        <w:autoSpaceDN w:val="0"/>
        <w:adjustRightInd w:val="0"/>
        <w:spacing w:before="120"/>
      </w:pPr>
      <w:r w:rsidRPr="00CA7B1F">
        <w:t xml:space="preserve">In </w:t>
      </w:r>
      <w:r w:rsidR="005740D9">
        <w:t>R</w:t>
      </w:r>
      <w:r w:rsidRPr="00CA7B1F">
        <w:t xml:space="preserve">ounds </w:t>
      </w:r>
      <w:r w:rsidR="005740D9">
        <w:t>1 and 2</w:t>
      </w:r>
      <w:r w:rsidR="006336D9">
        <w:t>,</w:t>
      </w:r>
      <w:r w:rsidRPr="00CA7B1F">
        <w:t xml:space="preserve"> a range of evaluation activities were undertaken with eligible BSP participants, providers on </w:t>
      </w:r>
      <w:r w:rsidR="00672810">
        <w:t xml:space="preserve">the </w:t>
      </w:r>
      <w:r w:rsidRPr="00CA7B1F">
        <w:t>BSP screening pathway</w:t>
      </w:r>
      <w:r w:rsidR="006336D9">
        <w:t>,</w:t>
      </w:r>
      <w:r w:rsidRPr="00CA7B1F">
        <w:t xml:space="preserve"> and national and regional stakeholders</w:t>
      </w:r>
      <w:r>
        <w:t xml:space="preserve">.  Activities in </w:t>
      </w:r>
      <w:r w:rsidR="00F72955">
        <w:t>Round 1</w:t>
      </w:r>
      <w:r>
        <w:t xml:space="preserve"> aligned with the original evaluation plan for the BSP (Litmus 2011). </w:t>
      </w:r>
      <w:r w:rsidRPr="008B1F1E">
        <w:t xml:space="preserve">Following </w:t>
      </w:r>
      <w:r w:rsidR="00412364">
        <w:t>the interim evaluation report, it was agreed that</w:t>
      </w:r>
      <w:r w:rsidRPr="008B1F1E">
        <w:t xml:space="preserve"> screening </w:t>
      </w:r>
      <w:r w:rsidR="00F72955">
        <w:t>Round 2</w:t>
      </w:r>
      <w:r w:rsidRPr="008B1F1E">
        <w:t xml:space="preserve"> of the </w:t>
      </w:r>
      <w:r w:rsidR="00672810">
        <w:t>p</w:t>
      </w:r>
      <w:r w:rsidRPr="008B1F1E">
        <w:t xml:space="preserve">ilot </w:t>
      </w:r>
      <w:r w:rsidR="00412364">
        <w:t>would be u</w:t>
      </w:r>
      <w:r w:rsidRPr="008B1F1E">
        <w:t xml:space="preserve">sed to trial </w:t>
      </w:r>
      <w:r w:rsidRPr="008B1F1E">
        <w:rPr>
          <w:lang w:eastAsia="ar-SA"/>
        </w:rPr>
        <w:t>new initiatives</w:t>
      </w:r>
      <w:r w:rsidRPr="008B1F1E">
        <w:t xml:space="preserve"> to increase participation by M</w:t>
      </w:r>
      <w:r w:rsidRPr="008B1F1E">
        <w:rPr>
          <w:rFonts w:cs="Arial"/>
        </w:rPr>
        <w:t>ā</w:t>
      </w:r>
      <w:r>
        <w:t>ori and Pacific people.</w:t>
      </w:r>
      <w:r w:rsidR="00672810">
        <w:rPr>
          <w:rStyle w:val="FootnoteReference"/>
        </w:rPr>
        <w:footnoteReference w:id="20"/>
      </w:r>
      <w:r>
        <w:t xml:space="preserve">  </w:t>
      </w:r>
    </w:p>
    <w:p w:rsidR="00CA7B1F" w:rsidRPr="00CA7B1F" w:rsidRDefault="00CA7B1F" w:rsidP="00CA7B1F">
      <w:pPr>
        <w:autoSpaceDE w:val="0"/>
        <w:autoSpaceDN w:val="0"/>
        <w:adjustRightInd w:val="0"/>
        <w:spacing w:before="120"/>
      </w:pPr>
      <w:r>
        <w:t xml:space="preserve">Following a review of the planned </w:t>
      </w:r>
      <w:r w:rsidR="00F72955">
        <w:t>Round 2</w:t>
      </w:r>
      <w:r>
        <w:t xml:space="preserve"> evaluation activities, </w:t>
      </w:r>
      <w:r w:rsidR="005740D9">
        <w:t xml:space="preserve">it was agreed to shift the </w:t>
      </w:r>
      <w:r w:rsidRPr="000C6F76">
        <w:t xml:space="preserve">focus </w:t>
      </w:r>
      <w:r w:rsidR="005740D9">
        <w:t xml:space="preserve">to assess the strengthened and new </w:t>
      </w:r>
      <w:r w:rsidRPr="000C6F76">
        <w:t xml:space="preserve">initiatives </w:t>
      </w:r>
      <w:r w:rsidR="005740D9">
        <w:t>seeking to increase</w:t>
      </w:r>
      <w:r w:rsidRPr="000C6F76">
        <w:t xml:space="preserve"> Māori and Pacific participation</w:t>
      </w:r>
      <w:r>
        <w:t xml:space="preserve"> in the BSP</w:t>
      </w:r>
      <w:r w:rsidR="00827AFA">
        <w:t>.</w:t>
      </w:r>
      <w:r>
        <w:t xml:space="preserve"> </w:t>
      </w:r>
      <w:r w:rsidR="00544745">
        <w:t>A</w:t>
      </w:r>
      <w:r>
        <w:t xml:space="preserve"> process evaluation of primary care initiatives and a retrospective survey of converted non-responders </w:t>
      </w:r>
      <w:r w:rsidR="005740D9">
        <w:t>were</w:t>
      </w:r>
      <w:r w:rsidR="00544745">
        <w:t xml:space="preserve"> undertaken</w:t>
      </w:r>
      <w:r w:rsidR="005740D9">
        <w:t>, as well as the final immersion visit</w:t>
      </w:r>
      <w:r w:rsidR="00544745">
        <w:t xml:space="preserve"> </w:t>
      </w:r>
      <w:r>
        <w:t>(Litmus 2015)</w:t>
      </w:r>
      <w:r w:rsidRPr="000C6F76">
        <w:t>.</w:t>
      </w:r>
      <w:r w:rsidR="00672810">
        <w:rPr>
          <w:rStyle w:val="FootnoteReference"/>
        </w:rPr>
        <w:footnoteReference w:id="21"/>
      </w:r>
      <w:r w:rsidR="005740D9">
        <w:t xml:space="preserve"> </w:t>
      </w:r>
      <w:r w:rsidR="005B5069">
        <w:t xml:space="preserve"> The activities that did not proceed were a</w:t>
      </w:r>
      <w:r w:rsidR="005B5069" w:rsidRPr="008B1F1E">
        <w:t xml:space="preserve"> clinical pathwa</w:t>
      </w:r>
      <w:r w:rsidR="005B5069">
        <w:t xml:space="preserve">ys study with BSP participants, </w:t>
      </w:r>
      <w:r w:rsidR="005B5069" w:rsidRPr="008B1F1E">
        <w:t>quality monitoring activities in 2014 and 2015</w:t>
      </w:r>
      <w:r w:rsidR="005B5069">
        <w:t xml:space="preserve">, </w:t>
      </w:r>
      <w:r w:rsidR="002B3F34">
        <w:t xml:space="preserve">and </w:t>
      </w:r>
      <w:r w:rsidR="005B5069" w:rsidRPr="008B1F1E">
        <w:t xml:space="preserve">a third provider survey.  </w:t>
      </w:r>
    </w:p>
    <w:p w:rsidR="00CA7B1F" w:rsidRPr="00F2390A" w:rsidRDefault="00CA7B1F" w:rsidP="00CA7B1F">
      <w:pPr>
        <w:pStyle w:val="Heading4"/>
      </w:pPr>
      <w:r w:rsidRPr="00F2390A">
        <w:t xml:space="preserve">Round </w:t>
      </w:r>
      <w:r w:rsidR="00F2390A">
        <w:t>1</w:t>
      </w:r>
      <w:r w:rsidRPr="00F2390A">
        <w:t xml:space="preserve"> </w:t>
      </w:r>
      <w:r w:rsidR="005B5069" w:rsidRPr="00F2390A">
        <w:t>participant and provider data collection</w:t>
      </w:r>
      <w:r w:rsidR="009D6A6F" w:rsidRPr="00F2390A">
        <w:t xml:space="preserve"> </w:t>
      </w:r>
    </w:p>
    <w:p w:rsidR="00892168" w:rsidRPr="005740D9" w:rsidRDefault="009D6A6F" w:rsidP="00892168">
      <w:pPr>
        <w:autoSpaceDE w:val="0"/>
        <w:autoSpaceDN w:val="0"/>
        <w:adjustRightInd w:val="0"/>
        <w:spacing w:before="120"/>
        <w:rPr>
          <w:b/>
        </w:rPr>
      </w:pPr>
      <w:r w:rsidRPr="00F2390A">
        <w:rPr>
          <w:b/>
        </w:rPr>
        <w:t>R</w:t>
      </w:r>
      <w:r w:rsidR="00892168" w:rsidRPr="00F2390A">
        <w:rPr>
          <w:b/>
        </w:rPr>
        <w:t xml:space="preserve">eports on baseline and follow-up surveys of eligible BSP population </w:t>
      </w:r>
      <w:r w:rsidR="00892168" w:rsidRPr="00F2390A">
        <w:t>(Litmus 2012</w:t>
      </w:r>
      <w:r w:rsidR="00B30D2D" w:rsidRPr="00F2390A">
        <w:t>,</w:t>
      </w:r>
      <w:r w:rsidR="00892168" w:rsidRPr="00F2390A">
        <w:t xml:space="preserve"> 2014a)</w:t>
      </w:r>
      <w:r w:rsidR="00892168" w:rsidRPr="005740D9">
        <w:rPr>
          <w:b/>
        </w:rPr>
        <w:t xml:space="preserve"> </w:t>
      </w:r>
    </w:p>
    <w:p w:rsidR="00892168" w:rsidRDefault="005740D9" w:rsidP="00F2390A">
      <w:pPr>
        <w:spacing w:before="0"/>
      </w:pPr>
      <w:r>
        <w:t>C</w:t>
      </w:r>
      <w:r w:rsidR="001F7B48" w:rsidRPr="00C95C03">
        <w:t>omputer</w:t>
      </w:r>
      <w:r w:rsidR="001F7B48">
        <w:t xml:space="preserve"> </w:t>
      </w:r>
      <w:r w:rsidR="001F7B48" w:rsidRPr="00C95C03">
        <w:t>assisted telephone interviewing</w:t>
      </w:r>
      <w:r w:rsidR="001F7B48">
        <w:t xml:space="preserve"> </w:t>
      </w:r>
      <w:r w:rsidR="00892168" w:rsidRPr="00C95C03">
        <w:t>surve</w:t>
      </w:r>
      <w:r w:rsidR="00892168">
        <w:t>ys</w:t>
      </w:r>
      <w:r w:rsidR="00892168" w:rsidRPr="00C95C03">
        <w:t xml:space="preserve"> measure</w:t>
      </w:r>
      <w:r w:rsidR="00892168">
        <w:t>d</w:t>
      </w:r>
      <w:r w:rsidR="00892168" w:rsidRPr="00C95C03">
        <w:t xml:space="preserve"> awareness, knowledge and attitudes towards bowel cancer and the BSP</w:t>
      </w:r>
      <w:r>
        <w:t xml:space="preserve"> amongst the eligible population</w:t>
      </w:r>
      <w:r w:rsidR="00892168" w:rsidRPr="00C95C03">
        <w:t xml:space="preserve">. </w:t>
      </w:r>
      <w:r w:rsidR="00892168">
        <w:t xml:space="preserve"> Baseline surveys were conducted in November</w:t>
      </w:r>
      <w:r w:rsidR="009D6A6F">
        <w:t>/December 2011; one with 50–74-year-</w:t>
      </w:r>
      <w:r w:rsidR="00892168" w:rsidRPr="00BE4D93">
        <w:t xml:space="preserve">olds (the eligible screening population) living </w:t>
      </w:r>
      <w:r w:rsidR="009D6A6F">
        <w:t>within WDHB and one with 50–74-year-</w:t>
      </w:r>
      <w:r w:rsidR="00892168" w:rsidRPr="00BE4D93">
        <w:t xml:space="preserve">olds living outside of WDHB. </w:t>
      </w:r>
      <w:r w:rsidR="00892168">
        <w:t xml:space="preserve"> The</w:t>
      </w:r>
      <w:r w:rsidR="00892168" w:rsidRPr="00BE4D93">
        <w:t xml:space="preserve"> follow</w:t>
      </w:r>
      <w:r w:rsidR="00892168">
        <w:t>-</w:t>
      </w:r>
      <w:r w:rsidR="00892168" w:rsidRPr="00BE4D93">
        <w:t xml:space="preserve">up survey of the eligible screening population </w:t>
      </w:r>
      <w:r w:rsidR="00892168">
        <w:t xml:space="preserve">living in </w:t>
      </w:r>
      <w:r w:rsidR="00892168" w:rsidRPr="00BE4D93">
        <w:t xml:space="preserve">WDHB </w:t>
      </w:r>
      <w:r w:rsidR="00892168">
        <w:t>was</w:t>
      </w:r>
      <w:r w:rsidR="00892168" w:rsidRPr="00BE4D93">
        <w:t xml:space="preserve"> undertaken in </w:t>
      </w:r>
      <w:r w:rsidR="00892168">
        <w:t>October</w:t>
      </w:r>
      <w:r w:rsidR="00892168" w:rsidRPr="00BE4D93">
        <w:t xml:space="preserve"> 2013 to </w:t>
      </w:r>
      <w:r w:rsidR="00892168">
        <w:t>identify</w:t>
      </w:r>
      <w:r w:rsidR="00892168" w:rsidRPr="00BE4D93">
        <w:t xml:space="preserve"> changes in awareness, attitudes, knowledge and involvement with</w:t>
      </w:r>
      <w:r w:rsidR="00892168">
        <w:t xml:space="preserve"> the BSP over time</w:t>
      </w:r>
      <w:r w:rsidR="00892168" w:rsidRPr="00BE4D93">
        <w:t xml:space="preserve">. </w:t>
      </w:r>
    </w:p>
    <w:p w:rsidR="00892168" w:rsidRDefault="00892168" w:rsidP="00892168">
      <w:r>
        <w:t>In 2013, a</w:t>
      </w:r>
      <w:r w:rsidRPr="006229BC">
        <w:t xml:space="preserve">s with the 2011 survey, a main sample of 500 respondents was interviewed, plus a booster sample of 200 respondents (100 Māori and 100 Pacific). </w:t>
      </w:r>
      <w:r>
        <w:t xml:space="preserve"> </w:t>
      </w:r>
      <w:r w:rsidRPr="006229BC">
        <w:t xml:space="preserve">Each of the main and booster samples comprised a mix of </w:t>
      </w:r>
      <w:r>
        <w:t>randomly selected respondents (from the White Pages) and a sample recontacted from the 2011 WDHB survey (who agreed to be recontacted and for whom a name and phone number were available</w:t>
      </w:r>
      <w:r w:rsidRPr="000526DE">
        <w:t xml:space="preserve">). </w:t>
      </w:r>
    </w:p>
    <w:p w:rsidR="00892168" w:rsidRDefault="00892168" w:rsidP="00892168">
      <w:bookmarkStart w:id="55" w:name="_Toc376784291"/>
      <w:bookmarkStart w:id="56" w:name="_Toc380498558"/>
      <w:r w:rsidRPr="00C95C03">
        <w:t xml:space="preserve">Response rates for each survey are shown in Table </w:t>
      </w:r>
      <w:r w:rsidR="00544745">
        <w:t>1</w:t>
      </w:r>
      <w:r w:rsidRPr="00C95C03">
        <w:t xml:space="preserve">. </w:t>
      </w:r>
    </w:p>
    <w:p w:rsidR="00892168" w:rsidRPr="00C95C03" w:rsidRDefault="00892168" w:rsidP="00381C3F">
      <w:pPr>
        <w:pStyle w:val="Tableheading"/>
      </w:pPr>
      <w:bookmarkStart w:id="57" w:name="_Toc412540156"/>
      <w:r w:rsidRPr="00C95C03">
        <w:t xml:space="preserve">Table </w:t>
      </w:r>
      <w:r w:rsidR="00544745">
        <w:t>1</w:t>
      </w:r>
      <w:r w:rsidRPr="00C95C03">
        <w:t xml:space="preserve">: Achieved response rates, </w:t>
      </w:r>
      <w:r w:rsidR="000F11FA">
        <w:t>WDHB</w:t>
      </w:r>
      <w:r w:rsidRPr="00C95C03">
        <w:t xml:space="preserve"> </w:t>
      </w:r>
      <w:r>
        <w:t xml:space="preserve">randomly selected </w:t>
      </w:r>
      <w:r w:rsidRPr="00C95C03">
        <w:t xml:space="preserve">main and booster samples, </w:t>
      </w:r>
      <w:r>
        <w:t xml:space="preserve">and main and booster recontact sample </w:t>
      </w:r>
      <w:r w:rsidRPr="00C95C03">
        <w:t>201</w:t>
      </w:r>
      <w:r>
        <w:t xml:space="preserve">3 compared </w:t>
      </w:r>
      <w:r w:rsidR="009D6A6F">
        <w:t>with</w:t>
      </w:r>
      <w:r>
        <w:t xml:space="preserve"> 2011 response rates</w:t>
      </w:r>
      <w:bookmarkEnd w:id="55"/>
      <w:bookmarkEnd w:id="56"/>
      <w:bookmarkEnd w:id="57"/>
    </w:p>
    <w:tbl>
      <w:tblPr>
        <w:tblW w:w="84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054"/>
        <w:gridCol w:w="1914"/>
        <w:gridCol w:w="1914"/>
      </w:tblGrid>
      <w:tr w:rsidR="00892168" w:rsidRPr="00C95C03" w:rsidTr="007D17C5">
        <w:trPr>
          <w:trHeight w:val="525"/>
        </w:trPr>
        <w:tc>
          <w:tcPr>
            <w:tcW w:w="4606" w:type="dxa"/>
            <w:gridSpan w:val="2"/>
            <w:tcBorders>
              <w:bottom w:val="single" w:sz="4" w:space="0" w:color="auto"/>
            </w:tcBorders>
            <w:shd w:val="clear" w:color="auto" w:fill="9BBB59"/>
            <w:noWrap/>
            <w:vAlign w:val="center"/>
          </w:tcPr>
          <w:p w:rsidR="00892168" w:rsidRPr="007D17C5" w:rsidRDefault="00892168" w:rsidP="001F7B48">
            <w:pPr>
              <w:spacing w:before="0"/>
              <w:ind w:left="0"/>
              <w:rPr>
                <w:rFonts w:cs="Arial"/>
                <w:b/>
                <w:bCs/>
                <w:color w:val="FFFFFF" w:themeColor="background1"/>
                <w:sz w:val="18"/>
                <w:szCs w:val="18"/>
                <w:lang w:eastAsia="en-US"/>
              </w:rPr>
            </w:pPr>
            <w:r w:rsidRPr="007D17C5">
              <w:rPr>
                <w:rFonts w:cs="Arial"/>
                <w:b/>
                <w:bCs/>
                <w:color w:val="FFFFFF" w:themeColor="background1"/>
                <w:sz w:val="18"/>
                <w:szCs w:val="18"/>
                <w:lang w:eastAsia="en-US"/>
              </w:rPr>
              <w:t>Samples</w:t>
            </w:r>
          </w:p>
        </w:tc>
        <w:tc>
          <w:tcPr>
            <w:tcW w:w="1914" w:type="dxa"/>
            <w:tcBorders>
              <w:bottom w:val="single" w:sz="4" w:space="0" w:color="auto"/>
            </w:tcBorders>
            <w:shd w:val="clear" w:color="auto" w:fill="9BBB59"/>
          </w:tcPr>
          <w:p w:rsidR="00892168" w:rsidRPr="007D17C5" w:rsidRDefault="00892168" w:rsidP="001F7B48">
            <w:pPr>
              <w:spacing w:before="0"/>
              <w:ind w:left="0"/>
              <w:jc w:val="center"/>
              <w:rPr>
                <w:rFonts w:eastAsia="Calibri" w:cs="Arial"/>
                <w:b/>
                <w:color w:val="FFFFFF" w:themeColor="background1"/>
                <w:sz w:val="18"/>
                <w:szCs w:val="18"/>
                <w:lang w:eastAsia="en-US"/>
              </w:rPr>
            </w:pPr>
            <w:r w:rsidRPr="007D17C5">
              <w:rPr>
                <w:rFonts w:eastAsia="Calibri" w:cs="Arial"/>
                <w:b/>
                <w:color w:val="FFFFFF" w:themeColor="background1"/>
                <w:sz w:val="18"/>
                <w:szCs w:val="18"/>
                <w:lang w:eastAsia="en-US"/>
              </w:rPr>
              <w:t>Survey 2013</w:t>
            </w:r>
          </w:p>
          <w:p w:rsidR="00892168" w:rsidRPr="007D17C5" w:rsidRDefault="00892168" w:rsidP="001F7B48">
            <w:pPr>
              <w:spacing w:before="0"/>
              <w:ind w:left="0"/>
              <w:jc w:val="center"/>
              <w:rPr>
                <w:rFonts w:eastAsia="Calibri" w:cs="Arial"/>
                <w:b/>
                <w:color w:val="FFFFFF" w:themeColor="background1"/>
                <w:sz w:val="18"/>
                <w:szCs w:val="18"/>
                <w:lang w:eastAsia="en-US"/>
              </w:rPr>
            </w:pPr>
            <w:r w:rsidRPr="007D17C5">
              <w:rPr>
                <w:rFonts w:eastAsia="Calibri" w:cs="Arial"/>
                <w:b/>
                <w:color w:val="FFFFFF" w:themeColor="background1"/>
                <w:sz w:val="18"/>
                <w:szCs w:val="18"/>
                <w:lang w:eastAsia="en-US"/>
              </w:rPr>
              <w:t>(%)</w:t>
            </w:r>
          </w:p>
        </w:tc>
        <w:tc>
          <w:tcPr>
            <w:tcW w:w="1914" w:type="dxa"/>
            <w:tcBorders>
              <w:bottom w:val="single" w:sz="4" w:space="0" w:color="auto"/>
            </w:tcBorders>
            <w:shd w:val="clear" w:color="auto" w:fill="9BBB59"/>
          </w:tcPr>
          <w:p w:rsidR="00892168" w:rsidRPr="007D17C5" w:rsidRDefault="00892168" w:rsidP="001F7B48">
            <w:pPr>
              <w:spacing w:before="0"/>
              <w:ind w:left="0"/>
              <w:jc w:val="center"/>
              <w:rPr>
                <w:rFonts w:eastAsia="Calibri" w:cs="Arial"/>
                <w:b/>
                <w:color w:val="FFFFFF" w:themeColor="background1"/>
                <w:sz w:val="18"/>
                <w:szCs w:val="18"/>
                <w:lang w:eastAsia="en-US"/>
              </w:rPr>
            </w:pPr>
            <w:r w:rsidRPr="007D17C5">
              <w:rPr>
                <w:rFonts w:eastAsia="Calibri" w:cs="Arial"/>
                <w:b/>
                <w:color w:val="FFFFFF" w:themeColor="background1"/>
                <w:sz w:val="18"/>
                <w:szCs w:val="18"/>
                <w:lang w:eastAsia="en-US"/>
              </w:rPr>
              <w:t>Survey 2011</w:t>
            </w:r>
          </w:p>
          <w:p w:rsidR="00892168" w:rsidRPr="007D17C5" w:rsidRDefault="00892168" w:rsidP="001F7B48">
            <w:pPr>
              <w:spacing w:before="0"/>
              <w:ind w:left="0"/>
              <w:jc w:val="center"/>
              <w:rPr>
                <w:rFonts w:eastAsia="Calibri" w:cs="Arial"/>
                <w:b/>
                <w:color w:val="FFFFFF" w:themeColor="background1"/>
                <w:sz w:val="18"/>
                <w:szCs w:val="18"/>
                <w:lang w:eastAsia="en-US"/>
              </w:rPr>
            </w:pPr>
            <w:r w:rsidRPr="007D17C5">
              <w:rPr>
                <w:rFonts w:eastAsia="Calibri" w:cs="Arial"/>
                <w:b/>
                <w:color w:val="FFFFFF" w:themeColor="background1"/>
                <w:sz w:val="18"/>
                <w:szCs w:val="18"/>
                <w:lang w:eastAsia="en-US"/>
              </w:rPr>
              <w:t>(%)</w:t>
            </w:r>
          </w:p>
        </w:tc>
      </w:tr>
      <w:tr w:rsidR="00892168" w:rsidRPr="00C95C03">
        <w:trPr>
          <w:trHeight w:val="270"/>
        </w:trPr>
        <w:tc>
          <w:tcPr>
            <w:tcW w:w="2552" w:type="dxa"/>
            <w:vMerge w:val="restart"/>
            <w:tcBorders>
              <w:bottom w:val="dotted" w:sz="4" w:space="0" w:color="auto"/>
            </w:tcBorders>
            <w:shd w:val="clear" w:color="auto" w:fill="auto"/>
            <w:noWrap/>
            <w:vAlign w:val="center"/>
          </w:tcPr>
          <w:p w:rsidR="00892168" w:rsidRPr="00C95C03" w:rsidRDefault="00892168" w:rsidP="001F7B48">
            <w:pPr>
              <w:spacing w:before="0"/>
              <w:ind w:left="0"/>
              <w:rPr>
                <w:rFonts w:cs="Arial"/>
                <w:sz w:val="18"/>
                <w:szCs w:val="18"/>
                <w:lang w:eastAsia="en-US"/>
              </w:rPr>
            </w:pPr>
            <w:r>
              <w:rPr>
                <w:rFonts w:cs="Arial"/>
                <w:sz w:val="18"/>
                <w:szCs w:val="18"/>
                <w:lang w:eastAsia="en-US"/>
              </w:rPr>
              <w:t>Recontact samples</w:t>
            </w:r>
          </w:p>
        </w:tc>
        <w:tc>
          <w:tcPr>
            <w:tcW w:w="2054" w:type="dxa"/>
            <w:tcBorders>
              <w:bottom w:val="dotted" w:sz="4" w:space="0" w:color="auto"/>
            </w:tcBorders>
            <w:shd w:val="clear" w:color="auto" w:fill="FFFFFF"/>
            <w:vAlign w:val="center"/>
          </w:tcPr>
          <w:p w:rsidR="00892168" w:rsidRPr="00C95C03" w:rsidRDefault="00892168" w:rsidP="001F7B48">
            <w:pPr>
              <w:spacing w:before="0"/>
              <w:ind w:left="0"/>
              <w:rPr>
                <w:rFonts w:cs="Arial"/>
                <w:bCs/>
                <w:sz w:val="18"/>
                <w:szCs w:val="18"/>
                <w:lang w:eastAsia="en-US"/>
              </w:rPr>
            </w:pPr>
            <w:r>
              <w:rPr>
                <w:rFonts w:cs="Arial"/>
                <w:bCs/>
                <w:sz w:val="18"/>
                <w:szCs w:val="18"/>
                <w:lang w:eastAsia="en-US"/>
              </w:rPr>
              <w:t xml:space="preserve">Main sample  </w:t>
            </w:r>
          </w:p>
        </w:tc>
        <w:tc>
          <w:tcPr>
            <w:tcW w:w="1914" w:type="dxa"/>
            <w:tcBorders>
              <w:bottom w:val="dotted" w:sz="4" w:space="0" w:color="auto"/>
            </w:tcBorders>
            <w:shd w:val="clear" w:color="auto" w:fill="FFFFFF"/>
            <w:vAlign w:val="center"/>
          </w:tcPr>
          <w:p w:rsidR="00892168" w:rsidRPr="00C95C03" w:rsidRDefault="00892168" w:rsidP="001F7B48">
            <w:pPr>
              <w:spacing w:before="0"/>
              <w:ind w:left="0"/>
              <w:jc w:val="center"/>
              <w:rPr>
                <w:rFonts w:cs="Arial"/>
                <w:bCs/>
                <w:sz w:val="18"/>
                <w:szCs w:val="18"/>
                <w:lang w:eastAsia="en-US"/>
              </w:rPr>
            </w:pPr>
            <w:r>
              <w:rPr>
                <w:rFonts w:cs="Arial"/>
                <w:bCs/>
                <w:sz w:val="18"/>
                <w:szCs w:val="18"/>
                <w:lang w:eastAsia="en-US"/>
              </w:rPr>
              <w:t xml:space="preserve">58.1 </w:t>
            </w:r>
          </w:p>
        </w:tc>
        <w:tc>
          <w:tcPr>
            <w:tcW w:w="1914" w:type="dxa"/>
            <w:tcBorders>
              <w:bottom w:val="dotted" w:sz="4" w:space="0" w:color="auto"/>
            </w:tcBorders>
            <w:shd w:val="clear" w:color="auto" w:fill="FFFFFF"/>
          </w:tcPr>
          <w:p w:rsidR="00892168" w:rsidRPr="00C95C03" w:rsidRDefault="009D6A6F" w:rsidP="001F7B48">
            <w:pPr>
              <w:spacing w:before="0"/>
              <w:ind w:left="0"/>
              <w:jc w:val="center"/>
              <w:rPr>
                <w:rFonts w:cs="Arial"/>
                <w:bCs/>
                <w:sz w:val="18"/>
                <w:szCs w:val="18"/>
                <w:lang w:eastAsia="en-US"/>
              </w:rPr>
            </w:pPr>
            <w:r>
              <w:rPr>
                <w:rFonts w:cs="Arial"/>
                <w:bCs/>
                <w:sz w:val="18"/>
                <w:szCs w:val="18"/>
                <w:lang w:eastAsia="en-US"/>
              </w:rPr>
              <w:t>–</w:t>
            </w:r>
          </w:p>
        </w:tc>
      </w:tr>
      <w:tr w:rsidR="00892168" w:rsidRPr="00C95C03">
        <w:trPr>
          <w:trHeight w:val="270"/>
        </w:trPr>
        <w:tc>
          <w:tcPr>
            <w:tcW w:w="2552" w:type="dxa"/>
            <w:vMerge/>
            <w:tcBorders>
              <w:top w:val="dotted" w:sz="4" w:space="0" w:color="auto"/>
              <w:bottom w:val="dotted" w:sz="4" w:space="0" w:color="auto"/>
            </w:tcBorders>
            <w:shd w:val="clear" w:color="auto" w:fill="auto"/>
            <w:noWrap/>
            <w:vAlign w:val="center"/>
          </w:tcPr>
          <w:p w:rsidR="00892168" w:rsidRPr="00C95C03" w:rsidRDefault="00892168" w:rsidP="001F7B48">
            <w:pPr>
              <w:spacing w:before="0"/>
              <w:ind w:left="0"/>
              <w:rPr>
                <w:rFonts w:cs="Arial"/>
                <w:sz w:val="18"/>
                <w:szCs w:val="18"/>
                <w:lang w:eastAsia="en-US"/>
              </w:rPr>
            </w:pPr>
          </w:p>
        </w:tc>
        <w:tc>
          <w:tcPr>
            <w:tcW w:w="2054" w:type="dxa"/>
            <w:tcBorders>
              <w:top w:val="dotted" w:sz="4" w:space="0" w:color="auto"/>
              <w:bottom w:val="dotted" w:sz="4" w:space="0" w:color="auto"/>
            </w:tcBorders>
            <w:shd w:val="clear" w:color="auto" w:fill="FFFFFF"/>
            <w:vAlign w:val="center"/>
          </w:tcPr>
          <w:p w:rsidR="00892168" w:rsidRPr="00C95C03" w:rsidRDefault="00892168" w:rsidP="001F7B48">
            <w:pPr>
              <w:spacing w:before="0"/>
              <w:ind w:left="0"/>
              <w:rPr>
                <w:rFonts w:cs="Arial"/>
                <w:bCs/>
                <w:sz w:val="18"/>
                <w:szCs w:val="18"/>
                <w:lang w:eastAsia="en-US"/>
              </w:rPr>
            </w:pPr>
            <w:r>
              <w:rPr>
                <w:rFonts w:cs="Arial"/>
                <w:bCs/>
                <w:sz w:val="18"/>
                <w:szCs w:val="18"/>
                <w:lang w:eastAsia="en-US"/>
              </w:rPr>
              <w:t xml:space="preserve">Booster sample </w:t>
            </w:r>
          </w:p>
        </w:tc>
        <w:tc>
          <w:tcPr>
            <w:tcW w:w="1914" w:type="dxa"/>
            <w:tcBorders>
              <w:top w:val="dotted" w:sz="4" w:space="0" w:color="auto"/>
              <w:bottom w:val="dotted" w:sz="4" w:space="0" w:color="auto"/>
            </w:tcBorders>
            <w:shd w:val="clear" w:color="auto" w:fill="FFFFFF"/>
            <w:vAlign w:val="center"/>
          </w:tcPr>
          <w:p w:rsidR="00892168" w:rsidRPr="00C95C03" w:rsidRDefault="00892168" w:rsidP="001F7B48">
            <w:pPr>
              <w:spacing w:before="0"/>
              <w:ind w:left="0"/>
              <w:jc w:val="center"/>
              <w:rPr>
                <w:rFonts w:cs="Arial"/>
                <w:bCs/>
                <w:sz w:val="18"/>
                <w:szCs w:val="18"/>
                <w:lang w:eastAsia="en-US"/>
              </w:rPr>
            </w:pPr>
            <w:r>
              <w:rPr>
                <w:rFonts w:cs="Arial"/>
                <w:bCs/>
                <w:sz w:val="18"/>
                <w:szCs w:val="18"/>
                <w:lang w:eastAsia="en-US"/>
              </w:rPr>
              <w:t>47.3</w:t>
            </w:r>
          </w:p>
        </w:tc>
        <w:tc>
          <w:tcPr>
            <w:tcW w:w="1914" w:type="dxa"/>
            <w:tcBorders>
              <w:top w:val="dotted" w:sz="4" w:space="0" w:color="auto"/>
              <w:bottom w:val="dotted" w:sz="4" w:space="0" w:color="auto"/>
            </w:tcBorders>
            <w:shd w:val="clear" w:color="auto" w:fill="FFFFFF"/>
          </w:tcPr>
          <w:p w:rsidR="00892168" w:rsidRPr="00C95C03" w:rsidRDefault="009D6A6F" w:rsidP="001F7B48">
            <w:pPr>
              <w:spacing w:before="0"/>
              <w:ind w:left="0"/>
              <w:jc w:val="center"/>
              <w:rPr>
                <w:rFonts w:cs="Arial"/>
                <w:bCs/>
                <w:sz w:val="18"/>
                <w:szCs w:val="18"/>
                <w:lang w:eastAsia="en-US"/>
              </w:rPr>
            </w:pPr>
            <w:r>
              <w:rPr>
                <w:rFonts w:cs="Arial"/>
                <w:bCs/>
                <w:sz w:val="18"/>
                <w:szCs w:val="18"/>
                <w:lang w:eastAsia="en-US"/>
              </w:rPr>
              <w:t>–</w:t>
            </w:r>
          </w:p>
        </w:tc>
      </w:tr>
      <w:tr w:rsidR="00892168" w:rsidRPr="00664B3A">
        <w:trPr>
          <w:trHeight w:val="270"/>
        </w:trPr>
        <w:tc>
          <w:tcPr>
            <w:tcW w:w="2552" w:type="dxa"/>
            <w:vMerge w:val="restart"/>
            <w:tcBorders>
              <w:top w:val="dotted" w:sz="4" w:space="0" w:color="auto"/>
              <w:bottom w:val="dotted" w:sz="4" w:space="0" w:color="auto"/>
            </w:tcBorders>
            <w:shd w:val="clear" w:color="auto" w:fill="auto"/>
            <w:noWrap/>
            <w:vAlign w:val="center"/>
          </w:tcPr>
          <w:p w:rsidR="00892168" w:rsidRPr="00C95C03" w:rsidRDefault="00892168" w:rsidP="001F7B48">
            <w:pPr>
              <w:spacing w:before="0"/>
              <w:ind w:left="0"/>
              <w:rPr>
                <w:rFonts w:cs="Arial"/>
                <w:sz w:val="18"/>
                <w:szCs w:val="18"/>
                <w:lang w:eastAsia="en-US"/>
              </w:rPr>
            </w:pPr>
            <w:r w:rsidRPr="00664B3A">
              <w:rPr>
                <w:rFonts w:cs="Arial"/>
                <w:sz w:val="18"/>
                <w:szCs w:val="18"/>
                <w:lang w:eastAsia="en-US"/>
              </w:rPr>
              <w:t>Randomly selected sample</w:t>
            </w:r>
            <w:r>
              <w:rPr>
                <w:rFonts w:cs="Arial"/>
                <w:sz w:val="18"/>
                <w:szCs w:val="18"/>
                <w:lang w:eastAsia="en-US"/>
              </w:rPr>
              <w:t>s</w:t>
            </w:r>
          </w:p>
        </w:tc>
        <w:tc>
          <w:tcPr>
            <w:tcW w:w="2054" w:type="dxa"/>
            <w:tcBorders>
              <w:top w:val="dotted" w:sz="4" w:space="0" w:color="auto"/>
              <w:bottom w:val="dotted" w:sz="4" w:space="0" w:color="auto"/>
            </w:tcBorders>
            <w:shd w:val="clear" w:color="auto" w:fill="FFFFFF"/>
            <w:vAlign w:val="center"/>
          </w:tcPr>
          <w:p w:rsidR="00892168" w:rsidRPr="00C95C03" w:rsidRDefault="00892168" w:rsidP="001F7B48">
            <w:pPr>
              <w:spacing w:before="0"/>
              <w:ind w:left="0"/>
              <w:rPr>
                <w:rFonts w:cs="Arial"/>
                <w:bCs/>
                <w:sz w:val="18"/>
                <w:szCs w:val="18"/>
                <w:lang w:eastAsia="en-US"/>
              </w:rPr>
            </w:pPr>
            <w:r>
              <w:rPr>
                <w:rFonts w:cs="Arial"/>
                <w:bCs/>
                <w:sz w:val="18"/>
                <w:szCs w:val="18"/>
                <w:lang w:eastAsia="en-US"/>
              </w:rPr>
              <w:t xml:space="preserve">Main sample  </w:t>
            </w:r>
          </w:p>
        </w:tc>
        <w:tc>
          <w:tcPr>
            <w:tcW w:w="1914" w:type="dxa"/>
            <w:tcBorders>
              <w:top w:val="dotted" w:sz="4" w:space="0" w:color="auto"/>
              <w:bottom w:val="dotted" w:sz="4" w:space="0" w:color="auto"/>
            </w:tcBorders>
            <w:shd w:val="clear" w:color="auto" w:fill="FFFFFF"/>
            <w:vAlign w:val="center"/>
          </w:tcPr>
          <w:p w:rsidR="00892168" w:rsidRPr="00664B3A" w:rsidRDefault="00892168" w:rsidP="001F7B48">
            <w:pPr>
              <w:spacing w:before="0"/>
              <w:ind w:left="0"/>
              <w:jc w:val="center"/>
              <w:rPr>
                <w:rFonts w:cs="Arial"/>
                <w:bCs/>
                <w:sz w:val="18"/>
                <w:szCs w:val="18"/>
                <w:lang w:eastAsia="en-US"/>
              </w:rPr>
            </w:pPr>
            <w:r>
              <w:rPr>
                <w:rFonts w:cs="Arial"/>
                <w:bCs/>
                <w:sz w:val="18"/>
                <w:szCs w:val="18"/>
                <w:lang w:eastAsia="en-US"/>
              </w:rPr>
              <w:t>32.0</w:t>
            </w:r>
          </w:p>
        </w:tc>
        <w:tc>
          <w:tcPr>
            <w:tcW w:w="1914" w:type="dxa"/>
            <w:tcBorders>
              <w:top w:val="dotted" w:sz="4" w:space="0" w:color="auto"/>
              <w:bottom w:val="dotted" w:sz="4" w:space="0" w:color="auto"/>
            </w:tcBorders>
            <w:shd w:val="clear" w:color="auto" w:fill="FFFFFF"/>
          </w:tcPr>
          <w:p w:rsidR="00892168" w:rsidRPr="00664B3A" w:rsidRDefault="00892168" w:rsidP="001F7B48">
            <w:pPr>
              <w:spacing w:before="0"/>
              <w:ind w:left="0"/>
              <w:jc w:val="center"/>
              <w:rPr>
                <w:rFonts w:cs="Arial"/>
                <w:bCs/>
                <w:sz w:val="18"/>
                <w:szCs w:val="18"/>
                <w:lang w:eastAsia="en-US"/>
              </w:rPr>
            </w:pPr>
            <w:r>
              <w:rPr>
                <w:rFonts w:cs="Arial"/>
                <w:bCs/>
                <w:sz w:val="18"/>
                <w:szCs w:val="18"/>
                <w:lang w:eastAsia="en-US"/>
              </w:rPr>
              <w:t>22.4</w:t>
            </w:r>
          </w:p>
        </w:tc>
      </w:tr>
      <w:tr w:rsidR="00892168" w:rsidRPr="00C95C03">
        <w:trPr>
          <w:trHeight w:val="270"/>
        </w:trPr>
        <w:tc>
          <w:tcPr>
            <w:tcW w:w="2552" w:type="dxa"/>
            <w:vMerge/>
            <w:tcBorders>
              <w:top w:val="dotted" w:sz="4" w:space="0" w:color="auto"/>
            </w:tcBorders>
            <w:shd w:val="clear" w:color="auto" w:fill="auto"/>
            <w:noWrap/>
            <w:vAlign w:val="center"/>
          </w:tcPr>
          <w:p w:rsidR="00892168" w:rsidRPr="00C95C03" w:rsidRDefault="00892168" w:rsidP="001F7B48">
            <w:pPr>
              <w:spacing w:before="0"/>
              <w:ind w:left="0"/>
              <w:rPr>
                <w:rFonts w:cs="Arial"/>
                <w:sz w:val="18"/>
                <w:szCs w:val="18"/>
                <w:lang w:eastAsia="en-US"/>
              </w:rPr>
            </w:pPr>
          </w:p>
        </w:tc>
        <w:tc>
          <w:tcPr>
            <w:tcW w:w="2054" w:type="dxa"/>
            <w:tcBorders>
              <w:top w:val="dotted" w:sz="4" w:space="0" w:color="auto"/>
            </w:tcBorders>
            <w:shd w:val="clear" w:color="auto" w:fill="FFFFFF"/>
            <w:vAlign w:val="center"/>
          </w:tcPr>
          <w:p w:rsidR="00892168" w:rsidRPr="00C95C03" w:rsidRDefault="00892168" w:rsidP="001F7B48">
            <w:pPr>
              <w:spacing w:before="0"/>
              <w:ind w:left="0"/>
              <w:rPr>
                <w:rFonts w:cs="Arial"/>
                <w:bCs/>
                <w:sz w:val="18"/>
                <w:szCs w:val="18"/>
                <w:lang w:eastAsia="en-US"/>
              </w:rPr>
            </w:pPr>
            <w:r>
              <w:rPr>
                <w:rFonts w:cs="Arial"/>
                <w:bCs/>
                <w:sz w:val="18"/>
                <w:szCs w:val="18"/>
                <w:lang w:eastAsia="en-US"/>
              </w:rPr>
              <w:t xml:space="preserve">Booster sample </w:t>
            </w:r>
          </w:p>
        </w:tc>
        <w:tc>
          <w:tcPr>
            <w:tcW w:w="1914" w:type="dxa"/>
            <w:tcBorders>
              <w:top w:val="dotted" w:sz="4" w:space="0" w:color="auto"/>
            </w:tcBorders>
            <w:shd w:val="clear" w:color="auto" w:fill="FFFFFF"/>
            <w:vAlign w:val="center"/>
          </w:tcPr>
          <w:p w:rsidR="00892168" w:rsidRPr="00C95C03" w:rsidRDefault="00892168" w:rsidP="001F7B48">
            <w:pPr>
              <w:spacing w:before="0"/>
              <w:ind w:left="0"/>
              <w:jc w:val="center"/>
              <w:rPr>
                <w:rFonts w:cs="Arial"/>
                <w:bCs/>
                <w:sz w:val="18"/>
                <w:szCs w:val="18"/>
                <w:lang w:eastAsia="en-US"/>
              </w:rPr>
            </w:pPr>
            <w:r>
              <w:rPr>
                <w:rFonts w:cs="Arial"/>
                <w:bCs/>
                <w:sz w:val="18"/>
                <w:szCs w:val="18"/>
                <w:lang w:eastAsia="en-US"/>
              </w:rPr>
              <w:t>10.1</w:t>
            </w:r>
          </w:p>
        </w:tc>
        <w:tc>
          <w:tcPr>
            <w:tcW w:w="1914" w:type="dxa"/>
            <w:tcBorders>
              <w:top w:val="dotted" w:sz="4" w:space="0" w:color="auto"/>
            </w:tcBorders>
            <w:shd w:val="clear" w:color="auto" w:fill="FFFFFF"/>
          </w:tcPr>
          <w:p w:rsidR="00892168" w:rsidRPr="00C95C03" w:rsidRDefault="00892168" w:rsidP="001F7B48">
            <w:pPr>
              <w:spacing w:before="0"/>
              <w:ind w:left="0"/>
              <w:jc w:val="center"/>
              <w:rPr>
                <w:rFonts w:cs="Arial"/>
                <w:bCs/>
                <w:sz w:val="18"/>
                <w:szCs w:val="18"/>
                <w:lang w:eastAsia="en-US"/>
              </w:rPr>
            </w:pPr>
            <w:r>
              <w:rPr>
                <w:rFonts w:cs="Arial"/>
                <w:bCs/>
                <w:sz w:val="18"/>
                <w:szCs w:val="18"/>
                <w:lang w:eastAsia="en-US"/>
              </w:rPr>
              <w:t>6.6</w:t>
            </w:r>
          </w:p>
        </w:tc>
      </w:tr>
    </w:tbl>
    <w:p w:rsidR="00892168" w:rsidRDefault="00892168" w:rsidP="00892168">
      <w:r w:rsidRPr="000526DE">
        <w:t>Survey weights were applied to the data to ensure population sub-groups are represented in the correct proportions in the survey results.</w:t>
      </w:r>
      <w:r w:rsidRPr="00C95C03">
        <w:t xml:space="preserve"> </w:t>
      </w:r>
      <w:r>
        <w:t xml:space="preserve"> </w:t>
      </w:r>
    </w:p>
    <w:p w:rsidR="00892168" w:rsidRDefault="00892168" w:rsidP="00892168">
      <w:r w:rsidRPr="004D1220">
        <w:rPr>
          <w:rFonts w:eastAsia="Arial"/>
          <w:lang w:eastAsia="ar-SA"/>
        </w:rPr>
        <w:t xml:space="preserve">Differences between percentages </w:t>
      </w:r>
      <w:r>
        <w:rPr>
          <w:rFonts w:eastAsia="Arial"/>
          <w:lang w:eastAsia="ar-SA"/>
        </w:rPr>
        <w:t>in the</w:t>
      </w:r>
      <w:r w:rsidRPr="00C95C03">
        <w:t xml:space="preserve"> </w:t>
      </w:r>
      <w:r>
        <w:t xml:space="preserve">2011 and 2013 </w:t>
      </w:r>
      <w:r w:rsidRPr="00C95C03">
        <w:t xml:space="preserve">WDHB surveys </w:t>
      </w:r>
      <w:r w:rsidRPr="004D1220">
        <w:rPr>
          <w:rFonts w:eastAsia="Arial"/>
          <w:lang w:eastAsia="ar-SA"/>
        </w:rPr>
        <w:t>were tested at the</w:t>
      </w:r>
      <w:r>
        <w:rPr>
          <w:rFonts w:eastAsia="Arial"/>
          <w:lang w:eastAsia="ar-SA"/>
        </w:rPr>
        <w:t xml:space="preserve"> 95% confidence level using a </w:t>
      </w:r>
      <w:r w:rsidRPr="009D6A6F">
        <w:rPr>
          <w:rFonts w:eastAsia="Arial"/>
          <w:i/>
          <w:lang w:eastAsia="ar-SA"/>
        </w:rPr>
        <w:t>t</w:t>
      </w:r>
      <w:r>
        <w:rPr>
          <w:rFonts w:eastAsia="Arial"/>
          <w:lang w:eastAsia="ar-SA"/>
        </w:rPr>
        <w:t>-</w:t>
      </w:r>
      <w:r w:rsidRPr="004D1220">
        <w:rPr>
          <w:rFonts w:eastAsia="Arial"/>
          <w:lang w:eastAsia="ar-SA"/>
        </w:rPr>
        <w:t>test, adjusted using a conservative design effect for each survey</w:t>
      </w:r>
      <w:r w:rsidRPr="00697D47">
        <w:rPr>
          <w:rStyle w:val="FootnoteReference"/>
          <w:rFonts w:eastAsia="Arial"/>
        </w:rPr>
        <w:footnoteReference w:id="22"/>
      </w:r>
      <w:r w:rsidRPr="004D1220">
        <w:rPr>
          <w:rFonts w:eastAsia="Arial"/>
          <w:lang w:eastAsia="ar-SA"/>
        </w:rPr>
        <w:t xml:space="preserve"> and allowing for the average correlation in the recontacted sample used in Kish’s weighting approach</w:t>
      </w:r>
      <w:r>
        <w:rPr>
          <w:rFonts w:eastAsia="Arial"/>
          <w:lang w:eastAsia="ar-SA"/>
        </w:rPr>
        <w:t xml:space="preserve"> (Kish 1965)</w:t>
      </w:r>
      <w:r w:rsidRPr="004D1220">
        <w:rPr>
          <w:rFonts w:eastAsia="Arial"/>
          <w:lang w:eastAsia="ar-SA"/>
        </w:rPr>
        <w:t xml:space="preserve">. </w:t>
      </w:r>
      <w:r>
        <w:rPr>
          <w:rFonts w:eastAsia="Arial"/>
          <w:lang w:eastAsia="ar-SA"/>
        </w:rPr>
        <w:t>Only statistically significant d</w:t>
      </w:r>
      <w:r w:rsidRPr="00C95C03">
        <w:t xml:space="preserve">ifferences between the two surveys are noted </w:t>
      </w:r>
      <w:r>
        <w:t xml:space="preserve">in the report. </w:t>
      </w:r>
    </w:p>
    <w:p w:rsidR="00892168" w:rsidRDefault="00892168" w:rsidP="00892168">
      <w:r w:rsidRPr="006106F6">
        <w:rPr>
          <w:lang w:eastAsia="ar-SA"/>
        </w:rPr>
        <w:t>Information</w:t>
      </w:r>
      <w:r w:rsidRPr="006106F6">
        <w:rPr>
          <w:rFonts w:eastAsia="Arial"/>
          <w:lang w:eastAsia="ar-SA"/>
        </w:rPr>
        <w:t xml:space="preserve"> </w:t>
      </w:r>
      <w:r w:rsidRPr="006106F6">
        <w:rPr>
          <w:lang w:eastAsia="ar-SA"/>
        </w:rPr>
        <w:t>is</w:t>
      </w:r>
      <w:r w:rsidRPr="006106F6">
        <w:rPr>
          <w:rFonts w:eastAsia="Arial"/>
          <w:lang w:eastAsia="ar-SA"/>
        </w:rPr>
        <w:t xml:space="preserve"> </w:t>
      </w:r>
      <w:r w:rsidRPr="006106F6">
        <w:rPr>
          <w:lang w:eastAsia="ar-SA"/>
        </w:rPr>
        <w:t>reported</w:t>
      </w:r>
      <w:r w:rsidRPr="006106F6">
        <w:rPr>
          <w:rFonts w:eastAsia="Arial"/>
          <w:lang w:eastAsia="ar-SA"/>
        </w:rPr>
        <w:t xml:space="preserve"> </w:t>
      </w:r>
      <w:r w:rsidRPr="006106F6">
        <w:rPr>
          <w:lang w:eastAsia="ar-SA"/>
        </w:rPr>
        <w:t>for</w:t>
      </w:r>
      <w:r w:rsidRPr="006106F6">
        <w:rPr>
          <w:rFonts w:eastAsia="Arial"/>
          <w:lang w:eastAsia="ar-SA"/>
        </w:rPr>
        <w:t xml:space="preserve"> </w:t>
      </w:r>
      <w:r w:rsidRPr="006106F6">
        <w:rPr>
          <w:lang w:eastAsia="ar-SA"/>
        </w:rPr>
        <w:t>key</w:t>
      </w:r>
      <w:r w:rsidRPr="006106F6">
        <w:rPr>
          <w:rFonts w:eastAsia="Arial"/>
          <w:lang w:eastAsia="ar-SA"/>
        </w:rPr>
        <w:t xml:space="preserve"> </w:t>
      </w:r>
      <w:r w:rsidRPr="006106F6">
        <w:rPr>
          <w:lang w:eastAsia="ar-SA"/>
        </w:rPr>
        <w:t>sub-groups</w:t>
      </w:r>
      <w:r w:rsidRPr="006106F6">
        <w:rPr>
          <w:rFonts w:eastAsia="Arial"/>
          <w:lang w:eastAsia="ar-SA"/>
        </w:rPr>
        <w:t xml:space="preserve"> </w:t>
      </w:r>
      <w:r w:rsidRPr="006106F6">
        <w:rPr>
          <w:lang w:eastAsia="ar-SA"/>
        </w:rPr>
        <w:t>(e.g.</w:t>
      </w:r>
      <w:r w:rsidRPr="006106F6">
        <w:rPr>
          <w:rFonts w:eastAsia="Arial"/>
          <w:lang w:eastAsia="ar-SA"/>
        </w:rPr>
        <w:t xml:space="preserve"> </w:t>
      </w:r>
      <w:r w:rsidRPr="006106F6">
        <w:rPr>
          <w:lang w:eastAsia="ar-SA"/>
        </w:rPr>
        <w:t>ethnicity,</w:t>
      </w:r>
      <w:r w:rsidRPr="006106F6">
        <w:rPr>
          <w:rFonts w:eastAsia="Arial"/>
          <w:lang w:eastAsia="ar-SA"/>
        </w:rPr>
        <w:t xml:space="preserve"> </w:t>
      </w:r>
      <w:r w:rsidRPr="006106F6">
        <w:rPr>
          <w:lang w:eastAsia="ar-SA"/>
        </w:rPr>
        <w:t>age</w:t>
      </w:r>
      <w:r w:rsidRPr="006106F6">
        <w:rPr>
          <w:rFonts w:eastAsia="Arial"/>
          <w:lang w:eastAsia="ar-SA"/>
        </w:rPr>
        <w:t xml:space="preserve"> </w:t>
      </w:r>
      <w:r w:rsidRPr="006106F6">
        <w:rPr>
          <w:lang w:eastAsia="ar-SA"/>
        </w:rPr>
        <w:t>group,</w:t>
      </w:r>
      <w:r w:rsidRPr="006106F6">
        <w:rPr>
          <w:rFonts w:eastAsia="Arial"/>
          <w:lang w:eastAsia="ar-SA"/>
        </w:rPr>
        <w:t xml:space="preserve"> </w:t>
      </w:r>
      <w:r w:rsidRPr="006106F6">
        <w:rPr>
          <w:lang w:eastAsia="ar-SA"/>
        </w:rPr>
        <w:t xml:space="preserve">gender, </w:t>
      </w:r>
      <w:r>
        <w:rPr>
          <w:lang w:eastAsia="ar-SA"/>
        </w:rPr>
        <w:t xml:space="preserve">and </w:t>
      </w:r>
      <w:r w:rsidRPr="006106F6">
        <w:rPr>
          <w:lang w:eastAsia="ar-SA"/>
        </w:rPr>
        <w:t>household income)</w:t>
      </w:r>
      <w:r w:rsidRPr="006106F6">
        <w:rPr>
          <w:rFonts w:eastAsia="Arial"/>
          <w:lang w:eastAsia="ar-SA"/>
        </w:rPr>
        <w:t xml:space="preserve"> </w:t>
      </w:r>
      <w:r w:rsidRPr="006106F6">
        <w:rPr>
          <w:lang w:eastAsia="ar-SA"/>
        </w:rPr>
        <w:t>where</w:t>
      </w:r>
      <w:r w:rsidRPr="006106F6">
        <w:rPr>
          <w:rFonts w:eastAsia="Arial"/>
          <w:lang w:eastAsia="ar-SA"/>
        </w:rPr>
        <w:t xml:space="preserve"> </w:t>
      </w:r>
      <w:r w:rsidRPr="006106F6">
        <w:rPr>
          <w:lang w:eastAsia="ar-SA"/>
        </w:rPr>
        <w:t>differences</w:t>
      </w:r>
      <w:r w:rsidRPr="006106F6">
        <w:rPr>
          <w:rFonts w:eastAsia="Arial"/>
          <w:lang w:eastAsia="ar-SA"/>
        </w:rPr>
        <w:t xml:space="preserve"> within</w:t>
      </w:r>
      <w:r w:rsidRPr="00C95C03">
        <w:rPr>
          <w:rFonts w:eastAsia="Arial"/>
          <w:lang w:eastAsia="ar-SA"/>
        </w:rPr>
        <w:t xml:space="preserve"> </w:t>
      </w:r>
      <w:r w:rsidRPr="00C95C03">
        <w:rPr>
          <w:lang w:eastAsia="ar-SA"/>
        </w:rPr>
        <w:t>groups</w:t>
      </w:r>
      <w:r w:rsidRPr="00C95C03">
        <w:rPr>
          <w:rFonts w:eastAsia="Arial"/>
          <w:lang w:eastAsia="ar-SA"/>
        </w:rPr>
        <w:t xml:space="preserve"> </w:t>
      </w:r>
      <w:r w:rsidRPr="00C95C03">
        <w:rPr>
          <w:lang w:eastAsia="ar-SA"/>
        </w:rPr>
        <w:t>are</w:t>
      </w:r>
      <w:r w:rsidRPr="00C95C03">
        <w:rPr>
          <w:rFonts w:eastAsia="Arial"/>
          <w:lang w:eastAsia="ar-SA"/>
        </w:rPr>
        <w:t xml:space="preserve"> statistically </w:t>
      </w:r>
      <w:r w:rsidRPr="00C95C03">
        <w:rPr>
          <w:lang w:eastAsia="ar-SA"/>
        </w:rPr>
        <w:t>significant.</w:t>
      </w:r>
    </w:p>
    <w:p w:rsidR="00892168" w:rsidRPr="005740D9" w:rsidRDefault="00892168" w:rsidP="00456366">
      <w:pPr>
        <w:keepNext/>
        <w:autoSpaceDE w:val="0"/>
        <w:autoSpaceDN w:val="0"/>
        <w:adjustRightInd w:val="0"/>
        <w:rPr>
          <w:b/>
        </w:rPr>
      </w:pPr>
      <w:r w:rsidRPr="00456366">
        <w:rPr>
          <w:b/>
        </w:rPr>
        <w:t xml:space="preserve">A qualitative report on the eligible population perspectives of the BSP </w:t>
      </w:r>
      <w:r w:rsidRPr="00456366">
        <w:t>(Litmus 2013)</w:t>
      </w:r>
      <w:r w:rsidRPr="005740D9">
        <w:rPr>
          <w:b/>
        </w:rPr>
        <w:t xml:space="preserve"> </w:t>
      </w:r>
    </w:p>
    <w:p w:rsidR="00892168" w:rsidRDefault="00892168" w:rsidP="00456366">
      <w:pPr>
        <w:keepNext/>
        <w:spacing w:before="120"/>
        <w:rPr>
          <w:lang w:eastAsia="ar-SA"/>
        </w:rPr>
      </w:pPr>
      <w:r w:rsidRPr="003E7D70">
        <w:rPr>
          <w:lang w:eastAsia="ar-SA"/>
        </w:rPr>
        <w:t xml:space="preserve">In 2012, qualitative research </w:t>
      </w:r>
      <w:r>
        <w:rPr>
          <w:lang w:eastAsia="ar-SA"/>
        </w:rPr>
        <w:t xml:space="preserve">was undertaken </w:t>
      </w:r>
      <w:r w:rsidRPr="003E7D70">
        <w:rPr>
          <w:lang w:eastAsia="ar-SA"/>
        </w:rPr>
        <w:t>with the eligible population to understand participants’ experience of the BSP screening pathway, and the factors that facilitated or impeded their progression</w:t>
      </w:r>
      <w:r>
        <w:rPr>
          <w:lang w:eastAsia="ar-SA"/>
        </w:rPr>
        <w:t xml:space="preserve">.  </w:t>
      </w:r>
    </w:p>
    <w:p w:rsidR="00892168" w:rsidRPr="003E7D70" w:rsidRDefault="00892168" w:rsidP="006179C7">
      <w:pPr>
        <w:numPr>
          <w:ilvl w:val="0"/>
          <w:numId w:val="7"/>
        </w:numPr>
        <w:autoSpaceDE w:val="0"/>
        <w:autoSpaceDN w:val="0"/>
        <w:adjustRightInd w:val="0"/>
        <w:spacing w:before="120"/>
        <w:ind w:left="1134" w:hanging="425"/>
        <w:rPr>
          <w:lang w:eastAsia="ar-SA"/>
        </w:rPr>
      </w:pPr>
      <w:r w:rsidRPr="003E7D70">
        <w:rPr>
          <w:lang w:eastAsia="ar-SA"/>
        </w:rPr>
        <w:t>12 face-to-face in</w:t>
      </w:r>
      <w:r>
        <w:rPr>
          <w:lang w:eastAsia="ar-SA"/>
        </w:rPr>
        <w:t>-</w:t>
      </w:r>
      <w:r w:rsidRPr="003E7D70">
        <w:rPr>
          <w:lang w:eastAsia="ar-SA"/>
        </w:rPr>
        <w:t xml:space="preserve">depth interviews were conducted with </w:t>
      </w:r>
      <w:r w:rsidRPr="00C81E96">
        <w:rPr>
          <w:lang w:eastAsia="ar-SA"/>
        </w:rPr>
        <w:t>purposively</w:t>
      </w:r>
      <w:r w:rsidR="008D1B4E">
        <w:rPr>
          <w:lang w:eastAsia="ar-SA"/>
        </w:rPr>
        <w:t xml:space="preserve"> </w:t>
      </w:r>
      <w:r w:rsidRPr="003E7D70">
        <w:rPr>
          <w:lang w:eastAsia="ar-SA"/>
        </w:rPr>
        <w:t>selected BSP participants covering different stages of the BSP screening pathway: four Māori, four Pacific and four Pākehā.  Interviews were conducted between 19 and 21 September 2012.</w:t>
      </w:r>
    </w:p>
    <w:p w:rsidR="00892168" w:rsidRDefault="00892168" w:rsidP="00E36046">
      <w:pPr>
        <w:rPr>
          <w:lang w:eastAsia="ar-SA"/>
        </w:rPr>
      </w:pPr>
      <w:r>
        <w:rPr>
          <w:lang w:eastAsia="ar-SA"/>
        </w:rPr>
        <w:t>In 2012, recognising that Pacific and M</w:t>
      </w:r>
      <w:r w:rsidRPr="003E7D70">
        <w:rPr>
          <w:lang w:eastAsia="ar-SA"/>
        </w:rPr>
        <w:t>ā</w:t>
      </w:r>
      <w:r>
        <w:rPr>
          <w:lang w:eastAsia="ar-SA"/>
        </w:rPr>
        <w:t>ori were potentially emerging as having lower participation rates, q</w:t>
      </w:r>
      <w:r w:rsidRPr="003E7D70">
        <w:rPr>
          <w:lang w:eastAsia="ar-SA"/>
        </w:rPr>
        <w:t xml:space="preserve">ualitative research </w:t>
      </w:r>
      <w:r>
        <w:rPr>
          <w:lang w:eastAsia="ar-SA"/>
        </w:rPr>
        <w:t xml:space="preserve">was undertaken </w:t>
      </w:r>
      <w:r w:rsidRPr="003E7D70">
        <w:rPr>
          <w:lang w:eastAsia="ar-SA"/>
        </w:rPr>
        <w:t xml:space="preserve">with non-responders in </w:t>
      </w:r>
      <w:r>
        <w:rPr>
          <w:lang w:eastAsia="ar-SA"/>
        </w:rPr>
        <w:t xml:space="preserve">the eligible </w:t>
      </w:r>
      <w:r w:rsidRPr="003E7D70">
        <w:rPr>
          <w:lang w:eastAsia="ar-SA"/>
        </w:rPr>
        <w:t xml:space="preserve">Pacific and Māori populations to explore their reasons and </w:t>
      </w:r>
      <w:r w:rsidR="005740D9">
        <w:rPr>
          <w:lang w:eastAsia="ar-SA"/>
        </w:rPr>
        <w:t xml:space="preserve">the </w:t>
      </w:r>
      <w:r w:rsidRPr="003E7D70">
        <w:rPr>
          <w:lang w:eastAsia="ar-SA"/>
        </w:rPr>
        <w:t>barriers for</w:t>
      </w:r>
      <w:r>
        <w:rPr>
          <w:lang w:eastAsia="ar-SA"/>
        </w:rPr>
        <w:t xml:space="preserve"> not taking part in the BSP.  </w:t>
      </w:r>
    </w:p>
    <w:p w:rsidR="00892168" w:rsidRPr="003E7D70" w:rsidRDefault="00892168" w:rsidP="006179C7">
      <w:pPr>
        <w:numPr>
          <w:ilvl w:val="0"/>
          <w:numId w:val="7"/>
        </w:numPr>
        <w:autoSpaceDE w:val="0"/>
        <w:autoSpaceDN w:val="0"/>
        <w:adjustRightInd w:val="0"/>
        <w:spacing w:before="120"/>
        <w:ind w:left="1134" w:hanging="425"/>
        <w:rPr>
          <w:lang w:eastAsia="ar-SA"/>
        </w:rPr>
      </w:pPr>
      <w:r w:rsidRPr="003E7D70">
        <w:rPr>
          <w:lang w:eastAsia="ar-SA"/>
        </w:rPr>
        <w:t xml:space="preserve">12 face-to-face interviews were undertaken with six Māori and six Pacific people who had received a pre-invitation, invitation and reminder letter between April </w:t>
      </w:r>
      <w:r>
        <w:rPr>
          <w:lang w:eastAsia="ar-SA"/>
        </w:rPr>
        <w:t>and</w:t>
      </w:r>
      <w:r w:rsidRPr="003E7D70">
        <w:rPr>
          <w:lang w:eastAsia="ar-SA"/>
        </w:rPr>
        <w:t xml:space="preserve"> September 2012, had not returned a completed kit and had not contacted the Coordination Centre to opt out of the BSP (non-responders).  Interviews were conducted between 3 and 7 December 2012.  </w:t>
      </w:r>
    </w:p>
    <w:p w:rsidR="00892168" w:rsidRPr="003E7D70" w:rsidRDefault="00892168" w:rsidP="00E36046">
      <w:pPr>
        <w:rPr>
          <w:lang w:eastAsia="ar-SA"/>
        </w:rPr>
      </w:pPr>
      <w:r w:rsidRPr="003E7D70">
        <w:rPr>
          <w:lang w:eastAsia="ar-SA"/>
        </w:rPr>
        <w:t xml:space="preserve">Both studies followed opt-out recruitment and informed consent procedures.  </w:t>
      </w:r>
      <w:r w:rsidR="002B3F34">
        <w:rPr>
          <w:lang w:eastAsia="ar-SA"/>
        </w:rPr>
        <w:t>M</w:t>
      </w:r>
      <w:r w:rsidR="002B3F34">
        <w:rPr>
          <w:rFonts w:cs="Arial"/>
          <w:lang w:eastAsia="ar-SA"/>
        </w:rPr>
        <w:t>ā</w:t>
      </w:r>
      <w:r w:rsidR="002B3F34">
        <w:rPr>
          <w:lang w:eastAsia="ar-SA"/>
        </w:rPr>
        <w:t>ori and Pacific r</w:t>
      </w:r>
      <w:r w:rsidRPr="003E7D70">
        <w:rPr>
          <w:lang w:eastAsia="ar-SA"/>
        </w:rPr>
        <w:t xml:space="preserve">esearchers </w:t>
      </w:r>
      <w:r w:rsidR="002B3F34">
        <w:rPr>
          <w:lang w:eastAsia="ar-SA"/>
        </w:rPr>
        <w:t>undertook interviews with M</w:t>
      </w:r>
      <w:r w:rsidR="002B3F34">
        <w:rPr>
          <w:rFonts w:cs="Arial"/>
          <w:lang w:eastAsia="ar-SA"/>
        </w:rPr>
        <w:t>ā</w:t>
      </w:r>
      <w:r w:rsidR="002B3F34">
        <w:rPr>
          <w:lang w:eastAsia="ar-SA"/>
        </w:rPr>
        <w:t xml:space="preserve">ori and Pacific </w:t>
      </w:r>
      <w:r w:rsidR="005740D9">
        <w:rPr>
          <w:lang w:eastAsia="ar-SA"/>
        </w:rPr>
        <w:t>participants</w:t>
      </w:r>
      <w:r w:rsidRPr="003E7D70">
        <w:rPr>
          <w:lang w:eastAsia="ar-SA"/>
        </w:rPr>
        <w:t xml:space="preserve">.  Participants were invited to bring a support person, and received a koha of $50. </w:t>
      </w:r>
    </w:p>
    <w:p w:rsidR="00892168" w:rsidRPr="00BE4D93" w:rsidRDefault="00B30D2D" w:rsidP="00456366">
      <w:pPr>
        <w:autoSpaceDE w:val="0"/>
        <w:autoSpaceDN w:val="0"/>
        <w:adjustRightInd w:val="0"/>
      </w:pPr>
      <w:r>
        <w:rPr>
          <w:b/>
        </w:rPr>
        <w:t>R</w:t>
      </w:r>
      <w:r w:rsidR="00892168">
        <w:rPr>
          <w:b/>
        </w:rPr>
        <w:t>eports on the b</w:t>
      </w:r>
      <w:r w:rsidR="00892168" w:rsidRPr="00741AE4">
        <w:rPr>
          <w:b/>
        </w:rPr>
        <w:t>aseline and repeat attitudes survey with providers</w:t>
      </w:r>
      <w:r w:rsidR="00456366">
        <w:t xml:space="preserve"> (Litmus 2012a, </w:t>
      </w:r>
      <w:r w:rsidR="00892168">
        <w:t xml:space="preserve">2014b).  </w:t>
      </w:r>
    </w:p>
    <w:p w:rsidR="00892168" w:rsidRDefault="00892168" w:rsidP="00456366">
      <w:pPr>
        <w:spacing w:before="120"/>
        <w:rPr>
          <w:lang w:eastAsia="ar-SA"/>
        </w:rPr>
      </w:pPr>
      <w:r w:rsidRPr="00A46B7F">
        <w:rPr>
          <w:lang w:eastAsia="ar-SA"/>
        </w:rPr>
        <w:t>The purpose of the survey</w:t>
      </w:r>
      <w:r>
        <w:rPr>
          <w:lang w:eastAsia="ar-SA"/>
        </w:rPr>
        <w:t>s</w:t>
      </w:r>
      <w:r w:rsidRPr="00A46B7F">
        <w:rPr>
          <w:lang w:eastAsia="ar-SA"/>
        </w:rPr>
        <w:t xml:space="preserve"> </w:t>
      </w:r>
      <w:r>
        <w:rPr>
          <w:lang w:eastAsia="ar-SA"/>
        </w:rPr>
        <w:t>was</w:t>
      </w:r>
      <w:r w:rsidRPr="00A46B7F">
        <w:rPr>
          <w:lang w:eastAsia="ar-SA"/>
        </w:rPr>
        <w:t xml:space="preserve"> to assess providers’</w:t>
      </w:r>
      <w:r w:rsidRPr="00697D47">
        <w:rPr>
          <w:rStyle w:val="FootnoteReference"/>
          <w:rFonts w:eastAsia="Arial"/>
        </w:rPr>
        <w:footnoteReference w:id="23"/>
      </w:r>
      <w:r w:rsidRPr="000F63D2">
        <w:rPr>
          <w:rStyle w:val="FootnoteReference"/>
          <w:rFonts w:eastAsia="Arial"/>
          <w:lang w:eastAsia="ar-SA"/>
        </w:rPr>
        <w:t xml:space="preserve"> </w:t>
      </w:r>
      <w:r w:rsidRPr="00A46B7F">
        <w:rPr>
          <w:lang w:eastAsia="ar-SA"/>
        </w:rPr>
        <w:t>awareness and knowledge of the BSP, attitudes towards the BSP and its delivery mechanisms, and perceived impact of the BSP on normal services. The survey</w:t>
      </w:r>
      <w:r>
        <w:rPr>
          <w:lang w:eastAsia="ar-SA"/>
        </w:rPr>
        <w:t>s</w:t>
      </w:r>
      <w:r w:rsidRPr="00A46B7F">
        <w:rPr>
          <w:lang w:eastAsia="ar-SA"/>
        </w:rPr>
        <w:t xml:space="preserve"> also aim</w:t>
      </w:r>
      <w:r>
        <w:rPr>
          <w:lang w:eastAsia="ar-SA"/>
        </w:rPr>
        <w:t>ed</w:t>
      </w:r>
      <w:r w:rsidRPr="00A46B7F">
        <w:rPr>
          <w:lang w:eastAsia="ar-SA"/>
        </w:rPr>
        <w:t xml:space="preserve"> to measure attitudes towards a possible national roll-out of a bowel screening programme. </w:t>
      </w:r>
    </w:p>
    <w:p w:rsidR="00892168" w:rsidRDefault="00892168" w:rsidP="00E36046">
      <w:r>
        <w:rPr>
          <w:lang w:eastAsia="ar-SA"/>
        </w:rPr>
        <w:t xml:space="preserve">A baseline online </w:t>
      </w:r>
      <w:r w:rsidRPr="00A46B7F">
        <w:rPr>
          <w:lang w:eastAsia="ar-SA"/>
        </w:rPr>
        <w:t>provider survey</w:t>
      </w:r>
      <w:r>
        <w:rPr>
          <w:lang w:eastAsia="ar-SA"/>
        </w:rPr>
        <w:t xml:space="preserve"> was undertaken </w:t>
      </w:r>
      <w:r w:rsidR="00B30D2D">
        <w:rPr>
          <w:lang w:eastAsia="ar-SA"/>
        </w:rPr>
        <w:t>between</w:t>
      </w:r>
      <w:r>
        <w:rPr>
          <w:lang w:eastAsia="ar-SA"/>
        </w:rPr>
        <w:t xml:space="preserve"> November 2011 </w:t>
      </w:r>
      <w:r w:rsidR="00B30D2D">
        <w:rPr>
          <w:lang w:eastAsia="ar-SA"/>
        </w:rPr>
        <w:t>and</w:t>
      </w:r>
      <w:r>
        <w:rPr>
          <w:lang w:eastAsia="ar-SA"/>
        </w:rPr>
        <w:t xml:space="preserve"> January 2012 before the </w:t>
      </w:r>
      <w:r w:rsidRPr="00A113D0">
        <w:rPr>
          <w:lang w:eastAsia="ar-SA"/>
        </w:rPr>
        <w:t>full implementation of the BSP</w:t>
      </w:r>
      <w:r>
        <w:rPr>
          <w:lang w:eastAsia="ar-SA"/>
        </w:rPr>
        <w:t xml:space="preserve"> in January 2012.  A</w:t>
      </w:r>
      <w:r w:rsidRPr="00A113D0">
        <w:rPr>
          <w:lang w:eastAsia="ar-SA"/>
        </w:rPr>
        <w:t xml:space="preserve"> total of 88 </w:t>
      </w:r>
      <w:r>
        <w:rPr>
          <w:lang w:eastAsia="ar-SA"/>
        </w:rPr>
        <w:t>GPs</w:t>
      </w:r>
      <w:r w:rsidRPr="00A113D0">
        <w:rPr>
          <w:lang w:eastAsia="ar-SA"/>
        </w:rPr>
        <w:t xml:space="preserve">, 88 practice nurses, eight other general practice staff, 21 endoscopy staff and 30 radiology staff took part in the survey. </w:t>
      </w:r>
      <w:r>
        <w:rPr>
          <w:lang w:eastAsia="ar-SA"/>
        </w:rPr>
        <w:t xml:space="preserve"> </w:t>
      </w:r>
      <w:r w:rsidRPr="00C95C03">
        <w:t xml:space="preserve">Response rates for each survey are shown in Table </w:t>
      </w:r>
      <w:r w:rsidR="00544745">
        <w:t>2</w:t>
      </w:r>
      <w:r w:rsidRPr="00C95C03">
        <w:t xml:space="preserve">. </w:t>
      </w:r>
    </w:p>
    <w:p w:rsidR="00892168" w:rsidRPr="00A113D0" w:rsidRDefault="00892168" w:rsidP="00381C3F">
      <w:pPr>
        <w:pStyle w:val="Tableheading"/>
      </w:pPr>
      <w:bookmarkStart w:id="58" w:name="_Toc325110737"/>
      <w:bookmarkStart w:id="59" w:name="_Toc379980888"/>
      <w:bookmarkStart w:id="60" w:name="_Toc412540157"/>
      <w:r w:rsidRPr="00A113D0">
        <w:t xml:space="preserve">Table </w:t>
      </w:r>
      <w:r w:rsidR="00544745">
        <w:t>2</w:t>
      </w:r>
      <w:r w:rsidRPr="00A113D0">
        <w:t>: Achieved response rates</w:t>
      </w:r>
      <w:bookmarkEnd w:id="58"/>
      <w:r>
        <w:t xml:space="preserve"> in 2011</w:t>
      </w:r>
      <w:bookmarkEnd w:id="59"/>
      <w:bookmarkEnd w:id="60"/>
    </w:p>
    <w:tbl>
      <w:tblPr>
        <w:tblW w:w="8647" w:type="dxa"/>
        <w:tblInd w:w="817" w:type="dxa"/>
        <w:tblLayout w:type="fixed"/>
        <w:tblLook w:val="04A0" w:firstRow="1" w:lastRow="0" w:firstColumn="1" w:lastColumn="0" w:noHBand="0" w:noVBand="1"/>
      </w:tblPr>
      <w:tblGrid>
        <w:gridCol w:w="2977"/>
        <w:gridCol w:w="1890"/>
        <w:gridCol w:w="1890"/>
        <w:gridCol w:w="1890"/>
      </w:tblGrid>
      <w:tr w:rsidR="00892168" w:rsidRPr="00A113D0" w:rsidTr="007D17C5">
        <w:trPr>
          <w:trHeight w:val="525"/>
          <w:tblHeader/>
        </w:trPr>
        <w:tc>
          <w:tcPr>
            <w:tcW w:w="2977" w:type="dxa"/>
            <w:tcBorders>
              <w:top w:val="single" w:sz="8" w:space="0" w:color="auto"/>
              <w:left w:val="single" w:sz="8" w:space="0" w:color="auto"/>
              <w:bottom w:val="single" w:sz="8" w:space="0" w:color="auto"/>
              <w:right w:val="single" w:sz="8" w:space="0" w:color="auto"/>
            </w:tcBorders>
            <w:shd w:val="clear" w:color="auto" w:fill="9BBB59"/>
            <w:noWrap/>
            <w:vAlign w:val="bottom"/>
          </w:tcPr>
          <w:p w:rsidR="00892168" w:rsidRPr="007D17C5" w:rsidRDefault="00892168" w:rsidP="001F7B48">
            <w:pPr>
              <w:spacing w:before="0"/>
              <w:ind w:left="0"/>
              <w:rPr>
                <w:rFonts w:cs="Arial"/>
                <w:b/>
                <w:bCs/>
                <w:color w:val="FFFFFF" w:themeColor="background1"/>
                <w:sz w:val="18"/>
                <w:szCs w:val="18"/>
                <w:lang w:eastAsia="en-US"/>
              </w:rPr>
            </w:pPr>
            <w:r w:rsidRPr="007D17C5">
              <w:rPr>
                <w:rFonts w:cs="Arial"/>
                <w:b/>
                <w:bCs/>
                <w:color w:val="FFFFFF" w:themeColor="background1"/>
                <w:sz w:val="18"/>
                <w:szCs w:val="18"/>
                <w:lang w:eastAsia="en-US"/>
              </w:rPr>
              <w:t>Provider group</w:t>
            </w:r>
          </w:p>
        </w:tc>
        <w:tc>
          <w:tcPr>
            <w:tcW w:w="1890" w:type="dxa"/>
            <w:tcBorders>
              <w:top w:val="single" w:sz="8" w:space="0" w:color="auto"/>
              <w:left w:val="nil"/>
              <w:bottom w:val="single" w:sz="8" w:space="0" w:color="auto"/>
              <w:right w:val="single" w:sz="8" w:space="0" w:color="auto"/>
            </w:tcBorders>
            <w:shd w:val="clear" w:color="auto" w:fill="9BBB59"/>
            <w:vAlign w:val="bottom"/>
          </w:tcPr>
          <w:p w:rsidR="00892168" w:rsidRPr="007D17C5" w:rsidRDefault="00892168" w:rsidP="001F7B48">
            <w:pPr>
              <w:spacing w:before="0"/>
              <w:ind w:left="0"/>
              <w:jc w:val="center"/>
              <w:rPr>
                <w:rFonts w:cs="Arial"/>
                <w:b/>
                <w:bCs/>
                <w:color w:val="FFFFFF" w:themeColor="background1"/>
                <w:sz w:val="18"/>
                <w:szCs w:val="18"/>
                <w:lang w:eastAsia="en-US"/>
              </w:rPr>
            </w:pPr>
            <w:r w:rsidRPr="007D17C5">
              <w:rPr>
                <w:rFonts w:cs="Arial"/>
                <w:b/>
                <w:bCs/>
                <w:color w:val="FFFFFF" w:themeColor="background1"/>
                <w:sz w:val="18"/>
                <w:szCs w:val="18"/>
                <w:lang w:eastAsia="en-US"/>
              </w:rPr>
              <w:t>Respondents</w:t>
            </w:r>
          </w:p>
          <w:p w:rsidR="00892168" w:rsidRPr="007D17C5" w:rsidRDefault="00892168" w:rsidP="001F7B48">
            <w:pPr>
              <w:spacing w:before="0"/>
              <w:ind w:left="0"/>
              <w:jc w:val="center"/>
              <w:rPr>
                <w:rFonts w:cs="Arial"/>
                <w:b/>
                <w:bCs/>
                <w:color w:val="FFFFFF" w:themeColor="background1"/>
                <w:sz w:val="18"/>
                <w:szCs w:val="18"/>
                <w:lang w:eastAsia="en-US"/>
              </w:rPr>
            </w:pPr>
            <w:r w:rsidRPr="007D17C5">
              <w:rPr>
                <w:rFonts w:cs="Arial"/>
                <w:b/>
                <w:bCs/>
                <w:color w:val="FFFFFF" w:themeColor="background1"/>
                <w:sz w:val="18"/>
                <w:szCs w:val="18"/>
                <w:lang w:eastAsia="en-US"/>
              </w:rPr>
              <w:t>(n)</w:t>
            </w:r>
          </w:p>
        </w:tc>
        <w:tc>
          <w:tcPr>
            <w:tcW w:w="1890" w:type="dxa"/>
            <w:tcBorders>
              <w:top w:val="single" w:sz="8" w:space="0" w:color="auto"/>
              <w:left w:val="nil"/>
              <w:bottom w:val="single" w:sz="8" w:space="0" w:color="auto"/>
              <w:right w:val="single" w:sz="8" w:space="0" w:color="auto"/>
            </w:tcBorders>
            <w:shd w:val="clear" w:color="auto" w:fill="9BBB59"/>
            <w:vAlign w:val="bottom"/>
          </w:tcPr>
          <w:p w:rsidR="00892168" w:rsidRPr="007D17C5" w:rsidRDefault="00892168" w:rsidP="001F7B48">
            <w:pPr>
              <w:spacing w:before="0"/>
              <w:ind w:left="0"/>
              <w:jc w:val="center"/>
              <w:rPr>
                <w:rFonts w:eastAsia="Calibri" w:cs="Arial"/>
                <w:b/>
                <w:color w:val="FFFFFF" w:themeColor="background1"/>
                <w:sz w:val="18"/>
                <w:szCs w:val="18"/>
                <w:lang w:eastAsia="en-US"/>
              </w:rPr>
            </w:pPr>
            <w:r w:rsidRPr="007D17C5">
              <w:rPr>
                <w:rFonts w:eastAsia="Calibri" w:cs="Arial"/>
                <w:b/>
                <w:color w:val="FFFFFF" w:themeColor="background1"/>
                <w:sz w:val="18"/>
                <w:szCs w:val="18"/>
                <w:lang w:eastAsia="en-US"/>
              </w:rPr>
              <w:t>Eligible population</w:t>
            </w:r>
          </w:p>
          <w:p w:rsidR="00892168" w:rsidRPr="007D17C5" w:rsidRDefault="00892168" w:rsidP="001F7B48">
            <w:pPr>
              <w:spacing w:before="0"/>
              <w:ind w:left="0"/>
              <w:jc w:val="center"/>
              <w:rPr>
                <w:rFonts w:eastAsia="Calibri" w:cs="Arial"/>
                <w:b/>
                <w:color w:val="FFFFFF" w:themeColor="background1"/>
                <w:sz w:val="18"/>
                <w:szCs w:val="18"/>
                <w:lang w:eastAsia="en-US"/>
              </w:rPr>
            </w:pPr>
            <w:r w:rsidRPr="007D17C5">
              <w:rPr>
                <w:rFonts w:eastAsia="Calibri" w:cs="Arial"/>
                <w:b/>
                <w:color w:val="FFFFFF" w:themeColor="background1"/>
                <w:sz w:val="18"/>
                <w:szCs w:val="18"/>
                <w:lang w:eastAsia="en-US"/>
              </w:rPr>
              <w:t>(N)</w:t>
            </w:r>
          </w:p>
        </w:tc>
        <w:tc>
          <w:tcPr>
            <w:tcW w:w="1890" w:type="dxa"/>
            <w:tcBorders>
              <w:top w:val="single" w:sz="8" w:space="0" w:color="auto"/>
              <w:left w:val="single" w:sz="8" w:space="0" w:color="auto"/>
              <w:bottom w:val="single" w:sz="8" w:space="0" w:color="auto"/>
              <w:right w:val="single" w:sz="8" w:space="0" w:color="auto"/>
            </w:tcBorders>
            <w:shd w:val="clear" w:color="auto" w:fill="9BBB59"/>
            <w:vAlign w:val="bottom"/>
          </w:tcPr>
          <w:p w:rsidR="00892168" w:rsidRPr="007D17C5" w:rsidRDefault="00892168" w:rsidP="001F7B48">
            <w:pPr>
              <w:spacing w:before="0"/>
              <w:ind w:left="0"/>
              <w:jc w:val="center"/>
              <w:rPr>
                <w:rFonts w:eastAsia="Calibri" w:cs="Arial"/>
                <w:b/>
                <w:color w:val="FFFFFF" w:themeColor="background1"/>
                <w:sz w:val="18"/>
                <w:szCs w:val="18"/>
                <w:lang w:eastAsia="en-US"/>
              </w:rPr>
            </w:pPr>
            <w:r w:rsidRPr="007D17C5">
              <w:rPr>
                <w:rFonts w:eastAsia="Calibri" w:cs="Arial"/>
                <w:b/>
                <w:color w:val="FFFFFF" w:themeColor="background1"/>
                <w:sz w:val="18"/>
                <w:szCs w:val="18"/>
                <w:lang w:eastAsia="en-US"/>
              </w:rPr>
              <w:t>Response rate</w:t>
            </w:r>
          </w:p>
          <w:p w:rsidR="00892168" w:rsidRPr="007D17C5" w:rsidRDefault="00892168" w:rsidP="001F7B48">
            <w:pPr>
              <w:spacing w:before="0"/>
              <w:ind w:left="0"/>
              <w:jc w:val="center"/>
              <w:rPr>
                <w:rFonts w:eastAsia="Calibri" w:cs="Arial"/>
                <w:b/>
                <w:color w:val="FFFFFF" w:themeColor="background1"/>
                <w:sz w:val="18"/>
                <w:szCs w:val="18"/>
                <w:lang w:eastAsia="en-US"/>
              </w:rPr>
            </w:pPr>
            <w:r w:rsidRPr="007D17C5">
              <w:rPr>
                <w:rFonts w:eastAsia="Calibri" w:cs="Arial"/>
                <w:b/>
                <w:color w:val="FFFFFF" w:themeColor="background1"/>
                <w:sz w:val="18"/>
                <w:szCs w:val="18"/>
                <w:lang w:eastAsia="en-US"/>
              </w:rPr>
              <w:t>(%)</w:t>
            </w:r>
          </w:p>
        </w:tc>
      </w:tr>
      <w:tr w:rsidR="00892168" w:rsidRPr="00A113D0">
        <w:trPr>
          <w:trHeight w:val="270"/>
        </w:trPr>
        <w:tc>
          <w:tcPr>
            <w:tcW w:w="2977" w:type="dxa"/>
            <w:tcBorders>
              <w:top w:val="single" w:sz="8" w:space="0" w:color="auto"/>
              <w:left w:val="single" w:sz="8" w:space="0" w:color="auto"/>
              <w:right w:val="single" w:sz="8" w:space="0" w:color="auto"/>
            </w:tcBorders>
            <w:shd w:val="clear" w:color="auto" w:fill="auto"/>
            <w:noWrap/>
            <w:vAlign w:val="bottom"/>
          </w:tcPr>
          <w:p w:rsidR="00892168" w:rsidRPr="00A113D0" w:rsidRDefault="00892168" w:rsidP="001F7B48">
            <w:pPr>
              <w:spacing w:before="0"/>
              <w:ind w:left="0"/>
              <w:rPr>
                <w:rFonts w:cs="Arial"/>
                <w:sz w:val="18"/>
                <w:szCs w:val="18"/>
                <w:lang w:eastAsia="en-US"/>
              </w:rPr>
            </w:pPr>
            <w:r w:rsidRPr="00A113D0">
              <w:rPr>
                <w:rFonts w:cs="Arial"/>
                <w:sz w:val="18"/>
                <w:szCs w:val="18"/>
                <w:lang w:eastAsia="en-US"/>
              </w:rPr>
              <w:t>General practitioners</w:t>
            </w:r>
          </w:p>
        </w:tc>
        <w:tc>
          <w:tcPr>
            <w:tcW w:w="1890" w:type="dxa"/>
            <w:tcBorders>
              <w:top w:val="single" w:sz="8" w:space="0" w:color="auto"/>
              <w:left w:val="nil"/>
              <w:right w:val="single" w:sz="8" w:space="0" w:color="auto"/>
            </w:tcBorders>
            <w:shd w:val="clear" w:color="auto" w:fill="FFFFFF"/>
            <w:vAlign w:val="bottom"/>
          </w:tcPr>
          <w:p w:rsidR="00892168" w:rsidRPr="00A113D0" w:rsidRDefault="00892168" w:rsidP="001F7B48">
            <w:pPr>
              <w:spacing w:before="0"/>
              <w:ind w:left="0"/>
              <w:jc w:val="center"/>
              <w:rPr>
                <w:rFonts w:cs="Arial"/>
                <w:sz w:val="18"/>
                <w:szCs w:val="18"/>
                <w:lang w:eastAsia="en-US"/>
              </w:rPr>
            </w:pPr>
            <w:r w:rsidRPr="00A113D0">
              <w:rPr>
                <w:rFonts w:cs="Arial"/>
                <w:sz w:val="18"/>
                <w:szCs w:val="18"/>
                <w:lang w:eastAsia="en-US"/>
              </w:rPr>
              <w:t>88</w:t>
            </w:r>
          </w:p>
        </w:tc>
        <w:tc>
          <w:tcPr>
            <w:tcW w:w="1890" w:type="dxa"/>
            <w:tcBorders>
              <w:top w:val="single" w:sz="8" w:space="0" w:color="auto"/>
              <w:left w:val="nil"/>
              <w:right w:val="single" w:sz="8" w:space="0" w:color="auto"/>
            </w:tcBorders>
            <w:shd w:val="clear" w:color="auto" w:fill="FFFFFF"/>
            <w:vAlign w:val="bottom"/>
          </w:tcPr>
          <w:p w:rsidR="00892168" w:rsidRPr="00A113D0" w:rsidRDefault="00892168" w:rsidP="001F7B48">
            <w:pPr>
              <w:spacing w:before="0"/>
              <w:ind w:left="0"/>
              <w:jc w:val="center"/>
              <w:rPr>
                <w:rFonts w:cs="Arial"/>
                <w:sz w:val="18"/>
                <w:szCs w:val="18"/>
                <w:lang w:eastAsia="en-US"/>
              </w:rPr>
            </w:pPr>
            <w:r w:rsidRPr="00A113D0">
              <w:rPr>
                <w:rFonts w:cs="Arial"/>
                <w:sz w:val="18"/>
                <w:szCs w:val="18"/>
                <w:lang w:eastAsia="en-US"/>
              </w:rPr>
              <w:t>328</w:t>
            </w:r>
            <w:r w:rsidRPr="00A113D0">
              <w:rPr>
                <w:rFonts w:cs="Arial"/>
                <w:sz w:val="18"/>
                <w:szCs w:val="18"/>
                <w:vertAlign w:val="superscript"/>
                <w:lang w:eastAsia="en-US"/>
              </w:rPr>
              <w:t>#</w:t>
            </w:r>
          </w:p>
        </w:tc>
        <w:tc>
          <w:tcPr>
            <w:tcW w:w="1890" w:type="dxa"/>
            <w:tcBorders>
              <w:top w:val="single" w:sz="8" w:space="0" w:color="auto"/>
              <w:left w:val="single" w:sz="8" w:space="0" w:color="auto"/>
              <w:right w:val="single" w:sz="8" w:space="0" w:color="auto"/>
            </w:tcBorders>
            <w:shd w:val="clear" w:color="auto" w:fill="FFFFFF"/>
            <w:vAlign w:val="bottom"/>
          </w:tcPr>
          <w:p w:rsidR="00892168" w:rsidRPr="00A113D0" w:rsidRDefault="00892168" w:rsidP="001F7B48">
            <w:pPr>
              <w:spacing w:before="0"/>
              <w:ind w:left="0"/>
              <w:jc w:val="center"/>
              <w:rPr>
                <w:rFonts w:cs="Arial"/>
                <w:sz w:val="18"/>
                <w:szCs w:val="18"/>
                <w:lang w:eastAsia="en-US"/>
              </w:rPr>
            </w:pPr>
            <w:r w:rsidRPr="00A113D0">
              <w:rPr>
                <w:rFonts w:cs="Arial"/>
                <w:sz w:val="18"/>
                <w:szCs w:val="18"/>
                <w:lang w:eastAsia="en-US"/>
              </w:rPr>
              <w:t>27</w:t>
            </w:r>
          </w:p>
        </w:tc>
      </w:tr>
      <w:tr w:rsidR="00892168" w:rsidRPr="00A113D0">
        <w:trPr>
          <w:trHeight w:val="270"/>
        </w:trPr>
        <w:tc>
          <w:tcPr>
            <w:tcW w:w="2977" w:type="dxa"/>
            <w:tcBorders>
              <w:left w:val="single" w:sz="8" w:space="0" w:color="auto"/>
              <w:right w:val="single" w:sz="8" w:space="0" w:color="auto"/>
            </w:tcBorders>
            <w:shd w:val="clear" w:color="auto" w:fill="auto"/>
            <w:noWrap/>
            <w:vAlign w:val="bottom"/>
          </w:tcPr>
          <w:p w:rsidR="00892168" w:rsidRPr="00A113D0" w:rsidRDefault="00892168" w:rsidP="001F7B48">
            <w:pPr>
              <w:spacing w:before="0"/>
              <w:ind w:left="0"/>
              <w:rPr>
                <w:rFonts w:cs="Arial"/>
                <w:sz w:val="18"/>
                <w:szCs w:val="18"/>
                <w:lang w:eastAsia="en-US"/>
              </w:rPr>
            </w:pPr>
            <w:r w:rsidRPr="00A113D0">
              <w:rPr>
                <w:rFonts w:cs="Arial"/>
                <w:sz w:val="18"/>
                <w:szCs w:val="18"/>
                <w:lang w:eastAsia="en-US"/>
              </w:rPr>
              <w:t>Practice nurses</w:t>
            </w:r>
          </w:p>
        </w:tc>
        <w:tc>
          <w:tcPr>
            <w:tcW w:w="1890" w:type="dxa"/>
            <w:tcBorders>
              <w:left w:val="nil"/>
              <w:right w:val="single" w:sz="8" w:space="0" w:color="auto"/>
            </w:tcBorders>
            <w:shd w:val="clear" w:color="auto" w:fill="FFFFFF"/>
            <w:vAlign w:val="bottom"/>
          </w:tcPr>
          <w:p w:rsidR="00892168" w:rsidRPr="00A113D0" w:rsidRDefault="00892168" w:rsidP="001F7B48">
            <w:pPr>
              <w:spacing w:before="0"/>
              <w:ind w:left="0"/>
              <w:jc w:val="center"/>
              <w:rPr>
                <w:rFonts w:cs="Arial"/>
                <w:sz w:val="18"/>
                <w:szCs w:val="18"/>
                <w:lang w:eastAsia="en-US"/>
              </w:rPr>
            </w:pPr>
            <w:r w:rsidRPr="00A113D0">
              <w:rPr>
                <w:rFonts w:cs="Arial"/>
                <w:sz w:val="18"/>
                <w:szCs w:val="18"/>
                <w:lang w:eastAsia="en-US"/>
              </w:rPr>
              <w:t>88</w:t>
            </w:r>
          </w:p>
        </w:tc>
        <w:tc>
          <w:tcPr>
            <w:tcW w:w="1890" w:type="dxa"/>
            <w:tcBorders>
              <w:left w:val="nil"/>
              <w:right w:val="single" w:sz="8" w:space="0" w:color="auto"/>
            </w:tcBorders>
            <w:shd w:val="clear" w:color="auto" w:fill="FFFFFF"/>
            <w:vAlign w:val="bottom"/>
          </w:tcPr>
          <w:p w:rsidR="00892168" w:rsidRPr="00A113D0" w:rsidRDefault="00892168" w:rsidP="001F7B48">
            <w:pPr>
              <w:spacing w:before="0"/>
              <w:ind w:left="0"/>
              <w:jc w:val="center"/>
              <w:rPr>
                <w:rFonts w:cs="Arial"/>
                <w:sz w:val="18"/>
                <w:szCs w:val="18"/>
                <w:lang w:eastAsia="en-US"/>
              </w:rPr>
            </w:pPr>
            <w:r w:rsidRPr="00A113D0">
              <w:rPr>
                <w:rFonts w:cs="Arial"/>
                <w:sz w:val="18"/>
                <w:szCs w:val="18"/>
                <w:lang w:eastAsia="en-US"/>
              </w:rPr>
              <w:t>404</w:t>
            </w:r>
            <w:r w:rsidRPr="00A113D0">
              <w:rPr>
                <w:rFonts w:cs="Arial"/>
                <w:sz w:val="18"/>
                <w:szCs w:val="18"/>
                <w:vertAlign w:val="superscript"/>
                <w:lang w:eastAsia="en-US"/>
              </w:rPr>
              <w:t>#</w:t>
            </w:r>
          </w:p>
        </w:tc>
        <w:tc>
          <w:tcPr>
            <w:tcW w:w="1890" w:type="dxa"/>
            <w:tcBorders>
              <w:left w:val="single" w:sz="8" w:space="0" w:color="auto"/>
              <w:right w:val="single" w:sz="8" w:space="0" w:color="auto"/>
            </w:tcBorders>
            <w:shd w:val="clear" w:color="auto" w:fill="FFFFFF"/>
            <w:vAlign w:val="bottom"/>
          </w:tcPr>
          <w:p w:rsidR="00892168" w:rsidRPr="00A113D0" w:rsidRDefault="00892168" w:rsidP="001F7B48">
            <w:pPr>
              <w:spacing w:before="0"/>
              <w:ind w:left="0"/>
              <w:jc w:val="center"/>
              <w:rPr>
                <w:rFonts w:cs="Arial"/>
                <w:sz w:val="18"/>
                <w:szCs w:val="18"/>
                <w:lang w:eastAsia="en-US"/>
              </w:rPr>
            </w:pPr>
            <w:r w:rsidRPr="00A113D0">
              <w:rPr>
                <w:rFonts w:cs="Arial"/>
                <w:sz w:val="18"/>
                <w:szCs w:val="18"/>
                <w:lang w:eastAsia="en-US"/>
              </w:rPr>
              <w:t>22</w:t>
            </w:r>
          </w:p>
        </w:tc>
      </w:tr>
      <w:tr w:rsidR="00892168" w:rsidRPr="00A113D0">
        <w:trPr>
          <w:trHeight w:val="270"/>
        </w:trPr>
        <w:tc>
          <w:tcPr>
            <w:tcW w:w="2977" w:type="dxa"/>
            <w:tcBorders>
              <w:left w:val="single" w:sz="8" w:space="0" w:color="auto"/>
              <w:right w:val="single" w:sz="8" w:space="0" w:color="auto"/>
            </w:tcBorders>
            <w:shd w:val="clear" w:color="auto" w:fill="auto"/>
            <w:noWrap/>
            <w:vAlign w:val="bottom"/>
          </w:tcPr>
          <w:p w:rsidR="00892168" w:rsidRPr="00A113D0" w:rsidRDefault="00892168" w:rsidP="001F7B48">
            <w:pPr>
              <w:spacing w:before="0"/>
              <w:ind w:left="0"/>
              <w:rPr>
                <w:rFonts w:cs="Arial"/>
                <w:sz w:val="18"/>
                <w:szCs w:val="18"/>
                <w:lang w:eastAsia="en-US"/>
              </w:rPr>
            </w:pPr>
            <w:r w:rsidRPr="00A113D0">
              <w:rPr>
                <w:rFonts w:cs="Arial"/>
                <w:sz w:val="18"/>
                <w:szCs w:val="18"/>
                <w:lang w:eastAsia="en-US"/>
              </w:rPr>
              <w:t>Other general practice staff*</w:t>
            </w:r>
          </w:p>
        </w:tc>
        <w:tc>
          <w:tcPr>
            <w:tcW w:w="1890" w:type="dxa"/>
            <w:tcBorders>
              <w:left w:val="nil"/>
              <w:right w:val="single" w:sz="8" w:space="0" w:color="auto"/>
            </w:tcBorders>
            <w:shd w:val="clear" w:color="auto" w:fill="FFFFFF"/>
            <w:vAlign w:val="bottom"/>
          </w:tcPr>
          <w:p w:rsidR="00892168" w:rsidRPr="00A113D0" w:rsidRDefault="00892168" w:rsidP="001F7B48">
            <w:pPr>
              <w:spacing w:before="0"/>
              <w:ind w:left="0"/>
              <w:jc w:val="center"/>
              <w:rPr>
                <w:rFonts w:cs="Arial"/>
                <w:sz w:val="18"/>
                <w:szCs w:val="18"/>
                <w:lang w:eastAsia="en-US"/>
              </w:rPr>
            </w:pPr>
            <w:r w:rsidRPr="00A113D0">
              <w:rPr>
                <w:rFonts w:cs="Arial"/>
                <w:sz w:val="18"/>
                <w:szCs w:val="18"/>
                <w:lang w:eastAsia="en-US"/>
              </w:rPr>
              <w:t>8</w:t>
            </w:r>
          </w:p>
        </w:tc>
        <w:tc>
          <w:tcPr>
            <w:tcW w:w="1890" w:type="dxa"/>
            <w:tcBorders>
              <w:left w:val="nil"/>
              <w:right w:val="single" w:sz="8" w:space="0" w:color="auto"/>
            </w:tcBorders>
            <w:shd w:val="clear" w:color="auto" w:fill="FFFFFF"/>
            <w:vAlign w:val="bottom"/>
          </w:tcPr>
          <w:p w:rsidR="00892168" w:rsidRPr="00A113D0" w:rsidRDefault="00892168" w:rsidP="001F7B48">
            <w:pPr>
              <w:spacing w:before="0"/>
              <w:ind w:left="0"/>
              <w:jc w:val="center"/>
              <w:rPr>
                <w:rFonts w:cs="Arial"/>
                <w:sz w:val="18"/>
                <w:szCs w:val="18"/>
                <w:lang w:eastAsia="en-US"/>
              </w:rPr>
            </w:pPr>
            <w:r w:rsidRPr="00A113D0">
              <w:rPr>
                <w:rFonts w:cs="Arial"/>
                <w:sz w:val="18"/>
                <w:szCs w:val="18"/>
                <w:lang w:eastAsia="en-US"/>
              </w:rPr>
              <w:t>–</w:t>
            </w:r>
          </w:p>
        </w:tc>
        <w:tc>
          <w:tcPr>
            <w:tcW w:w="1890" w:type="dxa"/>
            <w:tcBorders>
              <w:left w:val="single" w:sz="8" w:space="0" w:color="auto"/>
              <w:right w:val="single" w:sz="8" w:space="0" w:color="auto"/>
            </w:tcBorders>
            <w:shd w:val="clear" w:color="auto" w:fill="FFFFFF"/>
            <w:vAlign w:val="bottom"/>
          </w:tcPr>
          <w:p w:rsidR="00892168" w:rsidRPr="00A113D0" w:rsidRDefault="00892168" w:rsidP="001F7B48">
            <w:pPr>
              <w:spacing w:before="0"/>
              <w:ind w:left="0"/>
              <w:jc w:val="center"/>
              <w:rPr>
                <w:rFonts w:cs="Arial"/>
                <w:sz w:val="18"/>
                <w:szCs w:val="18"/>
                <w:lang w:eastAsia="en-US"/>
              </w:rPr>
            </w:pPr>
            <w:r w:rsidRPr="00A113D0">
              <w:rPr>
                <w:rFonts w:cs="Arial"/>
                <w:sz w:val="18"/>
                <w:szCs w:val="18"/>
                <w:lang w:eastAsia="en-US"/>
              </w:rPr>
              <w:t>–</w:t>
            </w:r>
          </w:p>
        </w:tc>
      </w:tr>
      <w:tr w:rsidR="00892168" w:rsidRPr="00A113D0">
        <w:trPr>
          <w:trHeight w:val="270"/>
        </w:trPr>
        <w:tc>
          <w:tcPr>
            <w:tcW w:w="2977" w:type="dxa"/>
            <w:tcBorders>
              <w:left w:val="single" w:sz="8" w:space="0" w:color="auto"/>
              <w:right w:val="single" w:sz="8" w:space="0" w:color="auto"/>
            </w:tcBorders>
            <w:shd w:val="clear" w:color="auto" w:fill="auto"/>
            <w:noWrap/>
            <w:vAlign w:val="bottom"/>
          </w:tcPr>
          <w:p w:rsidR="00892168" w:rsidRPr="00A113D0" w:rsidRDefault="00892168" w:rsidP="001F7B48">
            <w:pPr>
              <w:spacing w:before="0"/>
              <w:ind w:left="0"/>
              <w:rPr>
                <w:rFonts w:cs="Arial"/>
                <w:sz w:val="18"/>
                <w:szCs w:val="18"/>
                <w:lang w:eastAsia="en-US"/>
              </w:rPr>
            </w:pPr>
            <w:r w:rsidRPr="00A113D0">
              <w:rPr>
                <w:rFonts w:cs="Arial"/>
                <w:sz w:val="18"/>
                <w:szCs w:val="18"/>
                <w:lang w:eastAsia="en-US"/>
              </w:rPr>
              <w:t>Endoscopy staff</w:t>
            </w:r>
          </w:p>
        </w:tc>
        <w:tc>
          <w:tcPr>
            <w:tcW w:w="1890" w:type="dxa"/>
            <w:tcBorders>
              <w:left w:val="nil"/>
              <w:right w:val="single" w:sz="8" w:space="0" w:color="auto"/>
            </w:tcBorders>
            <w:shd w:val="clear" w:color="auto" w:fill="FFFFFF"/>
            <w:vAlign w:val="bottom"/>
          </w:tcPr>
          <w:p w:rsidR="00892168" w:rsidRPr="00A113D0" w:rsidRDefault="00892168" w:rsidP="001F7B48">
            <w:pPr>
              <w:spacing w:before="0"/>
              <w:ind w:left="0"/>
              <w:jc w:val="center"/>
              <w:rPr>
                <w:rFonts w:cs="Arial"/>
                <w:sz w:val="18"/>
                <w:szCs w:val="18"/>
                <w:lang w:eastAsia="en-US"/>
              </w:rPr>
            </w:pPr>
            <w:r w:rsidRPr="00A113D0">
              <w:rPr>
                <w:rFonts w:cs="Arial"/>
                <w:sz w:val="18"/>
                <w:szCs w:val="18"/>
                <w:lang w:eastAsia="en-US"/>
              </w:rPr>
              <w:t>21</w:t>
            </w:r>
          </w:p>
        </w:tc>
        <w:tc>
          <w:tcPr>
            <w:tcW w:w="1890" w:type="dxa"/>
            <w:tcBorders>
              <w:left w:val="nil"/>
              <w:right w:val="single" w:sz="8" w:space="0" w:color="auto"/>
            </w:tcBorders>
            <w:shd w:val="clear" w:color="auto" w:fill="FFFFFF"/>
            <w:vAlign w:val="bottom"/>
          </w:tcPr>
          <w:p w:rsidR="00892168" w:rsidRPr="00A113D0" w:rsidRDefault="00892168" w:rsidP="001F7B48">
            <w:pPr>
              <w:spacing w:before="0"/>
              <w:ind w:left="0"/>
              <w:jc w:val="center"/>
              <w:rPr>
                <w:rFonts w:cs="Arial"/>
                <w:sz w:val="18"/>
                <w:szCs w:val="18"/>
                <w:lang w:eastAsia="en-US"/>
              </w:rPr>
            </w:pPr>
            <w:r w:rsidRPr="00A113D0">
              <w:rPr>
                <w:rFonts w:cs="Arial"/>
                <w:sz w:val="18"/>
                <w:szCs w:val="18"/>
                <w:lang w:eastAsia="en-US"/>
              </w:rPr>
              <w:t>27</w:t>
            </w:r>
          </w:p>
        </w:tc>
        <w:tc>
          <w:tcPr>
            <w:tcW w:w="1890" w:type="dxa"/>
            <w:tcBorders>
              <w:left w:val="single" w:sz="8" w:space="0" w:color="auto"/>
              <w:right w:val="single" w:sz="8" w:space="0" w:color="auto"/>
            </w:tcBorders>
            <w:shd w:val="clear" w:color="auto" w:fill="FFFFFF"/>
            <w:vAlign w:val="bottom"/>
          </w:tcPr>
          <w:p w:rsidR="00892168" w:rsidRPr="00A113D0" w:rsidRDefault="00892168" w:rsidP="001F7B48">
            <w:pPr>
              <w:spacing w:before="0"/>
              <w:ind w:left="0"/>
              <w:jc w:val="center"/>
              <w:rPr>
                <w:rFonts w:cs="Arial"/>
                <w:sz w:val="18"/>
                <w:szCs w:val="18"/>
                <w:lang w:eastAsia="en-US"/>
              </w:rPr>
            </w:pPr>
            <w:r w:rsidRPr="00A113D0">
              <w:rPr>
                <w:rFonts w:cs="Arial"/>
                <w:sz w:val="18"/>
                <w:szCs w:val="18"/>
                <w:lang w:eastAsia="en-US"/>
              </w:rPr>
              <w:t>78</w:t>
            </w:r>
          </w:p>
        </w:tc>
      </w:tr>
      <w:tr w:rsidR="00892168" w:rsidRPr="00A113D0">
        <w:trPr>
          <w:trHeight w:val="270"/>
        </w:trPr>
        <w:tc>
          <w:tcPr>
            <w:tcW w:w="2977" w:type="dxa"/>
            <w:tcBorders>
              <w:left w:val="single" w:sz="8" w:space="0" w:color="auto"/>
              <w:bottom w:val="single" w:sz="8" w:space="0" w:color="auto"/>
              <w:right w:val="single" w:sz="8" w:space="0" w:color="auto"/>
            </w:tcBorders>
            <w:shd w:val="clear" w:color="auto" w:fill="auto"/>
            <w:noWrap/>
            <w:vAlign w:val="bottom"/>
          </w:tcPr>
          <w:p w:rsidR="00892168" w:rsidRPr="00A113D0" w:rsidRDefault="00892168" w:rsidP="001F7B48">
            <w:pPr>
              <w:spacing w:before="0"/>
              <w:ind w:left="0"/>
              <w:rPr>
                <w:rFonts w:cs="Arial"/>
                <w:sz w:val="18"/>
                <w:szCs w:val="18"/>
                <w:lang w:eastAsia="en-US"/>
              </w:rPr>
            </w:pPr>
            <w:r w:rsidRPr="00A113D0">
              <w:rPr>
                <w:rFonts w:cs="Arial"/>
                <w:sz w:val="18"/>
                <w:szCs w:val="18"/>
                <w:lang w:eastAsia="en-US"/>
              </w:rPr>
              <w:t>Radiology staff</w:t>
            </w:r>
          </w:p>
        </w:tc>
        <w:tc>
          <w:tcPr>
            <w:tcW w:w="1890" w:type="dxa"/>
            <w:tcBorders>
              <w:left w:val="nil"/>
              <w:bottom w:val="single" w:sz="8" w:space="0" w:color="auto"/>
              <w:right w:val="single" w:sz="8" w:space="0" w:color="auto"/>
            </w:tcBorders>
            <w:shd w:val="clear" w:color="auto" w:fill="FFFFFF"/>
            <w:vAlign w:val="bottom"/>
          </w:tcPr>
          <w:p w:rsidR="00892168" w:rsidRPr="00A113D0" w:rsidRDefault="00892168" w:rsidP="001F7B48">
            <w:pPr>
              <w:spacing w:before="0"/>
              <w:ind w:left="0"/>
              <w:jc w:val="center"/>
              <w:rPr>
                <w:rFonts w:cs="Arial"/>
                <w:sz w:val="18"/>
                <w:szCs w:val="18"/>
                <w:lang w:eastAsia="en-US"/>
              </w:rPr>
            </w:pPr>
            <w:r w:rsidRPr="00A113D0">
              <w:rPr>
                <w:rFonts w:cs="Arial"/>
                <w:sz w:val="18"/>
                <w:szCs w:val="18"/>
                <w:lang w:eastAsia="en-US"/>
              </w:rPr>
              <w:t>30</w:t>
            </w:r>
          </w:p>
        </w:tc>
        <w:tc>
          <w:tcPr>
            <w:tcW w:w="1890" w:type="dxa"/>
            <w:tcBorders>
              <w:left w:val="nil"/>
              <w:bottom w:val="single" w:sz="8" w:space="0" w:color="auto"/>
              <w:right w:val="single" w:sz="8" w:space="0" w:color="auto"/>
            </w:tcBorders>
            <w:shd w:val="clear" w:color="auto" w:fill="FFFFFF"/>
            <w:vAlign w:val="bottom"/>
          </w:tcPr>
          <w:p w:rsidR="00892168" w:rsidRPr="00A113D0" w:rsidRDefault="00892168" w:rsidP="001F7B48">
            <w:pPr>
              <w:spacing w:before="0"/>
              <w:ind w:left="0"/>
              <w:jc w:val="center"/>
              <w:rPr>
                <w:rFonts w:cs="Arial"/>
                <w:sz w:val="18"/>
                <w:szCs w:val="18"/>
                <w:lang w:eastAsia="en-US"/>
              </w:rPr>
            </w:pPr>
            <w:r w:rsidRPr="00A113D0">
              <w:rPr>
                <w:rFonts w:cs="Arial"/>
                <w:sz w:val="18"/>
                <w:szCs w:val="18"/>
                <w:lang w:eastAsia="en-US"/>
              </w:rPr>
              <w:t>49</w:t>
            </w:r>
          </w:p>
        </w:tc>
        <w:tc>
          <w:tcPr>
            <w:tcW w:w="1890" w:type="dxa"/>
            <w:tcBorders>
              <w:left w:val="single" w:sz="8" w:space="0" w:color="auto"/>
              <w:bottom w:val="single" w:sz="8" w:space="0" w:color="auto"/>
              <w:right w:val="single" w:sz="8" w:space="0" w:color="auto"/>
            </w:tcBorders>
            <w:shd w:val="clear" w:color="auto" w:fill="FFFFFF"/>
            <w:vAlign w:val="bottom"/>
          </w:tcPr>
          <w:p w:rsidR="00892168" w:rsidRPr="00A113D0" w:rsidRDefault="00B30D2D" w:rsidP="001F7B48">
            <w:pPr>
              <w:spacing w:before="0"/>
              <w:ind w:left="0"/>
              <w:jc w:val="center"/>
              <w:rPr>
                <w:rFonts w:cs="Arial"/>
                <w:sz w:val="18"/>
                <w:szCs w:val="18"/>
                <w:lang w:eastAsia="en-US"/>
              </w:rPr>
            </w:pPr>
            <w:r>
              <w:rPr>
                <w:rFonts w:cs="Arial"/>
                <w:sz w:val="18"/>
                <w:szCs w:val="18"/>
                <w:lang w:eastAsia="en-US"/>
              </w:rPr>
              <w:t>61</w:t>
            </w:r>
          </w:p>
        </w:tc>
      </w:tr>
    </w:tbl>
    <w:p w:rsidR="00892168" w:rsidRPr="0032656F" w:rsidRDefault="00892168" w:rsidP="005740D9">
      <w:pPr>
        <w:spacing w:before="0"/>
        <w:rPr>
          <w:sz w:val="20"/>
          <w:vertAlign w:val="superscript"/>
        </w:rPr>
      </w:pPr>
      <w:r w:rsidRPr="0032656F">
        <w:rPr>
          <w:sz w:val="20"/>
          <w:vertAlign w:val="superscript"/>
        </w:rPr>
        <w:t xml:space="preserve"># Figure based on PHO estimates </w:t>
      </w:r>
    </w:p>
    <w:p w:rsidR="00453F78" w:rsidRPr="0032656F" w:rsidRDefault="00892168" w:rsidP="00B30D2D">
      <w:pPr>
        <w:spacing w:before="0"/>
        <w:rPr>
          <w:sz w:val="20"/>
          <w:vertAlign w:val="superscript"/>
        </w:rPr>
      </w:pPr>
      <w:r w:rsidRPr="0032656F">
        <w:rPr>
          <w:sz w:val="20"/>
          <w:vertAlign w:val="superscript"/>
        </w:rPr>
        <w:t>* Small number of other general practice staff – combined with practice nurse sample for analysis</w:t>
      </w:r>
    </w:p>
    <w:p w:rsidR="00892168" w:rsidRDefault="00892168" w:rsidP="00E36046">
      <w:r w:rsidRPr="00D64A3F">
        <w:rPr>
          <w:lang w:eastAsia="ar-SA"/>
        </w:rPr>
        <w:t xml:space="preserve">The </w:t>
      </w:r>
      <w:r>
        <w:rPr>
          <w:lang w:eastAsia="ar-SA"/>
        </w:rPr>
        <w:t xml:space="preserve">follow-up online provider </w:t>
      </w:r>
      <w:r w:rsidRPr="00D64A3F">
        <w:rPr>
          <w:lang w:eastAsia="ar-SA"/>
        </w:rPr>
        <w:t xml:space="preserve">survey was </w:t>
      </w:r>
      <w:r>
        <w:rPr>
          <w:lang w:eastAsia="ar-SA"/>
        </w:rPr>
        <w:t>undertaken from</w:t>
      </w:r>
      <w:r w:rsidRPr="00C6769F">
        <w:rPr>
          <w:lang w:eastAsia="ar-SA"/>
        </w:rPr>
        <w:t xml:space="preserve"> </w:t>
      </w:r>
      <w:r>
        <w:rPr>
          <w:lang w:eastAsia="ar-SA"/>
        </w:rPr>
        <w:t xml:space="preserve">14 </w:t>
      </w:r>
      <w:r w:rsidRPr="00C633FF">
        <w:rPr>
          <w:lang w:eastAsia="ar-SA"/>
        </w:rPr>
        <w:t>October to 20 December 2013</w:t>
      </w:r>
      <w:r w:rsidRPr="000204AE">
        <w:rPr>
          <w:lang w:eastAsia="ar-SA"/>
        </w:rPr>
        <w:t xml:space="preserve">.  </w:t>
      </w:r>
      <w:r>
        <w:rPr>
          <w:lang w:eastAsia="ar-SA"/>
        </w:rPr>
        <w:t>A</w:t>
      </w:r>
      <w:r w:rsidRPr="00D64A3F">
        <w:rPr>
          <w:lang w:eastAsia="ar-SA"/>
        </w:rPr>
        <w:t xml:space="preserve"> total of </w:t>
      </w:r>
      <w:r w:rsidRPr="00414A74">
        <w:rPr>
          <w:lang w:eastAsia="ar-SA"/>
        </w:rPr>
        <w:t xml:space="preserve">80 GPs, </w:t>
      </w:r>
      <w:r>
        <w:rPr>
          <w:lang w:eastAsia="ar-SA"/>
        </w:rPr>
        <w:t>72</w:t>
      </w:r>
      <w:r w:rsidRPr="00414A74">
        <w:rPr>
          <w:lang w:eastAsia="ar-SA"/>
        </w:rPr>
        <w:t xml:space="preserve"> practice nurses</w:t>
      </w:r>
      <w:r>
        <w:rPr>
          <w:lang w:eastAsia="ar-SA"/>
        </w:rPr>
        <w:t>,</w:t>
      </w:r>
      <w:r w:rsidRPr="00414A74">
        <w:rPr>
          <w:lang w:eastAsia="ar-SA"/>
        </w:rPr>
        <w:t xml:space="preserve"> 26 other general practice</w:t>
      </w:r>
      <w:r>
        <w:rPr>
          <w:lang w:eastAsia="ar-SA"/>
        </w:rPr>
        <w:t xml:space="preserve"> staff, </w:t>
      </w:r>
      <w:r w:rsidRPr="00D64A3F">
        <w:rPr>
          <w:lang w:eastAsia="ar-SA"/>
        </w:rPr>
        <w:t>1</w:t>
      </w:r>
      <w:r>
        <w:rPr>
          <w:lang w:eastAsia="ar-SA"/>
        </w:rPr>
        <w:t>8 endoscopy staff and 24</w:t>
      </w:r>
      <w:r w:rsidRPr="00D64A3F">
        <w:rPr>
          <w:lang w:eastAsia="ar-SA"/>
        </w:rPr>
        <w:t xml:space="preserve"> radiology staff took part in the survey.</w:t>
      </w:r>
      <w:r>
        <w:rPr>
          <w:lang w:eastAsia="ar-SA"/>
        </w:rPr>
        <w:t xml:space="preserve"> </w:t>
      </w:r>
      <w:r w:rsidRPr="00C95C03">
        <w:t xml:space="preserve">Response rates for each survey are shown in Table </w:t>
      </w:r>
      <w:r w:rsidR="00544745">
        <w:t>3</w:t>
      </w:r>
      <w:r w:rsidRPr="00C95C03">
        <w:t xml:space="preserve">. </w:t>
      </w:r>
    </w:p>
    <w:p w:rsidR="005153FF" w:rsidRDefault="005153FF">
      <w:pPr>
        <w:spacing w:before="0"/>
        <w:ind w:left="0"/>
        <w:rPr>
          <w:rFonts w:cs="Arial"/>
          <w:b/>
          <w:sz w:val="20"/>
        </w:rPr>
      </w:pPr>
      <w:bookmarkStart w:id="61" w:name="_Toc379980887"/>
      <w:bookmarkStart w:id="62" w:name="_Toc412540158"/>
      <w:r>
        <w:br w:type="page"/>
      </w:r>
    </w:p>
    <w:p w:rsidR="00892168" w:rsidRPr="00A113D0" w:rsidRDefault="00892168" w:rsidP="00381C3F">
      <w:pPr>
        <w:pStyle w:val="Tableheading"/>
      </w:pPr>
      <w:r w:rsidRPr="00A113D0">
        <w:t xml:space="preserve">Table </w:t>
      </w:r>
      <w:r w:rsidR="00544745">
        <w:t>3</w:t>
      </w:r>
      <w:r w:rsidRPr="00A113D0">
        <w:t>: Achieved response rates</w:t>
      </w:r>
      <w:r>
        <w:t xml:space="preserve"> in 2013</w:t>
      </w:r>
      <w:bookmarkEnd w:id="61"/>
      <w:bookmarkEnd w:id="62"/>
    </w:p>
    <w:tbl>
      <w:tblPr>
        <w:tblW w:w="8647" w:type="dxa"/>
        <w:tblInd w:w="817" w:type="dxa"/>
        <w:tblLayout w:type="fixed"/>
        <w:tblLook w:val="04A0" w:firstRow="1" w:lastRow="0" w:firstColumn="1" w:lastColumn="0" w:noHBand="0" w:noVBand="1"/>
      </w:tblPr>
      <w:tblGrid>
        <w:gridCol w:w="2977"/>
        <w:gridCol w:w="1890"/>
        <w:gridCol w:w="1890"/>
        <w:gridCol w:w="1890"/>
      </w:tblGrid>
      <w:tr w:rsidR="00892168" w:rsidRPr="00A113D0" w:rsidTr="007D17C5">
        <w:trPr>
          <w:trHeight w:val="525"/>
          <w:tblHeader/>
        </w:trPr>
        <w:tc>
          <w:tcPr>
            <w:tcW w:w="2977" w:type="dxa"/>
            <w:tcBorders>
              <w:top w:val="single" w:sz="8" w:space="0" w:color="auto"/>
              <w:left w:val="single" w:sz="8" w:space="0" w:color="auto"/>
              <w:bottom w:val="single" w:sz="8" w:space="0" w:color="auto"/>
              <w:right w:val="single" w:sz="8" w:space="0" w:color="auto"/>
            </w:tcBorders>
            <w:shd w:val="clear" w:color="auto" w:fill="9BBB59"/>
            <w:noWrap/>
            <w:vAlign w:val="bottom"/>
          </w:tcPr>
          <w:p w:rsidR="00892168" w:rsidRPr="007D17C5" w:rsidRDefault="00892168" w:rsidP="001F7B48">
            <w:pPr>
              <w:spacing w:before="0"/>
              <w:ind w:left="0"/>
              <w:rPr>
                <w:rFonts w:cs="Arial"/>
                <w:b/>
                <w:bCs/>
                <w:color w:val="FFFFFF" w:themeColor="background1"/>
                <w:sz w:val="18"/>
                <w:szCs w:val="18"/>
                <w:lang w:eastAsia="en-US"/>
              </w:rPr>
            </w:pPr>
            <w:r w:rsidRPr="007D17C5">
              <w:rPr>
                <w:rFonts w:cs="Arial"/>
                <w:b/>
                <w:bCs/>
                <w:color w:val="FFFFFF" w:themeColor="background1"/>
                <w:sz w:val="18"/>
                <w:szCs w:val="18"/>
                <w:lang w:eastAsia="en-US"/>
              </w:rPr>
              <w:t>Provider group</w:t>
            </w:r>
          </w:p>
        </w:tc>
        <w:tc>
          <w:tcPr>
            <w:tcW w:w="1890" w:type="dxa"/>
            <w:tcBorders>
              <w:top w:val="single" w:sz="8" w:space="0" w:color="auto"/>
              <w:left w:val="nil"/>
              <w:bottom w:val="single" w:sz="8" w:space="0" w:color="auto"/>
              <w:right w:val="single" w:sz="8" w:space="0" w:color="auto"/>
            </w:tcBorders>
            <w:shd w:val="clear" w:color="auto" w:fill="9BBB59"/>
            <w:vAlign w:val="bottom"/>
          </w:tcPr>
          <w:p w:rsidR="00892168" w:rsidRPr="007D17C5" w:rsidRDefault="00892168" w:rsidP="001F7B48">
            <w:pPr>
              <w:spacing w:before="0"/>
              <w:ind w:left="0"/>
              <w:jc w:val="center"/>
              <w:rPr>
                <w:rFonts w:cs="Arial"/>
                <w:b/>
                <w:bCs/>
                <w:color w:val="FFFFFF" w:themeColor="background1"/>
                <w:sz w:val="18"/>
                <w:szCs w:val="18"/>
                <w:lang w:eastAsia="en-US"/>
              </w:rPr>
            </w:pPr>
            <w:r w:rsidRPr="007D17C5">
              <w:rPr>
                <w:rFonts w:cs="Arial"/>
                <w:b/>
                <w:bCs/>
                <w:color w:val="FFFFFF" w:themeColor="background1"/>
                <w:sz w:val="18"/>
                <w:szCs w:val="18"/>
                <w:lang w:eastAsia="en-US"/>
              </w:rPr>
              <w:t>Respondents</w:t>
            </w:r>
          </w:p>
          <w:p w:rsidR="00892168" w:rsidRPr="007D17C5" w:rsidRDefault="00892168" w:rsidP="001F7B48">
            <w:pPr>
              <w:spacing w:before="0"/>
              <w:ind w:left="0"/>
              <w:jc w:val="center"/>
              <w:rPr>
                <w:rFonts w:cs="Arial"/>
                <w:b/>
                <w:bCs/>
                <w:color w:val="FFFFFF" w:themeColor="background1"/>
                <w:sz w:val="18"/>
                <w:szCs w:val="18"/>
                <w:lang w:eastAsia="en-US"/>
              </w:rPr>
            </w:pPr>
            <w:r w:rsidRPr="007D17C5">
              <w:rPr>
                <w:rFonts w:cs="Arial"/>
                <w:b/>
                <w:bCs/>
                <w:color w:val="FFFFFF" w:themeColor="background1"/>
                <w:sz w:val="18"/>
                <w:szCs w:val="18"/>
                <w:lang w:eastAsia="en-US"/>
              </w:rPr>
              <w:t>(n)</w:t>
            </w:r>
          </w:p>
        </w:tc>
        <w:tc>
          <w:tcPr>
            <w:tcW w:w="1890" w:type="dxa"/>
            <w:tcBorders>
              <w:top w:val="single" w:sz="8" w:space="0" w:color="auto"/>
              <w:left w:val="nil"/>
              <w:bottom w:val="single" w:sz="8" w:space="0" w:color="auto"/>
              <w:right w:val="single" w:sz="8" w:space="0" w:color="auto"/>
            </w:tcBorders>
            <w:shd w:val="clear" w:color="auto" w:fill="9BBB59"/>
            <w:vAlign w:val="bottom"/>
          </w:tcPr>
          <w:p w:rsidR="00892168" w:rsidRPr="007D17C5" w:rsidRDefault="00892168" w:rsidP="001F7B48">
            <w:pPr>
              <w:spacing w:before="0"/>
              <w:ind w:left="0"/>
              <w:jc w:val="center"/>
              <w:rPr>
                <w:rFonts w:eastAsia="Calibri" w:cs="Arial"/>
                <w:b/>
                <w:color w:val="FFFFFF" w:themeColor="background1"/>
                <w:sz w:val="18"/>
                <w:szCs w:val="18"/>
                <w:lang w:eastAsia="en-US"/>
              </w:rPr>
            </w:pPr>
            <w:r w:rsidRPr="007D17C5">
              <w:rPr>
                <w:rFonts w:eastAsia="Calibri" w:cs="Arial"/>
                <w:b/>
                <w:color w:val="FFFFFF" w:themeColor="background1"/>
                <w:sz w:val="18"/>
                <w:szCs w:val="18"/>
                <w:lang w:eastAsia="en-US"/>
              </w:rPr>
              <w:t>Eligible population</w:t>
            </w:r>
          </w:p>
          <w:p w:rsidR="00892168" w:rsidRPr="007D17C5" w:rsidRDefault="00892168" w:rsidP="001F7B48">
            <w:pPr>
              <w:spacing w:before="0"/>
              <w:ind w:left="0"/>
              <w:jc w:val="center"/>
              <w:rPr>
                <w:rFonts w:eastAsia="Calibri" w:cs="Arial"/>
                <w:b/>
                <w:color w:val="FFFFFF" w:themeColor="background1"/>
                <w:sz w:val="18"/>
                <w:szCs w:val="18"/>
                <w:lang w:eastAsia="en-US"/>
              </w:rPr>
            </w:pPr>
            <w:r w:rsidRPr="007D17C5">
              <w:rPr>
                <w:rFonts w:eastAsia="Calibri" w:cs="Arial"/>
                <w:b/>
                <w:color w:val="FFFFFF" w:themeColor="background1"/>
                <w:sz w:val="18"/>
                <w:szCs w:val="18"/>
                <w:lang w:eastAsia="en-US"/>
              </w:rPr>
              <w:t>(N)</w:t>
            </w:r>
          </w:p>
        </w:tc>
        <w:tc>
          <w:tcPr>
            <w:tcW w:w="1890" w:type="dxa"/>
            <w:tcBorders>
              <w:top w:val="single" w:sz="8" w:space="0" w:color="auto"/>
              <w:left w:val="single" w:sz="8" w:space="0" w:color="auto"/>
              <w:bottom w:val="single" w:sz="8" w:space="0" w:color="auto"/>
              <w:right w:val="single" w:sz="8" w:space="0" w:color="auto"/>
            </w:tcBorders>
            <w:shd w:val="clear" w:color="auto" w:fill="9BBB59"/>
            <w:vAlign w:val="bottom"/>
          </w:tcPr>
          <w:p w:rsidR="00892168" w:rsidRPr="007D17C5" w:rsidRDefault="00892168" w:rsidP="001F7B48">
            <w:pPr>
              <w:spacing w:before="0"/>
              <w:ind w:left="0"/>
              <w:jc w:val="center"/>
              <w:rPr>
                <w:rFonts w:eastAsia="Calibri" w:cs="Arial"/>
                <w:b/>
                <w:color w:val="FFFFFF" w:themeColor="background1"/>
                <w:sz w:val="18"/>
                <w:szCs w:val="18"/>
                <w:lang w:eastAsia="en-US"/>
              </w:rPr>
            </w:pPr>
            <w:r w:rsidRPr="007D17C5">
              <w:rPr>
                <w:rFonts w:eastAsia="Calibri" w:cs="Arial"/>
                <w:b/>
                <w:color w:val="FFFFFF" w:themeColor="background1"/>
                <w:sz w:val="18"/>
                <w:szCs w:val="18"/>
                <w:lang w:eastAsia="en-US"/>
              </w:rPr>
              <w:t>Response rate</w:t>
            </w:r>
          </w:p>
          <w:p w:rsidR="00892168" w:rsidRPr="007D17C5" w:rsidRDefault="00892168" w:rsidP="001F7B48">
            <w:pPr>
              <w:spacing w:before="0"/>
              <w:ind w:left="0"/>
              <w:jc w:val="center"/>
              <w:rPr>
                <w:rFonts w:eastAsia="Calibri" w:cs="Arial"/>
                <w:b/>
                <w:color w:val="FFFFFF" w:themeColor="background1"/>
                <w:sz w:val="18"/>
                <w:szCs w:val="18"/>
                <w:lang w:eastAsia="en-US"/>
              </w:rPr>
            </w:pPr>
            <w:r w:rsidRPr="007D17C5">
              <w:rPr>
                <w:rFonts w:eastAsia="Calibri" w:cs="Arial"/>
                <w:b/>
                <w:color w:val="FFFFFF" w:themeColor="background1"/>
                <w:sz w:val="18"/>
                <w:szCs w:val="18"/>
                <w:lang w:eastAsia="en-US"/>
              </w:rPr>
              <w:t>(%)</w:t>
            </w:r>
          </w:p>
        </w:tc>
      </w:tr>
      <w:tr w:rsidR="00892168" w:rsidRPr="00A113D0">
        <w:trPr>
          <w:trHeight w:val="270"/>
        </w:trPr>
        <w:tc>
          <w:tcPr>
            <w:tcW w:w="2977" w:type="dxa"/>
            <w:tcBorders>
              <w:top w:val="single" w:sz="8" w:space="0" w:color="auto"/>
              <w:left w:val="single" w:sz="8" w:space="0" w:color="auto"/>
              <w:right w:val="single" w:sz="8" w:space="0" w:color="auto"/>
            </w:tcBorders>
            <w:shd w:val="clear" w:color="auto" w:fill="auto"/>
            <w:noWrap/>
            <w:vAlign w:val="bottom"/>
          </w:tcPr>
          <w:p w:rsidR="00892168" w:rsidRPr="00A113D0" w:rsidRDefault="00892168" w:rsidP="001F7B48">
            <w:pPr>
              <w:spacing w:before="0"/>
              <w:ind w:left="0"/>
              <w:rPr>
                <w:rFonts w:cs="Arial"/>
                <w:sz w:val="18"/>
                <w:szCs w:val="18"/>
                <w:lang w:eastAsia="en-US"/>
              </w:rPr>
            </w:pPr>
            <w:r w:rsidRPr="00A113D0">
              <w:rPr>
                <w:rFonts w:cs="Arial"/>
                <w:sz w:val="18"/>
                <w:szCs w:val="18"/>
                <w:lang w:eastAsia="en-US"/>
              </w:rPr>
              <w:t>General practitioners</w:t>
            </w:r>
          </w:p>
        </w:tc>
        <w:tc>
          <w:tcPr>
            <w:tcW w:w="1890" w:type="dxa"/>
            <w:tcBorders>
              <w:top w:val="single" w:sz="8" w:space="0" w:color="auto"/>
              <w:left w:val="nil"/>
              <w:right w:val="single" w:sz="8" w:space="0" w:color="auto"/>
            </w:tcBorders>
            <w:shd w:val="clear" w:color="auto" w:fill="FFFFFF"/>
            <w:vAlign w:val="bottom"/>
          </w:tcPr>
          <w:p w:rsidR="00892168" w:rsidRPr="004E7A4C" w:rsidRDefault="00892168" w:rsidP="001F7B48">
            <w:pPr>
              <w:spacing w:before="0"/>
              <w:ind w:left="0"/>
              <w:jc w:val="center"/>
              <w:rPr>
                <w:rFonts w:cs="Arial"/>
                <w:sz w:val="18"/>
                <w:szCs w:val="18"/>
                <w:lang w:eastAsia="en-US"/>
              </w:rPr>
            </w:pPr>
            <w:r w:rsidRPr="004E7A4C">
              <w:rPr>
                <w:rFonts w:cs="Arial"/>
                <w:sz w:val="18"/>
                <w:szCs w:val="18"/>
                <w:lang w:eastAsia="en-US"/>
              </w:rPr>
              <w:t>80</w:t>
            </w:r>
          </w:p>
        </w:tc>
        <w:tc>
          <w:tcPr>
            <w:tcW w:w="1890" w:type="dxa"/>
            <w:tcBorders>
              <w:top w:val="single" w:sz="8" w:space="0" w:color="auto"/>
              <w:left w:val="nil"/>
              <w:right w:val="single" w:sz="8" w:space="0" w:color="auto"/>
            </w:tcBorders>
            <w:shd w:val="clear" w:color="auto" w:fill="FFFFFF"/>
            <w:vAlign w:val="bottom"/>
          </w:tcPr>
          <w:p w:rsidR="00892168" w:rsidRPr="0039741F" w:rsidRDefault="00892168" w:rsidP="001F7B48">
            <w:pPr>
              <w:spacing w:before="0"/>
              <w:ind w:left="0"/>
              <w:jc w:val="center"/>
              <w:rPr>
                <w:rFonts w:cs="Arial"/>
                <w:sz w:val="18"/>
                <w:szCs w:val="18"/>
                <w:lang w:eastAsia="en-US"/>
              </w:rPr>
            </w:pPr>
            <w:r w:rsidRPr="0039741F">
              <w:rPr>
                <w:rFonts w:cs="Arial"/>
                <w:sz w:val="18"/>
                <w:szCs w:val="18"/>
                <w:lang w:eastAsia="en-US"/>
              </w:rPr>
              <w:t>328</w:t>
            </w:r>
            <w:r w:rsidRPr="0039741F">
              <w:rPr>
                <w:rFonts w:cs="Arial"/>
                <w:sz w:val="18"/>
                <w:szCs w:val="18"/>
                <w:vertAlign w:val="superscript"/>
                <w:lang w:eastAsia="en-US"/>
              </w:rPr>
              <w:t>#</w:t>
            </w:r>
          </w:p>
        </w:tc>
        <w:tc>
          <w:tcPr>
            <w:tcW w:w="1890" w:type="dxa"/>
            <w:tcBorders>
              <w:top w:val="single" w:sz="8" w:space="0" w:color="auto"/>
              <w:left w:val="single" w:sz="8" w:space="0" w:color="auto"/>
              <w:right w:val="single" w:sz="8" w:space="0" w:color="auto"/>
            </w:tcBorders>
            <w:shd w:val="clear" w:color="auto" w:fill="FFFFFF"/>
            <w:vAlign w:val="bottom"/>
          </w:tcPr>
          <w:p w:rsidR="00892168" w:rsidRPr="0039741F" w:rsidRDefault="00892168" w:rsidP="001F7B48">
            <w:pPr>
              <w:spacing w:before="0"/>
              <w:ind w:left="0"/>
              <w:jc w:val="center"/>
              <w:rPr>
                <w:rFonts w:cs="Arial"/>
                <w:sz w:val="18"/>
                <w:szCs w:val="18"/>
                <w:lang w:eastAsia="en-US"/>
              </w:rPr>
            </w:pPr>
            <w:r w:rsidRPr="0039741F">
              <w:rPr>
                <w:rFonts w:cs="Arial"/>
                <w:sz w:val="18"/>
                <w:szCs w:val="18"/>
                <w:lang w:eastAsia="en-US"/>
              </w:rPr>
              <w:t>24</w:t>
            </w:r>
          </w:p>
        </w:tc>
      </w:tr>
      <w:tr w:rsidR="00892168" w:rsidRPr="00A113D0">
        <w:trPr>
          <w:trHeight w:val="270"/>
        </w:trPr>
        <w:tc>
          <w:tcPr>
            <w:tcW w:w="2977" w:type="dxa"/>
            <w:tcBorders>
              <w:left w:val="single" w:sz="8" w:space="0" w:color="auto"/>
              <w:right w:val="single" w:sz="8" w:space="0" w:color="auto"/>
            </w:tcBorders>
            <w:shd w:val="clear" w:color="auto" w:fill="auto"/>
            <w:noWrap/>
            <w:vAlign w:val="bottom"/>
          </w:tcPr>
          <w:p w:rsidR="00892168" w:rsidRPr="00A113D0" w:rsidRDefault="00892168" w:rsidP="001F7B48">
            <w:pPr>
              <w:spacing w:before="0"/>
              <w:ind w:left="0"/>
              <w:rPr>
                <w:rFonts w:cs="Arial"/>
                <w:sz w:val="18"/>
                <w:szCs w:val="18"/>
                <w:lang w:eastAsia="en-US"/>
              </w:rPr>
            </w:pPr>
            <w:r w:rsidRPr="00A113D0">
              <w:rPr>
                <w:rFonts w:cs="Arial"/>
                <w:sz w:val="18"/>
                <w:szCs w:val="18"/>
                <w:lang w:eastAsia="en-US"/>
              </w:rPr>
              <w:t>Practice nurses</w:t>
            </w:r>
          </w:p>
        </w:tc>
        <w:tc>
          <w:tcPr>
            <w:tcW w:w="1890" w:type="dxa"/>
            <w:tcBorders>
              <w:left w:val="nil"/>
              <w:right w:val="single" w:sz="8" w:space="0" w:color="auto"/>
            </w:tcBorders>
            <w:shd w:val="clear" w:color="auto" w:fill="FFFFFF"/>
            <w:vAlign w:val="bottom"/>
          </w:tcPr>
          <w:p w:rsidR="00892168" w:rsidRPr="004E7A4C" w:rsidRDefault="00892168" w:rsidP="001F7B48">
            <w:pPr>
              <w:spacing w:before="0"/>
              <w:ind w:left="0"/>
              <w:jc w:val="center"/>
              <w:rPr>
                <w:rFonts w:cs="Arial"/>
                <w:sz w:val="18"/>
                <w:szCs w:val="18"/>
                <w:lang w:eastAsia="en-US"/>
              </w:rPr>
            </w:pPr>
            <w:r w:rsidRPr="004E7A4C">
              <w:rPr>
                <w:rFonts w:cs="Arial"/>
                <w:sz w:val="18"/>
                <w:szCs w:val="18"/>
                <w:lang w:eastAsia="en-US"/>
              </w:rPr>
              <w:t>72</w:t>
            </w:r>
          </w:p>
        </w:tc>
        <w:tc>
          <w:tcPr>
            <w:tcW w:w="1890" w:type="dxa"/>
            <w:tcBorders>
              <w:left w:val="nil"/>
              <w:right w:val="single" w:sz="8" w:space="0" w:color="auto"/>
            </w:tcBorders>
            <w:shd w:val="clear" w:color="auto" w:fill="FFFFFF"/>
            <w:vAlign w:val="bottom"/>
          </w:tcPr>
          <w:p w:rsidR="00892168" w:rsidRPr="0039741F" w:rsidRDefault="00892168" w:rsidP="001F7B48">
            <w:pPr>
              <w:spacing w:before="0"/>
              <w:ind w:left="0"/>
              <w:jc w:val="center"/>
              <w:rPr>
                <w:rFonts w:cs="Arial"/>
                <w:sz w:val="18"/>
                <w:szCs w:val="18"/>
                <w:lang w:eastAsia="en-US"/>
              </w:rPr>
            </w:pPr>
            <w:r w:rsidRPr="0039741F">
              <w:rPr>
                <w:rFonts w:cs="Arial"/>
                <w:sz w:val="18"/>
                <w:szCs w:val="18"/>
                <w:lang w:eastAsia="en-US"/>
              </w:rPr>
              <w:t>404</w:t>
            </w:r>
            <w:r w:rsidRPr="0039741F">
              <w:rPr>
                <w:rFonts w:cs="Arial"/>
                <w:sz w:val="18"/>
                <w:szCs w:val="18"/>
                <w:vertAlign w:val="superscript"/>
                <w:lang w:eastAsia="en-US"/>
              </w:rPr>
              <w:t>#</w:t>
            </w:r>
          </w:p>
        </w:tc>
        <w:tc>
          <w:tcPr>
            <w:tcW w:w="1890" w:type="dxa"/>
            <w:tcBorders>
              <w:left w:val="single" w:sz="8" w:space="0" w:color="auto"/>
              <w:right w:val="single" w:sz="8" w:space="0" w:color="auto"/>
            </w:tcBorders>
            <w:shd w:val="clear" w:color="auto" w:fill="FFFFFF"/>
            <w:vAlign w:val="bottom"/>
          </w:tcPr>
          <w:p w:rsidR="00892168" w:rsidRPr="0039741F" w:rsidRDefault="00892168" w:rsidP="001F7B48">
            <w:pPr>
              <w:spacing w:before="0"/>
              <w:ind w:left="0"/>
              <w:jc w:val="center"/>
              <w:rPr>
                <w:rFonts w:cs="Arial"/>
                <w:sz w:val="18"/>
                <w:szCs w:val="18"/>
                <w:lang w:eastAsia="en-US"/>
              </w:rPr>
            </w:pPr>
            <w:r w:rsidRPr="0039741F">
              <w:rPr>
                <w:rFonts w:cs="Arial"/>
                <w:sz w:val="18"/>
                <w:szCs w:val="18"/>
                <w:lang w:eastAsia="en-US"/>
              </w:rPr>
              <w:t>18</w:t>
            </w:r>
          </w:p>
        </w:tc>
      </w:tr>
      <w:tr w:rsidR="00892168" w:rsidRPr="00A113D0">
        <w:trPr>
          <w:trHeight w:val="270"/>
        </w:trPr>
        <w:tc>
          <w:tcPr>
            <w:tcW w:w="2977" w:type="dxa"/>
            <w:tcBorders>
              <w:left w:val="single" w:sz="8" w:space="0" w:color="auto"/>
              <w:right w:val="single" w:sz="8" w:space="0" w:color="auto"/>
            </w:tcBorders>
            <w:shd w:val="clear" w:color="auto" w:fill="auto"/>
            <w:noWrap/>
            <w:vAlign w:val="bottom"/>
          </w:tcPr>
          <w:p w:rsidR="00892168" w:rsidRPr="00A113D0" w:rsidRDefault="00892168" w:rsidP="001F7B48">
            <w:pPr>
              <w:spacing w:before="0"/>
              <w:ind w:left="0"/>
              <w:rPr>
                <w:rFonts w:cs="Arial"/>
                <w:sz w:val="18"/>
                <w:szCs w:val="18"/>
                <w:lang w:eastAsia="en-US"/>
              </w:rPr>
            </w:pPr>
            <w:r w:rsidRPr="00A113D0">
              <w:rPr>
                <w:rFonts w:cs="Arial"/>
                <w:sz w:val="18"/>
                <w:szCs w:val="18"/>
                <w:lang w:eastAsia="en-US"/>
              </w:rPr>
              <w:t>Other general practice staff*</w:t>
            </w:r>
          </w:p>
        </w:tc>
        <w:tc>
          <w:tcPr>
            <w:tcW w:w="1890" w:type="dxa"/>
            <w:tcBorders>
              <w:left w:val="nil"/>
              <w:right w:val="single" w:sz="8" w:space="0" w:color="auto"/>
            </w:tcBorders>
            <w:shd w:val="clear" w:color="auto" w:fill="FFFFFF"/>
            <w:vAlign w:val="bottom"/>
          </w:tcPr>
          <w:p w:rsidR="00892168" w:rsidRPr="004E7A4C" w:rsidRDefault="00892168" w:rsidP="001F7B48">
            <w:pPr>
              <w:spacing w:before="0"/>
              <w:ind w:left="0"/>
              <w:jc w:val="center"/>
              <w:rPr>
                <w:rFonts w:cs="Arial"/>
                <w:sz w:val="18"/>
                <w:szCs w:val="18"/>
                <w:lang w:eastAsia="en-US"/>
              </w:rPr>
            </w:pPr>
            <w:r w:rsidRPr="004E7A4C">
              <w:rPr>
                <w:rFonts w:cs="Arial"/>
                <w:sz w:val="18"/>
                <w:szCs w:val="18"/>
                <w:lang w:eastAsia="en-US"/>
              </w:rPr>
              <w:t>26</w:t>
            </w:r>
          </w:p>
        </w:tc>
        <w:tc>
          <w:tcPr>
            <w:tcW w:w="1890" w:type="dxa"/>
            <w:tcBorders>
              <w:left w:val="nil"/>
              <w:right w:val="single" w:sz="8" w:space="0" w:color="auto"/>
            </w:tcBorders>
            <w:shd w:val="clear" w:color="auto" w:fill="FFFFFF"/>
            <w:vAlign w:val="bottom"/>
          </w:tcPr>
          <w:p w:rsidR="00892168" w:rsidRPr="004E7A4C" w:rsidRDefault="00892168" w:rsidP="001F7B48">
            <w:pPr>
              <w:spacing w:before="0"/>
              <w:ind w:left="0"/>
              <w:jc w:val="center"/>
              <w:rPr>
                <w:rFonts w:cs="Arial"/>
                <w:sz w:val="18"/>
                <w:szCs w:val="18"/>
                <w:lang w:eastAsia="en-US"/>
              </w:rPr>
            </w:pPr>
            <w:r w:rsidRPr="004E7A4C">
              <w:rPr>
                <w:rFonts w:cs="Arial"/>
                <w:sz w:val="18"/>
                <w:szCs w:val="18"/>
                <w:lang w:eastAsia="en-US"/>
              </w:rPr>
              <w:t>–</w:t>
            </w:r>
          </w:p>
        </w:tc>
        <w:tc>
          <w:tcPr>
            <w:tcW w:w="1890" w:type="dxa"/>
            <w:tcBorders>
              <w:left w:val="single" w:sz="8" w:space="0" w:color="auto"/>
              <w:right w:val="single" w:sz="8" w:space="0" w:color="auto"/>
            </w:tcBorders>
            <w:shd w:val="clear" w:color="auto" w:fill="FFFFFF"/>
            <w:vAlign w:val="bottom"/>
          </w:tcPr>
          <w:p w:rsidR="00892168" w:rsidRPr="004E7A4C" w:rsidRDefault="00892168" w:rsidP="001F7B48">
            <w:pPr>
              <w:spacing w:before="0"/>
              <w:ind w:left="0"/>
              <w:jc w:val="center"/>
              <w:rPr>
                <w:rFonts w:cs="Arial"/>
                <w:sz w:val="18"/>
                <w:szCs w:val="18"/>
                <w:lang w:eastAsia="en-US"/>
              </w:rPr>
            </w:pPr>
            <w:r w:rsidRPr="004E7A4C">
              <w:rPr>
                <w:rFonts w:cs="Arial"/>
                <w:sz w:val="18"/>
                <w:szCs w:val="18"/>
                <w:lang w:eastAsia="en-US"/>
              </w:rPr>
              <w:t>–</w:t>
            </w:r>
          </w:p>
        </w:tc>
      </w:tr>
      <w:tr w:rsidR="00892168" w:rsidRPr="00A113D0">
        <w:trPr>
          <w:trHeight w:val="270"/>
        </w:trPr>
        <w:tc>
          <w:tcPr>
            <w:tcW w:w="2977" w:type="dxa"/>
            <w:tcBorders>
              <w:left w:val="single" w:sz="8" w:space="0" w:color="auto"/>
              <w:right w:val="single" w:sz="8" w:space="0" w:color="auto"/>
            </w:tcBorders>
            <w:shd w:val="clear" w:color="auto" w:fill="auto"/>
            <w:noWrap/>
            <w:vAlign w:val="bottom"/>
          </w:tcPr>
          <w:p w:rsidR="00892168" w:rsidRPr="00A113D0" w:rsidRDefault="00892168" w:rsidP="001F7B48">
            <w:pPr>
              <w:spacing w:before="0"/>
              <w:ind w:left="0"/>
              <w:rPr>
                <w:rFonts w:cs="Arial"/>
                <w:sz w:val="18"/>
                <w:szCs w:val="18"/>
                <w:lang w:eastAsia="en-US"/>
              </w:rPr>
            </w:pPr>
            <w:r w:rsidRPr="00A113D0">
              <w:rPr>
                <w:rFonts w:cs="Arial"/>
                <w:sz w:val="18"/>
                <w:szCs w:val="18"/>
                <w:lang w:eastAsia="en-US"/>
              </w:rPr>
              <w:t>Endoscopy staff</w:t>
            </w:r>
          </w:p>
        </w:tc>
        <w:tc>
          <w:tcPr>
            <w:tcW w:w="1890" w:type="dxa"/>
            <w:tcBorders>
              <w:left w:val="nil"/>
              <w:right w:val="single" w:sz="8" w:space="0" w:color="auto"/>
            </w:tcBorders>
            <w:shd w:val="clear" w:color="auto" w:fill="FFFFFF"/>
            <w:vAlign w:val="bottom"/>
          </w:tcPr>
          <w:p w:rsidR="00892168" w:rsidRPr="004E7A4C" w:rsidRDefault="00892168" w:rsidP="001F7B48">
            <w:pPr>
              <w:spacing w:before="0"/>
              <w:ind w:left="0"/>
              <w:jc w:val="center"/>
              <w:rPr>
                <w:rFonts w:cs="Arial"/>
                <w:sz w:val="18"/>
                <w:szCs w:val="18"/>
                <w:lang w:eastAsia="en-US"/>
              </w:rPr>
            </w:pPr>
            <w:r w:rsidRPr="004E7A4C">
              <w:rPr>
                <w:rFonts w:cs="Arial"/>
                <w:sz w:val="18"/>
                <w:szCs w:val="18"/>
                <w:lang w:eastAsia="en-US"/>
              </w:rPr>
              <w:t>18</w:t>
            </w:r>
          </w:p>
        </w:tc>
        <w:tc>
          <w:tcPr>
            <w:tcW w:w="1890" w:type="dxa"/>
            <w:tcBorders>
              <w:left w:val="nil"/>
              <w:right w:val="single" w:sz="8" w:space="0" w:color="auto"/>
            </w:tcBorders>
            <w:shd w:val="clear" w:color="auto" w:fill="FFFFFF"/>
            <w:vAlign w:val="bottom"/>
          </w:tcPr>
          <w:p w:rsidR="00892168" w:rsidRPr="004E7A4C" w:rsidRDefault="00892168" w:rsidP="001F7B48">
            <w:pPr>
              <w:spacing w:before="0"/>
              <w:ind w:left="0"/>
              <w:jc w:val="center"/>
              <w:rPr>
                <w:rFonts w:cs="Arial"/>
                <w:sz w:val="18"/>
                <w:szCs w:val="18"/>
                <w:lang w:eastAsia="en-US"/>
              </w:rPr>
            </w:pPr>
            <w:r w:rsidRPr="004E7A4C">
              <w:rPr>
                <w:rFonts w:cs="Arial"/>
                <w:sz w:val="18"/>
                <w:szCs w:val="18"/>
                <w:lang w:eastAsia="en-US"/>
              </w:rPr>
              <w:t>26</w:t>
            </w:r>
          </w:p>
        </w:tc>
        <w:tc>
          <w:tcPr>
            <w:tcW w:w="1890" w:type="dxa"/>
            <w:tcBorders>
              <w:left w:val="single" w:sz="8" w:space="0" w:color="auto"/>
              <w:right w:val="single" w:sz="8" w:space="0" w:color="auto"/>
            </w:tcBorders>
            <w:shd w:val="clear" w:color="auto" w:fill="FFFFFF"/>
            <w:vAlign w:val="bottom"/>
          </w:tcPr>
          <w:p w:rsidR="00892168" w:rsidRPr="004E7A4C" w:rsidRDefault="00892168" w:rsidP="001F7B48">
            <w:pPr>
              <w:spacing w:before="0"/>
              <w:ind w:left="0"/>
              <w:jc w:val="center"/>
              <w:rPr>
                <w:rFonts w:cs="Arial"/>
                <w:sz w:val="18"/>
                <w:szCs w:val="18"/>
                <w:lang w:eastAsia="en-US"/>
              </w:rPr>
            </w:pPr>
            <w:r w:rsidRPr="004E7A4C">
              <w:rPr>
                <w:rFonts w:cs="Arial"/>
                <w:sz w:val="18"/>
                <w:szCs w:val="18"/>
                <w:lang w:eastAsia="en-US"/>
              </w:rPr>
              <w:t>69</w:t>
            </w:r>
          </w:p>
        </w:tc>
      </w:tr>
      <w:tr w:rsidR="00892168" w:rsidRPr="00A113D0">
        <w:trPr>
          <w:trHeight w:val="270"/>
        </w:trPr>
        <w:tc>
          <w:tcPr>
            <w:tcW w:w="2977" w:type="dxa"/>
            <w:tcBorders>
              <w:left w:val="single" w:sz="8" w:space="0" w:color="auto"/>
              <w:bottom w:val="single" w:sz="8" w:space="0" w:color="auto"/>
              <w:right w:val="single" w:sz="8" w:space="0" w:color="auto"/>
            </w:tcBorders>
            <w:shd w:val="clear" w:color="auto" w:fill="auto"/>
            <w:noWrap/>
            <w:vAlign w:val="bottom"/>
          </w:tcPr>
          <w:p w:rsidR="00892168" w:rsidRPr="00A113D0" w:rsidRDefault="00892168" w:rsidP="001F7B48">
            <w:pPr>
              <w:spacing w:before="0"/>
              <w:ind w:left="0"/>
              <w:rPr>
                <w:rFonts w:cs="Arial"/>
                <w:sz w:val="18"/>
                <w:szCs w:val="18"/>
                <w:lang w:eastAsia="en-US"/>
              </w:rPr>
            </w:pPr>
            <w:r w:rsidRPr="00A113D0">
              <w:rPr>
                <w:rFonts w:cs="Arial"/>
                <w:sz w:val="18"/>
                <w:szCs w:val="18"/>
                <w:lang w:eastAsia="en-US"/>
              </w:rPr>
              <w:t>Radiology staff</w:t>
            </w:r>
          </w:p>
        </w:tc>
        <w:tc>
          <w:tcPr>
            <w:tcW w:w="1890" w:type="dxa"/>
            <w:tcBorders>
              <w:left w:val="nil"/>
              <w:bottom w:val="single" w:sz="8" w:space="0" w:color="auto"/>
              <w:right w:val="single" w:sz="8" w:space="0" w:color="auto"/>
            </w:tcBorders>
            <w:shd w:val="clear" w:color="auto" w:fill="FFFFFF"/>
            <w:vAlign w:val="bottom"/>
          </w:tcPr>
          <w:p w:rsidR="00892168" w:rsidRPr="004E7A4C" w:rsidRDefault="00892168" w:rsidP="001F7B48">
            <w:pPr>
              <w:spacing w:before="0"/>
              <w:ind w:left="0"/>
              <w:jc w:val="center"/>
              <w:rPr>
                <w:rFonts w:cs="Arial"/>
                <w:sz w:val="18"/>
                <w:szCs w:val="18"/>
                <w:lang w:eastAsia="en-US"/>
              </w:rPr>
            </w:pPr>
            <w:r w:rsidRPr="004E7A4C">
              <w:rPr>
                <w:rFonts w:cs="Arial"/>
                <w:sz w:val="18"/>
                <w:szCs w:val="18"/>
                <w:lang w:eastAsia="en-US"/>
              </w:rPr>
              <w:t>24</w:t>
            </w:r>
          </w:p>
        </w:tc>
        <w:tc>
          <w:tcPr>
            <w:tcW w:w="1890" w:type="dxa"/>
            <w:tcBorders>
              <w:left w:val="nil"/>
              <w:bottom w:val="single" w:sz="8" w:space="0" w:color="auto"/>
              <w:right w:val="single" w:sz="8" w:space="0" w:color="auto"/>
            </w:tcBorders>
            <w:shd w:val="clear" w:color="auto" w:fill="FFFFFF"/>
            <w:vAlign w:val="bottom"/>
          </w:tcPr>
          <w:p w:rsidR="00892168" w:rsidRPr="004E7A4C" w:rsidRDefault="00892168" w:rsidP="001F7B48">
            <w:pPr>
              <w:spacing w:before="0"/>
              <w:ind w:left="0"/>
              <w:jc w:val="center"/>
              <w:rPr>
                <w:rFonts w:cs="Arial"/>
                <w:sz w:val="18"/>
                <w:szCs w:val="18"/>
                <w:lang w:eastAsia="en-US"/>
              </w:rPr>
            </w:pPr>
            <w:r w:rsidRPr="004E7A4C">
              <w:rPr>
                <w:rFonts w:cs="Arial"/>
                <w:sz w:val="18"/>
                <w:szCs w:val="18"/>
                <w:lang w:eastAsia="en-US"/>
              </w:rPr>
              <w:t>47</w:t>
            </w:r>
          </w:p>
        </w:tc>
        <w:tc>
          <w:tcPr>
            <w:tcW w:w="1890" w:type="dxa"/>
            <w:tcBorders>
              <w:left w:val="single" w:sz="8" w:space="0" w:color="auto"/>
              <w:bottom w:val="single" w:sz="8" w:space="0" w:color="auto"/>
              <w:right w:val="single" w:sz="8" w:space="0" w:color="auto"/>
            </w:tcBorders>
            <w:shd w:val="clear" w:color="auto" w:fill="FFFFFF"/>
            <w:vAlign w:val="bottom"/>
          </w:tcPr>
          <w:p w:rsidR="00892168" w:rsidRPr="004E7A4C" w:rsidRDefault="0032656F" w:rsidP="001F7B48">
            <w:pPr>
              <w:spacing w:before="0"/>
              <w:ind w:left="0"/>
              <w:jc w:val="center"/>
              <w:rPr>
                <w:rFonts w:cs="Arial"/>
                <w:sz w:val="18"/>
                <w:szCs w:val="18"/>
                <w:lang w:eastAsia="en-US"/>
              </w:rPr>
            </w:pPr>
            <w:r>
              <w:rPr>
                <w:rFonts w:cs="Arial"/>
                <w:sz w:val="18"/>
                <w:szCs w:val="18"/>
                <w:lang w:eastAsia="en-US"/>
              </w:rPr>
              <w:t>51</w:t>
            </w:r>
          </w:p>
        </w:tc>
      </w:tr>
    </w:tbl>
    <w:p w:rsidR="00892168" w:rsidRPr="005740D9" w:rsidRDefault="00892168" w:rsidP="005740D9">
      <w:pPr>
        <w:spacing w:before="0"/>
        <w:rPr>
          <w:sz w:val="20"/>
          <w:vertAlign w:val="superscript"/>
        </w:rPr>
      </w:pPr>
      <w:r w:rsidRPr="005740D9">
        <w:rPr>
          <w:sz w:val="20"/>
          <w:vertAlign w:val="superscript"/>
        </w:rPr>
        <w:t xml:space="preserve"># Figure based on PHO estimates </w:t>
      </w:r>
    </w:p>
    <w:p w:rsidR="00892168" w:rsidRPr="005740D9" w:rsidRDefault="00892168" w:rsidP="005740D9">
      <w:pPr>
        <w:spacing w:before="0"/>
        <w:rPr>
          <w:sz w:val="20"/>
          <w:vertAlign w:val="superscript"/>
        </w:rPr>
      </w:pPr>
      <w:r w:rsidRPr="005740D9">
        <w:rPr>
          <w:sz w:val="20"/>
          <w:vertAlign w:val="superscript"/>
        </w:rPr>
        <w:t>* Other general practice staff were combined with the practice nurse sample for analysis</w:t>
      </w:r>
    </w:p>
    <w:p w:rsidR="00892168" w:rsidRPr="00154145" w:rsidRDefault="00892168" w:rsidP="00E36046">
      <w:pPr>
        <w:rPr>
          <w:lang w:eastAsia="ar-SA"/>
        </w:rPr>
      </w:pPr>
      <w:r w:rsidRPr="00A113D0">
        <w:rPr>
          <w:lang w:eastAsia="ar-SA"/>
        </w:rPr>
        <w:t xml:space="preserve">Data were analysed by provider group. </w:t>
      </w:r>
      <w:r>
        <w:rPr>
          <w:lang w:eastAsia="ar-SA"/>
        </w:rPr>
        <w:t xml:space="preserve"> </w:t>
      </w:r>
      <w:r w:rsidRPr="00A113D0">
        <w:rPr>
          <w:lang w:eastAsia="ar-SA"/>
        </w:rPr>
        <w:t xml:space="preserve">The small numbers overall and for particular provider groups prevented detailed analysis due to statistical limitations in making comparisons with small numbers. </w:t>
      </w:r>
    </w:p>
    <w:p w:rsidR="00892168" w:rsidRDefault="00892168" w:rsidP="00E36046">
      <w:pPr>
        <w:rPr>
          <w:lang w:eastAsia="ar-SA"/>
        </w:rPr>
      </w:pPr>
      <w:r w:rsidRPr="001F0DF7">
        <w:rPr>
          <w:lang w:eastAsia="ar-SA"/>
        </w:rPr>
        <w:t>Comparisons</w:t>
      </w:r>
      <w:r w:rsidRPr="000204AE">
        <w:rPr>
          <w:lang w:eastAsia="ar-SA"/>
        </w:rPr>
        <w:t xml:space="preserve"> have been made between the results in the 2013 follow-up provider survey and the 2011 baseline provider survey. Significant differences noted for </w:t>
      </w:r>
      <w:r w:rsidRPr="001B7215">
        <w:rPr>
          <w:lang w:eastAsia="ar-SA"/>
        </w:rPr>
        <w:t>endoscopy staff and radiology staff should be treated as indicative only due to th</w:t>
      </w:r>
      <w:r>
        <w:rPr>
          <w:lang w:eastAsia="ar-SA"/>
        </w:rPr>
        <w:t>eir small sub-sample sizes.</w:t>
      </w:r>
    </w:p>
    <w:p w:rsidR="00892168" w:rsidRPr="00453F78" w:rsidRDefault="00892168" w:rsidP="00456366">
      <w:pPr>
        <w:keepNext/>
        <w:keepLines/>
        <w:autoSpaceDE w:val="0"/>
        <w:autoSpaceDN w:val="0"/>
        <w:adjustRightInd w:val="0"/>
        <w:rPr>
          <w:b/>
        </w:rPr>
      </w:pPr>
      <w:r w:rsidRPr="00456366">
        <w:rPr>
          <w:b/>
        </w:rPr>
        <w:t xml:space="preserve">The 2012 and 2013 immersion visit </w:t>
      </w:r>
      <w:r w:rsidR="0032656F" w:rsidRPr="00456366">
        <w:rPr>
          <w:b/>
        </w:rPr>
        <w:t xml:space="preserve">reports </w:t>
      </w:r>
      <w:r w:rsidR="0032656F" w:rsidRPr="00456366">
        <w:t>(Litmus 2013a</w:t>
      </w:r>
      <w:r w:rsidR="00456366">
        <w:t>,</w:t>
      </w:r>
      <w:r w:rsidR="0032656F" w:rsidRPr="00456366">
        <w:t xml:space="preserve"> 2014)</w:t>
      </w:r>
    </w:p>
    <w:p w:rsidR="00892168" w:rsidRPr="00070D19" w:rsidRDefault="00892168" w:rsidP="00456366">
      <w:pPr>
        <w:spacing w:before="120"/>
        <w:rPr>
          <w:rFonts w:cs="Arial"/>
        </w:rPr>
      </w:pPr>
      <w:r>
        <w:t xml:space="preserve">In September 2012, an immersion visit was undertaken to gain a detailed understanding of the early implementation of the BSP from those who were involved with its design, implementation and day-to-day operations.  Focus was placed on how the BSP was being implemented, what was working well and not so well, and in identifying key process improvements to enhance the BSP, as well as lessons for a national roll-out of a bowel screening programme, should it proceed.  </w:t>
      </w:r>
    </w:p>
    <w:p w:rsidR="00892168" w:rsidRPr="00070D19" w:rsidRDefault="00083BDD" w:rsidP="00E36046">
      <w:pPr>
        <w:rPr>
          <w:rFonts w:cs="Arial"/>
        </w:rPr>
      </w:pPr>
      <w:r>
        <w:t xml:space="preserve">Sixty-two </w:t>
      </w:r>
      <w:r w:rsidR="00892168">
        <w:t>face-to-face, phone interviews and group discussions with providers across the screening pathway were undertaken (including representatives from Ministry of Health, WDHB, LabPLUS, New Zealand Post, Orangebox, Primary Health Organisations (PHOs) and general practices)</w:t>
      </w:r>
      <w:r w:rsidR="00892168" w:rsidRPr="00A113D0">
        <w:t xml:space="preserve">. </w:t>
      </w:r>
      <w:r w:rsidR="00892168">
        <w:t xml:space="preserve"> </w:t>
      </w:r>
    </w:p>
    <w:p w:rsidR="00892168" w:rsidRPr="00070D19" w:rsidRDefault="00892168" w:rsidP="00E36046">
      <w:r>
        <w:t xml:space="preserve">In October 2013, </w:t>
      </w:r>
      <w:bookmarkStart w:id="63" w:name="_Toc319592062"/>
      <w:bookmarkStart w:id="64" w:name="_Toc325492246"/>
      <w:r>
        <w:t xml:space="preserve">a second immersion visit was undertaken which focused on exploring the impact of the BSP on the </w:t>
      </w:r>
      <w:r w:rsidRPr="00A800A0">
        <w:t>investigation, surve</w:t>
      </w:r>
      <w:r>
        <w:t xml:space="preserve">illance and treatment stages, as well as </w:t>
      </w:r>
      <w:r w:rsidRPr="00070D19">
        <w:t>following</w:t>
      </w:r>
      <w:r>
        <w:t xml:space="preserve"> </w:t>
      </w:r>
      <w:r w:rsidRPr="00070D19">
        <w:t>up issues identified in the 2012 immersion visit report (Litmus 2013</w:t>
      </w:r>
      <w:r>
        <w:t>a</w:t>
      </w:r>
      <w:r w:rsidRPr="00070D19">
        <w:t xml:space="preserve">). </w:t>
      </w:r>
    </w:p>
    <w:bookmarkEnd w:id="63"/>
    <w:bookmarkEnd w:id="64"/>
    <w:p w:rsidR="00892168" w:rsidRDefault="00083BDD" w:rsidP="00E36046">
      <w:r>
        <w:t xml:space="preserve">Thirty </w:t>
      </w:r>
      <w:r w:rsidR="00892168" w:rsidRPr="00FD585F">
        <w:t>face-to-face, phone interviews and</w:t>
      </w:r>
      <w:r w:rsidR="00892168">
        <w:t xml:space="preserve"> group discussions with providers across the screening pathway were undertaken (including representatives from Ministry of Health, BSP </w:t>
      </w:r>
      <w:r w:rsidR="00892168" w:rsidRPr="006D0F2A">
        <w:rPr>
          <w:lang w:eastAsia="en-NZ"/>
        </w:rPr>
        <w:t>Coordination Centre</w:t>
      </w:r>
      <w:r w:rsidR="00892168">
        <w:rPr>
          <w:lang w:eastAsia="en-NZ"/>
        </w:rPr>
        <w:t xml:space="preserve">, </w:t>
      </w:r>
      <w:r w:rsidR="009924DB">
        <w:rPr>
          <w:lang w:eastAsia="en-NZ"/>
        </w:rPr>
        <w:t>gastroenterologists</w:t>
      </w:r>
      <w:r w:rsidR="00892168">
        <w:rPr>
          <w:lang w:eastAsia="en-NZ"/>
        </w:rPr>
        <w:t>, CTC</w:t>
      </w:r>
      <w:r w:rsidR="00892168">
        <w:rPr>
          <w:lang w:eastAsia="ar-SA"/>
        </w:rPr>
        <w:t xml:space="preserve">, </w:t>
      </w:r>
      <w:r w:rsidR="008C3DAD">
        <w:rPr>
          <w:lang w:eastAsia="en-NZ"/>
        </w:rPr>
        <w:t>l</w:t>
      </w:r>
      <w:r w:rsidR="00892168" w:rsidRPr="006D0F2A">
        <w:rPr>
          <w:lang w:eastAsia="en-NZ"/>
        </w:rPr>
        <w:t>aboratory</w:t>
      </w:r>
      <w:r w:rsidR="00892168">
        <w:rPr>
          <w:lang w:eastAsia="en-NZ"/>
        </w:rPr>
        <w:t>, endoscopy nurses, BSP colonoscopy s</w:t>
      </w:r>
      <w:r w:rsidR="00892168" w:rsidRPr="00D1180D">
        <w:rPr>
          <w:lang w:eastAsia="en-NZ"/>
        </w:rPr>
        <w:t>urgeons</w:t>
      </w:r>
      <w:r w:rsidR="00892168">
        <w:rPr>
          <w:lang w:eastAsia="en-NZ"/>
        </w:rPr>
        <w:t>, non-BSP colonoscopy s</w:t>
      </w:r>
      <w:r w:rsidR="00892168" w:rsidRPr="00D1180D">
        <w:rPr>
          <w:lang w:eastAsia="en-NZ"/>
        </w:rPr>
        <w:t xml:space="preserve">urgeons who </w:t>
      </w:r>
      <w:r w:rsidR="00892168">
        <w:rPr>
          <w:lang w:eastAsia="en-NZ"/>
        </w:rPr>
        <w:t>do not scope in BSP, oncologist</w:t>
      </w:r>
      <w:r w:rsidR="00892168">
        <w:t>)</w:t>
      </w:r>
      <w:r w:rsidR="00892168" w:rsidRPr="00A113D0">
        <w:t xml:space="preserve">. </w:t>
      </w:r>
      <w:r w:rsidR="00892168">
        <w:t xml:space="preserve"> </w:t>
      </w:r>
    </w:p>
    <w:p w:rsidR="00892168" w:rsidRDefault="00892168" w:rsidP="00E36046">
      <w:r w:rsidRPr="00A1741A">
        <w:rPr>
          <w:rFonts w:cs="Arial"/>
        </w:rPr>
        <w:t xml:space="preserve">All interviews followed an informed consent process. </w:t>
      </w:r>
    </w:p>
    <w:p w:rsidR="00892168" w:rsidRDefault="00892168" w:rsidP="00456366">
      <w:pPr>
        <w:autoSpaceDE w:val="0"/>
        <w:autoSpaceDN w:val="0"/>
        <w:adjustRightInd w:val="0"/>
      </w:pPr>
      <w:r w:rsidRPr="000F63D2">
        <w:rPr>
          <w:b/>
        </w:rPr>
        <w:t>The role of general practice report</w:t>
      </w:r>
      <w:r>
        <w:t xml:space="preserve"> (Litmus 2014c) </w:t>
      </w:r>
    </w:p>
    <w:p w:rsidR="00892168" w:rsidRPr="000F63D2" w:rsidRDefault="00892168" w:rsidP="00456366">
      <w:pPr>
        <w:spacing w:before="120"/>
      </w:pPr>
      <w:r w:rsidRPr="000F63D2">
        <w:t>The</w:t>
      </w:r>
      <w:r w:rsidRPr="000F63D2">
        <w:rPr>
          <w:lang w:val="en-US"/>
        </w:rPr>
        <w:t xml:space="preserve"> role of general practice in informing BSP participants of a positive </w:t>
      </w:r>
      <w:r>
        <w:rPr>
          <w:lang w:val="en-US"/>
        </w:rPr>
        <w:t>iFOBT</w:t>
      </w:r>
      <w:r w:rsidRPr="000F63D2">
        <w:rPr>
          <w:lang w:val="en-US"/>
        </w:rPr>
        <w:t xml:space="preserve"> </w:t>
      </w:r>
      <w:r w:rsidR="005153FF">
        <w:t xml:space="preserve">is an uncommon </w:t>
      </w:r>
      <w:r>
        <w:t xml:space="preserve">element of the BSP.  </w:t>
      </w:r>
      <w:r w:rsidR="0032656F">
        <w:t>F</w:t>
      </w:r>
      <w:r>
        <w:t xml:space="preserve">indings from the first immersion visit (Litmus 2013a) </w:t>
      </w:r>
      <w:r w:rsidR="0032656F">
        <w:t>indicated</w:t>
      </w:r>
      <w:r>
        <w:t xml:space="preserve"> that </w:t>
      </w:r>
      <w:r w:rsidR="0032656F">
        <w:t>although</w:t>
      </w:r>
      <w:r>
        <w:t xml:space="preserve"> </w:t>
      </w:r>
      <w:r w:rsidRPr="000F63D2">
        <w:rPr>
          <w:lang w:val="en-US"/>
        </w:rPr>
        <w:t>GPs and practice nurses are generally supportive of the BSP, across general practice there is variation in BSP processes and practices</w:t>
      </w:r>
      <w:r w:rsidR="00083BDD">
        <w:rPr>
          <w:lang w:val="en-US"/>
        </w:rPr>
        <w:t xml:space="preserve"> undertaken</w:t>
      </w:r>
      <w:r w:rsidRPr="000F63D2">
        <w:rPr>
          <w:lang w:val="en-US"/>
        </w:rPr>
        <w:t xml:space="preserve">.  </w:t>
      </w:r>
    </w:p>
    <w:p w:rsidR="00892168" w:rsidRDefault="00892168" w:rsidP="00E36046">
      <w:r w:rsidRPr="000F63D2">
        <w:rPr>
          <w:lang w:val="en-US"/>
        </w:rPr>
        <w:t xml:space="preserve">Given this </w:t>
      </w:r>
      <w:r w:rsidR="005153FF">
        <w:rPr>
          <w:lang w:val="en-US"/>
        </w:rPr>
        <w:t xml:space="preserve">uncommon </w:t>
      </w:r>
      <w:r w:rsidRPr="000F63D2">
        <w:rPr>
          <w:lang w:val="en-US"/>
        </w:rPr>
        <w:t xml:space="preserve">role and noted variation, it was agreed the role </w:t>
      </w:r>
      <w:r>
        <w:t xml:space="preserve">of general practice in the BSP needed to be more fully understood, particularly </w:t>
      </w:r>
      <w:r w:rsidR="0032656F">
        <w:t xml:space="preserve">in </w:t>
      </w:r>
      <w:r>
        <w:t>enhancing participants’ experience and considering general practices’ role if the Pilot was rolled out nationally.  To identify the role and value of general practice in the BSP, a report was developed which drew on the quantitative data from the eligible population and provider surveys (Litmus 2014a &amp; b), interviews with ten general practices including GPs, practice nurses, practice managers and other practice staff as well as face-to-face interviews with five M</w:t>
      </w:r>
      <w:r w:rsidRPr="000F63D2">
        <w:rPr>
          <w:rFonts w:cs="Arial"/>
        </w:rPr>
        <w:t>ā</w:t>
      </w:r>
      <w:r>
        <w:t xml:space="preserve">ori and five Pacific BSP participants.  </w:t>
      </w:r>
    </w:p>
    <w:p w:rsidR="00892168" w:rsidRDefault="00892168" w:rsidP="00E36046">
      <w:r w:rsidRPr="000F63D2">
        <w:rPr>
          <w:lang w:val="en-US"/>
        </w:rPr>
        <w:t>Fieldwork</w:t>
      </w:r>
      <w:r>
        <w:t xml:space="preserve"> was undertaken in October 2013.  </w:t>
      </w:r>
      <w:r w:rsidRPr="005D5ADA">
        <w:t xml:space="preserve">All interviews followed an informed consent process. </w:t>
      </w:r>
    </w:p>
    <w:p w:rsidR="00CA7B1F" w:rsidRPr="00CA7B1F" w:rsidRDefault="00CA7B1F" w:rsidP="00CA7B1F">
      <w:r>
        <w:t xml:space="preserve">Findings from these data sources were used to inform </w:t>
      </w:r>
      <w:r w:rsidRPr="00CA7B1F">
        <w:t xml:space="preserve">Interim Evaluation Report of the Bowel Screening Pilot: Screening Round One (Litmus et al 2015). </w:t>
      </w:r>
    </w:p>
    <w:p w:rsidR="005B5069" w:rsidRPr="00456366" w:rsidRDefault="00F72955" w:rsidP="005B5069">
      <w:pPr>
        <w:pStyle w:val="Heading4"/>
      </w:pPr>
      <w:bookmarkStart w:id="65" w:name="_Toc448920816"/>
      <w:r w:rsidRPr="00456366">
        <w:t>Round 2</w:t>
      </w:r>
      <w:r w:rsidR="005B5069" w:rsidRPr="00456366">
        <w:t xml:space="preserve"> participant and provider data collection</w:t>
      </w:r>
    </w:p>
    <w:p w:rsidR="00412364" w:rsidRDefault="00412364" w:rsidP="00456366">
      <w:pPr>
        <w:spacing w:before="120"/>
        <w:rPr>
          <w:b/>
        </w:rPr>
      </w:pPr>
      <w:r w:rsidRPr="00456366">
        <w:rPr>
          <w:b/>
        </w:rPr>
        <w:t>Increasing Participation of Māori and Pacific people in the BSP; General practices</w:t>
      </w:r>
      <w:r w:rsidRPr="005B5069">
        <w:rPr>
          <w:b/>
        </w:rPr>
        <w:t xml:space="preserve"> role in the BSP</w:t>
      </w:r>
      <w:r w:rsidR="005B5069" w:rsidRPr="005B5069">
        <w:rPr>
          <w:b/>
        </w:rPr>
        <w:t xml:space="preserve"> </w:t>
      </w:r>
      <w:r w:rsidR="005B5069" w:rsidRPr="0032656F">
        <w:t>(</w:t>
      </w:r>
      <w:r w:rsidRPr="0032656F">
        <w:t xml:space="preserve">Litmus </w:t>
      </w:r>
      <w:r w:rsidR="005B5069" w:rsidRPr="0032656F">
        <w:t>2016)</w:t>
      </w:r>
    </w:p>
    <w:p w:rsidR="00412364" w:rsidRPr="00261DBC" w:rsidRDefault="00A13880" w:rsidP="00456366">
      <w:pPr>
        <w:spacing w:before="120"/>
        <w:rPr>
          <w:szCs w:val="24"/>
        </w:rPr>
      </w:pPr>
      <w:bookmarkStart w:id="66" w:name="_Toc444871905"/>
      <w:bookmarkEnd w:id="65"/>
      <w:r>
        <w:rPr>
          <w:b/>
        </w:rPr>
        <w:t xml:space="preserve">In 2015, </w:t>
      </w:r>
      <w:r w:rsidRPr="00FF0997">
        <w:rPr>
          <w:b/>
        </w:rPr>
        <w:t>a</w:t>
      </w:r>
      <w:r w:rsidR="00412364" w:rsidRPr="00FF0997">
        <w:rPr>
          <w:b/>
        </w:rPr>
        <w:t xml:space="preserve"> </w:t>
      </w:r>
      <w:r w:rsidR="00FF0997" w:rsidRPr="00FF0997">
        <w:rPr>
          <w:b/>
        </w:rPr>
        <w:t>computer assisted telephone interviewing</w:t>
      </w:r>
      <w:r>
        <w:rPr>
          <w:lang w:val="en-US"/>
        </w:rPr>
        <w:t xml:space="preserve"> </w:t>
      </w:r>
      <w:r w:rsidR="00412364" w:rsidRPr="00D92DCC">
        <w:rPr>
          <w:b/>
        </w:rPr>
        <w:t>survey of general practices</w:t>
      </w:r>
      <w:r w:rsidR="00412364">
        <w:rPr>
          <w:b/>
        </w:rPr>
        <w:t xml:space="preserve"> </w:t>
      </w:r>
      <w:r w:rsidR="00412364" w:rsidRPr="00D92DCC">
        <w:rPr>
          <w:b/>
        </w:rPr>
        <w:t xml:space="preserve">with access to Dashboard and/or DRINFO in </w:t>
      </w:r>
      <w:r w:rsidR="000F11FA">
        <w:rPr>
          <w:b/>
        </w:rPr>
        <w:t>W</w:t>
      </w:r>
      <w:r w:rsidR="00412364" w:rsidRPr="00D92DCC">
        <w:rPr>
          <w:b/>
        </w:rPr>
        <w:t>DHB</w:t>
      </w:r>
      <w:r w:rsidR="005B5069">
        <w:t xml:space="preserve"> </w:t>
      </w:r>
      <w:r>
        <w:t>was undertaken.  The purpose was to</w:t>
      </w:r>
      <w:r w:rsidR="00412364" w:rsidRPr="00075CBE">
        <w:t xml:space="preserve"> determine the percepti</w:t>
      </w:r>
      <w:r w:rsidR="00412364">
        <w:t>ons and use of Dashboard and DR</w:t>
      </w:r>
      <w:r w:rsidR="005B0A5C">
        <w:t>I</w:t>
      </w:r>
      <w:r w:rsidR="00412364" w:rsidRPr="00075CBE">
        <w:t>NFO to support participation in bowel screening, and identify other activities that may be undertaken to increase participation.</w:t>
      </w:r>
      <w:bookmarkEnd w:id="66"/>
      <w:r w:rsidR="00412364" w:rsidRPr="00261DBC">
        <w:t xml:space="preserve">  </w:t>
      </w:r>
    </w:p>
    <w:p w:rsidR="001F7B48" w:rsidRDefault="00412364" w:rsidP="00FF24B8">
      <w:bookmarkStart w:id="67" w:name="_Toc446015283"/>
      <w:r>
        <w:rPr>
          <w:lang w:val="en-US"/>
        </w:rPr>
        <w:t xml:space="preserve">A sample of 96 general practices were identified by the BSP Coordination Centre as having access to Dashboard from </w:t>
      </w:r>
      <w:r w:rsidR="003E7AA9">
        <w:rPr>
          <w:lang w:val="en-US"/>
        </w:rPr>
        <w:t>ProCare</w:t>
      </w:r>
      <w:r>
        <w:rPr>
          <w:lang w:val="en-US"/>
        </w:rPr>
        <w:t>, Auckland PHO, National Hauora Coalition and Waitemat</w:t>
      </w:r>
      <w:r w:rsidR="000F11FA">
        <w:rPr>
          <w:rFonts w:cs="Arial"/>
          <w:lang w:val="en-US"/>
        </w:rPr>
        <w:t>ā</w:t>
      </w:r>
      <w:r>
        <w:rPr>
          <w:lang w:val="en-US"/>
        </w:rPr>
        <w:t xml:space="preserve"> PHO.  From 96 contacts, a total of 80 interviews were completed with general practice (</w:t>
      </w:r>
      <w:bookmarkEnd w:id="67"/>
      <w:r>
        <w:rPr>
          <w:lang w:val="en-US"/>
        </w:rPr>
        <w:t xml:space="preserve">Table </w:t>
      </w:r>
      <w:r w:rsidR="00544745">
        <w:rPr>
          <w:lang w:val="en-US"/>
        </w:rPr>
        <w:t>4</w:t>
      </w:r>
      <w:r>
        <w:rPr>
          <w:lang w:val="en-US"/>
        </w:rPr>
        <w:t>).  The response rate achieved was 83%.</w:t>
      </w:r>
      <w:r w:rsidR="0067627E">
        <w:rPr>
          <w:lang w:val="en-US"/>
        </w:rPr>
        <w:t xml:space="preserve">  </w:t>
      </w:r>
      <w:bookmarkStart w:id="68" w:name="_Ref445890161"/>
      <w:bookmarkStart w:id="69" w:name="_Ref445890156"/>
      <w:bookmarkStart w:id="70" w:name="_Toc446322479"/>
      <w:bookmarkStart w:id="71" w:name="_Toc448738196"/>
      <w:bookmarkStart w:id="72" w:name="_Toc448920817"/>
      <w:bookmarkStart w:id="73" w:name="_Toc412540155"/>
      <w:bookmarkStart w:id="74" w:name="_Toc444871906"/>
      <w:bookmarkStart w:id="75" w:name="_Ref444872314"/>
    </w:p>
    <w:p w:rsidR="00412364" w:rsidRDefault="00412364" w:rsidP="00FF24B8">
      <w:pPr>
        <w:pStyle w:val="Tableheading"/>
        <w:keepNext/>
        <w:keepLines/>
      </w:pPr>
      <w:r>
        <w:t xml:space="preserve">Table </w:t>
      </w:r>
      <w:bookmarkEnd w:id="68"/>
      <w:r w:rsidR="00544745">
        <w:t>4</w:t>
      </w:r>
      <w:r>
        <w:t xml:space="preserve">: </w:t>
      </w:r>
      <w:r w:rsidRPr="00EF7A9C">
        <w:t>General practice survey sample profile</w:t>
      </w:r>
      <w:bookmarkEnd w:id="69"/>
      <w:bookmarkEnd w:id="70"/>
      <w:bookmarkEnd w:id="71"/>
      <w:bookmarkEnd w:id="72"/>
    </w:p>
    <w:tbl>
      <w:tblPr>
        <w:tblStyle w:val="TableGrid"/>
        <w:tblW w:w="8664" w:type="dxa"/>
        <w:tblInd w:w="817" w:type="dxa"/>
        <w:tblLayout w:type="fixed"/>
        <w:tblCellMar>
          <w:top w:w="28" w:type="dxa"/>
          <w:bottom w:w="28" w:type="dxa"/>
        </w:tblCellMar>
        <w:tblLook w:val="04A0" w:firstRow="1" w:lastRow="0" w:firstColumn="1" w:lastColumn="0" w:noHBand="0" w:noVBand="1"/>
      </w:tblPr>
      <w:tblGrid>
        <w:gridCol w:w="3452"/>
        <w:gridCol w:w="2518"/>
        <w:gridCol w:w="2694"/>
      </w:tblGrid>
      <w:tr w:rsidR="00412364" w:rsidRPr="00CC0381" w:rsidTr="007D17C5">
        <w:trPr>
          <w:trHeight w:val="529"/>
        </w:trPr>
        <w:tc>
          <w:tcPr>
            <w:tcW w:w="3452" w:type="dxa"/>
            <w:shd w:val="clear" w:color="auto" w:fill="9BBB59"/>
          </w:tcPr>
          <w:bookmarkEnd w:id="73"/>
          <w:bookmarkEnd w:id="74"/>
          <w:bookmarkEnd w:id="75"/>
          <w:p w:rsidR="00412364" w:rsidRPr="007D17C5" w:rsidRDefault="00412364" w:rsidP="00FF24B8">
            <w:pPr>
              <w:keepNext/>
              <w:keepLines/>
              <w:spacing w:before="0"/>
              <w:ind w:left="0"/>
              <w:rPr>
                <w:rFonts w:cs="Arial"/>
                <w:b/>
                <w:color w:val="FFFFFF" w:themeColor="background1"/>
                <w:sz w:val="20"/>
                <w:szCs w:val="20"/>
                <w:lang w:eastAsia="en-NZ"/>
              </w:rPr>
            </w:pPr>
            <w:r w:rsidRPr="007D17C5">
              <w:rPr>
                <w:rFonts w:cs="Arial"/>
                <w:b/>
                <w:color w:val="FFFFFF" w:themeColor="background1"/>
                <w:sz w:val="20"/>
                <w:szCs w:val="20"/>
                <w:lang w:eastAsia="en-NZ"/>
              </w:rPr>
              <w:t>Demographics</w:t>
            </w:r>
          </w:p>
        </w:tc>
        <w:tc>
          <w:tcPr>
            <w:tcW w:w="2518" w:type="dxa"/>
            <w:shd w:val="clear" w:color="auto" w:fill="9BBB59"/>
          </w:tcPr>
          <w:p w:rsidR="00412364" w:rsidRPr="007D17C5" w:rsidRDefault="00412364" w:rsidP="00FF24B8">
            <w:pPr>
              <w:keepNext/>
              <w:keepLines/>
              <w:spacing w:before="0"/>
              <w:ind w:left="0"/>
              <w:jc w:val="center"/>
              <w:rPr>
                <w:b/>
                <w:color w:val="FFFFFF" w:themeColor="background1"/>
                <w:sz w:val="18"/>
                <w:szCs w:val="18"/>
              </w:rPr>
            </w:pPr>
            <w:r w:rsidRPr="007D17C5">
              <w:rPr>
                <w:b/>
                <w:color w:val="FFFFFF" w:themeColor="background1"/>
                <w:sz w:val="18"/>
                <w:szCs w:val="18"/>
              </w:rPr>
              <w:t>No.</w:t>
            </w:r>
          </w:p>
          <w:p w:rsidR="00412364" w:rsidRPr="007D17C5" w:rsidRDefault="00412364" w:rsidP="00FF24B8">
            <w:pPr>
              <w:keepNext/>
              <w:keepLines/>
              <w:spacing w:before="0"/>
              <w:ind w:left="0"/>
              <w:jc w:val="center"/>
              <w:rPr>
                <w:b/>
                <w:color w:val="FFFFFF" w:themeColor="background1"/>
                <w:sz w:val="18"/>
                <w:szCs w:val="18"/>
              </w:rPr>
            </w:pPr>
            <w:r w:rsidRPr="007D17C5">
              <w:rPr>
                <w:b/>
                <w:color w:val="FFFFFF" w:themeColor="background1"/>
                <w:sz w:val="18"/>
                <w:szCs w:val="18"/>
              </w:rPr>
              <w:t>(n=80)</w:t>
            </w:r>
          </w:p>
        </w:tc>
        <w:tc>
          <w:tcPr>
            <w:tcW w:w="2694" w:type="dxa"/>
            <w:shd w:val="clear" w:color="auto" w:fill="9BBB59"/>
          </w:tcPr>
          <w:p w:rsidR="00412364" w:rsidRPr="007D17C5" w:rsidRDefault="00412364" w:rsidP="00FF24B8">
            <w:pPr>
              <w:keepNext/>
              <w:keepLines/>
              <w:spacing w:before="0"/>
              <w:ind w:left="0"/>
              <w:jc w:val="center"/>
              <w:rPr>
                <w:b/>
                <w:color w:val="FFFFFF" w:themeColor="background1"/>
                <w:sz w:val="18"/>
                <w:szCs w:val="18"/>
              </w:rPr>
            </w:pPr>
            <w:r w:rsidRPr="007D17C5">
              <w:rPr>
                <w:b/>
                <w:color w:val="FFFFFF" w:themeColor="background1"/>
                <w:sz w:val="18"/>
                <w:szCs w:val="18"/>
              </w:rPr>
              <w:t xml:space="preserve">% </w:t>
            </w:r>
          </w:p>
          <w:p w:rsidR="00412364" w:rsidRPr="007D17C5" w:rsidRDefault="00412364" w:rsidP="00FF24B8">
            <w:pPr>
              <w:keepNext/>
              <w:keepLines/>
              <w:spacing w:before="0"/>
              <w:ind w:left="0"/>
              <w:jc w:val="center"/>
              <w:rPr>
                <w:b/>
                <w:color w:val="FFFFFF" w:themeColor="background1"/>
                <w:sz w:val="18"/>
                <w:szCs w:val="18"/>
              </w:rPr>
            </w:pPr>
            <w:r w:rsidRPr="007D17C5">
              <w:rPr>
                <w:b/>
                <w:color w:val="FFFFFF" w:themeColor="background1"/>
                <w:sz w:val="18"/>
                <w:szCs w:val="18"/>
              </w:rPr>
              <w:t>(n=80)</w:t>
            </w:r>
          </w:p>
        </w:tc>
      </w:tr>
      <w:tr w:rsidR="00412364" w:rsidRPr="00CC0381">
        <w:trPr>
          <w:trHeight w:val="225"/>
        </w:trPr>
        <w:tc>
          <w:tcPr>
            <w:tcW w:w="3452" w:type="dxa"/>
            <w:shd w:val="clear" w:color="auto" w:fill="D9D9D9" w:themeFill="background1" w:themeFillShade="D9"/>
          </w:tcPr>
          <w:p w:rsidR="00412364" w:rsidRPr="00CC0381" w:rsidRDefault="00412364" w:rsidP="00FF24B8">
            <w:pPr>
              <w:keepNext/>
              <w:keepLines/>
              <w:spacing w:before="0"/>
              <w:ind w:left="0"/>
              <w:rPr>
                <w:b/>
                <w:sz w:val="20"/>
                <w:szCs w:val="20"/>
              </w:rPr>
            </w:pPr>
            <w:r w:rsidRPr="00CC0381">
              <w:rPr>
                <w:b/>
                <w:sz w:val="20"/>
                <w:szCs w:val="20"/>
              </w:rPr>
              <w:t>Role</w:t>
            </w:r>
          </w:p>
        </w:tc>
        <w:tc>
          <w:tcPr>
            <w:tcW w:w="2518" w:type="dxa"/>
            <w:shd w:val="clear" w:color="auto" w:fill="D9D9D9" w:themeFill="background1" w:themeFillShade="D9"/>
          </w:tcPr>
          <w:p w:rsidR="00412364" w:rsidRPr="00CC0381" w:rsidRDefault="00412364" w:rsidP="00FF24B8">
            <w:pPr>
              <w:keepNext/>
              <w:keepLines/>
              <w:spacing w:before="0"/>
              <w:jc w:val="center"/>
              <w:rPr>
                <w:sz w:val="20"/>
                <w:szCs w:val="20"/>
              </w:rPr>
            </w:pPr>
          </w:p>
        </w:tc>
        <w:tc>
          <w:tcPr>
            <w:tcW w:w="2694" w:type="dxa"/>
            <w:shd w:val="clear" w:color="auto" w:fill="D9D9D9" w:themeFill="background1" w:themeFillShade="D9"/>
          </w:tcPr>
          <w:p w:rsidR="00412364" w:rsidRPr="00CC0381" w:rsidRDefault="00412364" w:rsidP="00FF24B8">
            <w:pPr>
              <w:keepNext/>
              <w:keepLines/>
              <w:spacing w:before="0"/>
              <w:ind w:left="0"/>
              <w:jc w:val="center"/>
              <w:rPr>
                <w:sz w:val="20"/>
                <w:szCs w:val="20"/>
              </w:rPr>
            </w:pPr>
          </w:p>
        </w:tc>
      </w:tr>
      <w:tr w:rsidR="00412364" w:rsidRPr="00CC0381">
        <w:trPr>
          <w:trHeight w:val="225"/>
        </w:trPr>
        <w:tc>
          <w:tcPr>
            <w:tcW w:w="3452" w:type="dxa"/>
          </w:tcPr>
          <w:p w:rsidR="00412364" w:rsidRPr="00CC0381" w:rsidRDefault="00412364" w:rsidP="00FF24B8">
            <w:pPr>
              <w:keepNext/>
              <w:keepLines/>
              <w:spacing w:before="0"/>
              <w:ind w:left="0"/>
              <w:rPr>
                <w:sz w:val="20"/>
                <w:szCs w:val="20"/>
              </w:rPr>
            </w:pPr>
            <w:r w:rsidRPr="00CC0381">
              <w:rPr>
                <w:sz w:val="20"/>
                <w:szCs w:val="20"/>
              </w:rPr>
              <w:t>Practice manager</w:t>
            </w:r>
          </w:p>
        </w:tc>
        <w:tc>
          <w:tcPr>
            <w:tcW w:w="2518" w:type="dxa"/>
          </w:tcPr>
          <w:p w:rsidR="00412364" w:rsidRPr="00CC0381" w:rsidRDefault="00412364" w:rsidP="00FF24B8">
            <w:pPr>
              <w:keepNext/>
              <w:keepLines/>
              <w:spacing w:before="0"/>
              <w:ind w:left="0"/>
              <w:jc w:val="center"/>
              <w:rPr>
                <w:sz w:val="20"/>
                <w:szCs w:val="20"/>
              </w:rPr>
            </w:pPr>
            <w:r w:rsidRPr="00CC0381">
              <w:rPr>
                <w:sz w:val="20"/>
                <w:szCs w:val="20"/>
              </w:rPr>
              <w:t>34</w:t>
            </w:r>
          </w:p>
        </w:tc>
        <w:tc>
          <w:tcPr>
            <w:tcW w:w="2694" w:type="dxa"/>
          </w:tcPr>
          <w:p w:rsidR="00412364" w:rsidRPr="00CC0381" w:rsidRDefault="00412364" w:rsidP="00FF24B8">
            <w:pPr>
              <w:keepNext/>
              <w:keepLines/>
              <w:spacing w:before="0"/>
              <w:ind w:left="0"/>
              <w:jc w:val="center"/>
              <w:rPr>
                <w:sz w:val="20"/>
                <w:szCs w:val="20"/>
              </w:rPr>
            </w:pPr>
            <w:r w:rsidRPr="00CC0381">
              <w:rPr>
                <w:sz w:val="20"/>
                <w:szCs w:val="20"/>
              </w:rPr>
              <w:t>43%</w:t>
            </w:r>
          </w:p>
        </w:tc>
      </w:tr>
      <w:tr w:rsidR="00412364" w:rsidRPr="00CC0381">
        <w:trPr>
          <w:trHeight w:val="225"/>
        </w:trPr>
        <w:tc>
          <w:tcPr>
            <w:tcW w:w="3452" w:type="dxa"/>
          </w:tcPr>
          <w:p w:rsidR="00412364" w:rsidRPr="00CC0381" w:rsidRDefault="00412364" w:rsidP="00FF24B8">
            <w:pPr>
              <w:keepNext/>
              <w:keepLines/>
              <w:spacing w:before="0"/>
              <w:ind w:left="0"/>
              <w:rPr>
                <w:sz w:val="20"/>
                <w:szCs w:val="20"/>
              </w:rPr>
            </w:pPr>
            <w:r w:rsidRPr="00CC0381">
              <w:rPr>
                <w:sz w:val="20"/>
                <w:szCs w:val="20"/>
              </w:rPr>
              <w:t>Practice nurse</w:t>
            </w:r>
          </w:p>
        </w:tc>
        <w:tc>
          <w:tcPr>
            <w:tcW w:w="2518" w:type="dxa"/>
          </w:tcPr>
          <w:p w:rsidR="00412364" w:rsidRPr="00CC0381" w:rsidRDefault="00412364" w:rsidP="00FF24B8">
            <w:pPr>
              <w:keepNext/>
              <w:keepLines/>
              <w:spacing w:before="0"/>
              <w:ind w:left="0"/>
              <w:jc w:val="center"/>
              <w:rPr>
                <w:sz w:val="20"/>
                <w:szCs w:val="20"/>
              </w:rPr>
            </w:pPr>
            <w:r w:rsidRPr="00CC0381">
              <w:rPr>
                <w:sz w:val="20"/>
                <w:szCs w:val="20"/>
              </w:rPr>
              <w:t>32</w:t>
            </w:r>
          </w:p>
        </w:tc>
        <w:tc>
          <w:tcPr>
            <w:tcW w:w="2694" w:type="dxa"/>
          </w:tcPr>
          <w:p w:rsidR="00412364" w:rsidRPr="00CC0381" w:rsidRDefault="00412364" w:rsidP="00FF24B8">
            <w:pPr>
              <w:keepNext/>
              <w:keepLines/>
              <w:spacing w:before="0"/>
              <w:ind w:left="0"/>
              <w:jc w:val="center"/>
              <w:rPr>
                <w:sz w:val="20"/>
                <w:szCs w:val="20"/>
              </w:rPr>
            </w:pPr>
            <w:r w:rsidRPr="00CC0381">
              <w:rPr>
                <w:sz w:val="20"/>
                <w:szCs w:val="20"/>
              </w:rPr>
              <w:t>40%</w:t>
            </w:r>
          </w:p>
        </w:tc>
      </w:tr>
      <w:tr w:rsidR="00412364" w:rsidRPr="00CC0381">
        <w:trPr>
          <w:trHeight w:val="225"/>
        </w:trPr>
        <w:tc>
          <w:tcPr>
            <w:tcW w:w="3452" w:type="dxa"/>
          </w:tcPr>
          <w:p w:rsidR="00412364" w:rsidRPr="00CC0381" w:rsidRDefault="00412364" w:rsidP="00A37C66">
            <w:pPr>
              <w:keepNext/>
              <w:keepLines/>
              <w:spacing w:before="0"/>
              <w:ind w:left="0"/>
              <w:rPr>
                <w:sz w:val="20"/>
                <w:szCs w:val="20"/>
              </w:rPr>
            </w:pPr>
            <w:r w:rsidRPr="00CC0381">
              <w:rPr>
                <w:sz w:val="20"/>
                <w:szCs w:val="20"/>
              </w:rPr>
              <w:t xml:space="preserve">General </w:t>
            </w:r>
            <w:r w:rsidR="00A37C66">
              <w:rPr>
                <w:sz w:val="20"/>
                <w:szCs w:val="20"/>
              </w:rPr>
              <w:t>p</w:t>
            </w:r>
            <w:r w:rsidRPr="00CC0381">
              <w:rPr>
                <w:sz w:val="20"/>
                <w:szCs w:val="20"/>
              </w:rPr>
              <w:t>ractitioner</w:t>
            </w:r>
          </w:p>
        </w:tc>
        <w:tc>
          <w:tcPr>
            <w:tcW w:w="2518" w:type="dxa"/>
          </w:tcPr>
          <w:p w:rsidR="00412364" w:rsidRPr="00CC0381" w:rsidRDefault="00412364" w:rsidP="00FF24B8">
            <w:pPr>
              <w:keepNext/>
              <w:keepLines/>
              <w:spacing w:before="0"/>
              <w:ind w:left="0"/>
              <w:jc w:val="center"/>
              <w:rPr>
                <w:sz w:val="20"/>
                <w:szCs w:val="20"/>
              </w:rPr>
            </w:pPr>
            <w:r w:rsidRPr="00CC0381">
              <w:rPr>
                <w:sz w:val="20"/>
                <w:szCs w:val="20"/>
              </w:rPr>
              <w:t>7</w:t>
            </w:r>
          </w:p>
        </w:tc>
        <w:tc>
          <w:tcPr>
            <w:tcW w:w="2694" w:type="dxa"/>
          </w:tcPr>
          <w:p w:rsidR="00412364" w:rsidRPr="00CC0381" w:rsidRDefault="00412364" w:rsidP="00FF24B8">
            <w:pPr>
              <w:keepNext/>
              <w:keepLines/>
              <w:spacing w:before="0"/>
              <w:ind w:left="0"/>
              <w:jc w:val="center"/>
              <w:rPr>
                <w:sz w:val="20"/>
                <w:szCs w:val="20"/>
              </w:rPr>
            </w:pPr>
            <w:r w:rsidRPr="00CC0381">
              <w:rPr>
                <w:sz w:val="20"/>
                <w:szCs w:val="20"/>
              </w:rPr>
              <w:t>9%</w:t>
            </w:r>
          </w:p>
        </w:tc>
      </w:tr>
      <w:tr w:rsidR="00412364" w:rsidRPr="00CC0381">
        <w:trPr>
          <w:trHeight w:val="225"/>
        </w:trPr>
        <w:tc>
          <w:tcPr>
            <w:tcW w:w="3452" w:type="dxa"/>
          </w:tcPr>
          <w:p w:rsidR="00412364" w:rsidRPr="00CC0381" w:rsidRDefault="00412364" w:rsidP="00FF24B8">
            <w:pPr>
              <w:keepNext/>
              <w:keepLines/>
              <w:spacing w:before="0"/>
              <w:ind w:left="0"/>
              <w:rPr>
                <w:sz w:val="20"/>
                <w:szCs w:val="20"/>
              </w:rPr>
            </w:pPr>
            <w:r w:rsidRPr="00CC0381">
              <w:rPr>
                <w:sz w:val="20"/>
                <w:szCs w:val="20"/>
              </w:rPr>
              <w:t>Other staff in general practice</w:t>
            </w:r>
          </w:p>
        </w:tc>
        <w:tc>
          <w:tcPr>
            <w:tcW w:w="2518" w:type="dxa"/>
          </w:tcPr>
          <w:p w:rsidR="00412364" w:rsidRPr="00CC0381" w:rsidRDefault="00412364" w:rsidP="00FF24B8">
            <w:pPr>
              <w:keepNext/>
              <w:keepLines/>
              <w:spacing w:before="0"/>
              <w:ind w:left="0"/>
              <w:jc w:val="center"/>
              <w:rPr>
                <w:sz w:val="20"/>
                <w:szCs w:val="20"/>
              </w:rPr>
            </w:pPr>
            <w:r w:rsidRPr="00CC0381">
              <w:rPr>
                <w:sz w:val="20"/>
                <w:szCs w:val="20"/>
              </w:rPr>
              <w:t>7</w:t>
            </w:r>
          </w:p>
        </w:tc>
        <w:tc>
          <w:tcPr>
            <w:tcW w:w="2694" w:type="dxa"/>
          </w:tcPr>
          <w:p w:rsidR="00412364" w:rsidRPr="00CC0381" w:rsidRDefault="00412364" w:rsidP="00FF24B8">
            <w:pPr>
              <w:keepNext/>
              <w:keepLines/>
              <w:spacing w:before="0"/>
              <w:ind w:left="0"/>
              <w:jc w:val="center"/>
              <w:rPr>
                <w:sz w:val="20"/>
                <w:szCs w:val="20"/>
              </w:rPr>
            </w:pPr>
            <w:r w:rsidRPr="00CC0381">
              <w:rPr>
                <w:sz w:val="20"/>
                <w:szCs w:val="20"/>
              </w:rPr>
              <w:t>8%</w:t>
            </w:r>
          </w:p>
        </w:tc>
      </w:tr>
      <w:tr w:rsidR="00412364" w:rsidRPr="00CC0381">
        <w:trPr>
          <w:trHeight w:val="225"/>
        </w:trPr>
        <w:tc>
          <w:tcPr>
            <w:tcW w:w="8664" w:type="dxa"/>
            <w:gridSpan w:val="3"/>
            <w:shd w:val="clear" w:color="auto" w:fill="D9D9D9" w:themeFill="background1" w:themeFillShade="D9"/>
          </w:tcPr>
          <w:p w:rsidR="00412364" w:rsidRPr="00CC0381" w:rsidRDefault="00412364" w:rsidP="00FF24B8">
            <w:pPr>
              <w:keepNext/>
              <w:keepLines/>
              <w:spacing w:before="0"/>
              <w:ind w:left="0"/>
              <w:rPr>
                <w:b/>
                <w:sz w:val="20"/>
                <w:szCs w:val="20"/>
              </w:rPr>
            </w:pPr>
            <w:r w:rsidRPr="00CC0381">
              <w:rPr>
                <w:b/>
                <w:sz w:val="20"/>
                <w:szCs w:val="20"/>
              </w:rPr>
              <w:t>PHO</w:t>
            </w:r>
          </w:p>
        </w:tc>
      </w:tr>
      <w:tr w:rsidR="00412364" w:rsidRPr="00CC0381">
        <w:trPr>
          <w:trHeight w:val="225"/>
        </w:trPr>
        <w:tc>
          <w:tcPr>
            <w:tcW w:w="3452" w:type="dxa"/>
          </w:tcPr>
          <w:p w:rsidR="00412364" w:rsidRPr="00CC0381" w:rsidRDefault="00412364" w:rsidP="000F11FA">
            <w:pPr>
              <w:keepNext/>
              <w:keepLines/>
              <w:spacing w:before="0"/>
              <w:ind w:left="0"/>
              <w:rPr>
                <w:sz w:val="20"/>
                <w:szCs w:val="20"/>
              </w:rPr>
            </w:pPr>
            <w:r w:rsidRPr="00CC0381">
              <w:rPr>
                <w:sz w:val="20"/>
                <w:szCs w:val="20"/>
              </w:rPr>
              <w:t>Waitemat</w:t>
            </w:r>
            <w:r w:rsidR="000F11FA">
              <w:rPr>
                <w:rFonts w:cs="Arial"/>
                <w:sz w:val="20"/>
                <w:szCs w:val="20"/>
              </w:rPr>
              <w:t>ā</w:t>
            </w:r>
            <w:r w:rsidRPr="00CC0381">
              <w:rPr>
                <w:sz w:val="20"/>
                <w:szCs w:val="20"/>
              </w:rPr>
              <w:t xml:space="preserve"> PHO</w:t>
            </w:r>
          </w:p>
        </w:tc>
        <w:tc>
          <w:tcPr>
            <w:tcW w:w="2518" w:type="dxa"/>
          </w:tcPr>
          <w:p w:rsidR="00412364" w:rsidRPr="00CC0381" w:rsidRDefault="00412364" w:rsidP="00FF24B8">
            <w:pPr>
              <w:keepNext/>
              <w:keepLines/>
              <w:spacing w:before="0"/>
              <w:ind w:left="0"/>
              <w:jc w:val="center"/>
              <w:rPr>
                <w:sz w:val="20"/>
                <w:szCs w:val="20"/>
              </w:rPr>
            </w:pPr>
            <w:r w:rsidRPr="00CC0381">
              <w:rPr>
                <w:sz w:val="20"/>
                <w:szCs w:val="20"/>
              </w:rPr>
              <w:t>29</w:t>
            </w:r>
          </w:p>
        </w:tc>
        <w:tc>
          <w:tcPr>
            <w:tcW w:w="2694" w:type="dxa"/>
          </w:tcPr>
          <w:p w:rsidR="00412364" w:rsidRPr="00CC0381" w:rsidRDefault="00412364" w:rsidP="00FF24B8">
            <w:pPr>
              <w:keepNext/>
              <w:keepLines/>
              <w:spacing w:before="0"/>
              <w:ind w:left="0"/>
              <w:jc w:val="center"/>
              <w:rPr>
                <w:sz w:val="20"/>
                <w:szCs w:val="20"/>
              </w:rPr>
            </w:pPr>
            <w:r w:rsidRPr="00CC0381">
              <w:rPr>
                <w:sz w:val="20"/>
                <w:szCs w:val="20"/>
              </w:rPr>
              <w:t>3</w:t>
            </w:r>
            <w:r>
              <w:rPr>
                <w:sz w:val="20"/>
                <w:szCs w:val="20"/>
              </w:rPr>
              <w:t>6</w:t>
            </w:r>
            <w:r w:rsidRPr="00CC0381">
              <w:rPr>
                <w:sz w:val="20"/>
                <w:szCs w:val="20"/>
              </w:rPr>
              <w:t>%</w:t>
            </w:r>
          </w:p>
        </w:tc>
      </w:tr>
      <w:tr w:rsidR="00412364" w:rsidRPr="00CC0381">
        <w:trPr>
          <w:trHeight w:val="225"/>
        </w:trPr>
        <w:tc>
          <w:tcPr>
            <w:tcW w:w="3452" w:type="dxa"/>
          </w:tcPr>
          <w:p w:rsidR="00412364" w:rsidRPr="00CC0381" w:rsidRDefault="00412364" w:rsidP="001F7B48">
            <w:pPr>
              <w:spacing w:before="0"/>
              <w:ind w:left="0"/>
              <w:rPr>
                <w:sz w:val="20"/>
                <w:szCs w:val="20"/>
              </w:rPr>
            </w:pPr>
            <w:r w:rsidRPr="00CC0381">
              <w:rPr>
                <w:sz w:val="20"/>
                <w:szCs w:val="20"/>
              </w:rPr>
              <w:t>ProCare</w:t>
            </w:r>
          </w:p>
        </w:tc>
        <w:tc>
          <w:tcPr>
            <w:tcW w:w="2518" w:type="dxa"/>
          </w:tcPr>
          <w:p w:rsidR="00412364" w:rsidRPr="00CC0381" w:rsidRDefault="00412364" w:rsidP="001F7B48">
            <w:pPr>
              <w:spacing w:before="0"/>
              <w:ind w:left="0"/>
              <w:jc w:val="center"/>
              <w:rPr>
                <w:sz w:val="20"/>
                <w:szCs w:val="20"/>
              </w:rPr>
            </w:pPr>
            <w:r w:rsidRPr="00CC0381">
              <w:rPr>
                <w:sz w:val="20"/>
                <w:szCs w:val="20"/>
              </w:rPr>
              <w:t>28</w:t>
            </w:r>
          </w:p>
        </w:tc>
        <w:tc>
          <w:tcPr>
            <w:tcW w:w="2694" w:type="dxa"/>
          </w:tcPr>
          <w:p w:rsidR="00412364" w:rsidRPr="00CC0381" w:rsidRDefault="00412364" w:rsidP="001F7B48">
            <w:pPr>
              <w:spacing w:before="0"/>
              <w:ind w:left="0"/>
              <w:jc w:val="center"/>
              <w:rPr>
                <w:sz w:val="20"/>
                <w:szCs w:val="20"/>
              </w:rPr>
            </w:pPr>
            <w:r w:rsidRPr="00CC0381">
              <w:rPr>
                <w:sz w:val="20"/>
                <w:szCs w:val="20"/>
              </w:rPr>
              <w:t>3</w:t>
            </w:r>
            <w:r>
              <w:rPr>
                <w:sz w:val="20"/>
                <w:szCs w:val="20"/>
              </w:rPr>
              <w:t>5</w:t>
            </w:r>
            <w:r w:rsidRPr="00CC0381">
              <w:rPr>
                <w:sz w:val="20"/>
                <w:szCs w:val="20"/>
              </w:rPr>
              <w:t>%</w:t>
            </w:r>
          </w:p>
        </w:tc>
      </w:tr>
      <w:tr w:rsidR="00412364" w:rsidRPr="00CC0381">
        <w:trPr>
          <w:trHeight w:val="225"/>
        </w:trPr>
        <w:tc>
          <w:tcPr>
            <w:tcW w:w="3452" w:type="dxa"/>
          </w:tcPr>
          <w:p w:rsidR="00412364" w:rsidRPr="00CC0381" w:rsidRDefault="00412364" w:rsidP="001F7B48">
            <w:pPr>
              <w:spacing w:before="0"/>
              <w:ind w:left="0"/>
              <w:rPr>
                <w:sz w:val="20"/>
                <w:szCs w:val="20"/>
              </w:rPr>
            </w:pPr>
            <w:r w:rsidRPr="00CC0381">
              <w:rPr>
                <w:sz w:val="20"/>
                <w:szCs w:val="20"/>
              </w:rPr>
              <w:t>Auckland PHO</w:t>
            </w:r>
          </w:p>
        </w:tc>
        <w:tc>
          <w:tcPr>
            <w:tcW w:w="2518" w:type="dxa"/>
          </w:tcPr>
          <w:p w:rsidR="00412364" w:rsidRPr="00CC0381" w:rsidRDefault="00412364" w:rsidP="001F7B48">
            <w:pPr>
              <w:spacing w:before="0"/>
              <w:ind w:left="0"/>
              <w:jc w:val="center"/>
              <w:rPr>
                <w:sz w:val="20"/>
                <w:szCs w:val="20"/>
              </w:rPr>
            </w:pPr>
            <w:r w:rsidRPr="00CC0381">
              <w:rPr>
                <w:sz w:val="20"/>
                <w:szCs w:val="20"/>
              </w:rPr>
              <w:t>17</w:t>
            </w:r>
          </w:p>
        </w:tc>
        <w:tc>
          <w:tcPr>
            <w:tcW w:w="2694" w:type="dxa"/>
          </w:tcPr>
          <w:p w:rsidR="00412364" w:rsidRPr="00CC0381" w:rsidRDefault="00412364" w:rsidP="001F7B48">
            <w:pPr>
              <w:spacing w:before="0"/>
              <w:ind w:left="0"/>
              <w:jc w:val="center"/>
              <w:rPr>
                <w:sz w:val="20"/>
                <w:szCs w:val="20"/>
              </w:rPr>
            </w:pPr>
            <w:r w:rsidRPr="00CC0381">
              <w:rPr>
                <w:sz w:val="20"/>
                <w:szCs w:val="20"/>
              </w:rPr>
              <w:t>21%</w:t>
            </w:r>
          </w:p>
        </w:tc>
      </w:tr>
      <w:tr w:rsidR="00412364" w:rsidRPr="00CC0381">
        <w:trPr>
          <w:trHeight w:val="225"/>
        </w:trPr>
        <w:tc>
          <w:tcPr>
            <w:tcW w:w="3452" w:type="dxa"/>
          </w:tcPr>
          <w:p w:rsidR="00412364" w:rsidRPr="00CC0381" w:rsidRDefault="00412364" w:rsidP="001F7B48">
            <w:pPr>
              <w:spacing w:before="0"/>
              <w:ind w:left="0"/>
              <w:rPr>
                <w:sz w:val="20"/>
                <w:szCs w:val="20"/>
              </w:rPr>
            </w:pPr>
            <w:r w:rsidRPr="00CC0381">
              <w:rPr>
                <w:sz w:val="20"/>
                <w:szCs w:val="20"/>
              </w:rPr>
              <w:t>National Hauora Coalition</w:t>
            </w:r>
          </w:p>
        </w:tc>
        <w:tc>
          <w:tcPr>
            <w:tcW w:w="2518" w:type="dxa"/>
          </w:tcPr>
          <w:p w:rsidR="00412364" w:rsidRPr="00CC0381" w:rsidRDefault="00412364" w:rsidP="001F7B48">
            <w:pPr>
              <w:spacing w:before="0"/>
              <w:ind w:left="0"/>
              <w:jc w:val="center"/>
              <w:rPr>
                <w:sz w:val="20"/>
                <w:szCs w:val="20"/>
              </w:rPr>
            </w:pPr>
            <w:r w:rsidRPr="00CC0381">
              <w:rPr>
                <w:sz w:val="20"/>
                <w:szCs w:val="20"/>
              </w:rPr>
              <w:t>3</w:t>
            </w:r>
          </w:p>
        </w:tc>
        <w:tc>
          <w:tcPr>
            <w:tcW w:w="2694" w:type="dxa"/>
          </w:tcPr>
          <w:p w:rsidR="00412364" w:rsidRPr="00CC0381" w:rsidRDefault="00412364" w:rsidP="001F7B48">
            <w:pPr>
              <w:spacing w:before="0"/>
              <w:ind w:left="0"/>
              <w:jc w:val="center"/>
              <w:rPr>
                <w:sz w:val="20"/>
                <w:szCs w:val="20"/>
              </w:rPr>
            </w:pPr>
            <w:r w:rsidRPr="00CC0381">
              <w:rPr>
                <w:sz w:val="20"/>
                <w:szCs w:val="20"/>
              </w:rPr>
              <w:t>4%</w:t>
            </w:r>
          </w:p>
        </w:tc>
      </w:tr>
      <w:tr w:rsidR="00412364" w:rsidRPr="00CC0381">
        <w:trPr>
          <w:trHeight w:val="225"/>
        </w:trPr>
        <w:tc>
          <w:tcPr>
            <w:tcW w:w="3452" w:type="dxa"/>
          </w:tcPr>
          <w:p w:rsidR="00412364" w:rsidRPr="00CC0381" w:rsidRDefault="00412364" w:rsidP="001F7B48">
            <w:pPr>
              <w:spacing w:before="0"/>
              <w:ind w:left="0"/>
              <w:rPr>
                <w:sz w:val="20"/>
                <w:szCs w:val="20"/>
              </w:rPr>
            </w:pPr>
            <w:r w:rsidRPr="00CC0381">
              <w:rPr>
                <w:sz w:val="20"/>
                <w:szCs w:val="20"/>
              </w:rPr>
              <w:t>Other</w:t>
            </w:r>
          </w:p>
        </w:tc>
        <w:tc>
          <w:tcPr>
            <w:tcW w:w="2518" w:type="dxa"/>
          </w:tcPr>
          <w:p w:rsidR="00412364" w:rsidRPr="00CC0381" w:rsidRDefault="00412364" w:rsidP="001F7B48">
            <w:pPr>
              <w:spacing w:before="0"/>
              <w:ind w:left="0"/>
              <w:jc w:val="center"/>
              <w:rPr>
                <w:sz w:val="20"/>
                <w:szCs w:val="20"/>
              </w:rPr>
            </w:pPr>
            <w:r w:rsidRPr="00CC0381">
              <w:rPr>
                <w:sz w:val="20"/>
                <w:szCs w:val="20"/>
              </w:rPr>
              <w:t>3</w:t>
            </w:r>
          </w:p>
        </w:tc>
        <w:tc>
          <w:tcPr>
            <w:tcW w:w="2694" w:type="dxa"/>
          </w:tcPr>
          <w:p w:rsidR="00412364" w:rsidRPr="00CC0381" w:rsidRDefault="00412364" w:rsidP="001F7B48">
            <w:pPr>
              <w:spacing w:before="0"/>
              <w:ind w:left="0"/>
              <w:jc w:val="center"/>
              <w:rPr>
                <w:sz w:val="20"/>
                <w:szCs w:val="20"/>
              </w:rPr>
            </w:pPr>
            <w:r w:rsidRPr="00CC0381">
              <w:rPr>
                <w:sz w:val="20"/>
                <w:szCs w:val="20"/>
              </w:rPr>
              <w:t>4%</w:t>
            </w:r>
          </w:p>
        </w:tc>
      </w:tr>
    </w:tbl>
    <w:p w:rsidR="0067627E" w:rsidRPr="008B1F1E" w:rsidRDefault="0067627E" w:rsidP="0067627E">
      <w:pPr>
        <w:tabs>
          <w:tab w:val="left" w:pos="4111"/>
        </w:tabs>
      </w:pPr>
      <w:r>
        <w:rPr>
          <w:b/>
        </w:rPr>
        <w:t xml:space="preserve">BSP monitoring data </w:t>
      </w:r>
      <w:r w:rsidRPr="00A13880">
        <w:t>on</w:t>
      </w:r>
      <w:r w:rsidRPr="008B1F1E">
        <w:t xml:space="preserve"> the </w:t>
      </w:r>
      <w:r>
        <w:t xml:space="preserve">number of </w:t>
      </w:r>
      <w:r w:rsidRPr="008B1F1E">
        <w:t xml:space="preserve">faxes </w:t>
      </w:r>
      <w:r>
        <w:t>received by</w:t>
      </w:r>
      <w:r w:rsidRPr="008B1F1E">
        <w:t xml:space="preserve"> the BSP Coordination Centre </w:t>
      </w:r>
      <w:r>
        <w:t xml:space="preserve">from general practices </w:t>
      </w:r>
      <w:r w:rsidRPr="008B1F1E">
        <w:t xml:space="preserve">asking for </w:t>
      </w:r>
      <w:r w:rsidR="00453F78">
        <w:t xml:space="preserve">iFOBT </w:t>
      </w:r>
      <w:r w:rsidRPr="008B1F1E">
        <w:t xml:space="preserve">kits to be sent to </w:t>
      </w:r>
      <w:r>
        <w:t xml:space="preserve">their </w:t>
      </w:r>
      <w:r w:rsidRPr="008B1F1E">
        <w:t>patients</w:t>
      </w:r>
      <w:r>
        <w:t xml:space="preserve">. This proxy indicator on the </w:t>
      </w:r>
      <w:r w:rsidRPr="008B1F1E">
        <w:t>use of Dashboard</w:t>
      </w:r>
      <w:r w:rsidRPr="008B1F1E">
        <w:rPr>
          <w:b/>
        </w:rPr>
        <w:t xml:space="preserve"> </w:t>
      </w:r>
      <w:r>
        <w:t>by general practices was analysed for the period January</w:t>
      </w:r>
      <w:r w:rsidR="00A37C66">
        <w:t>–</w:t>
      </w:r>
      <w:r>
        <w:t>December 2015</w:t>
      </w:r>
      <w:r w:rsidRPr="008B1F1E">
        <w:t xml:space="preserve">.  </w:t>
      </w:r>
    </w:p>
    <w:p w:rsidR="00412364" w:rsidRDefault="00412364" w:rsidP="00A13880">
      <w:pPr>
        <w:rPr>
          <w:lang w:eastAsia="ar-SA"/>
        </w:rPr>
      </w:pPr>
      <w:r w:rsidRPr="00F63E83">
        <w:rPr>
          <w:b/>
        </w:rPr>
        <w:t>A case study of a general practice, with a high proportion of enrolled M</w:t>
      </w:r>
      <w:r w:rsidRPr="00F63E83">
        <w:rPr>
          <w:rFonts w:cs="Arial"/>
          <w:b/>
        </w:rPr>
        <w:t>ā</w:t>
      </w:r>
      <w:r w:rsidRPr="00F63E83">
        <w:rPr>
          <w:b/>
        </w:rPr>
        <w:t>ori and Pacific patients, who are actively engaged in supporting their patients to take part in bowel screening</w:t>
      </w:r>
      <w:r>
        <w:rPr>
          <w:b/>
        </w:rPr>
        <w:t xml:space="preserve">. </w:t>
      </w:r>
      <w:r>
        <w:t xml:space="preserve"> </w:t>
      </w:r>
      <w:r w:rsidR="00453F78">
        <w:rPr>
          <w:szCs w:val="24"/>
        </w:rPr>
        <w:t>The purpose of the case study wa</w:t>
      </w:r>
      <w:r>
        <w:rPr>
          <w:szCs w:val="24"/>
        </w:rPr>
        <w:t>s t</w:t>
      </w:r>
      <w:r w:rsidRPr="00F63E83">
        <w:rPr>
          <w:szCs w:val="24"/>
        </w:rPr>
        <w:t xml:space="preserve">o </w:t>
      </w:r>
      <w:r>
        <w:rPr>
          <w:szCs w:val="24"/>
        </w:rPr>
        <w:t xml:space="preserve">profile the </w:t>
      </w:r>
      <w:r w:rsidRPr="00F63E83">
        <w:rPr>
          <w:szCs w:val="24"/>
        </w:rPr>
        <w:t xml:space="preserve">practice and systems </w:t>
      </w:r>
      <w:r>
        <w:rPr>
          <w:szCs w:val="24"/>
        </w:rPr>
        <w:t>used to engage with M</w:t>
      </w:r>
      <w:r>
        <w:rPr>
          <w:rFonts w:cs="Arial"/>
          <w:szCs w:val="24"/>
        </w:rPr>
        <w:t>ā</w:t>
      </w:r>
      <w:r>
        <w:rPr>
          <w:szCs w:val="24"/>
        </w:rPr>
        <w:t xml:space="preserve">ori and Pacific patients that may </w:t>
      </w:r>
      <w:r w:rsidRPr="00F63E83">
        <w:rPr>
          <w:szCs w:val="24"/>
        </w:rPr>
        <w:t>inform a national bowel screening programme.</w:t>
      </w:r>
      <w:r>
        <w:rPr>
          <w:szCs w:val="24"/>
        </w:rPr>
        <w:t xml:space="preserve">  </w:t>
      </w:r>
      <w:r w:rsidRPr="008B1F1E">
        <w:t xml:space="preserve">The case </w:t>
      </w:r>
      <w:r>
        <w:t xml:space="preserve">study </w:t>
      </w:r>
      <w:r w:rsidRPr="008B1F1E">
        <w:t>involve</w:t>
      </w:r>
      <w:r>
        <w:t>d</w:t>
      </w:r>
      <w:r w:rsidR="00A13880">
        <w:t xml:space="preserve"> f</w:t>
      </w:r>
      <w:r w:rsidRPr="00D010AE">
        <w:rPr>
          <w:szCs w:val="24"/>
        </w:rPr>
        <w:t xml:space="preserve">our </w:t>
      </w:r>
      <w:r>
        <w:rPr>
          <w:szCs w:val="24"/>
        </w:rPr>
        <w:t xml:space="preserve">face-to-face </w:t>
      </w:r>
      <w:r w:rsidRPr="00D010AE">
        <w:rPr>
          <w:szCs w:val="24"/>
        </w:rPr>
        <w:t xml:space="preserve">interviews with </w:t>
      </w:r>
      <w:r w:rsidR="0067627E">
        <w:rPr>
          <w:szCs w:val="24"/>
        </w:rPr>
        <w:t>practice</w:t>
      </w:r>
      <w:r w:rsidR="0067627E" w:rsidRPr="00D010AE">
        <w:rPr>
          <w:szCs w:val="24"/>
        </w:rPr>
        <w:t xml:space="preserve"> </w:t>
      </w:r>
      <w:r>
        <w:rPr>
          <w:szCs w:val="24"/>
        </w:rPr>
        <w:t>staff</w:t>
      </w:r>
      <w:r w:rsidR="00A13880">
        <w:rPr>
          <w:szCs w:val="24"/>
        </w:rPr>
        <w:t>, r</w:t>
      </w:r>
      <w:r>
        <w:rPr>
          <w:szCs w:val="24"/>
        </w:rPr>
        <w:t>eview of relevant system processe</w:t>
      </w:r>
      <w:r w:rsidR="00A13880">
        <w:rPr>
          <w:szCs w:val="24"/>
        </w:rPr>
        <w:t>s and policies for the practice, and i</w:t>
      </w:r>
      <w:r w:rsidRPr="00771A11">
        <w:rPr>
          <w:szCs w:val="24"/>
        </w:rPr>
        <w:t>nterviews with three M</w:t>
      </w:r>
      <w:r w:rsidRPr="00771A11">
        <w:rPr>
          <w:rFonts w:cs="Arial"/>
          <w:szCs w:val="24"/>
        </w:rPr>
        <w:t>ā</w:t>
      </w:r>
      <w:r w:rsidRPr="00771A11">
        <w:rPr>
          <w:szCs w:val="24"/>
        </w:rPr>
        <w:t xml:space="preserve">ori and four Pacific BSP participants who have had engagement with the general practice about bowel screening.  </w:t>
      </w:r>
    </w:p>
    <w:p w:rsidR="00A13880" w:rsidRPr="003E7D70" w:rsidRDefault="00A13880" w:rsidP="00A13880">
      <w:pPr>
        <w:rPr>
          <w:lang w:eastAsia="ar-SA"/>
        </w:rPr>
      </w:pPr>
      <w:r>
        <w:rPr>
          <w:lang w:eastAsia="ar-SA"/>
        </w:rPr>
        <w:t>The case study</w:t>
      </w:r>
      <w:r w:rsidRPr="003E7D70">
        <w:rPr>
          <w:lang w:eastAsia="ar-SA"/>
        </w:rPr>
        <w:t xml:space="preserve"> followed opt-out recruitment and informed consent procedures.  </w:t>
      </w:r>
      <w:r w:rsidR="002B3F34">
        <w:rPr>
          <w:lang w:eastAsia="ar-SA"/>
        </w:rPr>
        <w:t>M</w:t>
      </w:r>
      <w:r w:rsidR="002B3F34">
        <w:rPr>
          <w:rFonts w:cs="Arial"/>
          <w:lang w:eastAsia="ar-SA"/>
        </w:rPr>
        <w:t>ā</w:t>
      </w:r>
      <w:r w:rsidR="002B3F34">
        <w:rPr>
          <w:lang w:eastAsia="ar-SA"/>
        </w:rPr>
        <w:t>ori and Pacific r</w:t>
      </w:r>
      <w:r w:rsidR="002B3F34" w:rsidRPr="003E7D70">
        <w:rPr>
          <w:lang w:eastAsia="ar-SA"/>
        </w:rPr>
        <w:t xml:space="preserve">esearchers </w:t>
      </w:r>
      <w:r w:rsidR="002B3F34">
        <w:rPr>
          <w:lang w:eastAsia="ar-SA"/>
        </w:rPr>
        <w:t>undertook interviews with M</w:t>
      </w:r>
      <w:r w:rsidR="002B3F34">
        <w:rPr>
          <w:rFonts w:cs="Arial"/>
          <w:lang w:eastAsia="ar-SA"/>
        </w:rPr>
        <w:t>ā</w:t>
      </w:r>
      <w:r w:rsidR="002B3F34">
        <w:rPr>
          <w:lang w:eastAsia="ar-SA"/>
        </w:rPr>
        <w:t xml:space="preserve">ori and Pacific </w:t>
      </w:r>
      <w:r w:rsidR="002B3F34" w:rsidRPr="003E7D70">
        <w:rPr>
          <w:lang w:eastAsia="ar-SA"/>
        </w:rPr>
        <w:t>participants</w:t>
      </w:r>
      <w:r w:rsidRPr="003E7D70">
        <w:rPr>
          <w:lang w:eastAsia="ar-SA"/>
        </w:rPr>
        <w:t xml:space="preserve">.  </w:t>
      </w:r>
      <w:r>
        <w:rPr>
          <w:lang w:eastAsia="ar-SA"/>
        </w:rPr>
        <w:t>BSP p</w:t>
      </w:r>
      <w:r w:rsidRPr="003E7D70">
        <w:rPr>
          <w:lang w:eastAsia="ar-SA"/>
        </w:rPr>
        <w:t xml:space="preserve">articipants were invited to bring a support person, and received a koha of $50. </w:t>
      </w:r>
    </w:p>
    <w:p w:rsidR="00412364" w:rsidRDefault="00412364" w:rsidP="00412364">
      <w:pPr>
        <w:rPr>
          <w:szCs w:val="24"/>
        </w:rPr>
      </w:pPr>
      <w:bookmarkStart w:id="76" w:name="_Toc417898666"/>
      <w:r w:rsidRPr="00A13880">
        <w:rPr>
          <w:b/>
        </w:rPr>
        <w:t>Retrospective survey of converted non-responders</w:t>
      </w:r>
      <w:bookmarkEnd w:id="76"/>
      <w:r w:rsidR="00A13880" w:rsidRPr="00A13880">
        <w:rPr>
          <w:b/>
        </w:rPr>
        <w:t>.</w:t>
      </w:r>
      <w:r w:rsidR="00A13880">
        <w:t xml:space="preserve">  A </w:t>
      </w:r>
      <w:r w:rsidRPr="008B1F1E">
        <w:rPr>
          <w:szCs w:val="24"/>
        </w:rPr>
        <w:t xml:space="preserve">follow-up </w:t>
      </w:r>
      <w:r w:rsidR="00FF0997">
        <w:t>c</w:t>
      </w:r>
      <w:r w:rsidR="00FF0997" w:rsidRPr="00C95C03">
        <w:t>omputer</w:t>
      </w:r>
      <w:r w:rsidR="00FF0997">
        <w:t xml:space="preserve"> </w:t>
      </w:r>
      <w:r w:rsidR="00FF0997" w:rsidRPr="00C95C03">
        <w:t xml:space="preserve">assisted telephone </w:t>
      </w:r>
      <w:r w:rsidRPr="008B1F1E">
        <w:rPr>
          <w:szCs w:val="24"/>
        </w:rPr>
        <w:t xml:space="preserve">survey </w:t>
      </w:r>
      <w:r>
        <w:rPr>
          <w:szCs w:val="24"/>
        </w:rPr>
        <w:t xml:space="preserve">was undertaken </w:t>
      </w:r>
      <w:r w:rsidRPr="008B1F1E">
        <w:rPr>
          <w:szCs w:val="24"/>
        </w:rPr>
        <w:t xml:space="preserve">with Māori and Pacific non-responders four weeks </w:t>
      </w:r>
      <w:r w:rsidR="0070566E">
        <w:rPr>
          <w:szCs w:val="24"/>
        </w:rPr>
        <w:t xml:space="preserve">after receiving their iFOBT kit </w:t>
      </w:r>
      <w:r w:rsidRPr="008B1F1E">
        <w:rPr>
          <w:szCs w:val="24"/>
        </w:rPr>
        <w:t xml:space="preserve">who are </w:t>
      </w:r>
      <w:r w:rsidR="0070566E">
        <w:rPr>
          <w:szCs w:val="24"/>
        </w:rPr>
        <w:t xml:space="preserve">then </w:t>
      </w:r>
      <w:r w:rsidRPr="008B1F1E">
        <w:rPr>
          <w:szCs w:val="24"/>
        </w:rPr>
        <w:t>contacted via active follow</w:t>
      </w:r>
      <w:r>
        <w:rPr>
          <w:szCs w:val="24"/>
        </w:rPr>
        <w:t>-</w:t>
      </w:r>
      <w:r w:rsidRPr="008B1F1E">
        <w:rPr>
          <w:szCs w:val="24"/>
        </w:rPr>
        <w:t xml:space="preserve">up and go on to complete their kit (referred to as </w:t>
      </w:r>
      <w:r>
        <w:rPr>
          <w:szCs w:val="24"/>
        </w:rPr>
        <w:t>converted</w:t>
      </w:r>
      <w:r w:rsidRPr="008B1F1E">
        <w:rPr>
          <w:szCs w:val="24"/>
        </w:rPr>
        <w:t xml:space="preserve"> non-responders).  The </w:t>
      </w:r>
      <w:r w:rsidR="00A13880">
        <w:rPr>
          <w:szCs w:val="24"/>
        </w:rPr>
        <w:t>p</w:t>
      </w:r>
      <w:r w:rsidRPr="008B1F1E">
        <w:rPr>
          <w:szCs w:val="24"/>
        </w:rPr>
        <w:t xml:space="preserve">rimary purpose of the survey </w:t>
      </w:r>
      <w:r>
        <w:rPr>
          <w:szCs w:val="24"/>
        </w:rPr>
        <w:t>was to identify the factors</w:t>
      </w:r>
      <w:r w:rsidRPr="008B1F1E">
        <w:rPr>
          <w:szCs w:val="24"/>
        </w:rPr>
        <w:t xml:space="preserve"> that contributed to Māori and Pacific </w:t>
      </w:r>
      <w:r>
        <w:rPr>
          <w:szCs w:val="24"/>
        </w:rPr>
        <w:t>converted</w:t>
      </w:r>
      <w:r w:rsidRPr="008B1F1E">
        <w:rPr>
          <w:szCs w:val="24"/>
        </w:rPr>
        <w:t xml:space="preserve"> non-responders </w:t>
      </w:r>
      <w:r>
        <w:rPr>
          <w:szCs w:val="24"/>
        </w:rPr>
        <w:t>complet</w:t>
      </w:r>
      <w:r w:rsidR="00A37C66">
        <w:rPr>
          <w:szCs w:val="24"/>
        </w:rPr>
        <w:t>ing</w:t>
      </w:r>
      <w:r>
        <w:rPr>
          <w:szCs w:val="24"/>
        </w:rPr>
        <w:t xml:space="preserve"> their kit</w:t>
      </w:r>
      <w:r w:rsidRPr="008B1F1E">
        <w:rPr>
          <w:szCs w:val="24"/>
        </w:rPr>
        <w:t xml:space="preserve">.  </w:t>
      </w:r>
    </w:p>
    <w:p w:rsidR="00A37C66" w:rsidRDefault="00A37C66" w:rsidP="006176A5">
      <w:r>
        <w:t>A two-</w:t>
      </w:r>
      <w:r w:rsidR="00412364">
        <w:t>staged sampling and interview approach was adopted</w:t>
      </w:r>
      <w:r>
        <w:t>:</w:t>
      </w:r>
    </w:p>
    <w:p w:rsidR="00A37C66" w:rsidRDefault="00A37C66" w:rsidP="00A37C66">
      <w:pPr>
        <w:ind w:left="1134" w:hanging="425"/>
      </w:pPr>
      <w:r>
        <w:t>1.</w:t>
      </w:r>
      <w:r>
        <w:tab/>
        <w:t>R</w:t>
      </w:r>
      <w:r w:rsidR="00412364">
        <w:t xml:space="preserve">etrospective interviews of converted non-responders who completed their kit and have a negative result between </w:t>
      </w:r>
      <w:r w:rsidR="00412364" w:rsidRPr="00812D05">
        <w:t xml:space="preserve">1 May </w:t>
      </w:r>
      <w:r w:rsidR="00A13880">
        <w:t>and 19 July 2015</w:t>
      </w:r>
      <w:r>
        <w:t>.</w:t>
      </w:r>
    </w:p>
    <w:p w:rsidR="00A37C66" w:rsidRDefault="00A37C66" w:rsidP="00A37C66">
      <w:pPr>
        <w:ind w:left="1134" w:hanging="425"/>
      </w:pPr>
      <w:r>
        <w:t>2.</w:t>
      </w:r>
      <w:r>
        <w:tab/>
        <w:t>F</w:t>
      </w:r>
      <w:r w:rsidR="00412364">
        <w:t xml:space="preserve">ortnightly rolling sample for converted non-responders with </w:t>
      </w:r>
      <w:r w:rsidR="00412364" w:rsidRPr="00812D05">
        <w:t xml:space="preserve">negative results </w:t>
      </w:r>
      <w:r w:rsidR="00412364">
        <w:t xml:space="preserve">recorded between 20 July 2015 and 3 January 2016.  </w:t>
      </w:r>
    </w:p>
    <w:p w:rsidR="006176A5" w:rsidRPr="008B1F1E" w:rsidRDefault="00412364" w:rsidP="006176A5">
      <w:r>
        <w:t xml:space="preserve">The survey </w:t>
      </w:r>
      <w:r w:rsidR="00A37C66">
        <w:t xml:space="preserve">was </w:t>
      </w:r>
      <w:r>
        <w:t xml:space="preserve">completed on 1 February 2016. </w:t>
      </w:r>
      <w:r w:rsidR="006176A5">
        <w:t xml:space="preserve"> A number of exclusions were applied: </w:t>
      </w:r>
      <w:r w:rsidR="006176A5" w:rsidRPr="0089063E">
        <w:rPr>
          <w:rFonts w:cs="Arial"/>
        </w:rPr>
        <w:t>Māori and Pacific non-responders who could not be con</w:t>
      </w:r>
      <w:r w:rsidR="006176A5">
        <w:rPr>
          <w:rFonts w:cs="Arial"/>
        </w:rPr>
        <w:t>tacted during active follow-up; p</w:t>
      </w:r>
      <w:r w:rsidR="006176A5" w:rsidRPr="008B1F1E">
        <w:t>articipants who receive</w:t>
      </w:r>
      <w:r w:rsidR="006176A5">
        <w:t>d</w:t>
      </w:r>
      <w:r w:rsidR="006176A5" w:rsidRPr="008B1F1E">
        <w:t xml:space="preserve"> a positive result letter. </w:t>
      </w:r>
    </w:p>
    <w:p w:rsidR="00412364" w:rsidRDefault="00412364" w:rsidP="00A13880">
      <w:r>
        <w:t xml:space="preserve">An </w:t>
      </w:r>
      <w:r w:rsidR="00A37C66">
        <w:t>opt-</w:t>
      </w:r>
      <w:r w:rsidR="00A13880">
        <w:t xml:space="preserve">out </w:t>
      </w:r>
      <w:r>
        <w:t>informed consent process was followed.  Of the 613 converted non-responder contacts received, a total of 3</w:t>
      </w:r>
      <w:r w:rsidR="00A13880">
        <w:t>8</w:t>
      </w:r>
      <w:r>
        <w:t>9 interviews were completed:  222 M</w:t>
      </w:r>
      <w:r>
        <w:rPr>
          <w:rFonts w:cs="Arial"/>
        </w:rPr>
        <w:t>ā</w:t>
      </w:r>
      <w:r>
        <w:t xml:space="preserve">ori, 167 Pacific people and 10 </w:t>
      </w:r>
      <w:r w:rsidR="00A37C66">
        <w:t>O</w:t>
      </w:r>
      <w:r>
        <w:t>ther people.</w:t>
      </w:r>
      <w:r w:rsidR="00A37C66">
        <w:rPr>
          <w:rStyle w:val="FootnoteReference"/>
        </w:rPr>
        <w:footnoteReference w:id="24"/>
      </w:r>
      <w:r w:rsidR="00A37C66">
        <w:t xml:space="preserve"> </w:t>
      </w:r>
      <w:r>
        <w:t xml:space="preserve"> The response rate achieved for the survey </w:t>
      </w:r>
      <w:r w:rsidR="00A37C66">
        <w:t>wa</w:t>
      </w:r>
      <w:r>
        <w:t>s 65%.</w:t>
      </w:r>
      <w:r w:rsidR="00A37C66">
        <w:rPr>
          <w:rStyle w:val="FootnoteReference"/>
        </w:rPr>
        <w:footnoteReference w:id="25"/>
      </w:r>
      <w:r>
        <w:t xml:space="preserve"> </w:t>
      </w:r>
      <w:r w:rsidR="00A37C66">
        <w:t xml:space="preserve"> </w:t>
      </w:r>
      <w:r w:rsidRPr="00150E51">
        <w:t xml:space="preserve">On completion of the survey, survey weights were calculated to adjust for the sample design and to align the sample with </w:t>
      </w:r>
      <w:r>
        <w:t xml:space="preserve">the </w:t>
      </w:r>
      <w:r w:rsidRPr="00150E51">
        <w:t xml:space="preserve">known population profile. </w:t>
      </w:r>
      <w:r>
        <w:t xml:space="preserve"> </w:t>
      </w:r>
      <w:bookmarkStart w:id="77" w:name="_Ref444872197"/>
      <w:bookmarkStart w:id="78" w:name="_Ref445220969"/>
      <w:bookmarkStart w:id="79" w:name="_Toc446322481"/>
      <w:bookmarkStart w:id="80" w:name="_Toc380498560"/>
      <w:bookmarkStart w:id="81" w:name="_Toc444871904"/>
      <w:r w:rsidR="008C3DAD">
        <w:t>Table 5 shows the d</w:t>
      </w:r>
      <w:r w:rsidR="0090523C">
        <w:t>emographic profile of the converted non-responder survey</w:t>
      </w:r>
      <w:r w:rsidR="008C3DAD">
        <w:t xml:space="preserve"> respondents.</w:t>
      </w:r>
      <w:r w:rsidR="0090523C">
        <w:t xml:space="preserve"> </w:t>
      </w:r>
    </w:p>
    <w:p w:rsidR="00453F78" w:rsidRDefault="00453F78">
      <w:pPr>
        <w:spacing w:before="0"/>
        <w:ind w:left="0"/>
        <w:rPr>
          <w:rFonts w:cs="Arial"/>
          <w:b/>
          <w:sz w:val="20"/>
        </w:rPr>
      </w:pPr>
      <w:bookmarkStart w:id="82" w:name="_Toc448738198"/>
      <w:bookmarkStart w:id="83" w:name="_Toc448920819"/>
      <w:r>
        <w:br w:type="page"/>
      </w:r>
    </w:p>
    <w:p w:rsidR="00412364" w:rsidRDefault="00412364" w:rsidP="00412364">
      <w:pPr>
        <w:pStyle w:val="Tableheading"/>
      </w:pPr>
      <w:r w:rsidRPr="00261DBC">
        <w:t xml:space="preserve">Table </w:t>
      </w:r>
      <w:bookmarkEnd w:id="77"/>
      <w:bookmarkEnd w:id="78"/>
      <w:r w:rsidR="00544745">
        <w:t>5</w:t>
      </w:r>
      <w:r>
        <w:t>:</w:t>
      </w:r>
      <w:r w:rsidRPr="00261DBC">
        <w:t xml:space="preserve"> </w:t>
      </w:r>
      <w:r w:rsidR="0090523C">
        <w:t>D</w:t>
      </w:r>
      <w:r w:rsidRPr="00261DBC">
        <w:t xml:space="preserve">emographic </w:t>
      </w:r>
      <w:r>
        <w:t xml:space="preserve">profile of </w:t>
      </w:r>
      <w:r w:rsidR="008C3DAD">
        <w:t>c</w:t>
      </w:r>
      <w:r>
        <w:t>onverted</w:t>
      </w:r>
      <w:r w:rsidRPr="00261DBC">
        <w:t xml:space="preserve"> non-responder survey</w:t>
      </w:r>
      <w:r>
        <w:t xml:space="preserve"> respondents</w:t>
      </w:r>
      <w:bookmarkEnd w:id="79"/>
      <w:bookmarkEnd w:id="82"/>
      <w:bookmarkEnd w:id="83"/>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2233"/>
        <w:gridCol w:w="2481"/>
        <w:gridCol w:w="1984"/>
      </w:tblGrid>
      <w:tr w:rsidR="00412364" w:rsidRPr="00111BFD" w:rsidTr="007D17C5">
        <w:trPr>
          <w:trHeight w:val="630"/>
        </w:trPr>
        <w:tc>
          <w:tcPr>
            <w:tcW w:w="2232" w:type="dxa"/>
            <w:shd w:val="clear" w:color="auto" w:fill="9BBB59"/>
          </w:tcPr>
          <w:p w:rsidR="00412364" w:rsidRPr="007D17C5" w:rsidRDefault="00412364" w:rsidP="001F7B48">
            <w:pPr>
              <w:spacing w:before="40" w:after="40"/>
              <w:ind w:left="0"/>
              <w:jc w:val="both"/>
              <w:rPr>
                <w:rFonts w:cs="Arial"/>
                <w:b/>
                <w:color w:val="FFFFFF" w:themeColor="background1"/>
                <w:sz w:val="20"/>
                <w:szCs w:val="20"/>
              </w:rPr>
            </w:pPr>
            <w:r w:rsidRPr="007D17C5">
              <w:rPr>
                <w:rFonts w:cs="Arial"/>
                <w:b/>
                <w:color w:val="FFFFFF" w:themeColor="background1"/>
                <w:sz w:val="20"/>
                <w:szCs w:val="20"/>
              </w:rPr>
              <w:t>Variable</w:t>
            </w:r>
          </w:p>
        </w:tc>
        <w:tc>
          <w:tcPr>
            <w:tcW w:w="2233" w:type="dxa"/>
            <w:shd w:val="clear" w:color="auto" w:fill="9BBB59"/>
          </w:tcPr>
          <w:p w:rsidR="00412364" w:rsidRPr="007D17C5" w:rsidRDefault="00412364" w:rsidP="001F7B48">
            <w:pPr>
              <w:spacing w:before="40" w:after="40"/>
              <w:ind w:left="0"/>
              <w:jc w:val="center"/>
              <w:rPr>
                <w:rFonts w:cs="Arial"/>
                <w:b/>
                <w:color w:val="FFFFFF" w:themeColor="background1"/>
                <w:sz w:val="20"/>
                <w:szCs w:val="20"/>
              </w:rPr>
            </w:pPr>
            <w:r w:rsidRPr="007D17C5">
              <w:rPr>
                <w:rFonts w:cs="Arial"/>
                <w:b/>
                <w:color w:val="FFFFFF" w:themeColor="background1"/>
                <w:sz w:val="20"/>
                <w:szCs w:val="20"/>
              </w:rPr>
              <w:t xml:space="preserve">Māori </w:t>
            </w:r>
          </w:p>
          <w:p w:rsidR="00412364" w:rsidRPr="007D17C5" w:rsidRDefault="00412364" w:rsidP="001F7B48">
            <w:pPr>
              <w:spacing w:before="40" w:after="40"/>
              <w:ind w:left="0"/>
              <w:jc w:val="center"/>
              <w:rPr>
                <w:rFonts w:cs="Arial"/>
                <w:b/>
                <w:color w:val="FFFFFF" w:themeColor="background1"/>
                <w:sz w:val="20"/>
                <w:szCs w:val="20"/>
              </w:rPr>
            </w:pPr>
            <w:r w:rsidRPr="007D17C5">
              <w:rPr>
                <w:rFonts w:cs="Arial"/>
                <w:b/>
                <w:color w:val="FFFFFF" w:themeColor="background1"/>
                <w:sz w:val="20"/>
                <w:szCs w:val="20"/>
              </w:rPr>
              <w:t>n=222</w:t>
            </w:r>
          </w:p>
          <w:p w:rsidR="00412364" w:rsidRPr="007D17C5" w:rsidRDefault="00412364" w:rsidP="001F7B48">
            <w:pPr>
              <w:spacing w:before="40" w:after="40"/>
              <w:ind w:left="0"/>
              <w:jc w:val="center"/>
              <w:rPr>
                <w:rFonts w:cs="Arial"/>
                <w:b/>
                <w:color w:val="FFFFFF" w:themeColor="background1"/>
                <w:sz w:val="20"/>
                <w:szCs w:val="20"/>
              </w:rPr>
            </w:pPr>
            <w:r w:rsidRPr="007D17C5">
              <w:rPr>
                <w:rFonts w:cs="Arial"/>
                <w:b/>
                <w:color w:val="FFFFFF" w:themeColor="background1"/>
                <w:sz w:val="20"/>
                <w:szCs w:val="20"/>
              </w:rPr>
              <w:t>%</w:t>
            </w:r>
          </w:p>
        </w:tc>
        <w:tc>
          <w:tcPr>
            <w:tcW w:w="2481" w:type="dxa"/>
            <w:shd w:val="clear" w:color="auto" w:fill="9BBB59"/>
          </w:tcPr>
          <w:p w:rsidR="00412364" w:rsidRPr="007D17C5" w:rsidRDefault="00412364" w:rsidP="001F7B48">
            <w:pPr>
              <w:spacing w:before="40" w:after="40"/>
              <w:ind w:left="0"/>
              <w:jc w:val="center"/>
              <w:rPr>
                <w:rFonts w:cs="Arial"/>
                <w:b/>
                <w:color w:val="FFFFFF" w:themeColor="background1"/>
                <w:sz w:val="20"/>
                <w:szCs w:val="20"/>
              </w:rPr>
            </w:pPr>
            <w:r w:rsidRPr="007D17C5">
              <w:rPr>
                <w:rFonts w:cs="Arial"/>
                <w:b/>
                <w:color w:val="FFFFFF" w:themeColor="background1"/>
                <w:sz w:val="20"/>
                <w:szCs w:val="20"/>
              </w:rPr>
              <w:t xml:space="preserve">Pacific people </w:t>
            </w:r>
          </w:p>
          <w:p w:rsidR="00412364" w:rsidRPr="007D17C5" w:rsidRDefault="00412364" w:rsidP="001F7B48">
            <w:pPr>
              <w:spacing w:before="40" w:after="40"/>
              <w:ind w:left="0"/>
              <w:jc w:val="center"/>
              <w:rPr>
                <w:rFonts w:cs="Arial"/>
                <w:b/>
                <w:color w:val="FFFFFF" w:themeColor="background1"/>
                <w:sz w:val="20"/>
                <w:szCs w:val="20"/>
              </w:rPr>
            </w:pPr>
            <w:r w:rsidRPr="007D17C5">
              <w:rPr>
                <w:rFonts w:cs="Arial"/>
                <w:b/>
                <w:color w:val="FFFFFF" w:themeColor="background1"/>
                <w:sz w:val="20"/>
                <w:szCs w:val="20"/>
              </w:rPr>
              <w:t>n=167</w:t>
            </w:r>
          </w:p>
          <w:p w:rsidR="00412364" w:rsidRPr="007D17C5" w:rsidRDefault="00412364" w:rsidP="001F7B48">
            <w:pPr>
              <w:spacing w:before="40" w:after="40"/>
              <w:ind w:left="0"/>
              <w:jc w:val="center"/>
              <w:rPr>
                <w:rFonts w:cs="Arial"/>
                <w:b/>
                <w:color w:val="FFFFFF" w:themeColor="background1"/>
                <w:sz w:val="20"/>
                <w:szCs w:val="20"/>
              </w:rPr>
            </w:pPr>
            <w:r w:rsidRPr="007D17C5">
              <w:rPr>
                <w:rFonts w:cs="Arial"/>
                <w:b/>
                <w:color w:val="FFFFFF" w:themeColor="background1"/>
                <w:sz w:val="20"/>
                <w:szCs w:val="20"/>
              </w:rPr>
              <w:t>%</w:t>
            </w:r>
          </w:p>
        </w:tc>
        <w:tc>
          <w:tcPr>
            <w:tcW w:w="1984" w:type="dxa"/>
            <w:shd w:val="clear" w:color="auto" w:fill="9BBB59"/>
          </w:tcPr>
          <w:p w:rsidR="00412364" w:rsidRPr="007D17C5" w:rsidRDefault="00412364" w:rsidP="001F7B48">
            <w:pPr>
              <w:spacing w:before="40" w:after="40"/>
              <w:ind w:left="0"/>
              <w:jc w:val="center"/>
              <w:rPr>
                <w:rFonts w:cs="Arial"/>
                <w:b/>
                <w:color w:val="FFFFFF" w:themeColor="background1"/>
                <w:sz w:val="20"/>
                <w:szCs w:val="20"/>
              </w:rPr>
            </w:pPr>
            <w:r w:rsidRPr="007D17C5">
              <w:rPr>
                <w:rFonts w:cs="Arial"/>
                <w:b/>
                <w:color w:val="FFFFFF" w:themeColor="background1"/>
                <w:sz w:val="20"/>
                <w:szCs w:val="20"/>
              </w:rPr>
              <w:t xml:space="preserve">Total </w:t>
            </w:r>
          </w:p>
          <w:p w:rsidR="00412364" w:rsidRPr="007D17C5" w:rsidRDefault="00412364" w:rsidP="001F7B48">
            <w:pPr>
              <w:spacing w:before="40" w:after="40"/>
              <w:ind w:left="0"/>
              <w:jc w:val="center"/>
              <w:rPr>
                <w:rFonts w:cs="Arial"/>
                <w:b/>
                <w:color w:val="FFFFFF" w:themeColor="background1"/>
                <w:sz w:val="20"/>
                <w:szCs w:val="20"/>
              </w:rPr>
            </w:pPr>
            <w:r w:rsidRPr="007D17C5">
              <w:rPr>
                <w:rFonts w:cs="Arial"/>
                <w:b/>
                <w:color w:val="FFFFFF" w:themeColor="background1"/>
                <w:sz w:val="20"/>
                <w:szCs w:val="20"/>
              </w:rPr>
              <w:t>n=389</w:t>
            </w:r>
          </w:p>
          <w:p w:rsidR="00412364" w:rsidRPr="007D17C5" w:rsidRDefault="00412364" w:rsidP="001F7B48">
            <w:pPr>
              <w:spacing w:before="40" w:after="40"/>
              <w:ind w:left="0"/>
              <w:jc w:val="center"/>
              <w:rPr>
                <w:rFonts w:cs="Arial"/>
                <w:b/>
                <w:color w:val="FFFFFF" w:themeColor="background1"/>
                <w:sz w:val="20"/>
                <w:szCs w:val="20"/>
              </w:rPr>
            </w:pPr>
            <w:r w:rsidRPr="007D17C5">
              <w:rPr>
                <w:rFonts w:cs="Arial"/>
                <w:b/>
                <w:color w:val="FFFFFF" w:themeColor="background1"/>
                <w:sz w:val="20"/>
                <w:szCs w:val="20"/>
              </w:rPr>
              <w:t>%</w:t>
            </w:r>
          </w:p>
        </w:tc>
      </w:tr>
      <w:tr w:rsidR="00412364" w:rsidRPr="00624B9C">
        <w:tc>
          <w:tcPr>
            <w:tcW w:w="2232" w:type="dxa"/>
            <w:shd w:val="clear" w:color="auto" w:fill="auto"/>
          </w:tcPr>
          <w:p w:rsidR="00412364" w:rsidRPr="00624B9C" w:rsidRDefault="00412364" w:rsidP="001F7B48">
            <w:pPr>
              <w:spacing w:before="40" w:after="40"/>
              <w:ind w:left="0"/>
              <w:jc w:val="both"/>
              <w:rPr>
                <w:rFonts w:cs="Arial"/>
                <w:sz w:val="20"/>
                <w:szCs w:val="20"/>
              </w:rPr>
            </w:pPr>
            <w:r w:rsidRPr="00624B9C">
              <w:rPr>
                <w:rFonts w:cs="Arial"/>
                <w:sz w:val="20"/>
                <w:szCs w:val="20"/>
              </w:rPr>
              <w:t>Gender</w:t>
            </w:r>
          </w:p>
          <w:p w:rsidR="00412364" w:rsidRPr="00624B9C" w:rsidRDefault="00412364" w:rsidP="001F7B48">
            <w:pPr>
              <w:spacing w:before="40" w:after="40"/>
              <w:ind w:left="0"/>
              <w:jc w:val="both"/>
              <w:rPr>
                <w:rFonts w:cs="Arial"/>
                <w:sz w:val="20"/>
                <w:szCs w:val="20"/>
              </w:rPr>
            </w:pPr>
            <w:r w:rsidRPr="00624B9C">
              <w:rPr>
                <w:rFonts w:cs="Arial"/>
                <w:sz w:val="20"/>
                <w:szCs w:val="20"/>
              </w:rPr>
              <w:tab/>
              <w:t>Male</w:t>
            </w:r>
          </w:p>
          <w:p w:rsidR="00412364" w:rsidRPr="00624B9C" w:rsidRDefault="00412364" w:rsidP="001F7B48">
            <w:pPr>
              <w:spacing w:before="40" w:after="40"/>
              <w:ind w:left="0"/>
              <w:jc w:val="both"/>
              <w:rPr>
                <w:rFonts w:cs="Arial"/>
                <w:sz w:val="20"/>
                <w:szCs w:val="20"/>
              </w:rPr>
            </w:pPr>
            <w:r w:rsidRPr="00624B9C">
              <w:rPr>
                <w:rFonts w:cs="Arial"/>
                <w:sz w:val="20"/>
                <w:szCs w:val="20"/>
              </w:rPr>
              <w:tab/>
              <w:t>Female</w:t>
            </w:r>
          </w:p>
        </w:tc>
        <w:tc>
          <w:tcPr>
            <w:tcW w:w="2233" w:type="dxa"/>
          </w:tcPr>
          <w:p w:rsidR="00412364" w:rsidRDefault="00412364" w:rsidP="001F7B48">
            <w:pPr>
              <w:spacing w:before="40" w:after="40"/>
              <w:ind w:left="0"/>
              <w:jc w:val="center"/>
              <w:rPr>
                <w:rFonts w:cs="Arial"/>
                <w:sz w:val="20"/>
                <w:szCs w:val="20"/>
              </w:rPr>
            </w:pPr>
          </w:p>
          <w:p w:rsidR="00412364" w:rsidRDefault="00412364" w:rsidP="001F7B48">
            <w:pPr>
              <w:spacing w:before="40" w:after="40"/>
              <w:ind w:left="0"/>
              <w:jc w:val="center"/>
              <w:rPr>
                <w:rFonts w:cs="Arial"/>
                <w:sz w:val="20"/>
                <w:szCs w:val="20"/>
              </w:rPr>
            </w:pPr>
            <w:r>
              <w:rPr>
                <w:rFonts w:cs="Arial"/>
                <w:sz w:val="20"/>
                <w:szCs w:val="20"/>
              </w:rPr>
              <w:t>44</w:t>
            </w:r>
          </w:p>
          <w:p w:rsidR="00412364" w:rsidRPr="00624B9C" w:rsidRDefault="00412364" w:rsidP="005153FF">
            <w:pPr>
              <w:spacing w:before="40" w:after="40"/>
              <w:ind w:left="0"/>
              <w:jc w:val="center"/>
              <w:rPr>
                <w:rFonts w:cs="Arial"/>
                <w:sz w:val="20"/>
                <w:szCs w:val="20"/>
              </w:rPr>
            </w:pPr>
            <w:r>
              <w:rPr>
                <w:rFonts w:cs="Arial"/>
                <w:sz w:val="20"/>
                <w:szCs w:val="20"/>
              </w:rPr>
              <w:t>56</w:t>
            </w:r>
          </w:p>
        </w:tc>
        <w:tc>
          <w:tcPr>
            <w:tcW w:w="2481" w:type="dxa"/>
          </w:tcPr>
          <w:p w:rsidR="00412364" w:rsidRDefault="00412364" w:rsidP="001F7B48">
            <w:pPr>
              <w:spacing w:before="40" w:after="40"/>
              <w:ind w:left="0"/>
              <w:jc w:val="center"/>
              <w:rPr>
                <w:rFonts w:cs="Arial"/>
                <w:sz w:val="20"/>
                <w:szCs w:val="20"/>
              </w:rPr>
            </w:pPr>
          </w:p>
          <w:p w:rsidR="00412364" w:rsidRDefault="00412364" w:rsidP="001F7B48">
            <w:pPr>
              <w:spacing w:before="40" w:after="40"/>
              <w:ind w:left="0"/>
              <w:jc w:val="center"/>
              <w:rPr>
                <w:rFonts w:cs="Arial"/>
                <w:sz w:val="20"/>
                <w:szCs w:val="20"/>
              </w:rPr>
            </w:pPr>
            <w:r>
              <w:rPr>
                <w:rFonts w:cs="Arial"/>
                <w:sz w:val="20"/>
                <w:szCs w:val="20"/>
              </w:rPr>
              <w:t>45</w:t>
            </w:r>
          </w:p>
          <w:p w:rsidR="00412364" w:rsidRPr="00624B9C" w:rsidRDefault="00412364" w:rsidP="005153FF">
            <w:pPr>
              <w:spacing w:before="40" w:after="40"/>
              <w:ind w:left="0"/>
              <w:jc w:val="center"/>
              <w:rPr>
                <w:rFonts w:cs="Arial"/>
                <w:sz w:val="20"/>
                <w:szCs w:val="20"/>
              </w:rPr>
            </w:pPr>
            <w:r>
              <w:rPr>
                <w:rFonts w:cs="Arial"/>
                <w:sz w:val="20"/>
                <w:szCs w:val="20"/>
              </w:rPr>
              <w:t>55</w:t>
            </w:r>
          </w:p>
        </w:tc>
        <w:tc>
          <w:tcPr>
            <w:tcW w:w="1984" w:type="dxa"/>
            <w:shd w:val="clear" w:color="auto" w:fill="auto"/>
          </w:tcPr>
          <w:p w:rsidR="00412364" w:rsidRDefault="00412364" w:rsidP="001F7B48">
            <w:pPr>
              <w:spacing w:before="40" w:after="40"/>
              <w:ind w:left="0"/>
              <w:jc w:val="center"/>
              <w:rPr>
                <w:rFonts w:cs="Arial"/>
                <w:sz w:val="20"/>
                <w:szCs w:val="20"/>
              </w:rPr>
            </w:pPr>
          </w:p>
          <w:p w:rsidR="00412364" w:rsidRDefault="00412364" w:rsidP="001F7B48">
            <w:pPr>
              <w:spacing w:before="40" w:after="40"/>
              <w:ind w:left="0"/>
              <w:jc w:val="center"/>
              <w:rPr>
                <w:rFonts w:cs="Arial"/>
                <w:sz w:val="20"/>
                <w:szCs w:val="20"/>
              </w:rPr>
            </w:pPr>
            <w:r>
              <w:rPr>
                <w:rFonts w:cs="Arial"/>
                <w:sz w:val="20"/>
                <w:szCs w:val="20"/>
              </w:rPr>
              <w:t>44</w:t>
            </w:r>
          </w:p>
          <w:p w:rsidR="00412364" w:rsidRPr="00624B9C" w:rsidRDefault="00412364" w:rsidP="005153FF">
            <w:pPr>
              <w:spacing w:before="40" w:after="40"/>
              <w:ind w:left="0"/>
              <w:jc w:val="center"/>
              <w:rPr>
                <w:rFonts w:cs="Arial"/>
                <w:sz w:val="20"/>
                <w:szCs w:val="20"/>
              </w:rPr>
            </w:pPr>
            <w:r>
              <w:rPr>
                <w:rFonts w:cs="Arial"/>
                <w:sz w:val="20"/>
                <w:szCs w:val="20"/>
              </w:rPr>
              <w:t>56</w:t>
            </w:r>
          </w:p>
        </w:tc>
      </w:tr>
      <w:tr w:rsidR="00412364" w:rsidRPr="00A22EA6">
        <w:tc>
          <w:tcPr>
            <w:tcW w:w="2232" w:type="dxa"/>
            <w:shd w:val="clear" w:color="auto" w:fill="auto"/>
          </w:tcPr>
          <w:p w:rsidR="00412364" w:rsidRDefault="00412364" w:rsidP="001F7B48">
            <w:pPr>
              <w:spacing w:before="40" w:after="40"/>
              <w:ind w:left="0"/>
              <w:jc w:val="both"/>
              <w:rPr>
                <w:rFonts w:cs="Arial"/>
                <w:sz w:val="20"/>
                <w:szCs w:val="20"/>
              </w:rPr>
            </w:pPr>
            <w:r w:rsidRPr="00A22EA6">
              <w:rPr>
                <w:rFonts w:cs="Arial"/>
                <w:sz w:val="20"/>
                <w:szCs w:val="20"/>
              </w:rPr>
              <w:t>Age group</w:t>
            </w:r>
          </w:p>
          <w:p w:rsidR="00412364" w:rsidRPr="00A22EA6" w:rsidRDefault="00412364" w:rsidP="001F7B48">
            <w:pPr>
              <w:spacing w:before="40" w:after="40"/>
              <w:ind w:left="0"/>
              <w:jc w:val="both"/>
              <w:rPr>
                <w:rFonts w:cs="Arial"/>
                <w:sz w:val="20"/>
                <w:szCs w:val="20"/>
              </w:rPr>
            </w:pPr>
            <w:r w:rsidRPr="00A22EA6">
              <w:rPr>
                <w:rFonts w:cs="Arial"/>
                <w:sz w:val="20"/>
                <w:szCs w:val="20"/>
              </w:rPr>
              <w:tab/>
              <w:t>50–54</w:t>
            </w:r>
          </w:p>
          <w:p w:rsidR="00412364" w:rsidRPr="00A22EA6" w:rsidRDefault="00412364" w:rsidP="001F7B48">
            <w:pPr>
              <w:spacing w:before="40" w:after="40"/>
              <w:ind w:left="0"/>
              <w:jc w:val="both"/>
              <w:rPr>
                <w:rFonts w:cs="Arial"/>
                <w:sz w:val="20"/>
                <w:szCs w:val="20"/>
              </w:rPr>
            </w:pPr>
            <w:r w:rsidRPr="00A22EA6">
              <w:rPr>
                <w:rFonts w:cs="Arial"/>
                <w:sz w:val="20"/>
                <w:szCs w:val="20"/>
              </w:rPr>
              <w:tab/>
              <w:t>55–59</w:t>
            </w:r>
          </w:p>
          <w:p w:rsidR="00412364" w:rsidRPr="00A22EA6" w:rsidRDefault="00412364" w:rsidP="001F7B48">
            <w:pPr>
              <w:spacing w:before="40" w:after="40"/>
              <w:ind w:left="0"/>
              <w:jc w:val="both"/>
              <w:rPr>
                <w:rFonts w:cs="Arial"/>
                <w:sz w:val="20"/>
                <w:szCs w:val="20"/>
              </w:rPr>
            </w:pPr>
            <w:r w:rsidRPr="00A22EA6">
              <w:rPr>
                <w:rFonts w:cs="Arial"/>
                <w:sz w:val="20"/>
                <w:szCs w:val="20"/>
              </w:rPr>
              <w:tab/>
              <w:t>60–64</w:t>
            </w:r>
          </w:p>
          <w:p w:rsidR="00412364" w:rsidRPr="00A22EA6" w:rsidRDefault="00412364" w:rsidP="001F7B48">
            <w:pPr>
              <w:spacing w:before="40" w:after="40"/>
              <w:ind w:left="0"/>
              <w:jc w:val="both"/>
              <w:rPr>
                <w:rFonts w:cs="Arial"/>
                <w:sz w:val="20"/>
                <w:szCs w:val="20"/>
              </w:rPr>
            </w:pPr>
            <w:r w:rsidRPr="00A22EA6">
              <w:rPr>
                <w:rFonts w:cs="Arial"/>
                <w:sz w:val="20"/>
                <w:szCs w:val="20"/>
              </w:rPr>
              <w:tab/>
              <w:t>65–69</w:t>
            </w:r>
          </w:p>
          <w:p w:rsidR="00412364" w:rsidRPr="00A22EA6" w:rsidRDefault="00412364" w:rsidP="001F7B48">
            <w:pPr>
              <w:spacing w:before="40" w:after="40"/>
              <w:ind w:left="0"/>
              <w:jc w:val="both"/>
              <w:rPr>
                <w:rFonts w:cs="Arial"/>
                <w:sz w:val="20"/>
                <w:szCs w:val="20"/>
              </w:rPr>
            </w:pPr>
            <w:r w:rsidRPr="00A22EA6">
              <w:rPr>
                <w:rFonts w:cs="Arial"/>
                <w:sz w:val="20"/>
                <w:szCs w:val="20"/>
              </w:rPr>
              <w:tab/>
              <w:t>70–74</w:t>
            </w:r>
          </w:p>
          <w:p w:rsidR="00412364" w:rsidRPr="00A22EA6" w:rsidRDefault="00412364" w:rsidP="001F7B48">
            <w:pPr>
              <w:spacing w:before="40" w:after="40"/>
              <w:ind w:left="0"/>
              <w:jc w:val="both"/>
              <w:rPr>
                <w:rFonts w:cs="Arial"/>
                <w:sz w:val="20"/>
                <w:szCs w:val="20"/>
              </w:rPr>
            </w:pPr>
            <w:r w:rsidRPr="00A22EA6">
              <w:rPr>
                <w:rFonts w:cs="Arial"/>
                <w:sz w:val="20"/>
                <w:szCs w:val="20"/>
              </w:rPr>
              <w:tab/>
              <w:t>75 plus</w:t>
            </w:r>
          </w:p>
        </w:tc>
        <w:tc>
          <w:tcPr>
            <w:tcW w:w="2233" w:type="dxa"/>
          </w:tcPr>
          <w:p w:rsidR="00412364" w:rsidRDefault="00412364" w:rsidP="001F7B48">
            <w:pPr>
              <w:spacing w:before="40" w:after="40"/>
              <w:ind w:left="0"/>
              <w:jc w:val="center"/>
              <w:rPr>
                <w:rFonts w:cs="Arial"/>
                <w:sz w:val="20"/>
                <w:szCs w:val="20"/>
              </w:rPr>
            </w:pPr>
          </w:p>
          <w:p w:rsidR="00412364" w:rsidRDefault="00412364" w:rsidP="001F7B48">
            <w:pPr>
              <w:spacing w:before="40" w:after="40"/>
              <w:ind w:left="0"/>
              <w:jc w:val="center"/>
              <w:rPr>
                <w:rFonts w:cs="Arial"/>
                <w:sz w:val="20"/>
                <w:szCs w:val="20"/>
              </w:rPr>
            </w:pPr>
            <w:r>
              <w:rPr>
                <w:rFonts w:cs="Arial"/>
                <w:sz w:val="20"/>
                <w:szCs w:val="20"/>
              </w:rPr>
              <w:t>33</w:t>
            </w:r>
          </w:p>
          <w:p w:rsidR="00412364" w:rsidRDefault="00412364" w:rsidP="001F7B48">
            <w:pPr>
              <w:spacing w:before="40" w:after="40"/>
              <w:ind w:left="0"/>
              <w:jc w:val="center"/>
              <w:rPr>
                <w:rFonts w:cs="Arial"/>
                <w:sz w:val="20"/>
                <w:szCs w:val="20"/>
              </w:rPr>
            </w:pPr>
            <w:r>
              <w:rPr>
                <w:rFonts w:cs="Arial"/>
                <w:sz w:val="20"/>
                <w:szCs w:val="20"/>
              </w:rPr>
              <w:t>26</w:t>
            </w:r>
          </w:p>
          <w:p w:rsidR="00412364" w:rsidRDefault="00412364" w:rsidP="001F7B48">
            <w:pPr>
              <w:spacing w:before="40" w:after="40"/>
              <w:ind w:left="0"/>
              <w:jc w:val="center"/>
              <w:rPr>
                <w:rFonts w:cs="Arial"/>
                <w:sz w:val="20"/>
                <w:szCs w:val="20"/>
              </w:rPr>
            </w:pPr>
            <w:r>
              <w:rPr>
                <w:rFonts w:cs="Arial"/>
                <w:sz w:val="20"/>
                <w:szCs w:val="20"/>
              </w:rPr>
              <w:t>23</w:t>
            </w:r>
          </w:p>
          <w:p w:rsidR="00412364" w:rsidRDefault="00412364" w:rsidP="001F7B48">
            <w:pPr>
              <w:spacing w:before="40" w:after="40"/>
              <w:ind w:left="0"/>
              <w:jc w:val="center"/>
              <w:rPr>
                <w:rFonts w:cs="Arial"/>
                <w:sz w:val="20"/>
                <w:szCs w:val="20"/>
              </w:rPr>
            </w:pPr>
            <w:r>
              <w:rPr>
                <w:rFonts w:cs="Arial"/>
                <w:sz w:val="20"/>
                <w:szCs w:val="20"/>
              </w:rPr>
              <w:t>12</w:t>
            </w:r>
          </w:p>
          <w:p w:rsidR="00412364" w:rsidRDefault="00412364" w:rsidP="001F7B48">
            <w:pPr>
              <w:spacing w:before="40" w:after="40"/>
              <w:ind w:left="0"/>
              <w:jc w:val="center"/>
              <w:rPr>
                <w:rFonts w:cs="Arial"/>
                <w:sz w:val="20"/>
                <w:szCs w:val="20"/>
              </w:rPr>
            </w:pPr>
            <w:r>
              <w:rPr>
                <w:rFonts w:cs="Arial"/>
                <w:sz w:val="20"/>
                <w:szCs w:val="20"/>
              </w:rPr>
              <w:t>5</w:t>
            </w:r>
          </w:p>
          <w:p w:rsidR="00412364" w:rsidRPr="00A22EA6" w:rsidRDefault="00412364" w:rsidP="005153FF">
            <w:pPr>
              <w:spacing w:before="40" w:after="40"/>
              <w:ind w:left="0"/>
              <w:jc w:val="center"/>
              <w:rPr>
                <w:rFonts w:cs="Arial"/>
                <w:sz w:val="20"/>
                <w:szCs w:val="20"/>
              </w:rPr>
            </w:pPr>
            <w:r>
              <w:rPr>
                <w:rFonts w:cs="Arial"/>
                <w:sz w:val="20"/>
                <w:szCs w:val="20"/>
              </w:rPr>
              <w:t>1</w:t>
            </w:r>
          </w:p>
        </w:tc>
        <w:tc>
          <w:tcPr>
            <w:tcW w:w="2481" w:type="dxa"/>
          </w:tcPr>
          <w:p w:rsidR="00412364" w:rsidRDefault="00412364" w:rsidP="001F7B48">
            <w:pPr>
              <w:spacing w:before="40" w:after="40"/>
              <w:ind w:left="0"/>
              <w:jc w:val="center"/>
              <w:rPr>
                <w:rFonts w:cs="Arial"/>
                <w:sz w:val="20"/>
                <w:szCs w:val="20"/>
              </w:rPr>
            </w:pPr>
          </w:p>
          <w:p w:rsidR="00412364" w:rsidRDefault="00412364" w:rsidP="001F7B48">
            <w:pPr>
              <w:spacing w:before="40" w:after="40"/>
              <w:ind w:left="0"/>
              <w:jc w:val="center"/>
              <w:rPr>
                <w:rFonts w:cs="Arial"/>
                <w:sz w:val="20"/>
                <w:szCs w:val="20"/>
              </w:rPr>
            </w:pPr>
            <w:r>
              <w:rPr>
                <w:rFonts w:cs="Arial"/>
                <w:sz w:val="20"/>
                <w:szCs w:val="20"/>
              </w:rPr>
              <w:t>33</w:t>
            </w:r>
          </w:p>
          <w:p w:rsidR="00412364" w:rsidRDefault="00412364" w:rsidP="001F7B48">
            <w:pPr>
              <w:spacing w:before="40" w:after="40"/>
              <w:ind w:left="0"/>
              <w:jc w:val="center"/>
              <w:rPr>
                <w:rFonts w:cs="Arial"/>
                <w:sz w:val="20"/>
                <w:szCs w:val="20"/>
              </w:rPr>
            </w:pPr>
            <w:r>
              <w:rPr>
                <w:rFonts w:cs="Arial"/>
                <w:sz w:val="20"/>
                <w:szCs w:val="20"/>
              </w:rPr>
              <w:t>26</w:t>
            </w:r>
          </w:p>
          <w:p w:rsidR="00412364" w:rsidRDefault="00412364" w:rsidP="001F7B48">
            <w:pPr>
              <w:spacing w:before="40" w:after="40"/>
              <w:ind w:left="0"/>
              <w:jc w:val="center"/>
              <w:rPr>
                <w:rFonts w:cs="Arial"/>
                <w:sz w:val="20"/>
                <w:szCs w:val="20"/>
              </w:rPr>
            </w:pPr>
            <w:r>
              <w:rPr>
                <w:rFonts w:cs="Arial"/>
                <w:sz w:val="20"/>
                <w:szCs w:val="20"/>
              </w:rPr>
              <w:t>20</w:t>
            </w:r>
          </w:p>
          <w:p w:rsidR="00412364" w:rsidRDefault="00412364" w:rsidP="001F7B48">
            <w:pPr>
              <w:spacing w:before="40" w:after="40"/>
              <w:ind w:left="0"/>
              <w:jc w:val="center"/>
              <w:rPr>
                <w:rFonts w:cs="Arial"/>
                <w:sz w:val="20"/>
                <w:szCs w:val="20"/>
              </w:rPr>
            </w:pPr>
            <w:r>
              <w:rPr>
                <w:rFonts w:cs="Arial"/>
                <w:sz w:val="20"/>
                <w:szCs w:val="20"/>
              </w:rPr>
              <w:t>15</w:t>
            </w:r>
          </w:p>
          <w:p w:rsidR="00412364" w:rsidRDefault="00412364" w:rsidP="001F7B48">
            <w:pPr>
              <w:spacing w:before="40" w:after="40"/>
              <w:ind w:left="0"/>
              <w:jc w:val="center"/>
              <w:rPr>
                <w:rFonts w:cs="Arial"/>
                <w:sz w:val="20"/>
                <w:szCs w:val="20"/>
              </w:rPr>
            </w:pPr>
            <w:r>
              <w:rPr>
                <w:rFonts w:cs="Arial"/>
                <w:sz w:val="20"/>
                <w:szCs w:val="20"/>
              </w:rPr>
              <w:t>6</w:t>
            </w:r>
          </w:p>
          <w:p w:rsidR="00412364" w:rsidRPr="00A22EA6" w:rsidRDefault="00412364" w:rsidP="005153FF">
            <w:pPr>
              <w:spacing w:before="40" w:after="40"/>
              <w:ind w:left="0"/>
              <w:jc w:val="center"/>
              <w:rPr>
                <w:rFonts w:cs="Arial"/>
                <w:sz w:val="20"/>
                <w:szCs w:val="20"/>
              </w:rPr>
            </w:pPr>
            <w:r>
              <w:rPr>
                <w:rFonts w:cs="Arial"/>
                <w:sz w:val="20"/>
                <w:szCs w:val="20"/>
              </w:rPr>
              <w:t>1</w:t>
            </w:r>
          </w:p>
        </w:tc>
        <w:tc>
          <w:tcPr>
            <w:tcW w:w="1984" w:type="dxa"/>
            <w:shd w:val="clear" w:color="auto" w:fill="auto"/>
          </w:tcPr>
          <w:p w:rsidR="00412364" w:rsidRDefault="00412364" w:rsidP="001F7B48">
            <w:pPr>
              <w:spacing w:before="40" w:after="40"/>
              <w:ind w:left="0"/>
              <w:jc w:val="center"/>
              <w:rPr>
                <w:rFonts w:cs="Arial"/>
                <w:sz w:val="20"/>
                <w:szCs w:val="20"/>
              </w:rPr>
            </w:pPr>
          </w:p>
          <w:p w:rsidR="00412364" w:rsidRDefault="00412364" w:rsidP="001F7B48">
            <w:pPr>
              <w:spacing w:before="40" w:after="40"/>
              <w:ind w:left="0"/>
              <w:jc w:val="center"/>
              <w:rPr>
                <w:rFonts w:cs="Arial"/>
                <w:sz w:val="20"/>
                <w:szCs w:val="20"/>
              </w:rPr>
            </w:pPr>
            <w:r>
              <w:rPr>
                <w:rFonts w:cs="Arial"/>
                <w:sz w:val="20"/>
                <w:szCs w:val="20"/>
              </w:rPr>
              <w:t>33</w:t>
            </w:r>
          </w:p>
          <w:p w:rsidR="00412364" w:rsidRDefault="00412364" w:rsidP="001F7B48">
            <w:pPr>
              <w:spacing w:before="40" w:after="40"/>
              <w:ind w:left="0"/>
              <w:jc w:val="center"/>
              <w:rPr>
                <w:rFonts w:cs="Arial"/>
                <w:sz w:val="20"/>
                <w:szCs w:val="20"/>
              </w:rPr>
            </w:pPr>
            <w:r>
              <w:rPr>
                <w:rFonts w:cs="Arial"/>
                <w:sz w:val="20"/>
                <w:szCs w:val="20"/>
              </w:rPr>
              <w:t>26</w:t>
            </w:r>
          </w:p>
          <w:p w:rsidR="00412364" w:rsidRDefault="00412364" w:rsidP="001F7B48">
            <w:pPr>
              <w:spacing w:before="40" w:after="40"/>
              <w:ind w:left="0"/>
              <w:jc w:val="center"/>
              <w:rPr>
                <w:rFonts w:cs="Arial"/>
                <w:sz w:val="20"/>
                <w:szCs w:val="20"/>
              </w:rPr>
            </w:pPr>
            <w:r>
              <w:rPr>
                <w:rFonts w:cs="Arial"/>
                <w:sz w:val="20"/>
                <w:szCs w:val="20"/>
              </w:rPr>
              <w:t>21</w:t>
            </w:r>
          </w:p>
          <w:p w:rsidR="00412364" w:rsidRDefault="00412364" w:rsidP="001F7B48">
            <w:pPr>
              <w:spacing w:before="40" w:after="40"/>
              <w:ind w:left="0"/>
              <w:jc w:val="center"/>
              <w:rPr>
                <w:rFonts w:cs="Arial"/>
                <w:sz w:val="20"/>
                <w:szCs w:val="20"/>
              </w:rPr>
            </w:pPr>
            <w:r>
              <w:rPr>
                <w:rFonts w:cs="Arial"/>
                <w:sz w:val="20"/>
                <w:szCs w:val="20"/>
              </w:rPr>
              <w:t>14</w:t>
            </w:r>
          </w:p>
          <w:p w:rsidR="00412364" w:rsidRDefault="00412364" w:rsidP="001F7B48">
            <w:pPr>
              <w:spacing w:before="40" w:after="40"/>
              <w:ind w:left="0"/>
              <w:jc w:val="center"/>
              <w:rPr>
                <w:rFonts w:cs="Arial"/>
                <w:sz w:val="20"/>
                <w:szCs w:val="20"/>
              </w:rPr>
            </w:pPr>
            <w:r>
              <w:rPr>
                <w:rFonts w:cs="Arial"/>
                <w:sz w:val="20"/>
                <w:szCs w:val="20"/>
              </w:rPr>
              <w:t>6</w:t>
            </w:r>
          </w:p>
          <w:p w:rsidR="00412364" w:rsidRPr="00A22EA6" w:rsidRDefault="00412364" w:rsidP="005153FF">
            <w:pPr>
              <w:spacing w:before="40" w:after="40"/>
              <w:ind w:left="0"/>
              <w:jc w:val="center"/>
              <w:rPr>
                <w:rFonts w:cs="Arial"/>
                <w:sz w:val="20"/>
                <w:szCs w:val="20"/>
              </w:rPr>
            </w:pPr>
            <w:r>
              <w:rPr>
                <w:rFonts w:cs="Arial"/>
                <w:sz w:val="20"/>
                <w:szCs w:val="20"/>
              </w:rPr>
              <w:t>1</w:t>
            </w:r>
          </w:p>
        </w:tc>
      </w:tr>
    </w:tbl>
    <w:bookmarkEnd w:id="80"/>
    <w:bookmarkEnd w:id="81"/>
    <w:p w:rsidR="005B5069" w:rsidRPr="005B5069" w:rsidRDefault="00C7513C" w:rsidP="00456366">
      <w:pPr>
        <w:keepNext/>
        <w:keepLines/>
        <w:autoSpaceDE w:val="0"/>
        <w:autoSpaceDN w:val="0"/>
        <w:adjustRightInd w:val="0"/>
        <w:rPr>
          <w:b/>
        </w:rPr>
      </w:pPr>
      <w:r>
        <w:rPr>
          <w:b/>
        </w:rPr>
        <w:t>The 2015 immersion visit report</w:t>
      </w:r>
      <w:r w:rsidR="005B5069" w:rsidRPr="005B5069">
        <w:rPr>
          <w:b/>
        </w:rPr>
        <w:t xml:space="preserve"> </w:t>
      </w:r>
      <w:r w:rsidR="005B5069" w:rsidRPr="0090523C">
        <w:t>(Litmus 2016a)</w:t>
      </w:r>
    </w:p>
    <w:p w:rsidR="005B5069" w:rsidRPr="00070D19" w:rsidRDefault="005B5069" w:rsidP="00456366">
      <w:pPr>
        <w:spacing w:before="120"/>
      </w:pPr>
      <w:r>
        <w:t xml:space="preserve">In November and December 2016, a third immersion visit </w:t>
      </w:r>
      <w:r w:rsidR="00453F78">
        <w:t xml:space="preserve">was undertaken </w:t>
      </w:r>
      <w:r>
        <w:t xml:space="preserve">to </w:t>
      </w:r>
      <w:r w:rsidRPr="008B1F1E">
        <w:rPr>
          <w:rFonts w:cs="Arial"/>
          <w:bCs/>
          <w:szCs w:val="24"/>
        </w:rPr>
        <w:t>gain in</w:t>
      </w:r>
      <w:r w:rsidR="008C3DAD">
        <w:rPr>
          <w:rFonts w:cs="Arial"/>
          <w:bCs/>
          <w:szCs w:val="24"/>
        </w:rPr>
        <w:t>-</w:t>
      </w:r>
      <w:r w:rsidRPr="008B1F1E">
        <w:rPr>
          <w:rFonts w:cs="Arial"/>
          <w:bCs/>
          <w:szCs w:val="24"/>
        </w:rPr>
        <w:t xml:space="preserve">depth insight from providers along the </w:t>
      </w:r>
      <w:r w:rsidRPr="008D1D21">
        <w:t xml:space="preserve">screening pathway </w:t>
      </w:r>
      <w:r w:rsidR="008C3DAD">
        <w:t>about</w:t>
      </w:r>
      <w:r w:rsidRPr="008D1D21">
        <w:t xml:space="preserve"> the ongoing implementation of the </w:t>
      </w:r>
      <w:r w:rsidR="008C3DAD">
        <w:t>p</w:t>
      </w:r>
      <w:r w:rsidRPr="008D1D21">
        <w:t xml:space="preserve">ilot in screening </w:t>
      </w:r>
      <w:r w:rsidR="00F72955">
        <w:t>Round 2</w:t>
      </w:r>
      <w:r w:rsidRPr="008D1D21">
        <w:t xml:space="preserve"> </w:t>
      </w:r>
      <w:r w:rsidRPr="00070D19">
        <w:t>(Litmus 201</w:t>
      </w:r>
      <w:r>
        <w:t>6a</w:t>
      </w:r>
      <w:r w:rsidRPr="00070D19">
        <w:t xml:space="preserve">). </w:t>
      </w:r>
    </w:p>
    <w:p w:rsidR="005B5069" w:rsidRPr="00293577" w:rsidRDefault="0067627E" w:rsidP="005B5069">
      <w:r w:rsidRPr="0010093B">
        <w:t xml:space="preserve">Forty-two </w:t>
      </w:r>
      <w:r w:rsidR="005B5069" w:rsidRPr="00D362BF">
        <w:t>face-to-face, phone interviews and group discussions with providers across the screening pathway were undertaken (including representatives fro</w:t>
      </w:r>
      <w:r w:rsidR="005B5069" w:rsidRPr="00293577">
        <w:t xml:space="preserve">m Ministry of Health, national level stakeholders, WDHB, BSP </w:t>
      </w:r>
      <w:r w:rsidR="005B5069" w:rsidRPr="00293577">
        <w:rPr>
          <w:lang w:eastAsia="en-NZ"/>
        </w:rPr>
        <w:t xml:space="preserve">Coordination Centre, </w:t>
      </w:r>
      <w:r w:rsidR="005B5069" w:rsidRPr="00FF24B8">
        <w:rPr>
          <w:lang w:eastAsia="en-NZ"/>
        </w:rPr>
        <w:t>general practice and other primary care organisations,</w:t>
      </w:r>
      <w:r w:rsidR="005B5069" w:rsidRPr="0067627E">
        <w:rPr>
          <w:lang w:eastAsia="en-NZ"/>
        </w:rPr>
        <w:t xml:space="preserve"> PHOs, </w:t>
      </w:r>
      <w:r w:rsidR="009924DB">
        <w:rPr>
          <w:lang w:eastAsia="en-NZ"/>
        </w:rPr>
        <w:t>gastroenterologists</w:t>
      </w:r>
      <w:r w:rsidR="005B5069" w:rsidRPr="0067627E">
        <w:rPr>
          <w:lang w:eastAsia="en-NZ"/>
        </w:rPr>
        <w:t>, l</w:t>
      </w:r>
      <w:r w:rsidR="005B5069" w:rsidRPr="0010093B">
        <w:rPr>
          <w:lang w:eastAsia="en-NZ"/>
        </w:rPr>
        <w:t>aboratory, endoscopy nurses, and BSP colonoscopy surgeons</w:t>
      </w:r>
      <w:r w:rsidR="005B5069" w:rsidRPr="00D362BF">
        <w:t xml:space="preserve">).  </w:t>
      </w:r>
      <w:r w:rsidR="006176A5" w:rsidRPr="00293577">
        <w:t>Interviews with general practice</w:t>
      </w:r>
      <w:r w:rsidR="00CD0ACE">
        <w:t xml:space="preserve"> and PHOs</w:t>
      </w:r>
      <w:r w:rsidR="006176A5" w:rsidRPr="00293577">
        <w:t xml:space="preserve"> were reported in Litmus (2016). </w:t>
      </w:r>
    </w:p>
    <w:p w:rsidR="005B5069" w:rsidRDefault="005B5069" w:rsidP="005B5069">
      <w:r w:rsidRPr="008C3DAD">
        <w:rPr>
          <w:rFonts w:cs="Arial"/>
        </w:rPr>
        <w:t>All interviews followed an informed consent process.</w:t>
      </w:r>
      <w:r w:rsidRPr="00A1741A">
        <w:rPr>
          <w:rFonts w:cs="Arial"/>
        </w:rPr>
        <w:t xml:space="preserve"> </w:t>
      </w:r>
    </w:p>
    <w:p w:rsidR="00B83300" w:rsidRDefault="00B83300" w:rsidP="00B83300">
      <w:pPr>
        <w:spacing w:before="120"/>
      </w:pPr>
      <w:r w:rsidRPr="0010093B">
        <w:rPr>
          <w:lang w:eastAsia="en-US"/>
        </w:rPr>
        <w:t>The New Zealand Health and Disability Multi-region Ethics Committee granted ethical approval for the suite of BSP evaluation activities (reference MEC/11/EXP/119</w:t>
      </w:r>
      <w:r w:rsidRPr="00D362BF">
        <w:rPr>
          <w:lang w:eastAsia="en-US"/>
        </w:rPr>
        <w:t>).  On July 2015, t</w:t>
      </w:r>
      <w:r w:rsidRPr="00FF24B8">
        <w:rPr>
          <w:rFonts w:cs="Arial"/>
          <w:color w:val="000000"/>
          <w:lang w:eastAsia="en-NZ"/>
        </w:rPr>
        <w:t>he Central Health and Disability Ethics Committee</w:t>
      </w:r>
      <w:r w:rsidRPr="0010093B">
        <w:rPr>
          <w:lang w:eastAsia="en-US"/>
        </w:rPr>
        <w:t xml:space="preserve"> approved the amendments to the evaluation plan for the BSP (Litmus 2015) (reference </w:t>
      </w:r>
      <w:r w:rsidRPr="00D362BF">
        <w:t xml:space="preserve">MEC/11/EXP/119/AM06). </w:t>
      </w:r>
    </w:p>
    <w:p w:rsidR="00390442" w:rsidRDefault="00390442" w:rsidP="00390442">
      <w:pPr>
        <w:pStyle w:val="Heading2"/>
      </w:pPr>
      <w:bookmarkStart w:id="84" w:name="_Toc412540024"/>
      <w:bookmarkStart w:id="85" w:name="_Toc457842115"/>
      <w:r>
        <w:t>2.</w:t>
      </w:r>
      <w:r w:rsidR="009C3D1F">
        <w:t>6</w:t>
      </w:r>
      <w:r>
        <w:tab/>
        <w:t>Limitations</w:t>
      </w:r>
      <w:bookmarkEnd w:id="84"/>
      <w:bookmarkEnd w:id="85"/>
    </w:p>
    <w:p w:rsidR="00390442" w:rsidRDefault="00390442" w:rsidP="00390442">
      <w:r>
        <w:t>This report draws on a mix of qualitative information and quantitative data.  The evaluation team is confident tha</w:t>
      </w:r>
      <w:r w:rsidR="00B12E07">
        <w:t xml:space="preserve">t the results presented in the final evaluation </w:t>
      </w:r>
      <w:r>
        <w:t xml:space="preserve">report accurately reflect the information and data provided.  Table 6 provides a commentary on the </w:t>
      </w:r>
      <w:r w:rsidR="008346DB">
        <w:t xml:space="preserve">quality of the </w:t>
      </w:r>
      <w:r>
        <w:t xml:space="preserve">data and information used to inform this report.  </w:t>
      </w:r>
    </w:p>
    <w:p w:rsidR="00CD0ACE" w:rsidRDefault="00CD0ACE">
      <w:pPr>
        <w:spacing w:before="0"/>
        <w:ind w:left="0"/>
        <w:rPr>
          <w:b/>
          <w:sz w:val="20"/>
        </w:rPr>
      </w:pPr>
      <w:bookmarkStart w:id="86" w:name="_Toc412540159"/>
      <w:r>
        <w:br w:type="page"/>
      </w:r>
    </w:p>
    <w:p w:rsidR="00390442" w:rsidRPr="006D3A62" w:rsidRDefault="00390442" w:rsidP="00390442">
      <w:pPr>
        <w:pStyle w:val="Table"/>
        <w:ind w:left="737"/>
        <w:jc w:val="left"/>
        <w:rPr>
          <w:b w:val="0"/>
        </w:rPr>
      </w:pPr>
      <w:r>
        <w:t>Table 6</w:t>
      </w:r>
      <w:r w:rsidRPr="000A0D15">
        <w:t>: List of data and information used and their quality</w:t>
      </w:r>
      <w:bookmarkEnd w:id="86"/>
      <w:r w:rsidR="006D3A62">
        <w:t xml:space="preserve"> </w:t>
      </w:r>
    </w:p>
    <w:tbl>
      <w:tblPr>
        <w:tblStyle w:val="MediumShading1-Accent3"/>
        <w:tblW w:w="8930" w:type="dxa"/>
        <w:tblInd w:w="817" w:type="dxa"/>
        <w:tblBorders>
          <w:insideH w:val="none" w:sz="0" w:space="0" w:color="auto"/>
        </w:tblBorders>
        <w:tblLook w:val="04A0" w:firstRow="1" w:lastRow="0" w:firstColumn="1" w:lastColumn="0" w:noHBand="0" w:noVBand="1"/>
      </w:tblPr>
      <w:tblGrid>
        <w:gridCol w:w="1833"/>
        <w:gridCol w:w="1332"/>
        <w:gridCol w:w="5765"/>
      </w:tblGrid>
      <w:tr w:rsidR="00F2473C" w:rsidRPr="00F2473C" w:rsidTr="007D17C5">
        <w:trPr>
          <w:cnfStyle w:val="100000000000" w:firstRow="1" w:lastRow="0" w:firstColumn="0" w:lastColumn="0" w:oddVBand="0" w:evenVBand="0" w:oddHBand="0" w:evenHBand="0" w:firstRowFirstColumn="0" w:firstRowLastColumn="0" w:lastRowFirstColumn="0" w:lastRowLastColumn="0"/>
          <w:trHeight w:val="528"/>
          <w:tblHeader/>
        </w:trPr>
        <w:tc>
          <w:tcPr>
            <w:cnfStyle w:val="001000000000" w:firstRow="0" w:lastRow="0" w:firstColumn="1" w:lastColumn="0" w:oddVBand="0" w:evenVBand="0" w:oddHBand="0" w:evenHBand="0" w:firstRowFirstColumn="0" w:firstRowLastColumn="0" w:lastRowFirstColumn="0" w:lastRowLastColumn="0"/>
            <w:tcW w:w="1833" w:type="dxa"/>
            <w:shd w:val="clear" w:color="auto" w:fill="9BBB59"/>
          </w:tcPr>
          <w:p w:rsidR="00F2473C" w:rsidRPr="007D17C5" w:rsidRDefault="00F2473C" w:rsidP="00F2473C">
            <w:pPr>
              <w:spacing w:before="0"/>
              <w:ind w:left="0"/>
              <w:rPr>
                <w:rFonts w:cs="Arial"/>
                <w:bCs w:val="0"/>
                <w:sz w:val="18"/>
                <w:szCs w:val="18"/>
              </w:rPr>
            </w:pPr>
            <w:r w:rsidRPr="007D17C5">
              <w:rPr>
                <w:rFonts w:cs="Arial"/>
                <w:sz w:val="18"/>
                <w:szCs w:val="18"/>
              </w:rPr>
              <w:t>Data sources</w:t>
            </w:r>
          </w:p>
        </w:tc>
        <w:tc>
          <w:tcPr>
            <w:tcW w:w="1332" w:type="dxa"/>
            <w:shd w:val="clear" w:color="auto" w:fill="9BBB59"/>
          </w:tcPr>
          <w:p w:rsidR="00F2473C" w:rsidRPr="007D17C5" w:rsidRDefault="00F2473C" w:rsidP="00F2473C">
            <w:pPr>
              <w:spacing w:before="0"/>
              <w:ind w:left="0"/>
              <w:cnfStyle w:val="100000000000" w:firstRow="1" w:lastRow="0" w:firstColumn="0" w:lastColumn="0" w:oddVBand="0" w:evenVBand="0" w:oddHBand="0" w:evenHBand="0" w:firstRowFirstColumn="0" w:firstRowLastColumn="0" w:lastRowFirstColumn="0" w:lastRowLastColumn="0"/>
              <w:rPr>
                <w:rFonts w:cs="Arial"/>
                <w:bCs w:val="0"/>
                <w:sz w:val="18"/>
                <w:szCs w:val="18"/>
              </w:rPr>
            </w:pPr>
            <w:r w:rsidRPr="007D17C5">
              <w:rPr>
                <w:rFonts w:cs="Arial"/>
                <w:sz w:val="18"/>
                <w:szCs w:val="18"/>
              </w:rPr>
              <w:t xml:space="preserve">Quality rating </w:t>
            </w:r>
          </w:p>
        </w:tc>
        <w:tc>
          <w:tcPr>
            <w:tcW w:w="5765" w:type="dxa"/>
            <w:shd w:val="clear" w:color="auto" w:fill="9BBB59"/>
          </w:tcPr>
          <w:p w:rsidR="00F2473C" w:rsidRPr="007D17C5" w:rsidRDefault="00F2473C" w:rsidP="00F2473C">
            <w:pPr>
              <w:spacing w:before="0"/>
              <w:ind w:left="0"/>
              <w:cnfStyle w:val="100000000000" w:firstRow="1" w:lastRow="0" w:firstColumn="0" w:lastColumn="0" w:oddVBand="0" w:evenVBand="0" w:oddHBand="0" w:evenHBand="0" w:firstRowFirstColumn="0" w:firstRowLastColumn="0" w:lastRowFirstColumn="0" w:lastRowLastColumn="0"/>
              <w:rPr>
                <w:rFonts w:cs="Arial"/>
                <w:bCs w:val="0"/>
                <w:sz w:val="18"/>
                <w:szCs w:val="18"/>
              </w:rPr>
            </w:pPr>
            <w:r w:rsidRPr="007D17C5">
              <w:rPr>
                <w:rFonts w:cs="Arial"/>
                <w:sz w:val="18"/>
                <w:szCs w:val="18"/>
              </w:rPr>
              <w:t>Comments on quality</w:t>
            </w:r>
          </w:p>
        </w:tc>
      </w:tr>
      <w:tr w:rsidR="00F2473C" w:rsidRPr="008B52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Pr>
          <w:p w:rsidR="00F2473C" w:rsidRDefault="008B5237" w:rsidP="00F2473C">
            <w:pPr>
              <w:spacing w:before="0"/>
              <w:ind w:left="0"/>
              <w:rPr>
                <w:rFonts w:cs="Arial"/>
                <w:b w:val="0"/>
                <w:sz w:val="18"/>
                <w:szCs w:val="18"/>
              </w:rPr>
            </w:pPr>
            <w:r>
              <w:rPr>
                <w:rFonts w:cs="Arial"/>
                <w:b w:val="0"/>
                <w:sz w:val="18"/>
                <w:szCs w:val="18"/>
              </w:rPr>
              <w:t>BSP Register data used f</w:t>
            </w:r>
            <w:r w:rsidRPr="008B5237">
              <w:rPr>
                <w:rFonts w:cs="Arial"/>
                <w:b w:val="0"/>
                <w:sz w:val="18"/>
                <w:szCs w:val="18"/>
              </w:rPr>
              <w:t>or</w:t>
            </w:r>
            <w:r>
              <w:rPr>
                <w:rFonts w:cs="Arial"/>
                <w:b w:val="0"/>
                <w:sz w:val="18"/>
                <w:szCs w:val="18"/>
              </w:rPr>
              <w:t xml:space="preserve"> the </w:t>
            </w:r>
            <w:r w:rsidR="00F2473C" w:rsidRPr="008B5237">
              <w:rPr>
                <w:rFonts w:cs="Arial"/>
                <w:b w:val="0"/>
                <w:sz w:val="18"/>
                <w:szCs w:val="18"/>
              </w:rPr>
              <w:t xml:space="preserve"> epidemiology analysis</w:t>
            </w:r>
          </w:p>
          <w:p w:rsidR="008B5237" w:rsidRPr="008B5237" w:rsidRDefault="00441D54" w:rsidP="00441D54">
            <w:pPr>
              <w:spacing w:before="0"/>
              <w:ind w:left="0"/>
              <w:rPr>
                <w:rFonts w:cs="Arial"/>
                <w:b w:val="0"/>
                <w:sz w:val="18"/>
                <w:szCs w:val="18"/>
              </w:rPr>
            </w:pPr>
            <w:r>
              <w:rPr>
                <w:rFonts w:cs="Arial"/>
                <w:b w:val="0"/>
                <w:sz w:val="18"/>
                <w:szCs w:val="18"/>
              </w:rPr>
              <w:t xml:space="preserve">(Read et al 2016) </w:t>
            </w:r>
          </w:p>
        </w:tc>
        <w:tc>
          <w:tcPr>
            <w:tcW w:w="1332" w:type="dxa"/>
          </w:tcPr>
          <w:p w:rsidR="00F2473C" w:rsidRPr="008B5237" w:rsidRDefault="008B5237" w:rsidP="00F2473C">
            <w:pPr>
              <w:spacing w:before="0"/>
              <w:ind w:left="0"/>
              <w:cnfStyle w:val="000000100000" w:firstRow="0" w:lastRow="0" w:firstColumn="0" w:lastColumn="0" w:oddVBand="0" w:evenVBand="0" w:oddHBand="1" w:evenHBand="0" w:firstRowFirstColumn="0" w:firstRowLastColumn="0" w:lastRowFirstColumn="0" w:lastRowLastColumn="0"/>
              <w:rPr>
                <w:rFonts w:cs="Arial"/>
                <w:sz w:val="18"/>
                <w:szCs w:val="18"/>
              </w:rPr>
            </w:pPr>
            <w:r w:rsidRPr="008B5237">
              <w:rPr>
                <w:rFonts w:cs="Arial"/>
                <w:sz w:val="18"/>
                <w:szCs w:val="18"/>
              </w:rPr>
              <w:t xml:space="preserve">Medium </w:t>
            </w:r>
          </w:p>
        </w:tc>
        <w:tc>
          <w:tcPr>
            <w:tcW w:w="5765" w:type="dxa"/>
          </w:tcPr>
          <w:p w:rsidR="00F2473C" w:rsidRPr="008B5237" w:rsidRDefault="008B5237" w:rsidP="00441D54">
            <w:pPr>
              <w:pStyle w:val="BalloonText"/>
              <w:spacing w:after="200"/>
              <w:cnfStyle w:val="000000100000" w:firstRow="0" w:lastRow="0" w:firstColumn="0" w:lastColumn="0" w:oddVBand="0" w:evenVBand="0" w:oddHBand="1" w:evenHBand="0" w:firstRowFirstColumn="0" w:firstRowLastColumn="0" w:lastRowFirstColumn="0" w:lastRowLastColumn="0"/>
              <w:rPr>
                <w:rFonts w:cs="Arial"/>
                <w:b/>
                <w:sz w:val="18"/>
                <w:szCs w:val="18"/>
              </w:rPr>
            </w:pPr>
            <w:r w:rsidRPr="008B5237">
              <w:rPr>
                <w:rFonts w:ascii="Arial" w:hAnsi="Arial" w:cs="Arial"/>
                <w:sz w:val="18"/>
                <w:szCs w:val="18"/>
              </w:rPr>
              <w:t>There was a marked improvement in the quality of the data in the BSP Register since the interim analysis. However, some data quality issues remain. There is still evidence of a lack of logic checks in some areas. Also, the data dictionary is continuing to evolve</w:t>
            </w:r>
            <w:r w:rsidR="005920E1">
              <w:rPr>
                <w:rFonts w:ascii="Arial" w:hAnsi="Arial" w:cs="Arial"/>
                <w:sz w:val="18"/>
                <w:szCs w:val="18"/>
              </w:rPr>
              <w:t>, e.g.</w:t>
            </w:r>
            <w:r w:rsidRPr="008B5237">
              <w:rPr>
                <w:rFonts w:ascii="Arial" w:hAnsi="Arial" w:cs="Arial"/>
                <w:sz w:val="18"/>
                <w:szCs w:val="18"/>
              </w:rPr>
              <w:t xml:space="preserve"> cancer definitions.</w:t>
            </w:r>
          </w:p>
        </w:tc>
      </w:tr>
      <w:tr w:rsidR="001F7B48" w:rsidRPr="005E7E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Pr>
          <w:p w:rsidR="001F7B48" w:rsidRDefault="001F7B48" w:rsidP="00F2473C">
            <w:pPr>
              <w:spacing w:before="0"/>
              <w:ind w:left="0"/>
              <w:rPr>
                <w:rFonts w:cs="Arial"/>
                <w:b w:val="0"/>
                <w:sz w:val="18"/>
                <w:szCs w:val="18"/>
              </w:rPr>
            </w:pPr>
            <w:r w:rsidRPr="005E7E61">
              <w:rPr>
                <w:rFonts w:cs="Arial"/>
                <w:b w:val="0"/>
                <w:sz w:val="18"/>
                <w:szCs w:val="18"/>
              </w:rPr>
              <w:t>The BSP CEA</w:t>
            </w:r>
          </w:p>
          <w:p w:rsidR="00441D54" w:rsidRPr="005E7E61" w:rsidRDefault="00441D54" w:rsidP="009664E7">
            <w:pPr>
              <w:spacing w:before="0"/>
              <w:ind w:left="0"/>
              <w:rPr>
                <w:rFonts w:cs="Arial"/>
                <w:b w:val="0"/>
                <w:sz w:val="18"/>
                <w:szCs w:val="18"/>
              </w:rPr>
            </w:pPr>
            <w:r w:rsidRPr="009664E7">
              <w:rPr>
                <w:rFonts w:cs="Arial"/>
                <w:b w:val="0"/>
                <w:sz w:val="18"/>
                <w:szCs w:val="18"/>
              </w:rPr>
              <w:t>(</w:t>
            </w:r>
            <w:r w:rsidR="009664E7" w:rsidRPr="009664E7">
              <w:rPr>
                <w:rFonts w:cs="Arial"/>
                <w:b w:val="0"/>
                <w:sz w:val="18"/>
                <w:szCs w:val="18"/>
              </w:rPr>
              <w:t>Love et al</w:t>
            </w:r>
            <w:r w:rsidRPr="009664E7">
              <w:rPr>
                <w:rFonts w:cs="Arial"/>
                <w:b w:val="0"/>
                <w:sz w:val="18"/>
                <w:szCs w:val="18"/>
              </w:rPr>
              <w:t xml:space="preserve"> 2016)</w:t>
            </w:r>
          </w:p>
        </w:tc>
        <w:tc>
          <w:tcPr>
            <w:tcW w:w="1332" w:type="dxa"/>
          </w:tcPr>
          <w:p w:rsidR="001F7B48" w:rsidRPr="005E7E61" w:rsidRDefault="00A973F0" w:rsidP="00F2473C">
            <w:pPr>
              <w:spacing w:before="0"/>
              <w:ind w:left="0"/>
              <w:cnfStyle w:val="000000010000" w:firstRow="0" w:lastRow="0" w:firstColumn="0" w:lastColumn="0" w:oddVBand="0" w:evenVBand="0" w:oddHBand="0" w:evenHBand="1" w:firstRowFirstColumn="0" w:firstRowLastColumn="0" w:lastRowFirstColumn="0" w:lastRowLastColumn="0"/>
              <w:rPr>
                <w:rFonts w:cs="Arial"/>
                <w:bCs/>
                <w:sz w:val="18"/>
                <w:szCs w:val="18"/>
              </w:rPr>
            </w:pPr>
            <w:r w:rsidRPr="005E7E61">
              <w:rPr>
                <w:rFonts w:cs="Arial"/>
                <w:bCs/>
                <w:sz w:val="18"/>
                <w:szCs w:val="18"/>
              </w:rPr>
              <w:t>Medium</w:t>
            </w:r>
          </w:p>
        </w:tc>
        <w:tc>
          <w:tcPr>
            <w:tcW w:w="5765" w:type="dxa"/>
          </w:tcPr>
          <w:p w:rsidR="001F7B48" w:rsidRPr="005E7E61" w:rsidRDefault="00A973F0" w:rsidP="00441D54">
            <w:pPr>
              <w:pStyle w:val="BalloonText"/>
              <w:spacing w:after="200"/>
              <w:cnfStyle w:val="000000010000" w:firstRow="0" w:lastRow="0" w:firstColumn="0" w:lastColumn="0" w:oddVBand="0" w:evenVBand="0" w:oddHBand="0" w:evenHBand="1" w:firstRowFirstColumn="0" w:firstRowLastColumn="0" w:lastRowFirstColumn="0" w:lastRowLastColumn="0"/>
              <w:rPr>
                <w:rFonts w:cs="Arial"/>
                <w:bCs/>
                <w:sz w:val="18"/>
                <w:szCs w:val="18"/>
              </w:rPr>
            </w:pPr>
            <w:r w:rsidRPr="005E7E61">
              <w:rPr>
                <w:rFonts w:ascii="Arial" w:hAnsi="Arial" w:cs="Arial"/>
                <w:sz w:val="18"/>
                <w:szCs w:val="18"/>
              </w:rPr>
              <w:t xml:space="preserve">Data on pilot activity </w:t>
            </w:r>
            <w:r w:rsidR="00472D5D" w:rsidRPr="005E7E61">
              <w:rPr>
                <w:rFonts w:ascii="Arial" w:hAnsi="Arial" w:cs="Arial"/>
                <w:sz w:val="18"/>
                <w:szCs w:val="18"/>
              </w:rPr>
              <w:t>were</w:t>
            </w:r>
            <w:r w:rsidRPr="005E7E61">
              <w:rPr>
                <w:rFonts w:ascii="Arial" w:hAnsi="Arial" w:cs="Arial"/>
                <w:sz w:val="18"/>
                <w:szCs w:val="18"/>
              </w:rPr>
              <w:t xml:space="preserve"> supplied by the Ministry of Health, but were not verified directly by the evaluators.</w:t>
            </w:r>
          </w:p>
        </w:tc>
      </w:tr>
      <w:tr w:rsidR="00F2473C" w:rsidRPr="00F24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Pr>
          <w:p w:rsidR="00F2473C" w:rsidRDefault="00F2473C" w:rsidP="00F2473C">
            <w:pPr>
              <w:spacing w:before="0"/>
              <w:ind w:left="0"/>
              <w:rPr>
                <w:rFonts w:cs="Arial"/>
                <w:b w:val="0"/>
                <w:sz w:val="18"/>
                <w:szCs w:val="18"/>
              </w:rPr>
            </w:pPr>
            <w:r w:rsidRPr="005E7E61">
              <w:rPr>
                <w:rFonts w:cs="Arial"/>
                <w:b w:val="0"/>
                <w:sz w:val="18"/>
                <w:szCs w:val="18"/>
              </w:rPr>
              <w:t>The BSP costing analysis report</w:t>
            </w:r>
          </w:p>
          <w:p w:rsidR="00441D54" w:rsidRPr="005E7E61" w:rsidRDefault="00441D54" w:rsidP="00A52D1B">
            <w:pPr>
              <w:spacing w:before="0"/>
              <w:ind w:left="0"/>
              <w:rPr>
                <w:rFonts w:cs="Arial"/>
                <w:b w:val="0"/>
                <w:sz w:val="18"/>
                <w:szCs w:val="18"/>
              </w:rPr>
            </w:pPr>
            <w:r w:rsidRPr="00A52D1B">
              <w:rPr>
                <w:rFonts w:cs="Arial"/>
                <w:b w:val="0"/>
                <w:sz w:val="18"/>
                <w:szCs w:val="18"/>
              </w:rPr>
              <w:t>(</w:t>
            </w:r>
            <w:r w:rsidR="00A52D1B" w:rsidRPr="00A52D1B">
              <w:rPr>
                <w:rFonts w:cs="Arial"/>
                <w:b w:val="0"/>
                <w:sz w:val="18"/>
                <w:szCs w:val="18"/>
              </w:rPr>
              <w:t>Blick et al 2016</w:t>
            </w:r>
            <w:r w:rsidRPr="00A52D1B">
              <w:rPr>
                <w:rFonts w:cs="Arial"/>
                <w:b w:val="0"/>
                <w:sz w:val="18"/>
                <w:szCs w:val="18"/>
              </w:rPr>
              <w:t>)</w:t>
            </w:r>
          </w:p>
        </w:tc>
        <w:tc>
          <w:tcPr>
            <w:tcW w:w="1332" w:type="dxa"/>
          </w:tcPr>
          <w:p w:rsidR="00F2473C" w:rsidRPr="005E7E61" w:rsidRDefault="00A973F0" w:rsidP="00F2473C">
            <w:pPr>
              <w:spacing w:before="0"/>
              <w:ind w:left="0"/>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E7E61">
              <w:rPr>
                <w:rFonts w:cs="Arial"/>
                <w:bCs/>
                <w:sz w:val="18"/>
                <w:szCs w:val="18"/>
              </w:rPr>
              <w:t>High</w:t>
            </w:r>
          </w:p>
        </w:tc>
        <w:tc>
          <w:tcPr>
            <w:tcW w:w="5765" w:type="dxa"/>
          </w:tcPr>
          <w:p w:rsidR="00F2473C" w:rsidRPr="005E7E61" w:rsidRDefault="00A973F0" w:rsidP="00441D54">
            <w:pPr>
              <w:pStyle w:val="BalloonText"/>
              <w:spacing w:after="200"/>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E7E61">
              <w:rPr>
                <w:rFonts w:ascii="Arial" w:hAnsi="Arial" w:cs="Arial"/>
                <w:sz w:val="18"/>
                <w:szCs w:val="18"/>
              </w:rPr>
              <w:t>Data were supplied by the pilot programme, and verified in detail with pilot staff.</w:t>
            </w:r>
          </w:p>
        </w:tc>
      </w:tr>
      <w:tr w:rsidR="00F2473C" w:rsidRPr="00F247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Pr>
          <w:p w:rsidR="00F2473C" w:rsidRDefault="00F2473C" w:rsidP="00F2473C">
            <w:pPr>
              <w:spacing w:before="0"/>
              <w:ind w:left="0"/>
              <w:rPr>
                <w:rFonts w:cs="Arial"/>
                <w:b w:val="0"/>
                <w:sz w:val="18"/>
                <w:szCs w:val="18"/>
              </w:rPr>
            </w:pPr>
            <w:r w:rsidRPr="00F2473C">
              <w:rPr>
                <w:rFonts w:cs="Arial"/>
                <w:b w:val="0"/>
                <w:sz w:val="18"/>
                <w:szCs w:val="18"/>
              </w:rPr>
              <w:t xml:space="preserve">A survey of general practices on use of Dashboard and/or DRINFO </w:t>
            </w:r>
          </w:p>
          <w:p w:rsidR="00441D54" w:rsidRPr="00F2473C" w:rsidRDefault="00441D54" w:rsidP="00F2473C">
            <w:pPr>
              <w:spacing w:before="0"/>
              <w:ind w:left="0"/>
              <w:rPr>
                <w:rFonts w:cs="Arial"/>
                <w:b w:val="0"/>
                <w:sz w:val="18"/>
                <w:szCs w:val="18"/>
              </w:rPr>
            </w:pPr>
            <w:r>
              <w:rPr>
                <w:rFonts w:cs="Arial"/>
                <w:b w:val="0"/>
                <w:sz w:val="18"/>
                <w:szCs w:val="18"/>
              </w:rPr>
              <w:t>(Litmus 2016a)</w:t>
            </w:r>
          </w:p>
        </w:tc>
        <w:tc>
          <w:tcPr>
            <w:tcW w:w="1332" w:type="dxa"/>
          </w:tcPr>
          <w:p w:rsidR="00F2473C" w:rsidRPr="00F2473C" w:rsidRDefault="00F2473C" w:rsidP="00F2473C">
            <w:pPr>
              <w:spacing w:before="0"/>
              <w:ind w:left="0"/>
              <w:cnfStyle w:val="000000010000" w:firstRow="0" w:lastRow="0" w:firstColumn="0" w:lastColumn="0" w:oddVBand="0" w:evenVBand="0" w:oddHBand="0" w:evenHBand="1" w:firstRowFirstColumn="0" w:firstRowLastColumn="0" w:lastRowFirstColumn="0" w:lastRowLastColumn="0"/>
              <w:rPr>
                <w:rFonts w:cs="Arial"/>
                <w:bCs/>
                <w:sz w:val="18"/>
                <w:szCs w:val="18"/>
              </w:rPr>
            </w:pPr>
            <w:r w:rsidRPr="00F2473C">
              <w:rPr>
                <w:rFonts w:cs="Arial"/>
                <w:bCs/>
                <w:sz w:val="18"/>
                <w:szCs w:val="18"/>
              </w:rPr>
              <w:t xml:space="preserve">High </w:t>
            </w:r>
          </w:p>
        </w:tc>
        <w:tc>
          <w:tcPr>
            <w:tcW w:w="5765" w:type="dxa"/>
          </w:tcPr>
          <w:p w:rsidR="00F2473C" w:rsidRPr="00F2473C" w:rsidRDefault="00F2473C" w:rsidP="00441D54">
            <w:pPr>
              <w:pStyle w:val="BalloonText"/>
              <w:spacing w:after="20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2473C">
              <w:rPr>
                <w:rFonts w:ascii="Arial" w:hAnsi="Arial" w:cs="Arial"/>
                <w:sz w:val="18"/>
                <w:szCs w:val="18"/>
              </w:rPr>
              <w:t xml:space="preserve">The survey targeted a sample of 96 general practices identified as having access to Dashboard from </w:t>
            </w:r>
            <w:r w:rsidR="003E7AA9">
              <w:rPr>
                <w:rFonts w:ascii="Arial" w:hAnsi="Arial" w:cs="Arial"/>
                <w:sz w:val="18"/>
                <w:szCs w:val="18"/>
              </w:rPr>
              <w:t>ProC</w:t>
            </w:r>
            <w:r w:rsidR="003E7AA9" w:rsidRPr="00F2473C">
              <w:rPr>
                <w:rFonts w:ascii="Arial" w:hAnsi="Arial" w:cs="Arial"/>
                <w:sz w:val="18"/>
                <w:szCs w:val="18"/>
              </w:rPr>
              <w:t>are</w:t>
            </w:r>
            <w:r w:rsidRPr="00F2473C">
              <w:rPr>
                <w:rFonts w:ascii="Arial" w:hAnsi="Arial" w:cs="Arial"/>
                <w:sz w:val="18"/>
                <w:szCs w:val="18"/>
              </w:rPr>
              <w:t>, Auckland PHO, National Hauora Coalition and Waitemat</w:t>
            </w:r>
            <w:r w:rsidR="000F11FA">
              <w:rPr>
                <w:rFonts w:ascii="Arial" w:hAnsi="Arial" w:cs="Arial"/>
                <w:sz w:val="18"/>
                <w:szCs w:val="18"/>
              </w:rPr>
              <w:t>ā</w:t>
            </w:r>
            <w:r w:rsidRPr="00F2473C">
              <w:rPr>
                <w:rFonts w:ascii="Arial" w:hAnsi="Arial" w:cs="Arial"/>
                <w:sz w:val="18"/>
                <w:szCs w:val="18"/>
              </w:rPr>
              <w:t xml:space="preserve"> PHO. The response rate achieved was 83%.  </w:t>
            </w:r>
          </w:p>
        </w:tc>
      </w:tr>
      <w:tr w:rsidR="00F2473C" w:rsidRPr="00F24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Pr>
          <w:p w:rsidR="00F2473C" w:rsidRDefault="00F2473C" w:rsidP="00F2473C">
            <w:pPr>
              <w:spacing w:before="0"/>
              <w:ind w:left="0"/>
              <w:rPr>
                <w:rFonts w:cs="Arial"/>
                <w:b w:val="0"/>
                <w:sz w:val="18"/>
                <w:szCs w:val="18"/>
              </w:rPr>
            </w:pPr>
            <w:r w:rsidRPr="00F2473C">
              <w:rPr>
                <w:rFonts w:cs="Arial"/>
                <w:b w:val="0"/>
                <w:sz w:val="18"/>
                <w:szCs w:val="18"/>
              </w:rPr>
              <w:t>A case study of a general practice, with a high proportion of Māori and Pacific patients</w:t>
            </w:r>
          </w:p>
          <w:p w:rsidR="00441D54" w:rsidRPr="00F2473C" w:rsidRDefault="00441D54" w:rsidP="00F2473C">
            <w:pPr>
              <w:spacing w:before="0"/>
              <w:ind w:left="0"/>
              <w:rPr>
                <w:rFonts w:cs="Arial"/>
                <w:b w:val="0"/>
                <w:sz w:val="18"/>
                <w:szCs w:val="18"/>
              </w:rPr>
            </w:pPr>
            <w:r>
              <w:rPr>
                <w:rFonts w:cs="Arial"/>
                <w:b w:val="0"/>
                <w:sz w:val="18"/>
                <w:szCs w:val="18"/>
              </w:rPr>
              <w:t>(Litmus 2016)</w:t>
            </w:r>
          </w:p>
        </w:tc>
        <w:tc>
          <w:tcPr>
            <w:tcW w:w="1332" w:type="dxa"/>
          </w:tcPr>
          <w:p w:rsidR="00F2473C" w:rsidRPr="00F2473C" w:rsidRDefault="00F2473C" w:rsidP="00F2473C">
            <w:pPr>
              <w:spacing w:before="0"/>
              <w:ind w:left="0"/>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F2473C">
              <w:rPr>
                <w:rFonts w:cs="Arial"/>
                <w:bCs/>
                <w:sz w:val="18"/>
                <w:szCs w:val="18"/>
              </w:rPr>
              <w:t>Medium</w:t>
            </w:r>
          </w:p>
        </w:tc>
        <w:tc>
          <w:tcPr>
            <w:tcW w:w="5765" w:type="dxa"/>
          </w:tcPr>
          <w:p w:rsidR="00F2473C" w:rsidRPr="00F2473C" w:rsidRDefault="00F2473C" w:rsidP="000F2E64">
            <w:pPr>
              <w:pStyle w:val="BalloonText"/>
              <w:spacing w:after="200"/>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400F7F">
              <w:rPr>
                <w:rFonts w:ascii="Arial" w:hAnsi="Arial" w:cs="Arial"/>
                <w:sz w:val="18"/>
                <w:szCs w:val="18"/>
              </w:rPr>
              <w:t>Waitakere Union Health</w:t>
            </w:r>
            <w:r w:rsidRPr="00F2473C">
              <w:rPr>
                <w:rFonts w:ascii="Arial" w:hAnsi="Arial" w:cs="Arial"/>
                <w:sz w:val="18"/>
                <w:szCs w:val="18"/>
              </w:rPr>
              <w:t xml:space="preserve"> was selected as a practice with a high </w:t>
            </w:r>
            <w:r w:rsidRPr="00F2473C">
              <w:rPr>
                <w:rFonts w:ascii="Arial" w:hAnsi="Arial" w:cs="Arial"/>
                <w:bCs/>
                <w:sz w:val="18"/>
                <w:szCs w:val="18"/>
              </w:rPr>
              <w:t>proportion</w:t>
            </w:r>
            <w:r w:rsidRPr="00F2473C">
              <w:rPr>
                <w:rFonts w:ascii="Arial" w:hAnsi="Arial" w:cs="Arial"/>
                <w:sz w:val="18"/>
                <w:szCs w:val="18"/>
              </w:rPr>
              <w:t xml:space="preserve"> of Māori and Pacific patients who are eligible to participate in bowel screening, and have </w:t>
            </w:r>
            <w:r w:rsidR="005920E1">
              <w:rPr>
                <w:rFonts w:ascii="Arial" w:hAnsi="Arial" w:cs="Arial"/>
                <w:sz w:val="18"/>
                <w:szCs w:val="18"/>
              </w:rPr>
              <w:t xml:space="preserve">a </w:t>
            </w:r>
            <w:r w:rsidRPr="00F2473C">
              <w:rPr>
                <w:rFonts w:ascii="Arial" w:hAnsi="Arial" w:cs="Arial"/>
                <w:sz w:val="18"/>
                <w:szCs w:val="18"/>
              </w:rPr>
              <w:t>range of initiatives and innovations to support their participation.  The case had good coverage of clinical staff in the practice. A small number of Māori and Pacific BSP participants were interviewed.  Waitakere Union Health has a</w:t>
            </w:r>
            <w:r w:rsidR="005153FF">
              <w:rPr>
                <w:rFonts w:ascii="Arial" w:hAnsi="Arial" w:cs="Arial"/>
                <w:sz w:val="18"/>
                <w:szCs w:val="18"/>
              </w:rPr>
              <w:t>n un</w:t>
            </w:r>
            <w:r w:rsidR="000F2E64">
              <w:rPr>
                <w:rFonts w:ascii="Arial" w:hAnsi="Arial" w:cs="Arial"/>
                <w:sz w:val="18"/>
                <w:szCs w:val="18"/>
              </w:rPr>
              <w:t>common</w:t>
            </w:r>
            <w:r w:rsidRPr="00F2473C">
              <w:rPr>
                <w:rFonts w:ascii="Arial" w:hAnsi="Arial" w:cs="Arial"/>
                <w:sz w:val="18"/>
                <w:szCs w:val="18"/>
              </w:rPr>
              <w:t xml:space="preserve"> positioning of being a low or no cost practice.  This positioning may limit the application of their strategies to other general practices. </w:t>
            </w:r>
          </w:p>
        </w:tc>
      </w:tr>
      <w:tr w:rsidR="00F2473C" w:rsidRPr="00F247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Pr>
          <w:p w:rsidR="00F2473C" w:rsidRPr="00F2473C" w:rsidRDefault="00F2473C" w:rsidP="00F2473C">
            <w:pPr>
              <w:spacing w:before="0"/>
              <w:ind w:left="0"/>
              <w:rPr>
                <w:rFonts w:cs="Arial"/>
                <w:b w:val="0"/>
                <w:sz w:val="18"/>
                <w:szCs w:val="18"/>
              </w:rPr>
            </w:pPr>
            <w:r w:rsidRPr="00F2473C">
              <w:rPr>
                <w:rFonts w:cs="Arial"/>
                <w:b w:val="0"/>
                <w:sz w:val="18"/>
                <w:szCs w:val="18"/>
              </w:rPr>
              <w:t>Retrospective survey of converted non-responders</w:t>
            </w:r>
            <w:r w:rsidR="00441D54">
              <w:rPr>
                <w:rFonts w:cs="Arial"/>
                <w:b w:val="0"/>
                <w:sz w:val="18"/>
                <w:szCs w:val="18"/>
              </w:rPr>
              <w:t xml:space="preserve"> (Litmus 2016)</w:t>
            </w:r>
          </w:p>
          <w:p w:rsidR="00F2473C" w:rsidRPr="00F2473C" w:rsidRDefault="00F2473C" w:rsidP="00F2473C">
            <w:pPr>
              <w:spacing w:before="0"/>
              <w:ind w:left="0"/>
              <w:rPr>
                <w:rFonts w:cs="Arial"/>
                <w:b w:val="0"/>
                <w:sz w:val="18"/>
                <w:szCs w:val="18"/>
              </w:rPr>
            </w:pPr>
          </w:p>
        </w:tc>
        <w:tc>
          <w:tcPr>
            <w:tcW w:w="1332" w:type="dxa"/>
          </w:tcPr>
          <w:p w:rsidR="00F2473C" w:rsidRPr="00F2473C" w:rsidRDefault="00F2473C" w:rsidP="00F2473C">
            <w:pPr>
              <w:spacing w:before="0"/>
              <w:ind w:left="0"/>
              <w:cnfStyle w:val="000000010000" w:firstRow="0" w:lastRow="0" w:firstColumn="0" w:lastColumn="0" w:oddVBand="0" w:evenVBand="0" w:oddHBand="0" w:evenHBand="1" w:firstRowFirstColumn="0" w:firstRowLastColumn="0" w:lastRowFirstColumn="0" w:lastRowLastColumn="0"/>
              <w:rPr>
                <w:rFonts w:cs="Arial"/>
                <w:bCs/>
                <w:sz w:val="18"/>
                <w:szCs w:val="18"/>
              </w:rPr>
            </w:pPr>
            <w:r w:rsidRPr="00F2473C">
              <w:rPr>
                <w:rFonts w:cs="Arial"/>
                <w:bCs/>
                <w:sz w:val="18"/>
                <w:szCs w:val="18"/>
              </w:rPr>
              <w:t xml:space="preserve">Medium </w:t>
            </w:r>
          </w:p>
        </w:tc>
        <w:tc>
          <w:tcPr>
            <w:tcW w:w="5765" w:type="dxa"/>
          </w:tcPr>
          <w:p w:rsidR="00F2473C" w:rsidRPr="00F2473C" w:rsidRDefault="00F2473C" w:rsidP="00441D54">
            <w:pPr>
              <w:pStyle w:val="BalloonText"/>
              <w:spacing w:after="20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2473C">
              <w:rPr>
                <w:rFonts w:ascii="Arial" w:hAnsi="Arial" w:cs="Arial"/>
                <w:sz w:val="18"/>
                <w:szCs w:val="18"/>
              </w:rPr>
              <w:t xml:space="preserve">A census approach was adopted to invite all Māori and Pacific non-responders at four weeks who are contacted via phone by the BSP Coordination Centre’s active follow-up and go on to complete their kit, and have a negative iFOBT result for the period 1 May 2015 to 3 January 2016.  The period selected aligns with the implementation of a range of initiatives to increase participation by Māori and Pacific people in the BSP.  The response rate achieved for the survey </w:t>
            </w:r>
            <w:r w:rsidR="005920E1">
              <w:rPr>
                <w:rFonts w:ascii="Arial" w:hAnsi="Arial" w:cs="Arial"/>
                <w:sz w:val="18"/>
                <w:szCs w:val="18"/>
              </w:rPr>
              <w:t>wa</w:t>
            </w:r>
            <w:r w:rsidRPr="00F2473C">
              <w:rPr>
                <w:rFonts w:ascii="Arial" w:hAnsi="Arial" w:cs="Arial"/>
                <w:sz w:val="18"/>
                <w:szCs w:val="18"/>
              </w:rPr>
              <w:t>s 65%.  The survey data was weighted to adjust for the sample design and to align the sample with the known population profile.</w:t>
            </w:r>
          </w:p>
          <w:p w:rsidR="00F2473C" w:rsidRPr="00F2473C" w:rsidRDefault="00F2473C" w:rsidP="00441D54">
            <w:pPr>
              <w:pStyle w:val="BalloonText"/>
              <w:spacing w:after="200"/>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F2473C">
              <w:rPr>
                <w:rFonts w:ascii="Arial" w:hAnsi="Arial" w:cs="Arial"/>
                <w:sz w:val="18"/>
                <w:szCs w:val="18"/>
              </w:rPr>
              <w:t xml:space="preserve">The main limitation of the survey is respondents’ recall of their triggers to act.  A fortnightly rolling sampling approach was used to undertake interviews as close as possible to their decision to act. </w:t>
            </w:r>
          </w:p>
        </w:tc>
      </w:tr>
      <w:tr w:rsidR="00F2473C" w:rsidRPr="00F24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Pr>
          <w:p w:rsidR="00F2473C" w:rsidRDefault="00F2473C" w:rsidP="00F2473C">
            <w:pPr>
              <w:spacing w:before="0"/>
              <w:ind w:left="0"/>
              <w:rPr>
                <w:rFonts w:cs="Arial"/>
                <w:b w:val="0"/>
                <w:sz w:val="18"/>
                <w:szCs w:val="18"/>
              </w:rPr>
            </w:pPr>
            <w:r w:rsidRPr="00F2473C">
              <w:rPr>
                <w:rFonts w:cs="Arial"/>
                <w:b w:val="0"/>
                <w:sz w:val="18"/>
                <w:szCs w:val="18"/>
              </w:rPr>
              <w:t xml:space="preserve">Immersion visit </w:t>
            </w:r>
          </w:p>
          <w:p w:rsidR="00441D54" w:rsidRPr="00F2473C" w:rsidRDefault="00441D54" w:rsidP="00441D54">
            <w:pPr>
              <w:spacing w:before="0"/>
              <w:ind w:left="0"/>
              <w:rPr>
                <w:rFonts w:cs="Arial"/>
                <w:b w:val="0"/>
                <w:sz w:val="18"/>
                <w:szCs w:val="18"/>
              </w:rPr>
            </w:pPr>
            <w:r>
              <w:rPr>
                <w:rFonts w:cs="Arial"/>
                <w:b w:val="0"/>
                <w:sz w:val="18"/>
                <w:szCs w:val="18"/>
              </w:rPr>
              <w:t>(Litmus 2016a)</w:t>
            </w:r>
          </w:p>
        </w:tc>
        <w:tc>
          <w:tcPr>
            <w:tcW w:w="1332" w:type="dxa"/>
          </w:tcPr>
          <w:p w:rsidR="00F2473C" w:rsidRPr="00F2473C" w:rsidRDefault="00F2473C" w:rsidP="00F2473C">
            <w:pPr>
              <w:spacing w:before="0"/>
              <w:ind w:left="0"/>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F2473C">
              <w:rPr>
                <w:rFonts w:cs="Arial"/>
                <w:bCs/>
                <w:sz w:val="18"/>
                <w:szCs w:val="18"/>
              </w:rPr>
              <w:t>Medium-high</w:t>
            </w:r>
          </w:p>
        </w:tc>
        <w:tc>
          <w:tcPr>
            <w:tcW w:w="5765" w:type="dxa"/>
          </w:tcPr>
          <w:p w:rsidR="00F2473C" w:rsidRPr="00F2473C" w:rsidRDefault="00F2473C" w:rsidP="00441D54">
            <w:pPr>
              <w:pStyle w:val="BalloonText"/>
              <w:spacing w:after="200"/>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F2473C">
              <w:rPr>
                <w:rFonts w:ascii="Arial" w:hAnsi="Arial" w:cs="Arial"/>
                <w:bCs/>
                <w:sz w:val="18"/>
                <w:szCs w:val="18"/>
              </w:rPr>
              <w:t>Good coverage of providers across the BSP screening pathway.</w:t>
            </w:r>
          </w:p>
        </w:tc>
      </w:tr>
      <w:tr w:rsidR="00F2473C" w:rsidRPr="00F247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Pr>
          <w:p w:rsidR="00F2473C" w:rsidRDefault="00F2473C" w:rsidP="00F2473C">
            <w:pPr>
              <w:spacing w:before="0"/>
              <w:ind w:left="0"/>
              <w:rPr>
                <w:rFonts w:cs="Arial"/>
                <w:b w:val="0"/>
                <w:sz w:val="18"/>
                <w:szCs w:val="18"/>
              </w:rPr>
            </w:pPr>
            <w:r w:rsidRPr="00F2473C">
              <w:rPr>
                <w:rFonts w:cs="Arial"/>
                <w:b w:val="0"/>
                <w:sz w:val="18"/>
                <w:szCs w:val="18"/>
              </w:rPr>
              <w:t>BSP monitoring data on fax requests</w:t>
            </w:r>
          </w:p>
          <w:p w:rsidR="00441D54" w:rsidRPr="00F2473C" w:rsidRDefault="00441D54" w:rsidP="00F2473C">
            <w:pPr>
              <w:spacing w:before="0"/>
              <w:ind w:left="0"/>
              <w:rPr>
                <w:rFonts w:cs="Arial"/>
                <w:b w:val="0"/>
                <w:bCs w:val="0"/>
                <w:sz w:val="18"/>
                <w:szCs w:val="18"/>
              </w:rPr>
            </w:pPr>
            <w:r>
              <w:rPr>
                <w:rFonts w:cs="Arial"/>
                <w:b w:val="0"/>
                <w:sz w:val="18"/>
                <w:szCs w:val="18"/>
              </w:rPr>
              <w:t>(Litmus 2016)</w:t>
            </w:r>
          </w:p>
        </w:tc>
        <w:tc>
          <w:tcPr>
            <w:tcW w:w="1332" w:type="dxa"/>
          </w:tcPr>
          <w:p w:rsidR="00F2473C" w:rsidRPr="00F2473C" w:rsidRDefault="00F2473C" w:rsidP="00F2473C">
            <w:pPr>
              <w:spacing w:before="0"/>
              <w:ind w:left="0"/>
              <w:cnfStyle w:val="000000010000" w:firstRow="0" w:lastRow="0" w:firstColumn="0" w:lastColumn="0" w:oddVBand="0" w:evenVBand="0" w:oddHBand="0" w:evenHBand="1" w:firstRowFirstColumn="0" w:firstRowLastColumn="0" w:lastRowFirstColumn="0" w:lastRowLastColumn="0"/>
              <w:rPr>
                <w:rFonts w:cs="Arial"/>
                <w:bCs/>
                <w:sz w:val="18"/>
                <w:szCs w:val="18"/>
              </w:rPr>
            </w:pPr>
            <w:r w:rsidRPr="00F2473C">
              <w:rPr>
                <w:rFonts w:cs="Arial"/>
                <w:bCs/>
                <w:sz w:val="18"/>
                <w:szCs w:val="18"/>
              </w:rPr>
              <w:t xml:space="preserve">Medium </w:t>
            </w:r>
          </w:p>
        </w:tc>
        <w:tc>
          <w:tcPr>
            <w:tcW w:w="5765" w:type="dxa"/>
          </w:tcPr>
          <w:p w:rsidR="00F2473C" w:rsidRPr="00F2473C" w:rsidRDefault="00F2473C" w:rsidP="00441D54">
            <w:pPr>
              <w:pStyle w:val="BalloonText"/>
              <w:spacing w:after="20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2473C">
              <w:rPr>
                <w:rFonts w:ascii="Arial" w:hAnsi="Arial" w:cs="Arial"/>
                <w:sz w:val="18"/>
                <w:szCs w:val="18"/>
              </w:rPr>
              <w:t>The BSP Coordination Centre provided the data on fax requests received by the BSP for the period 1 October 2014 – 31 January 2016.  The data period is in line with the introduction of the pre-populated fax by Waitemat</w:t>
            </w:r>
            <w:r w:rsidR="000F11FA">
              <w:rPr>
                <w:rFonts w:ascii="Arial" w:hAnsi="Arial" w:cs="Arial"/>
                <w:sz w:val="18"/>
                <w:szCs w:val="18"/>
              </w:rPr>
              <w:t>ā</w:t>
            </w:r>
            <w:r w:rsidRPr="00F2473C">
              <w:rPr>
                <w:rFonts w:ascii="Arial" w:hAnsi="Arial" w:cs="Arial"/>
                <w:sz w:val="18"/>
                <w:szCs w:val="18"/>
              </w:rPr>
              <w:t xml:space="preserve"> PHO in October 2014 and most practices had the fax facility in place by January 2015. </w:t>
            </w:r>
          </w:p>
        </w:tc>
      </w:tr>
      <w:tr w:rsidR="00F2473C" w:rsidRPr="00F24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Pr>
          <w:p w:rsidR="00F2473C" w:rsidRDefault="00F2473C" w:rsidP="00F2473C">
            <w:pPr>
              <w:spacing w:before="0"/>
              <w:ind w:left="0"/>
              <w:jc w:val="both"/>
              <w:rPr>
                <w:rFonts w:cs="Arial"/>
                <w:b w:val="0"/>
                <w:sz w:val="18"/>
                <w:szCs w:val="18"/>
              </w:rPr>
            </w:pPr>
            <w:r w:rsidRPr="00F2473C">
              <w:rPr>
                <w:rFonts w:cs="Arial"/>
                <w:b w:val="0"/>
                <w:sz w:val="18"/>
                <w:szCs w:val="18"/>
              </w:rPr>
              <w:t xml:space="preserve">BSP active follow-up data </w:t>
            </w:r>
          </w:p>
          <w:p w:rsidR="00441D54" w:rsidRPr="00F2473C" w:rsidRDefault="00441D54" w:rsidP="00F2473C">
            <w:pPr>
              <w:spacing w:before="0"/>
              <w:ind w:left="0"/>
              <w:jc w:val="both"/>
              <w:rPr>
                <w:rFonts w:cs="Arial"/>
                <w:b w:val="0"/>
                <w:sz w:val="18"/>
                <w:szCs w:val="18"/>
              </w:rPr>
            </w:pPr>
            <w:r>
              <w:rPr>
                <w:rFonts w:cs="Arial"/>
                <w:b w:val="0"/>
                <w:sz w:val="18"/>
                <w:szCs w:val="18"/>
              </w:rPr>
              <w:t>(Litmus 2016)</w:t>
            </w:r>
          </w:p>
        </w:tc>
        <w:tc>
          <w:tcPr>
            <w:tcW w:w="1332" w:type="dxa"/>
          </w:tcPr>
          <w:p w:rsidR="00F2473C" w:rsidRPr="00F2473C" w:rsidRDefault="00F2473C" w:rsidP="00F2473C">
            <w:pPr>
              <w:tabs>
                <w:tab w:val="num" w:pos="6663"/>
              </w:tabs>
              <w:spacing w:before="0" w:after="200"/>
              <w:ind w:left="0"/>
              <w:cnfStyle w:val="000000100000" w:firstRow="0" w:lastRow="0" w:firstColumn="0" w:lastColumn="0" w:oddVBand="0" w:evenVBand="0" w:oddHBand="1" w:evenHBand="0" w:firstRowFirstColumn="0" w:firstRowLastColumn="0" w:lastRowFirstColumn="0" w:lastRowLastColumn="0"/>
              <w:rPr>
                <w:rFonts w:cs="Arial"/>
                <w:sz w:val="18"/>
                <w:szCs w:val="18"/>
              </w:rPr>
            </w:pPr>
            <w:r w:rsidRPr="00F2473C">
              <w:rPr>
                <w:rFonts w:cs="Arial"/>
                <w:sz w:val="18"/>
                <w:szCs w:val="18"/>
              </w:rPr>
              <w:t xml:space="preserve">High </w:t>
            </w:r>
          </w:p>
        </w:tc>
        <w:tc>
          <w:tcPr>
            <w:tcW w:w="5765" w:type="dxa"/>
          </w:tcPr>
          <w:p w:rsidR="00CD0ACE" w:rsidRPr="00CD0ACE" w:rsidRDefault="005920E1" w:rsidP="005920E1">
            <w:pPr>
              <w:pStyle w:val="BalloonText"/>
              <w:spacing w:after="2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The </w:t>
            </w:r>
            <w:r w:rsidR="00F2473C" w:rsidRPr="00F2473C">
              <w:rPr>
                <w:rFonts w:ascii="Arial" w:hAnsi="Arial" w:cs="Arial"/>
                <w:sz w:val="18"/>
                <w:szCs w:val="18"/>
              </w:rPr>
              <w:t xml:space="preserve">BSP Coordination Centre provided active follow-up call data for Māori and Pacific non-responders at four weeks for the period 1 January </w:t>
            </w:r>
            <w:r>
              <w:rPr>
                <w:rFonts w:ascii="Arial" w:hAnsi="Arial" w:cs="Arial"/>
                <w:sz w:val="18"/>
                <w:szCs w:val="18"/>
              </w:rPr>
              <w:t>–</w:t>
            </w:r>
            <w:r w:rsidR="00F2473C" w:rsidRPr="00F2473C">
              <w:rPr>
                <w:rFonts w:ascii="Arial" w:hAnsi="Arial" w:cs="Arial"/>
                <w:sz w:val="18"/>
                <w:szCs w:val="18"/>
              </w:rPr>
              <w:t xml:space="preserve"> 31 December 2015.  The period selected aligns with the implementation of a range of initiatives to increase participation by Māori and Pacific people in the BSP.  In 2015, data quality for active follow-up had improved. 2014 data is excluded as it is incomplete. </w:t>
            </w:r>
          </w:p>
        </w:tc>
      </w:tr>
    </w:tbl>
    <w:p w:rsidR="00441D54" w:rsidRDefault="00441D54">
      <w:r>
        <w:rPr>
          <w:b/>
          <w:bCs/>
        </w:rPr>
        <w:br w:type="page"/>
      </w:r>
    </w:p>
    <w:tbl>
      <w:tblPr>
        <w:tblStyle w:val="MediumShading1-Accent3"/>
        <w:tblW w:w="8930" w:type="dxa"/>
        <w:tblInd w:w="817" w:type="dxa"/>
        <w:tblLook w:val="04A0" w:firstRow="1" w:lastRow="0" w:firstColumn="1" w:lastColumn="0" w:noHBand="0" w:noVBand="1"/>
      </w:tblPr>
      <w:tblGrid>
        <w:gridCol w:w="1815"/>
        <w:gridCol w:w="18"/>
        <w:gridCol w:w="1332"/>
        <w:gridCol w:w="5765"/>
      </w:tblGrid>
      <w:tr w:rsidR="00441D54" w:rsidRPr="00F2473C">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833" w:type="dxa"/>
            <w:gridSpan w:val="2"/>
          </w:tcPr>
          <w:p w:rsidR="00441D54" w:rsidRPr="00F2473C" w:rsidRDefault="00441D54" w:rsidP="00B64372">
            <w:pPr>
              <w:spacing w:before="0"/>
              <w:ind w:left="0"/>
              <w:rPr>
                <w:rFonts w:cs="Arial"/>
                <w:bCs w:val="0"/>
                <w:sz w:val="18"/>
                <w:szCs w:val="18"/>
              </w:rPr>
            </w:pPr>
            <w:r w:rsidRPr="00F2473C">
              <w:rPr>
                <w:rFonts w:cs="Arial"/>
                <w:sz w:val="18"/>
                <w:szCs w:val="18"/>
              </w:rPr>
              <w:t>Data sources</w:t>
            </w:r>
          </w:p>
        </w:tc>
        <w:tc>
          <w:tcPr>
            <w:tcW w:w="1332" w:type="dxa"/>
          </w:tcPr>
          <w:p w:rsidR="00441D54" w:rsidRPr="00F2473C" w:rsidRDefault="00441D54" w:rsidP="00B64372">
            <w:pPr>
              <w:spacing w:before="0"/>
              <w:ind w:left="0"/>
              <w:cnfStyle w:val="100000000000" w:firstRow="1" w:lastRow="0" w:firstColumn="0" w:lastColumn="0" w:oddVBand="0" w:evenVBand="0" w:oddHBand="0" w:evenHBand="0" w:firstRowFirstColumn="0" w:firstRowLastColumn="0" w:lastRowFirstColumn="0" w:lastRowLastColumn="0"/>
              <w:rPr>
                <w:rFonts w:cs="Arial"/>
                <w:bCs w:val="0"/>
                <w:sz w:val="18"/>
                <w:szCs w:val="18"/>
              </w:rPr>
            </w:pPr>
            <w:r w:rsidRPr="00F2473C">
              <w:rPr>
                <w:rFonts w:cs="Arial"/>
                <w:sz w:val="18"/>
                <w:szCs w:val="18"/>
              </w:rPr>
              <w:t xml:space="preserve">Quality rating </w:t>
            </w:r>
          </w:p>
        </w:tc>
        <w:tc>
          <w:tcPr>
            <w:tcW w:w="5765" w:type="dxa"/>
          </w:tcPr>
          <w:p w:rsidR="00441D54" w:rsidRPr="00F2473C" w:rsidRDefault="00441D54" w:rsidP="00B64372">
            <w:pPr>
              <w:spacing w:before="0"/>
              <w:ind w:left="0"/>
              <w:cnfStyle w:val="100000000000" w:firstRow="1" w:lastRow="0" w:firstColumn="0" w:lastColumn="0" w:oddVBand="0" w:evenVBand="0" w:oddHBand="0" w:evenHBand="0" w:firstRowFirstColumn="0" w:firstRowLastColumn="0" w:lastRowFirstColumn="0" w:lastRowLastColumn="0"/>
              <w:rPr>
                <w:rFonts w:cs="Arial"/>
                <w:bCs w:val="0"/>
                <w:sz w:val="18"/>
                <w:szCs w:val="18"/>
              </w:rPr>
            </w:pPr>
            <w:r w:rsidRPr="00F2473C">
              <w:rPr>
                <w:rFonts w:cs="Arial"/>
                <w:sz w:val="18"/>
                <w:szCs w:val="18"/>
              </w:rPr>
              <w:t>Comments on quality</w:t>
            </w:r>
          </w:p>
        </w:tc>
      </w:tr>
      <w:tr w:rsidR="00F2473C" w:rsidRPr="00F2473C">
        <w:tblPrEx>
          <w:tblBorders>
            <w:insideH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gridSpan w:val="2"/>
          </w:tcPr>
          <w:p w:rsidR="00F2473C" w:rsidRPr="00F2473C" w:rsidRDefault="00F2473C" w:rsidP="00F2473C">
            <w:pPr>
              <w:spacing w:before="0"/>
              <w:ind w:left="0"/>
              <w:rPr>
                <w:rFonts w:cs="Arial"/>
                <w:b w:val="0"/>
                <w:sz w:val="18"/>
                <w:szCs w:val="18"/>
              </w:rPr>
            </w:pPr>
            <w:r w:rsidRPr="00F2473C">
              <w:rPr>
                <w:rFonts w:cs="Arial"/>
                <w:b w:val="0"/>
                <w:sz w:val="18"/>
                <w:szCs w:val="18"/>
              </w:rPr>
              <w:t>2011 Baseline and 2013 follow-up survey of eligible BSP population (Litmus 2012 and 2014a)</w:t>
            </w:r>
          </w:p>
        </w:tc>
        <w:tc>
          <w:tcPr>
            <w:tcW w:w="1332" w:type="dxa"/>
          </w:tcPr>
          <w:p w:rsidR="00F2473C" w:rsidRPr="00F2473C" w:rsidRDefault="00F2473C" w:rsidP="00F2473C">
            <w:pPr>
              <w:spacing w:before="0"/>
              <w:ind w:left="0"/>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F2473C">
              <w:rPr>
                <w:rFonts w:cs="Arial"/>
                <w:bCs/>
                <w:sz w:val="18"/>
                <w:szCs w:val="18"/>
              </w:rPr>
              <w:t xml:space="preserve">Medium-high </w:t>
            </w:r>
          </w:p>
        </w:tc>
        <w:tc>
          <w:tcPr>
            <w:tcW w:w="5765" w:type="dxa"/>
          </w:tcPr>
          <w:p w:rsidR="00F2473C" w:rsidRPr="00F2473C" w:rsidRDefault="00F2473C" w:rsidP="00F2473C">
            <w:pPr>
              <w:spacing w:before="0"/>
              <w:ind w:left="0"/>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F2473C">
              <w:rPr>
                <w:rFonts w:cs="Arial"/>
                <w:bCs/>
                <w:sz w:val="18"/>
                <w:szCs w:val="18"/>
              </w:rPr>
              <w:t xml:space="preserve">In the absence of any other population-level data on awareness and knowledge around bowel cancer and bowel screening, the telephone surveys conducted as part of the BSP evaluation provide useful information.  Data limitations: </w:t>
            </w:r>
          </w:p>
          <w:p w:rsidR="00F2473C" w:rsidRPr="00F2473C" w:rsidRDefault="00F2473C" w:rsidP="005920E1">
            <w:pPr>
              <w:pStyle w:val="BalloonText"/>
              <w:numPr>
                <w:ilvl w:val="0"/>
                <w:numId w:val="11"/>
              </w:numPr>
              <w:spacing w:after="120"/>
              <w:ind w:left="357" w:hanging="357"/>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F2473C">
              <w:rPr>
                <w:rFonts w:ascii="Arial" w:hAnsi="Arial" w:cs="Arial"/>
                <w:bCs/>
                <w:sz w:val="18"/>
                <w:szCs w:val="18"/>
              </w:rPr>
              <w:t>Relatively small sample sizes limit the possibility of extensive sub-group analysis and the reliability of comparisons over time.</w:t>
            </w:r>
          </w:p>
          <w:p w:rsidR="00F2473C" w:rsidRPr="00F2473C" w:rsidRDefault="00F2473C" w:rsidP="005920E1">
            <w:pPr>
              <w:pStyle w:val="BalloonText"/>
              <w:numPr>
                <w:ilvl w:val="0"/>
                <w:numId w:val="11"/>
              </w:numPr>
              <w:spacing w:after="120"/>
              <w:ind w:left="357" w:hanging="357"/>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F2473C">
              <w:rPr>
                <w:rFonts w:ascii="Arial" w:hAnsi="Arial" w:cs="Arial"/>
                <w:bCs/>
                <w:sz w:val="18"/>
                <w:szCs w:val="18"/>
              </w:rPr>
              <w:t>Non-respondents may have differed from respondents in unknown ways, which would affect the survey results.  Weighting will have helped to mitigate the problem.</w:t>
            </w:r>
          </w:p>
          <w:p w:rsidR="00F2473C" w:rsidRPr="00F2473C" w:rsidRDefault="00F2473C" w:rsidP="006179C7">
            <w:pPr>
              <w:pStyle w:val="BalloonText"/>
              <w:numPr>
                <w:ilvl w:val="0"/>
                <w:numId w:val="11"/>
              </w:numPr>
              <w:spacing w:after="120"/>
              <w:ind w:left="357" w:hanging="357"/>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F2473C">
              <w:rPr>
                <w:rFonts w:ascii="Arial" w:hAnsi="Arial" w:cs="Arial"/>
                <w:bCs/>
                <w:sz w:val="18"/>
                <w:szCs w:val="18"/>
              </w:rPr>
              <w:t xml:space="preserve">The response rates achieved for the two WDHB surveys (using a conservative measure) were reasonable, but not exceptional. </w:t>
            </w:r>
          </w:p>
        </w:tc>
      </w:tr>
      <w:tr w:rsidR="00F2473C" w:rsidRPr="00F2473C">
        <w:tblPrEx>
          <w:tblBorders>
            <w:insideH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gridSpan w:val="2"/>
          </w:tcPr>
          <w:p w:rsidR="00F2473C" w:rsidRPr="00F2473C" w:rsidRDefault="00F2473C" w:rsidP="00F2473C">
            <w:pPr>
              <w:spacing w:before="0"/>
              <w:ind w:left="0"/>
              <w:rPr>
                <w:rFonts w:cs="Arial"/>
                <w:b w:val="0"/>
                <w:sz w:val="18"/>
                <w:szCs w:val="18"/>
              </w:rPr>
            </w:pPr>
            <w:r w:rsidRPr="00F2473C">
              <w:rPr>
                <w:rFonts w:cs="Arial"/>
                <w:b w:val="0"/>
                <w:sz w:val="18"/>
                <w:szCs w:val="18"/>
              </w:rPr>
              <w:t>The 2011 baseline and the 2013 follow-up survey with pro</w:t>
            </w:r>
            <w:r w:rsidR="005920E1">
              <w:rPr>
                <w:rFonts w:cs="Arial"/>
                <w:b w:val="0"/>
                <w:sz w:val="18"/>
                <w:szCs w:val="18"/>
              </w:rPr>
              <w:t>viders (Litmus 2012a and 2014b)</w:t>
            </w:r>
            <w:r w:rsidRPr="00F2473C">
              <w:rPr>
                <w:rFonts w:cs="Arial"/>
                <w:b w:val="0"/>
                <w:sz w:val="18"/>
                <w:szCs w:val="18"/>
              </w:rPr>
              <w:t xml:space="preserve">  </w:t>
            </w:r>
          </w:p>
        </w:tc>
        <w:tc>
          <w:tcPr>
            <w:tcW w:w="1332" w:type="dxa"/>
          </w:tcPr>
          <w:p w:rsidR="00F2473C" w:rsidRPr="00F2473C" w:rsidRDefault="00F2473C" w:rsidP="00F2473C">
            <w:pPr>
              <w:spacing w:before="0"/>
              <w:ind w:left="0"/>
              <w:cnfStyle w:val="000000010000" w:firstRow="0" w:lastRow="0" w:firstColumn="0" w:lastColumn="0" w:oddVBand="0" w:evenVBand="0" w:oddHBand="0" w:evenHBand="1" w:firstRowFirstColumn="0" w:firstRowLastColumn="0" w:lastRowFirstColumn="0" w:lastRowLastColumn="0"/>
              <w:rPr>
                <w:rFonts w:cs="Arial"/>
                <w:bCs/>
                <w:sz w:val="18"/>
                <w:szCs w:val="18"/>
              </w:rPr>
            </w:pPr>
            <w:r w:rsidRPr="00F2473C">
              <w:rPr>
                <w:rFonts w:cs="Arial"/>
                <w:bCs/>
                <w:sz w:val="18"/>
                <w:szCs w:val="18"/>
              </w:rPr>
              <w:t xml:space="preserve">Medium </w:t>
            </w:r>
          </w:p>
        </w:tc>
        <w:tc>
          <w:tcPr>
            <w:tcW w:w="5765" w:type="dxa"/>
          </w:tcPr>
          <w:p w:rsidR="00F2473C" w:rsidRPr="00441D54" w:rsidRDefault="00F2473C" w:rsidP="00441D54">
            <w:pPr>
              <w:pStyle w:val="BalloonText"/>
              <w:spacing w:after="20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41D54">
              <w:rPr>
                <w:rFonts w:ascii="Arial" w:hAnsi="Arial" w:cs="Arial"/>
                <w:sz w:val="18"/>
                <w:szCs w:val="18"/>
              </w:rPr>
              <w:t xml:space="preserve">The key methodological limitations of the provider surveys are the low GP and practice nurse response rates and an inability to establish whether GP and practice nurse samples are representative of the wider population of WDHB GPs and practice nurses. Consequently, GP and practice nurse findings are indicative and not definitive.  </w:t>
            </w:r>
          </w:p>
        </w:tc>
      </w:tr>
      <w:tr w:rsidR="00F2473C" w:rsidRPr="00F2473C">
        <w:tblPrEx>
          <w:tblBorders>
            <w:insideH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833" w:type="dxa"/>
            <w:gridSpan w:val="2"/>
          </w:tcPr>
          <w:p w:rsidR="00F2473C" w:rsidRPr="00F2473C" w:rsidRDefault="00F2473C" w:rsidP="005920E1">
            <w:pPr>
              <w:spacing w:before="0"/>
              <w:ind w:left="0"/>
              <w:rPr>
                <w:rFonts w:cs="Arial"/>
                <w:b w:val="0"/>
                <w:sz w:val="18"/>
                <w:szCs w:val="18"/>
              </w:rPr>
            </w:pPr>
            <w:r w:rsidRPr="00F2473C">
              <w:rPr>
                <w:rFonts w:cs="Arial"/>
                <w:b w:val="0"/>
                <w:sz w:val="18"/>
                <w:szCs w:val="18"/>
              </w:rPr>
              <w:t xml:space="preserve">Qualitative interviews with the eligible population </w:t>
            </w:r>
            <w:r w:rsidR="005920E1">
              <w:rPr>
                <w:rFonts w:cs="Arial"/>
                <w:b w:val="0"/>
                <w:sz w:val="18"/>
                <w:szCs w:val="18"/>
              </w:rPr>
              <w:t>–</w:t>
            </w:r>
            <w:r w:rsidRPr="00F2473C">
              <w:rPr>
                <w:rFonts w:cs="Arial"/>
                <w:b w:val="0"/>
                <w:sz w:val="18"/>
                <w:szCs w:val="18"/>
              </w:rPr>
              <w:t xml:space="preserve"> participants (Litmus 2013) </w:t>
            </w:r>
          </w:p>
        </w:tc>
        <w:tc>
          <w:tcPr>
            <w:tcW w:w="1332" w:type="dxa"/>
          </w:tcPr>
          <w:p w:rsidR="00F2473C" w:rsidRPr="00F2473C" w:rsidRDefault="00F2473C" w:rsidP="00F2473C">
            <w:pPr>
              <w:spacing w:before="0"/>
              <w:ind w:left="0"/>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F2473C">
              <w:rPr>
                <w:rFonts w:cs="Arial"/>
                <w:bCs/>
                <w:sz w:val="18"/>
                <w:szCs w:val="18"/>
              </w:rPr>
              <w:t xml:space="preserve">Medium </w:t>
            </w:r>
          </w:p>
          <w:p w:rsidR="00F2473C" w:rsidRPr="00F2473C" w:rsidRDefault="00F2473C" w:rsidP="00F2473C">
            <w:pPr>
              <w:spacing w:before="0"/>
              <w:ind w:left="0"/>
              <w:cnfStyle w:val="000000100000" w:firstRow="0" w:lastRow="0" w:firstColumn="0" w:lastColumn="0" w:oddVBand="0" w:evenVBand="0" w:oddHBand="1" w:evenHBand="0" w:firstRowFirstColumn="0" w:firstRowLastColumn="0" w:lastRowFirstColumn="0" w:lastRowLastColumn="0"/>
              <w:rPr>
                <w:rFonts w:cs="Arial"/>
                <w:bCs/>
                <w:sz w:val="18"/>
                <w:szCs w:val="18"/>
              </w:rPr>
            </w:pPr>
          </w:p>
          <w:p w:rsidR="00F2473C" w:rsidRPr="00F2473C" w:rsidRDefault="00F2473C" w:rsidP="00F2473C">
            <w:pPr>
              <w:spacing w:before="0"/>
              <w:ind w:left="0"/>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F2473C">
              <w:rPr>
                <w:rFonts w:cs="Arial"/>
                <w:bCs/>
                <w:sz w:val="18"/>
                <w:szCs w:val="18"/>
              </w:rPr>
              <w:t xml:space="preserve"> </w:t>
            </w:r>
          </w:p>
        </w:tc>
        <w:tc>
          <w:tcPr>
            <w:tcW w:w="5765" w:type="dxa"/>
          </w:tcPr>
          <w:p w:rsidR="00F2473C" w:rsidRPr="00441D54" w:rsidRDefault="00F2473C" w:rsidP="00441D54">
            <w:pPr>
              <w:pStyle w:val="BalloonText"/>
              <w:spacing w:after="2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41D54">
              <w:rPr>
                <w:rFonts w:ascii="Arial" w:hAnsi="Arial" w:cs="Arial"/>
                <w:sz w:val="18"/>
                <w:szCs w:val="18"/>
              </w:rPr>
              <w:t xml:space="preserve">Findings are dependent on participants’ recall of the order of events and experiences on the BSP screening pathway.  </w:t>
            </w:r>
          </w:p>
          <w:p w:rsidR="00F2473C" w:rsidRPr="00441D54" w:rsidRDefault="00F2473C" w:rsidP="00441D54">
            <w:pPr>
              <w:pStyle w:val="BalloonText"/>
              <w:spacing w:after="2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41D54">
              <w:rPr>
                <w:rFonts w:ascii="Arial" w:hAnsi="Arial" w:cs="Arial"/>
                <w:sz w:val="18"/>
                <w:szCs w:val="18"/>
              </w:rPr>
              <w:t xml:space="preserve">Undertaking </w:t>
            </w:r>
            <w:r w:rsidR="005920E1">
              <w:rPr>
                <w:rFonts w:ascii="Arial" w:hAnsi="Arial" w:cs="Arial"/>
                <w:sz w:val="18"/>
                <w:szCs w:val="18"/>
              </w:rPr>
              <w:t>twelve</w:t>
            </w:r>
            <w:r w:rsidRPr="00441D54">
              <w:rPr>
                <w:rFonts w:ascii="Arial" w:hAnsi="Arial" w:cs="Arial"/>
                <w:sz w:val="18"/>
                <w:szCs w:val="18"/>
              </w:rPr>
              <w:t xml:space="preserve"> interviews with participants means the diversity of Māori, Pacific and other people may not be covered.  On completion of the </w:t>
            </w:r>
            <w:r w:rsidR="005920E1">
              <w:rPr>
                <w:rFonts w:ascii="Arial" w:hAnsi="Arial" w:cs="Arial"/>
                <w:sz w:val="18"/>
                <w:szCs w:val="18"/>
              </w:rPr>
              <w:t>twelve</w:t>
            </w:r>
            <w:r w:rsidRPr="00441D54">
              <w:rPr>
                <w:rFonts w:ascii="Arial" w:hAnsi="Arial" w:cs="Arial"/>
                <w:sz w:val="18"/>
                <w:szCs w:val="18"/>
              </w:rPr>
              <w:t xml:space="preserve"> interviews, no new substantive themes were being identified suggesting that saturation may have been reached.</w:t>
            </w:r>
          </w:p>
          <w:p w:rsidR="00F2473C" w:rsidRPr="00441D54" w:rsidRDefault="00F2473C" w:rsidP="005920E1">
            <w:pPr>
              <w:pStyle w:val="BalloonText"/>
              <w:spacing w:after="2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41D54">
              <w:rPr>
                <w:rFonts w:ascii="Arial" w:hAnsi="Arial" w:cs="Arial"/>
                <w:sz w:val="18"/>
                <w:szCs w:val="18"/>
              </w:rPr>
              <w:t>Due to the small sample size, Asian people were not included</w:t>
            </w:r>
            <w:r w:rsidR="005920E1">
              <w:rPr>
                <w:rFonts w:ascii="Arial" w:hAnsi="Arial" w:cs="Arial"/>
                <w:sz w:val="18"/>
                <w:szCs w:val="18"/>
              </w:rPr>
              <w:t>.</w:t>
            </w:r>
            <w:r w:rsidRPr="00441D54">
              <w:rPr>
                <w:rFonts w:ascii="Arial" w:hAnsi="Arial" w:cs="Arial"/>
                <w:sz w:val="18"/>
                <w:szCs w:val="18"/>
              </w:rPr>
              <w:t xml:space="preserve"> </w:t>
            </w:r>
            <w:r w:rsidR="005920E1">
              <w:rPr>
                <w:rFonts w:ascii="Arial" w:hAnsi="Arial" w:cs="Arial"/>
                <w:sz w:val="18"/>
                <w:szCs w:val="18"/>
              </w:rPr>
              <w:t>T</w:t>
            </w:r>
            <w:r w:rsidRPr="00441D54">
              <w:rPr>
                <w:rFonts w:ascii="Arial" w:hAnsi="Arial" w:cs="Arial"/>
                <w:sz w:val="18"/>
                <w:szCs w:val="18"/>
              </w:rPr>
              <w:t xml:space="preserve">herefore not all experiences of those participating in the BSP have been explored.  </w:t>
            </w:r>
          </w:p>
        </w:tc>
      </w:tr>
      <w:tr w:rsidR="00F2473C" w:rsidRPr="00F2473C">
        <w:tblPrEx>
          <w:tblBorders>
            <w:insideH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815" w:type="dxa"/>
          </w:tcPr>
          <w:p w:rsidR="00F2473C" w:rsidRPr="00F2473C" w:rsidRDefault="00F2473C" w:rsidP="00FA7BE6">
            <w:pPr>
              <w:spacing w:before="0"/>
              <w:ind w:left="0"/>
              <w:rPr>
                <w:rFonts w:cs="Arial"/>
                <w:b w:val="0"/>
                <w:sz w:val="18"/>
                <w:szCs w:val="18"/>
              </w:rPr>
            </w:pPr>
            <w:r w:rsidRPr="00F2473C">
              <w:rPr>
                <w:rFonts w:cs="Arial"/>
                <w:b w:val="0"/>
                <w:sz w:val="18"/>
                <w:szCs w:val="18"/>
              </w:rPr>
              <w:t xml:space="preserve">Qualitative interviews with the eligible population </w:t>
            </w:r>
            <w:r w:rsidR="00FA7BE6">
              <w:rPr>
                <w:rFonts w:cs="Arial"/>
                <w:b w:val="0"/>
                <w:sz w:val="18"/>
                <w:szCs w:val="18"/>
              </w:rPr>
              <w:t>–</w:t>
            </w:r>
            <w:r w:rsidRPr="00F2473C">
              <w:rPr>
                <w:rFonts w:cs="Arial"/>
                <w:b w:val="0"/>
                <w:sz w:val="18"/>
                <w:szCs w:val="18"/>
              </w:rPr>
              <w:t xml:space="preserve"> non-participants) (Litmus 2013) </w:t>
            </w:r>
          </w:p>
        </w:tc>
        <w:tc>
          <w:tcPr>
            <w:tcW w:w="1350" w:type="dxa"/>
            <w:gridSpan w:val="2"/>
          </w:tcPr>
          <w:p w:rsidR="00F2473C" w:rsidRPr="00F2473C" w:rsidRDefault="00F2473C" w:rsidP="00F2473C">
            <w:pPr>
              <w:spacing w:before="0"/>
              <w:ind w:left="0"/>
              <w:cnfStyle w:val="000000010000" w:firstRow="0" w:lastRow="0" w:firstColumn="0" w:lastColumn="0" w:oddVBand="0" w:evenVBand="0" w:oddHBand="0" w:evenHBand="1" w:firstRowFirstColumn="0" w:firstRowLastColumn="0" w:lastRowFirstColumn="0" w:lastRowLastColumn="0"/>
              <w:rPr>
                <w:rFonts w:cs="Arial"/>
                <w:bCs/>
                <w:sz w:val="18"/>
                <w:szCs w:val="18"/>
              </w:rPr>
            </w:pPr>
            <w:r w:rsidRPr="00F2473C">
              <w:rPr>
                <w:rFonts w:cs="Arial"/>
                <w:bCs/>
                <w:sz w:val="18"/>
                <w:szCs w:val="18"/>
              </w:rPr>
              <w:t xml:space="preserve">Medium </w:t>
            </w:r>
          </w:p>
        </w:tc>
        <w:tc>
          <w:tcPr>
            <w:tcW w:w="5765" w:type="dxa"/>
          </w:tcPr>
          <w:p w:rsidR="00F2473C" w:rsidRPr="00441D54" w:rsidRDefault="00F2473C" w:rsidP="00441D54">
            <w:pPr>
              <w:pStyle w:val="BalloonText"/>
              <w:spacing w:after="20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41D54">
              <w:rPr>
                <w:rFonts w:ascii="Arial" w:hAnsi="Arial" w:cs="Arial"/>
                <w:sz w:val="18"/>
                <w:szCs w:val="18"/>
              </w:rPr>
              <w:t xml:space="preserve">Sample size: undertaking six interviews with Māori and six with Pacific people means that not all reasons and barriers for non-participation have been identified.  However, it is anticipated that significant themes have been identified. </w:t>
            </w:r>
          </w:p>
          <w:p w:rsidR="00F2473C" w:rsidRPr="00441D54" w:rsidRDefault="00F2473C" w:rsidP="00441D54">
            <w:pPr>
              <w:pStyle w:val="BalloonText"/>
              <w:spacing w:after="20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41D54">
              <w:rPr>
                <w:rFonts w:ascii="Arial" w:hAnsi="Arial" w:cs="Arial"/>
                <w:sz w:val="18"/>
                <w:szCs w:val="18"/>
              </w:rPr>
              <w:t xml:space="preserve">Targeted sub-groups: this approach offers no understanding of the reasons/ barriers for Pākehā and Asian men not participating.  Further, it also does not address the diversity of Māori or Pacific people eligible to participate.  </w:t>
            </w:r>
          </w:p>
        </w:tc>
      </w:tr>
      <w:tr w:rsidR="00F2473C" w:rsidRPr="00F2473C">
        <w:tblPrEx>
          <w:tblBorders>
            <w:insideH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833" w:type="dxa"/>
            <w:gridSpan w:val="2"/>
          </w:tcPr>
          <w:p w:rsidR="00F2473C" w:rsidRPr="00F2473C" w:rsidRDefault="00F2473C" w:rsidP="00F2473C">
            <w:pPr>
              <w:spacing w:before="0"/>
              <w:ind w:left="0"/>
              <w:rPr>
                <w:rFonts w:cs="Arial"/>
                <w:b w:val="0"/>
                <w:sz w:val="18"/>
                <w:szCs w:val="18"/>
              </w:rPr>
            </w:pPr>
            <w:r w:rsidRPr="00F2473C">
              <w:rPr>
                <w:rFonts w:cs="Arial"/>
                <w:b w:val="0"/>
                <w:sz w:val="18"/>
                <w:szCs w:val="18"/>
              </w:rPr>
              <w:t>The 2012 immersion visit report (Litmus 2013a)</w:t>
            </w:r>
          </w:p>
        </w:tc>
        <w:tc>
          <w:tcPr>
            <w:tcW w:w="1332" w:type="dxa"/>
          </w:tcPr>
          <w:p w:rsidR="00F2473C" w:rsidRPr="00F2473C" w:rsidRDefault="00F2473C" w:rsidP="00F2473C">
            <w:pPr>
              <w:spacing w:before="0"/>
              <w:ind w:left="0"/>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F2473C">
              <w:rPr>
                <w:rFonts w:cs="Arial"/>
                <w:bCs/>
                <w:sz w:val="18"/>
                <w:szCs w:val="18"/>
              </w:rPr>
              <w:t>Medium-high</w:t>
            </w:r>
          </w:p>
        </w:tc>
        <w:tc>
          <w:tcPr>
            <w:tcW w:w="5765" w:type="dxa"/>
          </w:tcPr>
          <w:p w:rsidR="00F2473C" w:rsidRPr="00441D54" w:rsidRDefault="00F2473C" w:rsidP="00441D54">
            <w:pPr>
              <w:pStyle w:val="BalloonText"/>
              <w:spacing w:after="2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41D54">
              <w:rPr>
                <w:rFonts w:ascii="Arial" w:hAnsi="Arial" w:cs="Arial"/>
                <w:sz w:val="18"/>
                <w:szCs w:val="18"/>
              </w:rPr>
              <w:t>The perspective of primary care on the BSP is limited to the participants from six general practices from Waitemat</w:t>
            </w:r>
            <w:r w:rsidR="000F11FA" w:rsidRPr="00441D54">
              <w:rPr>
                <w:rFonts w:ascii="Arial" w:hAnsi="Arial" w:cs="Arial"/>
                <w:sz w:val="18"/>
                <w:szCs w:val="18"/>
              </w:rPr>
              <w:t>ā</w:t>
            </w:r>
            <w:r w:rsidRPr="00441D54">
              <w:rPr>
                <w:rFonts w:ascii="Arial" w:hAnsi="Arial" w:cs="Arial"/>
                <w:sz w:val="18"/>
                <w:szCs w:val="18"/>
              </w:rPr>
              <w:t xml:space="preserve"> PHO and </w:t>
            </w:r>
            <w:r w:rsidR="003E7AA9" w:rsidRPr="00441D54">
              <w:rPr>
                <w:rFonts w:ascii="Arial" w:hAnsi="Arial" w:cs="Arial"/>
                <w:sz w:val="18"/>
                <w:szCs w:val="18"/>
              </w:rPr>
              <w:t>Pro</w:t>
            </w:r>
            <w:r w:rsidR="003E7AA9">
              <w:rPr>
                <w:rFonts w:ascii="Arial" w:hAnsi="Arial" w:cs="Arial"/>
                <w:sz w:val="18"/>
                <w:szCs w:val="18"/>
              </w:rPr>
              <w:t>C</w:t>
            </w:r>
            <w:r w:rsidR="003E7AA9" w:rsidRPr="00441D54">
              <w:rPr>
                <w:rFonts w:ascii="Arial" w:hAnsi="Arial" w:cs="Arial"/>
                <w:sz w:val="18"/>
                <w:szCs w:val="18"/>
              </w:rPr>
              <w:t>are</w:t>
            </w:r>
            <w:r w:rsidRPr="00441D54">
              <w:rPr>
                <w:rFonts w:ascii="Arial" w:hAnsi="Arial" w:cs="Arial"/>
                <w:sz w:val="18"/>
                <w:szCs w:val="18"/>
              </w:rPr>
              <w:t xml:space="preserve">. </w:t>
            </w:r>
          </w:p>
        </w:tc>
      </w:tr>
      <w:tr w:rsidR="00F2473C" w:rsidRPr="00F2473C">
        <w:tblPrEx>
          <w:tblBorders>
            <w:insideH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833" w:type="dxa"/>
            <w:gridSpan w:val="2"/>
          </w:tcPr>
          <w:p w:rsidR="00F2473C" w:rsidRPr="00F2473C" w:rsidRDefault="00F2473C" w:rsidP="00F2473C">
            <w:pPr>
              <w:spacing w:before="0"/>
              <w:ind w:left="0"/>
              <w:rPr>
                <w:rFonts w:cs="Arial"/>
                <w:b w:val="0"/>
                <w:sz w:val="18"/>
                <w:szCs w:val="18"/>
              </w:rPr>
            </w:pPr>
            <w:r w:rsidRPr="00F2473C">
              <w:rPr>
                <w:rFonts w:cs="Arial"/>
                <w:b w:val="0"/>
                <w:sz w:val="18"/>
                <w:szCs w:val="18"/>
              </w:rPr>
              <w:t>The 2013 immersion visit report (Litmus 2014)</w:t>
            </w:r>
          </w:p>
        </w:tc>
        <w:tc>
          <w:tcPr>
            <w:tcW w:w="1332" w:type="dxa"/>
          </w:tcPr>
          <w:p w:rsidR="00F2473C" w:rsidRPr="00F2473C" w:rsidRDefault="00F2473C" w:rsidP="00F2473C">
            <w:pPr>
              <w:spacing w:before="0"/>
              <w:ind w:left="0"/>
              <w:cnfStyle w:val="000000010000" w:firstRow="0" w:lastRow="0" w:firstColumn="0" w:lastColumn="0" w:oddVBand="0" w:evenVBand="0" w:oddHBand="0" w:evenHBand="1" w:firstRowFirstColumn="0" w:firstRowLastColumn="0" w:lastRowFirstColumn="0" w:lastRowLastColumn="0"/>
              <w:rPr>
                <w:rFonts w:cs="Arial"/>
                <w:bCs/>
                <w:sz w:val="18"/>
                <w:szCs w:val="18"/>
              </w:rPr>
            </w:pPr>
            <w:r w:rsidRPr="00F2473C">
              <w:rPr>
                <w:rFonts w:cs="Arial"/>
                <w:bCs/>
                <w:sz w:val="18"/>
                <w:szCs w:val="18"/>
              </w:rPr>
              <w:t xml:space="preserve">High </w:t>
            </w:r>
          </w:p>
        </w:tc>
        <w:tc>
          <w:tcPr>
            <w:tcW w:w="5765" w:type="dxa"/>
          </w:tcPr>
          <w:p w:rsidR="00F2473C" w:rsidRPr="00441D54" w:rsidRDefault="00F2473C" w:rsidP="00441D54">
            <w:pPr>
              <w:pStyle w:val="BalloonText"/>
              <w:spacing w:after="20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41D54">
              <w:rPr>
                <w:rFonts w:ascii="Arial" w:hAnsi="Arial" w:cs="Arial"/>
                <w:sz w:val="18"/>
                <w:szCs w:val="18"/>
              </w:rPr>
              <w:t xml:space="preserve">Good coverage of providers involved in investigation, surveillance and treatment stages of the BSP screening pathway. </w:t>
            </w:r>
          </w:p>
        </w:tc>
      </w:tr>
      <w:tr w:rsidR="00F2473C" w:rsidRPr="00F2473C">
        <w:tblPrEx>
          <w:tblBorders>
            <w:insideH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833" w:type="dxa"/>
            <w:gridSpan w:val="2"/>
          </w:tcPr>
          <w:p w:rsidR="00F2473C" w:rsidRPr="00F2473C" w:rsidRDefault="00F2473C" w:rsidP="00F2473C">
            <w:pPr>
              <w:spacing w:before="0"/>
              <w:ind w:left="0"/>
              <w:rPr>
                <w:rFonts w:cs="Arial"/>
                <w:b w:val="0"/>
                <w:bCs w:val="0"/>
                <w:sz w:val="18"/>
                <w:szCs w:val="18"/>
              </w:rPr>
            </w:pPr>
            <w:r w:rsidRPr="00F2473C">
              <w:rPr>
                <w:rFonts w:cs="Arial"/>
                <w:b w:val="0"/>
                <w:sz w:val="18"/>
                <w:szCs w:val="18"/>
              </w:rPr>
              <w:t>Immersion interviews with general practice and WDHB staff (Litmus 2014c)</w:t>
            </w:r>
          </w:p>
        </w:tc>
        <w:tc>
          <w:tcPr>
            <w:tcW w:w="1332" w:type="dxa"/>
          </w:tcPr>
          <w:p w:rsidR="00F2473C" w:rsidRPr="00F2473C" w:rsidRDefault="00F2473C" w:rsidP="00F2473C">
            <w:pPr>
              <w:spacing w:before="0"/>
              <w:ind w:left="0"/>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F2473C">
              <w:rPr>
                <w:rFonts w:cs="Arial"/>
                <w:bCs/>
                <w:sz w:val="18"/>
                <w:szCs w:val="18"/>
              </w:rPr>
              <w:t>Medium</w:t>
            </w:r>
          </w:p>
        </w:tc>
        <w:tc>
          <w:tcPr>
            <w:tcW w:w="5765" w:type="dxa"/>
          </w:tcPr>
          <w:p w:rsidR="00F2473C" w:rsidRPr="00441D54" w:rsidRDefault="00F2473C" w:rsidP="00441D54">
            <w:pPr>
              <w:pStyle w:val="BalloonText"/>
              <w:spacing w:after="2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41D54">
              <w:rPr>
                <w:rFonts w:ascii="Arial" w:hAnsi="Arial" w:cs="Arial"/>
                <w:sz w:val="18"/>
                <w:szCs w:val="18"/>
              </w:rPr>
              <w:t>The perspective of primary care on the BSP is limited to the participants from ten general practices from Waitemat</w:t>
            </w:r>
            <w:r w:rsidR="000F11FA" w:rsidRPr="00441D54">
              <w:rPr>
                <w:rFonts w:ascii="Arial" w:hAnsi="Arial" w:cs="Arial"/>
                <w:sz w:val="18"/>
                <w:szCs w:val="18"/>
              </w:rPr>
              <w:t>ā</w:t>
            </w:r>
            <w:r w:rsidRPr="00441D54">
              <w:rPr>
                <w:rFonts w:ascii="Arial" w:hAnsi="Arial" w:cs="Arial"/>
                <w:sz w:val="18"/>
                <w:szCs w:val="18"/>
              </w:rPr>
              <w:t xml:space="preserve"> PHO and </w:t>
            </w:r>
            <w:r w:rsidR="003E7AA9">
              <w:rPr>
                <w:rFonts w:ascii="Arial" w:hAnsi="Arial" w:cs="Arial"/>
                <w:sz w:val="18"/>
                <w:szCs w:val="18"/>
              </w:rPr>
              <w:t>ProC</w:t>
            </w:r>
            <w:r w:rsidR="003E7AA9" w:rsidRPr="00441D54">
              <w:rPr>
                <w:rFonts w:ascii="Arial" w:hAnsi="Arial" w:cs="Arial"/>
                <w:sz w:val="18"/>
                <w:szCs w:val="18"/>
              </w:rPr>
              <w:t>are</w:t>
            </w:r>
            <w:r w:rsidRPr="00441D54">
              <w:rPr>
                <w:rFonts w:ascii="Arial" w:hAnsi="Arial" w:cs="Arial"/>
                <w:sz w:val="18"/>
                <w:szCs w:val="18"/>
              </w:rPr>
              <w:t xml:space="preserve">. </w:t>
            </w:r>
          </w:p>
          <w:p w:rsidR="00F2473C" w:rsidRPr="00441D54" w:rsidRDefault="00F2473C" w:rsidP="00441D54">
            <w:pPr>
              <w:pStyle w:val="BalloonText"/>
              <w:spacing w:after="2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41D54">
              <w:rPr>
                <w:rFonts w:ascii="Arial" w:hAnsi="Arial" w:cs="Arial"/>
                <w:sz w:val="18"/>
                <w:szCs w:val="18"/>
              </w:rPr>
              <w:t>Variations in processes and opinion on general practice were noted across the ten practices.</w:t>
            </w:r>
          </w:p>
        </w:tc>
      </w:tr>
    </w:tbl>
    <w:p w:rsidR="00441D54" w:rsidRDefault="00441D54">
      <w:r>
        <w:rPr>
          <w:b/>
          <w:bCs/>
        </w:rPr>
        <w:br w:type="page"/>
      </w:r>
    </w:p>
    <w:tbl>
      <w:tblPr>
        <w:tblStyle w:val="MediumShading1-Accent3"/>
        <w:tblW w:w="8930" w:type="dxa"/>
        <w:tblInd w:w="817" w:type="dxa"/>
        <w:tblBorders>
          <w:insideH w:val="none" w:sz="0" w:space="0" w:color="auto"/>
        </w:tblBorders>
        <w:tblLook w:val="04A0" w:firstRow="1" w:lastRow="0" w:firstColumn="1" w:lastColumn="0" w:noHBand="0" w:noVBand="1"/>
      </w:tblPr>
      <w:tblGrid>
        <w:gridCol w:w="1833"/>
        <w:gridCol w:w="1332"/>
        <w:gridCol w:w="5765"/>
      </w:tblGrid>
      <w:tr w:rsidR="00441D54" w:rsidRPr="00F2473C">
        <w:trPr>
          <w:cnfStyle w:val="100000000000" w:firstRow="1" w:lastRow="0" w:firstColumn="0" w:lastColumn="0" w:oddVBand="0" w:evenVBand="0" w:oddHBand="0" w:evenHBand="0" w:firstRowFirstColumn="0" w:firstRowLastColumn="0" w:lastRowFirstColumn="0" w:lastRowLastColumn="0"/>
          <w:trHeight w:val="528"/>
          <w:tblHeader/>
        </w:trPr>
        <w:tc>
          <w:tcPr>
            <w:cnfStyle w:val="001000000000" w:firstRow="0" w:lastRow="0" w:firstColumn="1" w:lastColumn="0" w:oddVBand="0" w:evenVBand="0" w:oddHBand="0" w:evenHBand="0" w:firstRowFirstColumn="0" w:firstRowLastColumn="0" w:lastRowFirstColumn="0" w:lastRowLastColumn="0"/>
            <w:tcW w:w="1833" w:type="dxa"/>
          </w:tcPr>
          <w:p w:rsidR="00441D54" w:rsidRPr="00F2473C" w:rsidRDefault="00441D54" w:rsidP="00B64372">
            <w:pPr>
              <w:spacing w:before="0"/>
              <w:ind w:left="0"/>
              <w:rPr>
                <w:rFonts w:cs="Arial"/>
                <w:bCs w:val="0"/>
                <w:sz w:val="18"/>
                <w:szCs w:val="18"/>
              </w:rPr>
            </w:pPr>
            <w:r w:rsidRPr="00F2473C">
              <w:rPr>
                <w:rFonts w:cs="Arial"/>
                <w:sz w:val="18"/>
                <w:szCs w:val="18"/>
              </w:rPr>
              <w:t>Data sources</w:t>
            </w:r>
          </w:p>
        </w:tc>
        <w:tc>
          <w:tcPr>
            <w:tcW w:w="1332" w:type="dxa"/>
          </w:tcPr>
          <w:p w:rsidR="00441D54" w:rsidRPr="00F2473C" w:rsidRDefault="00441D54" w:rsidP="00B64372">
            <w:pPr>
              <w:spacing w:before="0"/>
              <w:ind w:left="0"/>
              <w:cnfStyle w:val="100000000000" w:firstRow="1" w:lastRow="0" w:firstColumn="0" w:lastColumn="0" w:oddVBand="0" w:evenVBand="0" w:oddHBand="0" w:evenHBand="0" w:firstRowFirstColumn="0" w:firstRowLastColumn="0" w:lastRowFirstColumn="0" w:lastRowLastColumn="0"/>
              <w:rPr>
                <w:rFonts w:cs="Arial"/>
                <w:bCs w:val="0"/>
                <w:sz w:val="18"/>
                <w:szCs w:val="18"/>
              </w:rPr>
            </w:pPr>
            <w:r w:rsidRPr="00F2473C">
              <w:rPr>
                <w:rFonts w:cs="Arial"/>
                <w:sz w:val="18"/>
                <w:szCs w:val="18"/>
              </w:rPr>
              <w:t xml:space="preserve">Quality rating </w:t>
            </w:r>
          </w:p>
        </w:tc>
        <w:tc>
          <w:tcPr>
            <w:tcW w:w="5765" w:type="dxa"/>
          </w:tcPr>
          <w:p w:rsidR="00441D54" w:rsidRPr="00F2473C" w:rsidRDefault="00441D54" w:rsidP="00B64372">
            <w:pPr>
              <w:spacing w:before="0"/>
              <w:ind w:left="0"/>
              <w:cnfStyle w:val="100000000000" w:firstRow="1" w:lastRow="0" w:firstColumn="0" w:lastColumn="0" w:oddVBand="0" w:evenVBand="0" w:oddHBand="0" w:evenHBand="0" w:firstRowFirstColumn="0" w:firstRowLastColumn="0" w:lastRowFirstColumn="0" w:lastRowLastColumn="0"/>
              <w:rPr>
                <w:rFonts w:cs="Arial"/>
                <w:bCs w:val="0"/>
                <w:sz w:val="18"/>
                <w:szCs w:val="18"/>
              </w:rPr>
            </w:pPr>
            <w:r w:rsidRPr="00F2473C">
              <w:rPr>
                <w:rFonts w:cs="Arial"/>
                <w:sz w:val="18"/>
                <w:szCs w:val="18"/>
              </w:rPr>
              <w:t>Comments on quality</w:t>
            </w:r>
          </w:p>
        </w:tc>
      </w:tr>
      <w:tr w:rsidR="00F2473C" w:rsidRPr="00F24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Pr>
          <w:p w:rsidR="00F2473C" w:rsidRPr="00F2473C" w:rsidRDefault="00F2473C" w:rsidP="00F2473C">
            <w:pPr>
              <w:spacing w:before="0"/>
              <w:ind w:left="0"/>
              <w:rPr>
                <w:rFonts w:cs="Arial"/>
                <w:b w:val="0"/>
                <w:bCs w:val="0"/>
                <w:sz w:val="18"/>
                <w:szCs w:val="18"/>
              </w:rPr>
            </w:pPr>
            <w:r w:rsidRPr="00F2473C">
              <w:rPr>
                <w:rFonts w:cs="Arial"/>
                <w:b w:val="0"/>
                <w:sz w:val="18"/>
                <w:szCs w:val="18"/>
              </w:rPr>
              <w:t>Qualitative interviews with BSP participants (Litmus 2014c)</w:t>
            </w:r>
          </w:p>
        </w:tc>
        <w:tc>
          <w:tcPr>
            <w:tcW w:w="1332" w:type="dxa"/>
          </w:tcPr>
          <w:p w:rsidR="00F2473C" w:rsidRPr="00F2473C" w:rsidRDefault="00F2473C" w:rsidP="00F2473C">
            <w:pPr>
              <w:spacing w:before="0"/>
              <w:ind w:left="0"/>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F2473C">
              <w:rPr>
                <w:rFonts w:cs="Arial"/>
                <w:bCs/>
                <w:sz w:val="18"/>
                <w:szCs w:val="18"/>
              </w:rPr>
              <w:t>Medium</w:t>
            </w:r>
          </w:p>
        </w:tc>
        <w:tc>
          <w:tcPr>
            <w:tcW w:w="5765" w:type="dxa"/>
          </w:tcPr>
          <w:p w:rsidR="00F2473C" w:rsidRPr="00441D54" w:rsidRDefault="00F2473C" w:rsidP="00441D54">
            <w:pPr>
              <w:pStyle w:val="BalloonText"/>
              <w:spacing w:after="2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41D54">
              <w:rPr>
                <w:rFonts w:ascii="Arial" w:hAnsi="Arial" w:cs="Arial"/>
                <w:sz w:val="18"/>
                <w:szCs w:val="18"/>
              </w:rPr>
              <w:t xml:space="preserve">Findings are dependent on participants’ recall of the order of events and experiences on the BSP screening pathway.  </w:t>
            </w:r>
          </w:p>
          <w:p w:rsidR="00F2473C" w:rsidRPr="00441D54" w:rsidRDefault="00F2473C" w:rsidP="00441D54">
            <w:pPr>
              <w:pStyle w:val="BalloonText"/>
              <w:spacing w:after="2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41D54">
              <w:rPr>
                <w:rFonts w:ascii="Arial" w:hAnsi="Arial" w:cs="Arial"/>
                <w:sz w:val="18"/>
                <w:szCs w:val="18"/>
              </w:rPr>
              <w:t>Undertaking ten qualitative interviews means the diversity of Māori and Pacific BSP participants may not be covered, and Asian people and European</w:t>
            </w:r>
            <w:r w:rsidR="00FA7BE6">
              <w:rPr>
                <w:rFonts w:ascii="Arial" w:hAnsi="Arial" w:cs="Arial"/>
                <w:sz w:val="18"/>
                <w:szCs w:val="18"/>
              </w:rPr>
              <w:t>s</w:t>
            </w:r>
            <w:r w:rsidRPr="00441D54">
              <w:rPr>
                <w:rFonts w:ascii="Arial" w:hAnsi="Arial" w:cs="Arial"/>
                <w:sz w:val="18"/>
                <w:szCs w:val="18"/>
              </w:rPr>
              <w:t xml:space="preserve"> were not included</w:t>
            </w:r>
            <w:r w:rsidR="00FA7BE6">
              <w:rPr>
                <w:rFonts w:ascii="Arial" w:hAnsi="Arial" w:cs="Arial"/>
                <w:sz w:val="18"/>
                <w:szCs w:val="18"/>
              </w:rPr>
              <w:t>.</w:t>
            </w:r>
            <w:r w:rsidRPr="00441D54">
              <w:rPr>
                <w:rFonts w:ascii="Arial" w:hAnsi="Arial" w:cs="Arial"/>
                <w:sz w:val="18"/>
                <w:szCs w:val="18"/>
              </w:rPr>
              <w:t xml:space="preserve"> </w:t>
            </w:r>
            <w:r w:rsidR="00FA7BE6">
              <w:rPr>
                <w:rFonts w:ascii="Arial" w:hAnsi="Arial" w:cs="Arial"/>
                <w:sz w:val="18"/>
                <w:szCs w:val="18"/>
              </w:rPr>
              <w:t>T</w:t>
            </w:r>
            <w:r w:rsidRPr="00441D54">
              <w:rPr>
                <w:rFonts w:ascii="Arial" w:hAnsi="Arial" w:cs="Arial"/>
                <w:sz w:val="18"/>
                <w:szCs w:val="18"/>
              </w:rPr>
              <w:t xml:space="preserve">herefore not all experiences of those participating in the BSP have been explored.  </w:t>
            </w:r>
          </w:p>
          <w:p w:rsidR="00F2473C" w:rsidRPr="00441D54" w:rsidRDefault="00F2473C" w:rsidP="00441D54">
            <w:pPr>
              <w:pStyle w:val="BalloonText"/>
              <w:spacing w:after="2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41D54">
              <w:rPr>
                <w:rFonts w:ascii="Arial" w:hAnsi="Arial" w:cs="Arial"/>
                <w:sz w:val="18"/>
                <w:szCs w:val="18"/>
              </w:rPr>
              <w:t xml:space="preserve">Two Māori and five Pacific participants were informed about their iFOBT results by the Endoscopy Unit.  Participants were not screened as it was assumed that most would have received their positive iFOBT result via their general practice.  Further, the pool from which to draw the purposive sample was too small to screen participants out.  The sample achieved enabled the exploration of participants’ experience of hearing about their results via the Endoscopy Unit and whether they would have preferred to have received their results from their general practice. </w:t>
            </w:r>
          </w:p>
        </w:tc>
      </w:tr>
    </w:tbl>
    <w:p w:rsidR="00F2473C" w:rsidRPr="00F2473C" w:rsidRDefault="00F2473C" w:rsidP="00F2473C"/>
    <w:p w:rsidR="00390442" w:rsidRDefault="00390442" w:rsidP="00390442">
      <w:pPr>
        <w:spacing w:before="0"/>
        <w:ind w:left="0"/>
      </w:pPr>
      <w:r>
        <w:br w:type="page"/>
      </w:r>
    </w:p>
    <w:p w:rsidR="00F2473C" w:rsidRPr="001F56FC" w:rsidRDefault="00F2473C" w:rsidP="00F2473C">
      <w:pPr>
        <w:pStyle w:val="Heading1"/>
      </w:pPr>
      <w:bookmarkStart w:id="87" w:name="_Toc448760514"/>
      <w:bookmarkStart w:id="88" w:name="_Toc457842116"/>
      <w:r>
        <w:t>3</w:t>
      </w:r>
      <w:r w:rsidR="00FA7BE6">
        <w:t>.</w:t>
      </w:r>
      <w:r>
        <w:tab/>
        <w:t>Effectiveness</w:t>
      </w:r>
      <w:bookmarkEnd w:id="87"/>
      <w:bookmarkEnd w:id="88"/>
    </w:p>
    <w:p w:rsidR="00F2473C" w:rsidRDefault="00F2473C" w:rsidP="00F2473C">
      <w:pPr>
        <w:pBdr>
          <w:top w:val="single" w:sz="4" w:space="1" w:color="auto"/>
          <w:left w:val="single" w:sz="4" w:space="4" w:color="auto"/>
          <w:bottom w:val="single" w:sz="4" w:space="1" w:color="auto"/>
          <w:right w:val="single" w:sz="4" w:space="4" w:color="auto"/>
        </w:pBdr>
        <w:rPr>
          <w:b/>
        </w:rPr>
      </w:pPr>
      <w:r>
        <w:rPr>
          <w:b/>
        </w:rPr>
        <w:t xml:space="preserve">Evaluation aim addressed in this section </w:t>
      </w:r>
    </w:p>
    <w:p w:rsidR="00F2473C" w:rsidRDefault="00F2473C" w:rsidP="00F2473C">
      <w:pPr>
        <w:pBdr>
          <w:top w:val="single" w:sz="4" w:space="1" w:color="auto"/>
          <w:left w:val="single" w:sz="4" w:space="4" w:color="auto"/>
          <w:bottom w:val="single" w:sz="4" w:space="1" w:color="auto"/>
          <w:right w:val="single" w:sz="4" w:space="4" w:color="auto"/>
        </w:pBdr>
      </w:pPr>
      <w:r w:rsidRPr="00B256E0">
        <w:rPr>
          <w:b/>
        </w:rPr>
        <w:t>Effectiveness</w:t>
      </w:r>
      <w:r w:rsidRPr="00FA7BE6">
        <w:rPr>
          <w:b/>
        </w:rPr>
        <w:t>:</w:t>
      </w:r>
      <w:r w:rsidRPr="00C95C03">
        <w:t xml:space="preserve"> Is a national bowel screening programme likely to achieve the mortality reduction from bowel cancer for all population groups seen in international randomised controlled trials? </w:t>
      </w:r>
    </w:p>
    <w:p w:rsidR="00B05065" w:rsidRPr="00B05065" w:rsidRDefault="00B05065" w:rsidP="00B05065">
      <w:pPr>
        <w:rPr>
          <w:rFonts w:cs="Arial"/>
          <w:lang w:eastAsia="en-NZ"/>
        </w:rPr>
      </w:pPr>
      <w:bookmarkStart w:id="89" w:name="_Toc446344772"/>
      <w:r>
        <w:rPr>
          <w:rFonts w:cs="Arial"/>
          <w:lang w:eastAsia="en-NZ"/>
        </w:rPr>
        <w:t>Section 3</w:t>
      </w:r>
      <w:r w:rsidRPr="0046313F">
        <w:rPr>
          <w:rFonts w:cs="Arial"/>
          <w:lang w:eastAsia="en-NZ"/>
        </w:rPr>
        <w:t xml:space="preserve"> present</w:t>
      </w:r>
      <w:r>
        <w:rPr>
          <w:rFonts w:cs="Arial"/>
          <w:lang w:eastAsia="en-NZ"/>
        </w:rPr>
        <w:t>s</w:t>
      </w:r>
      <w:r w:rsidRPr="0046313F">
        <w:rPr>
          <w:rFonts w:cs="Arial"/>
          <w:lang w:eastAsia="en-NZ"/>
        </w:rPr>
        <w:t xml:space="preserve"> the </w:t>
      </w:r>
      <w:r>
        <w:rPr>
          <w:rFonts w:cs="Arial"/>
          <w:lang w:eastAsia="en-NZ"/>
        </w:rPr>
        <w:t xml:space="preserve">executive summary </w:t>
      </w:r>
      <w:r w:rsidRPr="0046313F">
        <w:rPr>
          <w:rFonts w:cs="Arial"/>
          <w:lang w:eastAsia="en-NZ"/>
        </w:rPr>
        <w:t>findings from the epidemiology report (</w:t>
      </w:r>
      <w:r w:rsidRPr="00B05065">
        <w:rPr>
          <w:rFonts w:cs="Arial"/>
          <w:lang w:eastAsia="en-NZ"/>
        </w:rPr>
        <w:t>Read</w:t>
      </w:r>
      <w:r w:rsidR="00806BBA">
        <w:rPr>
          <w:rFonts w:cs="Arial"/>
          <w:lang w:eastAsia="en-NZ"/>
        </w:rPr>
        <w:t xml:space="preserve"> et al</w:t>
      </w:r>
      <w:r w:rsidRPr="00B05065">
        <w:rPr>
          <w:rFonts w:cs="Arial"/>
          <w:lang w:eastAsia="en-NZ"/>
        </w:rPr>
        <w:t xml:space="preserve"> 201</w:t>
      </w:r>
      <w:r>
        <w:rPr>
          <w:rFonts w:cs="Arial"/>
          <w:lang w:eastAsia="en-NZ"/>
        </w:rPr>
        <w:t>6</w:t>
      </w:r>
      <w:r w:rsidRPr="00B05065">
        <w:rPr>
          <w:rFonts w:cs="Arial"/>
          <w:lang w:eastAsia="en-NZ"/>
        </w:rPr>
        <w:t xml:space="preserve">).  The full report and its appendices are in </w:t>
      </w:r>
      <w:hyperlink w:anchor="_Appendix_1:_" w:history="1">
        <w:r w:rsidRPr="00B05065">
          <w:rPr>
            <w:rFonts w:cs="Arial"/>
            <w:lang w:eastAsia="en-NZ"/>
          </w:rPr>
          <w:t xml:space="preserve">Appendix </w:t>
        </w:r>
        <w:r w:rsidR="00544745">
          <w:rPr>
            <w:rFonts w:cs="Arial"/>
            <w:lang w:eastAsia="en-NZ"/>
          </w:rPr>
          <w:t>2</w:t>
        </w:r>
      </w:hyperlink>
      <w:r w:rsidRPr="00B05065">
        <w:rPr>
          <w:rFonts w:cs="Arial"/>
          <w:lang w:eastAsia="en-NZ"/>
        </w:rPr>
        <w:t>.</w:t>
      </w:r>
    </w:p>
    <w:p w:rsidR="00B05065" w:rsidRPr="00B05065" w:rsidRDefault="00B83300" w:rsidP="00B05065">
      <w:pPr>
        <w:pStyle w:val="Heading2"/>
        <w:rPr>
          <w:lang w:eastAsia="en-NZ"/>
        </w:rPr>
      </w:pPr>
      <w:bookmarkStart w:id="90" w:name="_Toc457842117"/>
      <w:r>
        <w:rPr>
          <w:lang w:eastAsia="en-NZ"/>
        </w:rPr>
        <w:t>3.1</w:t>
      </w:r>
      <w:r>
        <w:rPr>
          <w:lang w:eastAsia="en-NZ"/>
        </w:rPr>
        <w:tab/>
      </w:r>
      <w:r w:rsidR="00B05065" w:rsidRPr="00B05065">
        <w:rPr>
          <w:lang w:eastAsia="en-NZ"/>
        </w:rPr>
        <w:t>Acknowledgements</w:t>
      </w:r>
      <w:bookmarkEnd w:id="89"/>
      <w:bookmarkEnd w:id="90"/>
    </w:p>
    <w:p w:rsidR="00B05065" w:rsidRPr="00744428" w:rsidRDefault="00B05065" w:rsidP="00B05065">
      <w:pPr>
        <w:rPr>
          <w:rFonts w:cs="Arial"/>
        </w:rPr>
      </w:pPr>
      <w:r>
        <w:rPr>
          <w:rFonts w:cs="Arial"/>
        </w:rPr>
        <w:t>The epidemiological</w:t>
      </w:r>
      <w:r w:rsidRPr="00744428">
        <w:rPr>
          <w:rFonts w:cs="Arial"/>
        </w:rPr>
        <w:t xml:space="preserve"> report was prepared </w:t>
      </w:r>
      <w:r>
        <w:rPr>
          <w:rFonts w:cs="Arial"/>
        </w:rPr>
        <w:t>for</w:t>
      </w:r>
      <w:r w:rsidRPr="00744428">
        <w:rPr>
          <w:rFonts w:cs="Arial"/>
        </w:rPr>
        <w:t xml:space="preserve"> Litmus by </w:t>
      </w:r>
      <w:r>
        <w:rPr>
          <w:rFonts w:cs="Arial"/>
        </w:rPr>
        <w:t>Associate Professor</w:t>
      </w:r>
      <w:r w:rsidRPr="00744428">
        <w:rPr>
          <w:rFonts w:cs="Arial"/>
        </w:rPr>
        <w:t xml:space="preserve"> Deborah Read</w:t>
      </w:r>
      <w:r>
        <w:rPr>
          <w:rFonts w:cs="Arial"/>
        </w:rPr>
        <w:t xml:space="preserve">, public health physician; Mathangi Shanthakumar, biostatistician and Professor Barry Borman, </w:t>
      </w:r>
      <w:r w:rsidRPr="00E51617">
        <w:rPr>
          <w:rFonts w:cs="Arial"/>
          <w:noProof/>
        </w:rPr>
        <w:t>epidemiologist</w:t>
      </w:r>
      <w:r>
        <w:rPr>
          <w:rFonts w:cs="Arial"/>
        </w:rPr>
        <w:t>, Environmental Health Indicators programme, the</w:t>
      </w:r>
      <w:r w:rsidRPr="00744428">
        <w:rPr>
          <w:rFonts w:cs="Arial"/>
        </w:rPr>
        <w:t xml:space="preserve"> Centre for Public Health Research (CPHR), Massey University</w:t>
      </w:r>
      <w:r>
        <w:rPr>
          <w:rFonts w:cs="Arial"/>
        </w:rPr>
        <w:t xml:space="preserve">. </w:t>
      </w:r>
      <w:r w:rsidRPr="00744428">
        <w:rPr>
          <w:rFonts w:cs="Arial"/>
        </w:rPr>
        <w:t xml:space="preserve">Litmus </w:t>
      </w:r>
      <w:r>
        <w:rPr>
          <w:rFonts w:cs="Arial"/>
        </w:rPr>
        <w:t>was</w:t>
      </w:r>
      <w:r w:rsidRPr="00744428">
        <w:rPr>
          <w:rFonts w:cs="Arial"/>
        </w:rPr>
        <w:t xml:space="preserve"> funded by the Ministry of Health to evaluate the bowel </w:t>
      </w:r>
      <w:r>
        <w:rPr>
          <w:rFonts w:cs="Arial"/>
        </w:rPr>
        <w:t xml:space="preserve">cancer </w:t>
      </w:r>
      <w:r w:rsidRPr="00744428">
        <w:rPr>
          <w:rFonts w:cs="Arial"/>
        </w:rPr>
        <w:t>screening pilot.</w:t>
      </w:r>
    </w:p>
    <w:p w:rsidR="00B05065" w:rsidRPr="00744428" w:rsidRDefault="00B05065" w:rsidP="00B05065">
      <w:pPr>
        <w:rPr>
          <w:rFonts w:cs="Arial"/>
        </w:rPr>
      </w:pPr>
      <w:r w:rsidRPr="00744428">
        <w:rPr>
          <w:rFonts w:cs="Arial"/>
        </w:rPr>
        <w:t xml:space="preserve">The team thank the Ministry of Health for providing data from the Bowel Screening </w:t>
      </w:r>
      <w:r>
        <w:rPr>
          <w:rFonts w:cs="Arial"/>
        </w:rPr>
        <w:t xml:space="preserve">Pilot </w:t>
      </w:r>
      <w:r w:rsidRPr="00744428">
        <w:rPr>
          <w:rFonts w:cs="Arial"/>
        </w:rPr>
        <w:t>Register</w:t>
      </w:r>
      <w:r>
        <w:rPr>
          <w:rFonts w:cs="Arial"/>
        </w:rPr>
        <w:t>.</w:t>
      </w:r>
      <w:r w:rsidRPr="00744428">
        <w:rPr>
          <w:rFonts w:cs="Arial"/>
        </w:rPr>
        <w:t xml:space="preserve"> </w:t>
      </w:r>
    </w:p>
    <w:p w:rsidR="00B05065" w:rsidRPr="00744428" w:rsidRDefault="00B05065" w:rsidP="00B05065">
      <w:pPr>
        <w:rPr>
          <w:rFonts w:cs="Arial"/>
          <w:b/>
        </w:rPr>
      </w:pPr>
      <w:r w:rsidRPr="00744428">
        <w:rPr>
          <w:rFonts w:cs="Arial"/>
        </w:rPr>
        <w:t>We acknowledge and thank Professor John Potter for providing peer review.</w:t>
      </w:r>
    </w:p>
    <w:p w:rsidR="009D76B7" w:rsidRPr="007909E6" w:rsidRDefault="00B83300" w:rsidP="009D76B7">
      <w:pPr>
        <w:pStyle w:val="Heading2"/>
        <w:rPr>
          <w:rFonts w:cs="Arial"/>
          <w:b w:val="0"/>
          <w:szCs w:val="24"/>
        </w:rPr>
      </w:pPr>
      <w:bookmarkStart w:id="91" w:name="_Toc446344774"/>
      <w:bookmarkStart w:id="92" w:name="_Toc457842118"/>
      <w:r>
        <w:rPr>
          <w:rFonts w:cs="Arial"/>
          <w:szCs w:val="24"/>
        </w:rPr>
        <w:t>3.2</w:t>
      </w:r>
      <w:r>
        <w:rPr>
          <w:rFonts w:cs="Arial"/>
          <w:szCs w:val="24"/>
        </w:rPr>
        <w:tab/>
      </w:r>
      <w:r w:rsidR="009D76B7" w:rsidRPr="007909E6">
        <w:rPr>
          <w:rFonts w:cs="Arial"/>
          <w:szCs w:val="24"/>
        </w:rPr>
        <w:t>Introduction</w:t>
      </w:r>
      <w:bookmarkEnd w:id="91"/>
      <w:bookmarkEnd w:id="92"/>
      <w:r w:rsidR="009D76B7" w:rsidRPr="007909E6">
        <w:rPr>
          <w:rFonts w:cs="Arial"/>
          <w:szCs w:val="24"/>
        </w:rPr>
        <w:t xml:space="preserve"> </w:t>
      </w:r>
    </w:p>
    <w:p w:rsidR="009D76B7" w:rsidRDefault="009D76B7" w:rsidP="009D76B7">
      <w:pPr>
        <w:rPr>
          <w:rFonts w:cs="Arial"/>
        </w:rPr>
      </w:pPr>
      <w:r>
        <w:rPr>
          <w:rFonts w:cs="Arial"/>
        </w:rPr>
        <w:t xml:space="preserve">This report is based on the participation in, and outcomes from, </w:t>
      </w:r>
      <w:r w:rsidRPr="009C3912">
        <w:rPr>
          <w:rFonts w:cs="Arial"/>
        </w:rPr>
        <w:t>the first 36 months</w:t>
      </w:r>
      <w:r>
        <w:rPr>
          <w:rFonts w:cs="Arial"/>
        </w:rPr>
        <w:t xml:space="preserve">. </w:t>
      </w:r>
      <w:r w:rsidRPr="00744428">
        <w:rPr>
          <w:rFonts w:cs="Arial"/>
        </w:rPr>
        <w:t xml:space="preserve">The results </w:t>
      </w:r>
      <w:r>
        <w:rPr>
          <w:rFonts w:cs="Arial"/>
        </w:rPr>
        <w:t>describe</w:t>
      </w:r>
      <w:r w:rsidRPr="00744428">
        <w:rPr>
          <w:rFonts w:cs="Arial"/>
        </w:rPr>
        <w:t xml:space="preserve"> the </w:t>
      </w:r>
      <w:r>
        <w:rPr>
          <w:rFonts w:cs="Arial"/>
        </w:rPr>
        <w:t xml:space="preserve">first (or prevalence) </w:t>
      </w:r>
      <w:r w:rsidRPr="00744428">
        <w:rPr>
          <w:rFonts w:cs="Arial"/>
        </w:rPr>
        <w:t>screening round</w:t>
      </w:r>
      <w:r>
        <w:rPr>
          <w:rFonts w:cs="Arial"/>
        </w:rPr>
        <w:t xml:space="preserve"> and the </w:t>
      </w:r>
      <w:r w:rsidRPr="00744428">
        <w:rPr>
          <w:rFonts w:cs="Arial"/>
        </w:rPr>
        <w:t>first 1</w:t>
      </w:r>
      <w:r>
        <w:rPr>
          <w:rFonts w:cs="Arial"/>
        </w:rPr>
        <w:t>2</w:t>
      </w:r>
      <w:r w:rsidRPr="00744428">
        <w:rPr>
          <w:rFonts w:cs="Arial"/>
        </w:rPr>
        <w:t xml:space="preserve"> months of the </w:t>
      </w:r>
      <w:r>
        <w:rPr>
          <w:rFonts w:cs="Arial"/>
        </w:rPr>
        <w:t>second round</w:t>
      </w:r>
      <w:r w:rsidRPr="00744428">
        <w:rPr>
          <w:rFonts w:cs="Arial"/>
        </w:rPr>
        <w:t xml:space="preserve">. </w:t>
      </w:r>
    </w:p>
    <w:p w:rsidR="009D76B7" w:rsidRDefault="009D76B7" w:rsidP="00EE465A">
      <w:pPr>
        <w:rPr>
          <w:lang w:val="en-US" w:eastAsia="ja-JP"/>
        </w:rPr>
      </w:pPr>
      <w:r>
        <w:t>The second screening round h</w:t>
      </w:r>
      <w:r w:rsidRPr="001E580D">
        <w:t>as been divided into three categories</w:t>
      </w:r>
      <w:r w:rsidRPr="00D72303">
        <w:t xml:space="preserve"> depending on</w:t>
      </w:r>
      <w:r>
        <w:t xml:space="preserve"> </w:t>
      </w:r>
      <w:r w:rsidRPr="00D72303">
        <w:t>th</w:t>
      </w:r>
      <w:r>
        <w:t>e</w:t>
      </w:r>
      <w:r w:rsidRPr="00D72303">
        <w:t xml:space="preserve"> </w:t>
      </w:r>
      <w:r>
        <w:t>screening history</w:t>
      </w:r>
      <w:r w:rsidRPr="00D72303">
        <w:t xml:space="preserve"> of the </w:t>
      </w:r>
      <w:r>
        <w:t xml:space="preserve">invited </w:t>
      </w:r>
      <w:r w:rsidRPr="00D72303">
        <w:t>popul</w:t>
      </w:r>
      <w:r>
        <w:t>a</w:t>
      </w:r>
      <w:r w:rsidRPr="00D72303">
        <w:t>tion</w:t>
      </w:r>
      <w:r>
        <w:t xml:space="preserve">: </w:t>
      </w:r>
      <w:r w:rsidR="00EE465A">
        <w:br/>
      </w:r>
    </w:p>
    <w:p w:rsidR="009D76B7" w:rsidRPr="005536D6" w:rsidRDefault="009D76B7" w:rsidP="006179C7">
      <w:pPr>
        <w:pStyle w:val="ListParagraph"/>
        <w:numPr>
          <w:ilvl w:val="0"/>
          <w:numId w:val="12"/>
        </w:numPr>
        <w:spacing w:before="0" w:after="200" w:line="276" w:lineRule="auto"/>
        <w:ind w:left="1069"/>
        <w:rPr>
          <w:rFonts w:cs="Arial"/>
        </w:rPr>
      </w:pPr>
      <w:r w:rsidRPr="005536D6">
        <w:rPr>
          <w:rFonts w:cs="Arial"/>
          <w:lang w:val="en-US" w:eastAsia="ja-JP"/>
        </w:rPr>
        <w:t>Completed Round 1</w:t>
      </w:r>
    </w:p>
    <w:p w:rsidR="009D76B7" w:rsidRPr="005536D6" w:rsidRDefault="009D76B7" w:rsidP="009D76B7">
      <w:pPr>
        <w:pStyle w:val="ListParagraph"/>
        <w:ind w:left="1069"/>
        <w:rPr>
          <w:rFonts w:cs="Arial"/>
        </w:rPr>
      </w:pPr>
      <w:r w:rsidRPr="005536D6">
        <w:rPr>
          <w:rFonts w:cs="Arial"/>
        </w:rPr>
        <w:t>People who successfully completed an iFOBT kit in the first round.</w:t>
      </w:r>
      <w:r w:rsidRPr="005536D6">
        <w:rPr>
          <w:rFonts w:cs="Arial"/>
        </w:rPr>
        <w:br/>
        <w:t>This category is further subdivided into:</w:t>
      </w:r>
    </w:p>
    <w:p w:rsidR="009D76B7" w:rsidRDefault="009D76B7" w:rsidP="006179C7">
      <w:pPr>
        <w:pStyle w:val="ListParagraph"/>
        <w:numPr>
          <w:ilvl w:val="1"/>
          <w:numId w:val="12"/>
        </w:numPr>
        <w:spacing w:before="0" w:after="200" w:line="276" w:lineRule="auto"/>
        <w:ind w:left="1789"/>
        <w:rPr>
          <w:rFonts w:cs="Arial"/>
        </w:rPr>
      </w:pPr>
      <w:r w:rsidRPr="005536D6">
        <w:rPr>
          <w:rFonts w:cs="Arial"/>
        </w:rPr>
        <w:t xml:space="preserve">Negative iFOBT </w:t>
      </w:r>
      <w:r w:rsidR="00D710BC">
        <w:rPr>
          <w:rFonts w:cs="Arial"/>
        </w:rPr>
        <w:t>(39.2%)</w:t>
      </w:r>
    </w:p>
    <w:p w:rsidR="009D76B7" w:rsidRDefault="009D76B7" w:rsidP="009D76B7">
      <w:pPr>
        <w:pStyle w:val="ListParagraph"/>
        <w:ind w:left="1789"/>
        <w:rPr>
          <w:rFonts w:cs="Arial"/>
        </w:rPr>
      </w:pPr>
      <w:r>
        <w:rPr>
          <w:rFonts w:cs="Arial"/>
        </w:rPr>
        <w:t xml:space="preserve">People with a </w:t>
      </w:r>
      <w:r w:rsidRPr="005536D6">
        <w:rPr>
          <w:rFonts w:cs="Arial"/>
        </w:rPr>
        <w:t xml:space="preserve">negative </w:t>
      </w:r>
      <w:r>
        <w:rPr>
          <w:rFonts w:cs="Arial"/>
        </w:rPr>
        <w:t>iFOBT result in the first round</w:t>
      </w:r>
    </w:p>
    <w:p w:rsidR="009D76B7" w:rsidRPr="005536D6" w:rsidRDefault="009D76B7" w:rsidP="009D76B7">
      <w:pPr>
        <w:pStyle w:val="ListParagraph"/>
        <w:ind w:left="1789"/>
        <w:rPr>
          <w:rFonts w:cs="Arial"/>
        </w:rPr>
      </w:pPr>
      <w:r w:rsidRPr="005536D6">
        <w:rPr>
          <w:rFonts w:cs="Arial"/>
        </w:rPr>
        <w:t>This group represent</w:t>
      </w:r>
      <w:r>
        <w:rPr>
          <w:rFonts w:cs="Arial"/>
        </w:rPr>
        <w:t>s</w:t>
      </w:r>
      <w:r w:rsidRPr="005536D6">
        <w:rPr>
          <w:rFonts w:cs="Arial"/>
        </w:rPr>
        <w:t xml:space="preserve"> an incidence screening round</w:t>
      </w:r>
      <w:r>
        <w:rPr>
          <w:rFonts w:cs="Arial"/>
        </w:rPr>
        <w:t xml:space="preserve"> (</w:t>
      </w:r>
      <w:r w:rsidR="005B0A5C">
        <w:rPr>
          <w:rFonts w:cs="Arial"/>
        </w:rPr>
        <w:t>i.e.</w:t>
      </w:r>
      <w:r>
        <w:rPr>
          <w:rFonts w:cs="Arial"/>
        </w:rPr>
        <w:t xml:space="preserve">, they were screened in Round 2 for newly arisen </w:t>
      </w:r>
      <w:r w:rsidR="001D669B">
        <w:rPr>
          <w:rFonts w:cs="Arial"/>
        </w:rPr>
        <w:t xml:space="preserve">or previously undetected </w:t>
      </w:r>
      <w:r>
        <w:rPr>
          <w:rFonts w:cs="Arial"/>
        </w:rPr>
        <w:t>adenomas and colorectal cancer after a negative iFOBT in Round 1).</w:t>
      </w:r>
    </w:p>
    <w:p w:rsidR="009D76B7" w:rsidRDefault="009D76B7" w:rsidP="006179C7">
      <w:pPr>
        <w:pStyle w:val="ListParagraph"/>
        <w:numPr>
          <w:ilvl w:val="1"/>
          <w:numId w:val="12"/>
        </w:numPr>
        <w:spacing w:before="0" w:after="200" w:line="276" w:lineRule="auto"/>
        <w:ind w:left="1789"/>
        <w:rPr>
          <w:rFonts w:cs="Arial"/>
        </w:rPr>
      </w:pPr>
      <w:r w:rsidRPr="005536D6">
        <w:rPr>
          <w:rFonts w:cs="Arial"/>
        </w:rPr>
        <w:t>Positive iFOBT, no colonoscopy</w:t>
      </w:r>
      <w:r w:rsidR="00D710BC">
        <w:rPr>
          <w:rFonts w:cs="Arial"/>
        </w:rPr>
        <w:t xml:space="preserve"> (0.1%)</w:t>
      </w:r>
    </w:p>
    <w:p w:rsidR="009D76B7" w:rsidRDefault="009D76B7" w:rsidP="009D76B7">
      <w:pPr>
        <w:pStyle w:val="ListParagraph"/>
        <w:ind w:left="1789"/>
        <w:rPr>
          <w:rFonts w:cs="Arial"/>
        </w:rPr>
      </w:pPr>
      <w:r w:rsidRPr="005536D6">
        <w:rPr>
          <w:rFonts w:cs="Arial"/>
        </w:rPr>
        <w:t>People with a positive iFOBT result in the first round and no colonoscopy done</w:t>
      </w:r>
      <w:r>
        <w:rPr>
          <w:rStyle w:val="FootnoteReference"/>
          <w:rFonts w:cs="Arial"/>
        </w:rPr>
        <w:footnoteReference w:id="26"/>
      </w:r>
      <w:r w:rsidRPr="005536D6">
        <w:rPr>
          <w:rFonts w:cs="Arial"/>
        </w:rPr>
        <w:t xml:space="preserve"> </w:t>
      </w:r>
    </w:p>
    <w:p w:rsidR="005656D3" w:rsidRPr="005656D3" w:rsidRDefault="005656D3" w:rsidP="005656D3">
      <w:pPr>
        <w:rPr>
          <w:rFonts w:cs="Arial"/>
        </w:rPr>
      </w:pPr>
    </w:p>
    <w:p w:rsidR="009D76B7" w:rsidRPr="005536D6" w:rsidRDefault="009D76B7" w:rsidP="006179C7">
      <w:pPr>
        <w:pStyle w:val="ListParagraph"/>
        <w:numPr>
          <w:ilvl w:val="0"/>
          <w:numId w:val="12"/>
        </w:numPr>
        <w:spacing w:before="0" w:after="200" w:line="276" w:lineRule="auto"/>
        <w:ind w:left="1069"/>
        <w:rPr>
          <w:rFonts w:cs="Arial"/>
        </w:rPr>
      </w:pPr>
      <w:r>
        <w:rPr>
          <w:rFonts w:cs="Arial"/>
          <w:lang w:val="en-US" w:eastAsia="ja-JP"/>
        </w:rPr>
        <w:t>Did n</w:t>
      </w:r>
      <w:r w:rsidRPr="005536D6">
        <w:rPr>
          <w:rFonts w:cs="Arial"/>
          <w:lang w:val="en-US" w:eastAsia="ja-JP"/>
        </w:rPr>
        <w:t>ot complete Round 1</w:t>
      </w:r>
      <w:r w:rsidR="00D710BC">
        <w:rPr>
          <w:rFonts w:cs="Arial"/>
          <w:lang w:val="en-US" w:eastAsia="ja-JP"/>
        </w:rPr>
        <w:t xml:space="preserve"> (33.2%)</w:t>
      </w:r>
    </w:p>
    <w:p w:rsidR="009D76B7" w:rsidRPr="005536D6" w:rsidRDefault="009D76B7" w:rsidP="009D76B7">
      <w:pPr>
        <w:pStyle w:val="ListParagraph"/>
        <w:ind w:left="1069"/>
        <w:rPr>
          <w:rFonts w:cs="Arial"/>
        </w:rPr>
      </w:pPr>
      <w:r w:rsidRPr="005536D6">
        <w:rPr>
          <w:rFonts w:cs="Arial"/>
        </w:rPr>
        <w:t xml:space="preserve">People who did not respond or did not successfully complete an iFOBT kit in the first round </w:t>
      </w:r>
    </w:p>
    <w:p w:rsidR="009D76B7" w:rsidRPr="005536D6" w:rsidRDefault="009D76B7" w:rsidP="006179C7">
      <w:pPr>
        <w:pStyle w:val="ListParagraph"/>
        <w:numPr>
          <w:ilvl w:val="0"/>
          <w:numId w:val="12"/>
        </w:numPr>
        <w:spacing w:before="0" w:after="200" w:line="276" w:lineRule="auto"/>
        <w:ind w:left="1069"/>
        <w:rPr>
          <w:rFonts w:cs="Arial"/>
        </w:rPr>
      </w:pPr>
      <w:r w:rsidRPr="005536D6">
        <w:rPr>
          <w:rFonts w:cs="Arial"/>
          <w:lang w:val="en-US" w:eastAsia="ja-JP"/>
        </w:rPr>
        <w:t>Not invited in Round 1</w:t>
      </w:r>
      <w:r w:rsidR="00D710BC">
        <w:rPr>
          <w:rFonts w:cs="Arial"/>
          <w:lang w:val="en-US" w:eastAsia="ja-JP"/>
        </w:rPr>
        <w:t xml:space="preserve"> (27.5%)</w:t>
      </w:r>
    </w:p>
    <w:p w:rsidR="009D76B7" w:rsidRPr="005536D6" w:rsidRDefault="009D76B7" w:rsidP="009D76B7">
      <w:pPr>
        <w:pStyle w:val="ListParagraph"/>
        <w:ind w:left="1069"/>
        <w:rPr>
          <w:rFonts w:cs="Arial"/>
        </w:rPr>
      </w:pPr>
      <w:r w:rsidRPr="005536D6">
        <w:rPr>
          <w:rFonts w:cs="Arial"/>
        </w:rPr>
        <w:t>People who were invited for the first time in the second round (due to being too young or not in the catchment area during the first round)</w:t>
      </w:r>
      <w:r w:rsidR="008346DB">
        <w:rPr>
          <w:rFonts w:cs="Arial"/>
        </w:rPr>
        <w:t>.</w:t>
      </w:r>
    </w:p>
    <w:p w:rsidR="009D76B7" w:rsidRDefault="009D76B7" w:rsidP="009D76B7">
      <w:pPr>
        <w:rPr>
          <w:b/>
        </w:rPr>
      </w:pPr>
      <w:r>
        <w:t>The results take into account</w:t>
      </w:r>
      <w:r w:rsidRPr="00744428">
        <w:t xml:space="preserve"> the effects of all demographic </w:t>
      </w:r>
      <w:r>
        <w:t>factors</w:t>
      </w:r>
      <w:r w:rsidRPr="00744428">
        <w:t xml:space="preserve"> other than the one under consideration. For example, when considering participation by age group, the results have been adjusted to take account of </w:t>
      </w:r>
      <w:r>
        <w:t xml:space="preserve">the potential confounding effects of </w:t>
      </w:r>
      <w:r w:rsidRPr="00744428">
        <w:t>sex, ethnicity and deprivation (</w:t>
      </w:r>
      <w:r w:rsidRPr="00BD2935">
        <w:t>NZDep</w:t>
      </w:r>
      <w:r w:rsidR="00456366" w:rsidRPr="00BD2935">
        <w:t xml:space="preserve"> </w:t>
      </w:r>
      <w:r w:rsidRPr="00BD2935">
        <w:t>2013). Unless</w:t>
      </w:r>
      <w:r>
        <w:t xml:space="preserve"> otherwise stated, all results are statistically significant; in this context, differences labelled </w:t>
      </w:r>
      <w:r w:rsidR="00892A47">
        <w:t>‘</w:t>
      </w:r>
      <w:r>
        <w:t>slightly less</w:t>
      </w:r>
      <w:r w:rsidR="00892A47">
        <w:t>’</w:t>
      </w:r>
      <w:r>
        <w:t xml:space="preserve"> or ‘slightly more</w:t>
      </w:r>
      <w:r w:rsidR="00892A47">
        <w:t>’</w:t>
      </w:r>
      <w:r>
        <w:t xml:space="preserve"> are statistically different but the adjusted odds ratio is either greater than 0.7 times or less than 1.5 times as much as the reference group, respectively.</w:t>
      </w:r>
    </w:p>
    <w:p w:rsidR="009D76B7" w:rsidRPr="007909E6" w:rsidRDefault="00B83300" w:rsidP="009D76B7">
      <w:pPr>
        <w:pStyle w:val="Heading2"/>
        <w:spacing w:line="480" w:lineRule="auto"/>
        <w:rPr>
          <w:rFonts w:cs="Arial"/>
          <w:b w:val="0"/>
          <w:szCs w:val="24"/>
        </w:rPr>
      </w:pPr>
      <w:bookmarkStart w:id="93" w:name="_Toc446344775"/>
      <w:bookmarkStart w:id="94" w:name="_Toc457842119"/>
      <w:r>
        <w:rPr>
          <w:rFonts w:cs="Arial"/>
          <w:szCs w:val="24"/>
        </w:rPr>
        <w:t>3.3</w:t>
      </w:r>
      <w:r>
        <w:rPr>
          <w:rFonts w:cs="Arial"/>
          <w:szCs w:val="24"/>
        </w:rPr>
        <w:tab/>
      </w:r>
      <w:r w:rsidR="009D76B7" w:rsidRPr="007909E6">
        <w:rPr>
          <w:rFonts w:cs="Arial"/>
          <w:szCs w:val="24"/>
        </w:rPr>
        <w:t>Participation</w:t>
      </w:r>
      <w:bookmarkEnd w:id="93"/>
      <w:bookmarkEnd w:id="94"/>
    </w:p>
    <w:p w:rsidR="009D76B7" w:rsidRPr="00EE465A" w:rsidRDefault="009D76B7" w:rsidP="00EE465A">
      <w:pPr>
        <w:pStyle w:val="Heading3"/>
      </w:pPr>
      <w:bookmarkStart w:id="95" w:name="_Toc446344776"/>
      <w:bookmarkStart w:id="96" w:name="_Toc448763620"/>
      <w:bookmarkStart w:id="97" w:name="_Toc449107412"/>
      <w:bookmarkStart w:id="98" w:name="_Toc449107730"/>
      <w:bookmarkStart w:id="99" w:name="_Toc449556761"/>
      <w:bookmarkStart w:id="100" w:name="_Toc449560700"/>
      <w:bookmarkStart w:id="101" w:name="_Toc449613439"/>
      <w:bookmarkStart w:id="102" w:name="_Toc449614248"/>
      <w:bookmarkStart w:id="103" w:name="_Toc449645988"/>
      <w:bookmarkStart w:id="104" w:name="_Toc449699693"/>
      <w:bookmarkStart w:id="105" w:name="_Toc451512265"/>
      <w:bookmarkStart w:id="106" w:name="_Toc454204012"/>
      <w:bookmarkStart w:id="107" w:name="_Toc457842120"/>
      <w:r w:rsidRPr="00EE465A">
        <w:rPr>
          <w:rStyle w:val="Heading2Char"/>
          <w:b/>
          <w:sz w:val="24"/>
          <w:szCs w:val="24"/>
        </w:rPr>
        <w:t>Immunochemical faecal occult blood test (iFOBT) uptake</w:t>
      </w:r>
      <w:bookmarkEnd w:id="95"/>
      <w:bookmarkEnd w:id="96"/>
      <w:bookmarkEnd w:id="97"/>
      <w:bookmarkEnd w:id="98"/>
      <w:bookmarkEnd w:id="99"/>
      <w:bookmarkEnd w:id="100"/>
      <w:bookmarkEnd w:id="101"/>
      <w:bookmarkEnd w:id="102"/>
      <w:bookmarkEnd w:id="103"/>
      <w:bookmarkEnd w:id="104"/>
      <w:bookmarkEnd w:id="105"/>
      <w:bookmarkEnd w:id="106"/>
      <w:bookmarkEnd w:id="107"/>
      <w:r w:rsidRPr="00EE465A">
        <w:t xml:space="preserve"> </w:t>
      </w:r>
    </w:p>
    <w:p w:rsidR="009D76B7" w:rsidRPr="005751B7" w:rsidRDefault="009D76B7" w:rsidP="009D76B7">
      <w:pPr>
        <w:pStyle w:val="Heading4"/>
        <w:spacing w:line="360" w:lineRule="auto"/>
        <w:rPr>
          <w:rFonts w:cs="Arial"/>
          <w:b w:val="0"/>
        </w:rPr>
      </w:pPr>
      <w:bookmarkStart w:id="108" w:name="_Toc446344777"/>
      <w:r w:rsidRPr="005751B7">
        <w:rPr>
          <w:rFonts w:cs="Arial"/>
        </w:rPr>
        <w:t>Round 1</w:t>
      </w:r>
      <w:bookmarkEnd w:id="108"/>
    </w:p>
    <w:p w:rsidR="009D76B7" w:rsidRDefault="009D76B7" w:rsidP="009D76B7">
      <w:pPr>
        <w:rPr>
          <w:rFonts w:cs="Arial"/>
        </w:rPr>
      </w:pPr>
      <w:r>
        <w:rPr>
          <w:rFonts w:cs="Arial"/>
        </w:rPr>
        <w:t xml:space="preserve">The </w:t>
      </w:r>
      <w:r w:rsidRPr="007879D7">
        <w:rPr>
          <w:rFonts w:cs="Arial"/>
        </w:rPr>
        <w:t>participation rate</w:t>
      </w:r>
      <w:r>
        <w:rPr>
          <w:rStyle w:val="FootnoteReference"/>
          <w:rFonts w:cs="Arial"/>
        </w:rPr>
        <w:footnoteReference w:id="27"/>
      </w:r>
      <w:r>
        <w:rPr>
          <w:rFonts w:cs="Arial"/>
        </w:rPr>
        <w:t xml:space="preserve"> was</w:t>
      </w:r>
      <w:r w:rsidRPr="007879D7">
        <w:rPr>
          <w:rFonts w:cs="Arial"/>
        </w:rPr>
        <w:t xml:space="preserve"> 5</w:t>
      </w:r>
      <w:r>
        <w:rPr>
          <w:rFonts w:cs="Arial"/>
        </w:rPr>
        <w:t>6.9</w:t>
      </w:r>
      <w:r w:rsidRPr="007879D7">
        <w:rPr>
          <w:rFonts w:cs="Arial"/>
        </w:rPr>
        <w:t>%</w:t>
      </w:r>
      <w:r>
        <w:rPr>
          <w:rFonts w:cs="Arial"/>
        </w:rPr>
        <w:t xml:space="preserve"> for the</w:t>
      </w:r>
      <w:r w:rsidRPr="00744428">
        <w:rPr>
          <w:rFonts w:cs="Arial"/>
        </w:rPr>
        <w:t xml:space="preserve"> first </w:t>
      </w:r>
      <w:r>
        <w:rPr>
          <w:rFonts w:cs="Arial"/>
        </w:rPr>
        <w:t xml:space="preserve">(or prevalence) </w:t>
      </w:r>
      <w:r w:rsidRPr="00744428">
        <w:rPr>
          <w:rFonts w:cs="Arial"/>
        </w:rPr>
        <w:t>screening round</w:t>
      </w:r>
      <w:r>
        <w:rPr>
          <w:rFonts w:cs="Arial"/>
        </w:rPr>
        <w:t>.</w:t>
      </w:r>
    </w:p>
    <w:p w:rsidR="009D76B7" w:rsidRPr="00744428" w:rsidRDefault="009D76B7" w:rsidP="009D76B7">
      <w:pPr>
        <w:rPr>
          <w:rFonts w:cs="Arial"/>
        </w:rPr>
      </w:pPr>
      <w:r w:rsidRPr="00A764FC">
        <w:rPr>
          <w:rFonts w:cs="Arial"/>
          <w:noProof/>
        </w:rPr>
        <w:t>Participation</w:t>
      </w:r>
      <w:r w:rsidRPr="00A458DF">
        <w:rPr>
          <w:rFonts w:cs="Arial"/>
        </w:rPr>
        <w:t xml:space="preserve"> increased with increasing age</w:t>
      </w:r>
      <w:r>
        <w:rPr>
          <w:rFonts w:cs="Arial"/>
        </w:rPr>
        <w:t xml:space="preserve"> for both females and males.</w:t>
      </w:r>
    </w:p>
    <w:p w:rsidR="009D76B7" w:rsidRDefault="009D76B7" w:rsidP="009D76B7">
      <w:pPr>
        <w:rPr>
          <w:rFonts w:cs="Arial"/>
        </w:rPr>
      </w:pPr>
      <w:r w:rsidRPr="00A458DF">
        <w:rPr>
          <w:rFonts w:cs="Arial"/>
        </w:rPr>
        <w:t>Males were slightly less likely to participate than females.</w:t>
      </w:r>
      <w:r>
        <w:rPr>
          <w:rFonts w:cs="Arial"/>
        </w:rPr>
        <w:t xml:space="preserve"> </w:t>
      </w:r>
      <w:r w:rsidRPr="00C9640F">
        <w:rPr>
          <w:rFonts w:cs="Arial"/>
        </w:rPr>
        <w:t>This difference decreased with increasing age.</w:t>
      </w:r>
    </w:p>
    <w:p w:rsidR="009D76B7" w:rsidRPr="00744428" w:rsidRDefault="009D76B7" w:rsidP="009D76B7">
      <w:pPr>
        <w:rPr>
          <w:rFonts w:cs="Arial"/>
        </w:rPr>
      </w:pPr>
      <w:r>
        <w:rPr>
          <w:rFonts w:cs="Arial"/>
        </w:rPr>
        <w:t xml:space="preserve">Asians, </w:t>
      </w:r>
      <w:r w:rsidRPr="00160871">
        <w:rPr>
          <w:rFonts w:cs="Arial"/>
        </w:rPr>
        <w:t>Māori and Pacific people</w:t>
      </w:r>
      <w:r>
        <w:rPr>
          <w:rFonts w:cs="Arial"/>
        </w:rPr>
        <w:t xml:space="preserve"> were all less likely to participate than European/Other people.</w:t>
      </w:r>
    </w:p>
    <w:p w:rsidR="009D76B7" w:rsidRDefault="009D76B7" w:rsidP="009D76B7">
      <w:pPr>
        <w:rPr>
          <w:rFonts w:cs="Arial"/>
        </w:rPr>
      </w:pPr>
      <w:r w:rsidRPr="00FF5791">
        <w:rPr>
          <w:rFonts w:cs="Arial"/>
        </w:rPr>
        <w:t>Participation declined with increasing deprivation.</w:t>
      </w:r>
    </w:p>
    <w:p w:rsidR="009D76B7" w:rsidRDefault="009D76B7" w:rsidP="009D76B7">
      <w:pPr>
        <w:rPr>
          <w:rFonts w:cs="Arial"/>
        </w:rPr>
      </w:pPr>
      <w:r w:rsidRPr="00804192">
        <w:rPr>
          <w:rFonts w:cs="Arial"/>
        </w:rPr>
        <w:t>T</w:t>
      </w:r>
      <w:r>
        <w:rPr>
          <w:rFonts w:cs="Arial"/>
        </w:rPr>
        <w:t>hese t</w:t>
      </w:r>
      <w:r w:rsidRPr="00804192">
        <w:rPr>
          <w:rFonts w:cs="Arial"/>
        </w:rPr>
        <w:t xml:space="preserve">rends </w:t>
      </w:r>
      <w:r>
        <w:rPr>
          <w:rFonts w:cs="Arial"/>
        </w:rPr>
        <w:t>by</w:t>
      </w:r>
      <w:r w:rsidRPr="00804192">
        <w:rPr>
          <w:rFonts w:cs="Arial"/>
        </w:rPr>
        <w:t xml:space="preserve"> age</w:t>
      </w:r>
      <w:r>
        <w:rPr>
          <w:rFonts w:cs="Arial"/>
        </w:rPr>
        <w:t>,</w:t>
      </w:r>
      <w:r w:rsidRPr="00804192">
        <w:rPr>
          <w:rFonts w:cs="Arial"/>
        </w:rPr>
        <w:t xml:space="preserve"> sex</w:t>
      </w:r>
      <w:r>
        <w:rPr>
          <w:rFonts w:cs="Arial"/>
        </w:rPr>
        <w:t>, ethnicity</w:t>
      </w:r>
      <w:r w:rsidRPr="00804192">
        <w:rPr>
          <w:rFonts w:cs="Arial"/>
        </w:rPr>
        <w:t xml:space="preserve"> </w:t>
      </w:r>
      <w:r>
        <w:rPr>
          <w:rFonts w:cs="Arial"/>
        </w:rPr>
        <w:t xml:space="preserve">and </w:t>
      </w:r>
      <w:r w:rsidRPr="00804192">
        <w:rPr>
          <w:rFonts w:cs="Arial"/>
        </w:rPr>
        <w:t xml:space="preserve">deprivation were </w:t>
      </w:r>
      <w:r>
        <w:rPr>
          <w:rFonts w:cs="Arial"/>
        </w:rPr>
        <w:t xml:space="preserve">the same </w:t>
      </w:r>
      <w:r w:rsidRPr="00804192">
        <w:rPr>
          <w:rFonts w:cs="Arial"/>
        </w:rPr>
        <w:t xml:space="preserve">in </w:t>
      </w:r>
      <w:r>
        <w:rPr>
          <w:rFonts w:cs="Arial"/>
        </w:rPr>
        <w:t>Round 2 as in Round 1</w:t>
      </w:r>
      <w:r w:rsidRPr="00804192">
        <w:rPr>
          <w:rFonts w:cs="Arial"/>
        </w:rPr>
        <w:t>.</w:t>
      </w:r>
    </w:p>
    <w:p w:rsidR="009D76B7" w:rsidRDefault="009D76B7" w:rsidP="009D76B7">
      <w:pPr>
        <w:rPr>
          <w:rFonts w:cs="Arial"/>
        </w:rPr>
      </w:pPr>
      <w:r w:rsidRPr="00160871">
        <w:rPr>
          <w:rFonts w:cs="Arial"/>
        </w:rPr>
        <w:t xml:space="preserve">Participation </w:t>
      </w:r>
      <w:r>
        <w:rPr>
          <w:rFonts w:cs="Arial"/>
        </w:rPr>
        <w:t xml:space="preserve">in Round 1 </w:t>
      </w:r>
      <w:r w:rsidRPr="00160871">
        <w:rPr>
          <w:rFonts w:cs="Arial"/>
        </w:rPr>
        <w:t xml:space="preserve">was highest among European/Other </w:t>
      </w:r>
      <w:r>
        <w:rPr>
          <w:rFonts w:cs="Arial"/>
        </w:rPr>
        <w:t>(</w:t>
      </w:r>
      <w:r w:rsidRPr="00160871">
        <w:rPr>
          <w:rFonts w:cs="Arial"/>
        </w:rPr>
        <w:t>63.0%), followed by Asians (53.7%)</w:t>
      </w:r>
      <w:r>
        <w:rPr>
          <w:rFonts w:cs="Arial"/>
        </w:rPr>
        <w:t xml:space="preserve">, </w:t>
      </w:r>
      <w:r w:rsidRPr="00160871">
        <w:rPr>
          <w:rFonts w:cs="Arial"/>
        </w:rPr>
        <w:t>Māori (46.1%) and Pacific people (30.6%).</w:t>
      </w:r>
    </w:p>
    <w:p w:rsidR="009D76B7" w:rsidRDefault="009D76B7" w:rsidP="009D76B7">
      <w:pPr>
        <w:rPr>
          <w:rFonts w:cs="Arial"/>
        </w:rPr>
      </w:pPr>
      <w:r>
        <w:rPr>
          <w:rFonts w:cs="Arial"/>
        </w:rPr>
        <w:t xml:space="preserve">Among European/Other participants, males had lower participation than females (61.1% </w:t>
      </w:r>
      <w:r w:rsidRPr="00A764FC">
        <w:rPr>
          <w:rFonts w:cs="Arial"/>
          <w:noProof/>
        </w:rPr>
        <w:t>vs</w:t>
      </w:r>
      <w:r>
        <w:rPr>
          <w:rFonts w:cs="Arial"/>
        </w:rPr>
        <w:t xml:space="preserve"> 64.7%). In contrast, M</w:t>
      </w:r>
      <w:r w:rsidRPr="00160871">
        <w:rPr>
          <w:rFonts w:cs="Arial"/>
        </w:rPr>
        <w:t>āori</w:t>
      </w:r>
      <w:r>
        <w:rPr>
          <w:rFonts w:cs="Arial"/>
        </w:rPr>
        <w:t xml:space="preserve"> male participation was higher than M</w:t>
      </w:r>
      <w:r w:rsidRPr="00160871">
        <w:rPr>
          <w:rFonts w:cs="Arial"/>
        </w:rPr>
        <w:t>āori</w:t>
      </w:r>
      <w:r>
        <w:rPr>
          <w:rFonts w:cs="Arial"/>
        </w:rPr>
        <w:t xml:space="preserve"> </w:t>
      </w:r>
      <w:r w:rsidRPr="00A764FC">
        <w:rPr>
          <w:rFonts w:cs="Arial"/>
          <w:noProof/>
        </w:rPr>
        <w:t>females</w:t>
      </w:r>
      <w:r>
        <w:rPr>
          <w:rFonts w:cs="Arial"/>
        </w:rPr>
        <w:t xml:space="preserve"> (48.0% </w:t>
      </w:r>
      <w:r w:rsidRPr="00A764FC">
        <w:rPr>
          <w:rFonts w:cs="Arial"/>
          <w:noProof/>
        </w:rPr>
        <w:t>vs</w:t>
      </w:r>
      <w:r>
        <w:rPr>
          <w:rFonts w:cs="Arial"/>
        </w:rPr>
        <w:t xml:space="preserve"> 44.7%). Participation was similar </w:t>
      </w:r>
      <w:r w:rsidRPr="00A764FC">
        <w:rPr>
          <w:rFonts w:cs="Arial"/>
          <w:noProof/>
        </w:rPr>
        <w:t>among</w:t>
      </w:r>
      <w:r>
        <w:rPr>
          <w:rFonts w:cs="Arial"/>
        </w:rPr>
        <w:t xml:space="preserve"> Pacific people and Asians between males and females. This pattern persisted in Round 2, except participation of M</w:t>
      </w:r>
      <w:r w:rsidRPr="00160871">
        <w:rPr>
          <w:rFonts w:cs="Arial"/>
        </w:rPr>
        <w:t>āori</w:t>
      </w:r>
      <w:r>
        <w:rPr>
          <w:rFonts w:cs="Arial"/>
        </w:rPr>
        <w:t xml:space="preserve"> males and females was similar (45.6% and 46.4%, respectively).</w:t>
      </w:r>
    </w:p>
    <w:p w:rsidR="009D76B7" w:rsidRPr="005751B7" w:rsidRDefault="009D76B7" w:rsidP="009D76B7">
      <w:pPr>
        <w:pStyle w:val="Heading4"/>
        <w:spacing w:line="360" w:lineRule="auto"/>
        <w:rPr>
          <w:rFonts w:cs="Arial"/>
          <w:b w:val="0"/>
        </w:rPr>
      </w:pPr>
      <w:bookmarkStart w:id="109" w:name="_Toc446344778"/>
      <w:r w:rsidRPr="005751B7">
        <w:rPr>
          <w:rFonts w:cs="Arial"/>
        </w:rPr>
        <w:t xml:space="preserve">Round </w:t>
      </w:r>
      <w:r>
        <w:rPr>
          <w:rFonts w:cs="Arial"/>
        </w:rPr>
        <w:t>2</w:t>
      </w:r>
      <w:bookmarkEnd w:id="109"/>
    </w:p>
    <w:p w:rsidR="009D76B7" w:rsidRDefault="009D76B7" w:rsidP="009D76B7">
      <w:pPr>
        <w:rPr>
          <w:rFonts w:cs="Arial"/>
          <w:lang w:val="en-US" w:eastAsia="ja-JP"/>
        </w:rPr>
      </w:pPr>
      <w:r w:rsidRPr="008A6530">
        <w:rPr>
          <w:rFonts w:cs="Arial"/>
          <w:lang w:val="en-US" w:eastAsia="ja-JP"/>
        </w:rPr>
        <w:t>Participation in Round 2 (51.6%) was lower than in Round</w:t>
      </w:r>
      <w:r>
        <w:rPr>
          <w:rFonts w:cs="Arial"/>
          <w:lang w:val="en-US" w:eastAsia="ja-JP"/>
        </w:rPr>
        <w:t xml:space="preserve"> </w:t>
      </w:r>
      <w:r w:rsidRPr="008A6530">
        <w:rPr>
          <w:rFonts w:cs="Arial"/>
          <w:lang w:val="en-US" w:eastAsia="ja-JP"/>
        </w:rPr>
        <w:t>1. Within Round 2</w:t>
      </w:r>
      <w:r>
        <w:rPr>
          <w:rFonts w:cs="Arial"/>
          <w:lang w:val="en-US" w:eastAsia="ja-JP"/>
        </w:rPr>
        <w:t>,</w:t>
      </w:r>
      <w:r w:rsidRPr="008A6530">
        <w:rPr>
          <w:rFonts w:cs="Arial"/>
          <w:lang w:val="en-US" w:eastAsia="ja-JP"/>
        </w:rPr>
        <w:t xml:space="preserve"> participation varied depending on the screening history of the invited population.</w:t>
      </w:r>
    </w:p>
    <w:p w:rsidR="009D76B7" w:rsidRPr="00744428" w:rsidRDefault="009D76B7" w:rsidP="009D76B7">
      <w:pPr>
        <w:rPr>
          <w:rFonts w:cs="Arial"/>
        </w:rPr>
      </w:pPr>
      <w:r w:rsidRPr="00160871">
        <w:rPr>
          <w:rFonts w:cs="Arial"/>
        </w:rPr>
        <w:t>Participation was highest among European/Other</w:t>
      </w:r>
      <w:r>
        <w:rPr>
          <w:rFonts w:cs="Arial"/>
        </w:rPr>
        <w:t xml:space="preserve"> (56.6</w:t>
      </w:r>
      <w:r w:rsidRPr="00160871">
        <w:rPr>
          <w:rFonts w:cs="Arial"/>
        </w:rPr>
        <w:t>%), followed by Asians (</w:t>
      </w:r>
      <w:r>
        <w:rPr>
          <w:rFonts w:cs="Arial"/>
        </w:rPr>
        <w:t>48.8</w:t>
      </w:r>
      <w:r w:rsidRPr="00160871">
        <w:rPr>
          <w:rFonts w:cs="Arial"/>
        </w:rPr>
        <w:t>%)</w:t>
      </w:r>
      <w:r>
        <w:rPr>
          <w:rFonts w:cs="Arial"/>
        </w:rPr>
        <w:t xml:space="preserve">, </w:t>
      </w:r>
      <w:r w:rsidRPr="00160871">
        <w:rPr>
          <w:rFonts w:cs="Arial"/>
        </w:rPr>
        <w:t>Māori (</w:t>
      </w:r>
      <w:r>
        <w:rPr>
          <w:rFonts w:cs="Arial"/>
        </w:rPr>
        <w:t xml:space="preserve">46.0%) and </w:t>
      </w:r>
      <w:r w:rsidRPr="00160871">
        <w:rPr>
          <w:rFonts w:cs="Arial"/>
        </w:rPr>
        <w:t xml:space="preserve">Pacific </w:t>
      </w:r>
      <w:r>
        <w:rPr>
          <w:rFonts w:cs="Arial"/>
        </w:rPr>
        <w:t xml:space="preserve">people </w:t>
      </w:r>
      <w:r w:rsidRPr="00160871">
        <w:rPr>
          <w:rFonts w:cs="Arial"/>
        </w:rPr>
        <w:t>(</w:t>
      </w:r>
      <w:r>
        <w:rPr>
          <w:rFonts w:cs="Arial"/>
        </w:rPr>
        <w:t>36.7</w:t>
      </w:r>
      <w:r w:rsidRPr="00160871">
        <w:rPr>
          <w:rFonts w:cs="Arial"/>
        </w:rPr>
        <w:t>%)</w:t>
      </w:r>
      <w:r>
        <w:rPr>
          <w:rFonts w:cs="Arial"/>
        </w:rPr>
        <w:t xml:space="preserve">. The pattern was the same as in Round 1. Although the participation of European/Other and Asians </w:t>
      </w:r>
      <w:r w:rsidRPr="00B22F7B">
        <w:rPr>
          <w:rFonts w:cs="Arial"/>
        </w:rPr>
        <w:t>decreased</w:t>
      </w:r>
      <w:r>
        <w:rPr>
          <w:rFonts w:cs="Arial"/>
        </w:rPr>
        <w:t xml:space="preserve"> from Round 1, it </w:t>
      </w:r>
      <w:r w:rsidRPr="00B22F7B">
        <w:rPr>
          <w:rFonts w:cs="Arial"/>
        </w:rPr>
        <w:t>increased for Pacific</w:t>
      </w:r>
      <w:r>
        <w:rPr>
          <w:rFonts w:cs="Arial"/>
        </w:rPr>
        <w:t xml:space="preserve"> people and remained the same for </w:t>
      </w:r>
      <w:r w:rsidRPr="00160871">
        <w:rPr>
          <w:rFonts w:cs="Arial"/>
        </w:rPr>
        <w:t>Māori</w:t>
      </w:r>
      <w:r>
        <w:rPr>
          <w:rFonts w:cs="Arial"/>
        </w:rPr>
        <w:t>.</w:t>
      </w:r>
    </w:p>
    <w:p w:rsidR="009D76B7" w:rsidRPr="00D539A4" w:rsidRDefault="009D76B7" w:rsidP="009D76B7">
      <w:pPr>
        <w:pStyle w:val="Heading4"/>
        <w:spacing w:line="360" w:lineRule="auto"/>
        <w:rPr>
          <w:rFonts w:cs="Arial"/>
          <w:b w:val="0"/>
          <w:i/>
        </w:rPr>
      </w:pPr>
      <w:bookmarkStart w:id="110" w:name="_Toc446344779"/>
      <w:r w:rsidRPr="00D539A4">
        <w:rPr>
          <w:rFonts w:cs="Arial"/>
          <w:i/>
        </w:rPr>
        <w:t>Completed Round 1, negative iFOBT</w:t>
      </w:r>
      <w:bookmarkEnd w:id="110"/>
    </w:p>
    <w:p w:rsidR="009D76B7" w:rsidRPr="00693941" w:rsidRDefault="009D76B7" w:rsidP="009D76B7">
      <w:pPr>
        <w:rPr>
          <w:rFonts w:cs="Arial"/>
        </w:rPr>
      </w:pPr>
      <w:r w:rsidRPr="00A764FC">
        <w:rPr>
          <w:rFonts w:cs="Arial"/>
          <w:noProof/>
        </w:rPr>
        <w:t>People</w:t>
      </w:r>
      <w:r w:rsidRPr="00693941">
        <w:rPr>
          <w:rFonts w:cs="Arial"/>
        </w:rPr>
        <w:t xml:space="preserve"> with a negative iFOBT result in the first round</w:t>
      </w:r>
      <w:r>
        <w:rPr>
          <w:rFonts w:cs="Arial"/>
        </w:rPr>
        <w:t xml:space="preserve"> who </w:t>
      </w:r>
      <w:r w:rsidRPr="00A764FC">
        <w:rPr>
          <w:rFonts w:cs="Arial"/>
          <w:noProof/>
        </w:rPr>
        <w:t>were invited</w:t>
      </w:r>
      <w:r>
        <w:rPr>
          <w:rFonts w:cs="Arial"/>
        </w:rPr>
        <w:t xml:space="preserve"> in Round 2 represent an incidence (as opposed to prevalence) screening round (</w:t>
      </w:r>
      <w:r w:rsidR="005B0A5C" w:rsidRPr="00A764FC">
        <w:rPr>
          <w:rFonts w:cs="Arial"/>
          <w:noProof/>
        </w:rPr>
        <w:t>i.e.</w:t>
      </w:r>
      <w:r>
        <w:rPr>
          <w:rFonts w:cs="Arial"/>
        </w:rPr>
        <w:t xml:space="preserve">, they are being screened for new </w:t>
      </w:r>
      <w:r w:rsidR="001D669B">
        <w:rPr>
          <w:rFonts w:cs="Arial"/>
        </w:rPr>
        <w:t xml:space="preserve">or previously undetected </w:t>
      </w:r>
      <w:r>
        <w:rPr>
          <w:rFonts w:cs="Arial"/>
        </w:rPr>
        <w:t>disease). P</w:t>
      </w:r>
      <w:r w:rsidRPr="007879D7">
        <w:rPr>
          <w:rFonts w:cs="Arial"/>
        </w:rPr>
        <w:t xml:space="preserve">articipation </w:t>
      </w:r>
      <w:r w:rsidRPr="00A764FC">
        <w:rPr>
          <w:rFonts w:cs="Arial"/>
          <w:noProof/>
        </w:rPr>
        <w:t>among</w:t>
      </w:r>
      <w:r>
        <w:rPr>
          <w:rFonts w:cs="Arial"/>
        </w:rPr>
        <w:t xml:space="preserve"> this group was high </w:t>
      </w:r>
      <w:r w:rsidR="00880DBB">
        <w:rPr>
          <w:rFonts w:cs="Arial"/>
        </w:rPr>
        <w:t>–</w:t>
      </w:r>
      <w:r>
        <w:rPr>
          <w:rFonts w:cs="Arial"/>
        </w:rPr>
        <w:t xml:space="preserve"> </w:t>
      </w:r>
      <w:r w:rsidRPr="00DF4BDF">
        <w:rPr>
          <w:rFonts w:cs="Arial"/>
        </w:rPr>
        <w:t>82.5</w:t>
      </w:r>
      <w:r w:rsidRPr="007879D7">
        <w:rPr>
          <w:rFonts w:cs="Arial"/>
        </w:rPr>
        <w:t>%.</w:t>
      </w:r>
    </w:p>
    <w:p w:rsidR="009D76B7" w:rsidRDefault="009D76B7" w:rsidP="009D76B7">
      <w:pPr>
        <w:rPr>
          <w:rFonts w:cs="Arial"/>
        </w:rPr>
      </w:pPr>
      <w:r w:rsidRPr="00A764FC">
        <w:rPr>
          <w:rFonts w:cs="Arial"/>
          <w:noProof/>
        </w:rPr>
        <w:t>Participation</w:t>
      </w:r>
      <w:r w:rsidRPr="00197BD6">
        <w:rPr>
          <w:rFonts w:cs="Arial"/>
        </w:rPr>
        <w:t xml:space="preserve"> increased with increasing age</w:t>
      </w:r>
      <w:r w:rsidRPr="008F6931">
        <w:rPr>
          <w:rFonts w:cs="Arial"/>
        </w:rPr>
        <w:t xml:space="preserve"> for </w:t>
      </w:r>
      <w:r>
        <w:rPr>
          <w:rFonts w:cs="Arial"/>
        </w:rPr>
        <w:t xml:space="preserve">both </w:t>
      </w:r>
      <w:r w:rsidRPr="008F6931">
        <w:rPr>
          <w:rFonts w:cs="Arial"/>
        </w:rPr>
        <w:t>females and males</w:t>
      </w:r>
      <w:r>
        <w:rPr>
          <w:rFonts w:cs="Arial"/>
        </w:rPr>
        <w:t>.</w:t>
      </w:r>
    </w:p>
    <w:p w:rsidR="009D76B7" w:rsidRPr="008F6931" w:rsidRDefault="009D76B7" w:rsidP="009D76B7">
      <w:pPr>
        <w:rPr>
          <w:rFonts w:cs="Arial"/>
        </w:rPr>
      </w:pPr>
      <w:r w:rsidRPr="00A764FC">
        <w:rPr>
          <w:rFonts w:cs="Arial"/>
          <w:noProof/>
        </w:rPr>
        <w:t>Males</w:t>
      </w:r>
      <w:r w:rsidRPr="008F6931">
        <w:rPr>
          <w:rFonts w:cs="Arial"/>
        </w:rPr>
        <w:t xml:space="preserve"> were slightly less like</w:t>
      </w:r>
      <w:r>
        <w:rPr>
          <w:rFonts w:cs="Arial"/>
        </w:rPr>
        <w:t xml:space="preserve">ly to participate than </w:t>
      </w:r>
      <w:r w:rsidRPr="00A764FC">
        <w:rPr>
          <w:rFonts w:cs="Arial"/>
          <w:noProof/>
        </w:rPr>
        <w:t>females</w:t>
      </w:r>
      <w:r>
        <w:rPr>
          <w:rFonts w:cs="Arial"/>
        </w:rPr>
        <w:t>.</w:t>
      </w:r>
    </w:p>
    <w:p w:rsidR="009D76B7" w:rsidRPr="00881986" w:rsidRDefault="009D76B7" w:rsidP="009D76B7">
      <w:pPr>
        <w:rPr>
          <w:rFonts w:cs="Arial"/>
        </w:rPr>
      </w:pPr>
      <w:r w:rsidRPr="00881986">
        <w:rPr>
          <w:rFonts w:cs="Arial"/>
        </w:rPr>
        <w:t xml:space="preserve">Participation was highest among European/Other (83.2%), followed by Māori (81.4%), Asians (78.7%) and Pacific </w:t>
      </w:r>
      <w:r>
        <w:rPr>
          <w:rFonts w:cs="Arial"/>
        </w:rPr>
        <w:t xml:space="preserve">people </w:t>
      </w:r>
      <w:r w:rsidRPr="00881986">
        <w:rPr>
          <w:rFonts w:cs="Arial"/>
        </w:rPr>
        <w:t xml:space="preserve">(78.7%). </w:t>
      </w:r>
    </w:p>
    <w:p w:rsidR="009D76B7" w:rsidRPr="008F6931" w:rsidRDefault="009D76B7" w:rsidP="009D76B7">
      <w:pPr>
        <w:rPr>
          <w:rFonts w:cs="Arial"/>
        </w:rPr>
      </w:pPr>
      <w:r w:rsidRPr="008F6931">
        <w:rPr>
          <w:rFonts w:cs="Arial"/>
        </w:rPr>
        <w:t>Asians were slightly less likely to participate than European/Other</w:t>
      </w:r>
      <w:r>
        <w:rPr>
          <w:rFonts w:cs="Arial"/>
        </w:rPr>
        <w:t>.</w:t>
      </w:r>
      <w:r w:rsidRPr="008F6931">
        <w:rPr>
          <w:rFonts w:cs="Arial"/>
          <w:highlight w:val="yellow"/>
        </w:rPr>
        <w:t xml:space="preserve"> </w:t>
      </w:r>
    </w:p>
    <w:p w:rsidR="009D76B7" w:rsidRDefault="009D76B7" w:rsidP="009D76B7">
      <w:pPr>
        <w:rPr>
          <w:rFonts w:cs="Arial"/>
        </w:rPr>
      </w:pPr>
      <w:r>
        <w:rPr>
          <w:rFonts w:cs="Arial"/>
        </w:rPr>
        <w:t xml:space="preserve">Participation </w:t>
      </w:r>
      <w:r w:rsidRPr="00A764FC">
        <w:rPr>
          <w:rFonts w:cs="Arial"/>
          <w:noProof/>
        </w:rPr>
        <w:t>for</w:t>
      </w:r>
      <w:r>
        <w:rPr>
          <w:rFonts w:cs="Arial"/>
        </w:rPr>
        <w:t xml:space="preserve"> all age and ethnic groups for both females and males was above 60%. </w:t>
      </w:r>
    </w:p>
    <w:p w:rsidR="009D76B7" w:rsidRPr="00696655" w:rsidRDefault="009D76B7" w:rsidP="009D76B7">
      <w:pPr>
        <w:rPr>
          <w:rFonts w:cs="Arial"/>
        </w:rPr>
      </w:pPr>
      <w:r w:rsidRPr="00696655">
        <w:rPr>
          <w:rFonts w:cs="Arial"/>
        </w:rPr>
        <w:t>Participation among people from the most deprived quintile area (</w:t>
      </w:r>
      <w:r w:rsidRPr="00BD2935">
        <w:rPr>
          <w:rFonts w:cs="Arial"/>
        </w:rPr>
        <w:t>NZDep Index 9</w:t>
      </w:r>
      <w:r w:rsidR="00880DBB" w:rsidRPr="00BD2935">
        <w:rPr>
          <w:rFonts w:cs="Arial"/>
        </w:rPr>
        <w:t>–</w:t>
      </w:r>
      <w:r w:rsidRPr="00BD2935">
        <w:rPr>
          <w:rFonts w:cs="Arial"/>
        </w:rPr>
        <w:t>10) was slightly lower than among people from the least deprived quintile area (NZDep Index 1</w:t>
      </w:r>
      <w:r w:rsidR="00880DBB" w:rsidRPr="00BD2935">
        <w:rPr>
          <w:rFonts w:cs="Arial"/>
        </w:rPr>
        <w:t>–</w:t>
      </w:r>
      <w:r w:rsidRPr="00BD2935">
        <w:rPr>
          <w:rFonts w:cs="Arial"/>
        </w:rPr>
        <w:t>2).</w:t>
      </w:r>
    </w:p>
    <w:p w:rsidR="009D76B7" w:rsidRDefault="009D76B7" w:rsidP="009D76B7">
      <w:pPr>
        <w:rPr>
          <w:rFonts w:cs="Arial"/>
        </w:rPr>
      </w:pPr>
      <w:r w:rsidRPr="00804192">
        <w:rPr>
          <w:rFonts w:cs="Arial"/>
        </w:rPr>
        <w:t xml:space="preserve">Trends </w:t>
      </w:r>
      <w:r>
        <w:rPr>
          <w:rFonts w:cs="Arial"/>
        </w:rPr>
        <w:t>by</w:t>
      </w:r>
      <w:r w:rsidRPr="00804192">
        <w:rPr>
          <w:rFonts w:cs="Arial"/>
        </w:rPr>
        <w:t xml:space="preserve"> age</w:t>
      </w:r>
      <w:r>
        <w:rPr>
          <w:rFonts w:cs="Arial"/>
        </w:rPr>
        <w:t>,</w:t>
      </w:r>
      <w:r w:rsidRPr="00804192">
        <w:rPr>
          <w:rFonts w:cs="Arial"/>
        </w:rPr>
        <w:t xml:space="preserve"> sex </w:t>
      </w:r>
      <w:r>
        <w:rPr>
          <w:rFonts w:cs="Arial"/>
        </w:rPr>
        <w:t xml:space="preserve">and Asian ethnicity </w:t>
      </w:r>
      <w:r w:rsidRPr="00804192">
        <w:rPr>
          <w:rFonts w:cs="Arial"/>
        </w:rPr>
        <w:t xml:space="preserve">were </w:t>
      </w:r>
      <w:r>
        <w:rPr>
          <w:rFonts w:cs="Arial"/>
        </w:rPr>
        <w:t>similar to</w:t>
      </w:r>
      <w:r w:rsidRPr="00804192">
        <w:rPr>
          <w:rFonts w:cs="Arial"/>
        </w:rPr>
        <w:t xml:space="preserve"> those found in Round 1.</w:t>
      </w:r>
    </w:p>
    <w:p w:rsidR="009D76B7" w:rsidRPr="00D539A4" w:rsidRDefault="009D76B7" w:rsidP="009D76B7">
      <w:pPr>
        <w:pStyle w:val="Heading4"/>
        <w:spacing w:line="360" w:lineRule="auto"/>
        <w:rPr>
          <w:rFonts w:cs="Arial"/>
          <w:b w:val="0"/>
          <w:i/>
        </w:rPr>
      </w:pPr>
      <w:bookmarkStart w:id="111" w:name="_Toc446344780"/>
      <w:r>
        <w:rPr>
          <w:rFonts w:cs="Arial"/>
          <w:i/>
        </w:rPr>
        <w:t>Did n</w:t>
      </w:r>
      <w:r w:rsidRPr="00D539A4">
        <w:rPr>
          <w:rFonts w:cs="Arial"/>
          <w:i/>
        </w:rPr>
        <w:t>ot complete Round 1</w:t>
      </w:r>
      <w:bookmarkEnd w:id="111"/>
    </w:p>
    <w:p w:rsidR="009D76B7" w:rsidRDefault="009D76B7" w:rsidP="009D76B7">
      <w:pPr>
        <w:rPr>
          <w:rFonts w:cs="Arial"/>
        </w:rPr>
      </w:pPr>
      <w:r>
        <w:rPr>
          <w:rFonts w:cs="Arial"/>
        </w:rPr>
        <w:t>The</w:t>
      </w:r>
      <w:r w:rsidRPr="007879D7">
        <w:rPr>
          <w:rFonts w:cs="Arial"/>
        </w:rPr>
        <w:t xml:space="preserve"> participation rate </w:t>
      </w:r>
      <w:r w:rsidRPr="00A764FC">
        <w:rPr>
          <w:rFonts w:cs="Arial"/>
          <w:noProof/>
        </w:rPr>
        <w:t>of</w:t>
      </w:r>
      <w:r>
        <w:rPr>
          <w:rFonts w:cs="Arial"/>
        </w:rPr>
        <w:t xml:space="preserve"> this group of previous non-responders and people who had not </w:t>
      </w:r>
      <w:r w:rsidRPr="00A764FC">
        <w:rPr>
          <w:rFonts w:cs="Arial"/>
          <w:noProof/>
        </w:rPr>
        <w:t>successfully completed</w:t>
      </w:r>
      <w:r>
        <w:rPr>
          <w:rFonts w:cs="Arial"/>
        </w:rPr>
        <w:t xml:space="preserve"> an iFOBT kit was very </w:t>
      </w:r>
      <w:r w:rsidRPr="00A764FC">
        <w:rPr>
          <w:rFonts w:cs="Arial"/>
          <w:noProof/>
        </w:rPr>
        <w:t>low</w:t>
      </w:r>
      <w:r>
        <w:rPr>
          <w:rFonts w:cs="Arial"/>
        </w:rPr>
        <w:t xml:space="preserve"> </w:t>
      </w:r>
      <w:r w:rsidR="00880DBB">
        <w:rPr>
          <w:rFonts w:cs="Arial"/>
        </w:rPr>
        <w:t>–</w:t>
      </w:r>
      <w:r w:rsidRPr="007879D7">
        <w:rPr>
          <w:rFonts w:cs="Arial"/>
        </w:rPr>
        <w:t xml:space="preserve"> </w:t>
      </w:r>
      <w:r>
        <w:rPr>
          <w:rFonts w:cs="Arial"/>
        </w:rPr>
        <w:t>23.5</w:t>
      </w:r>
      <w:r w:rsidRPr="007879D7">
        <w:rPr>
          <w:rFonts w:cs="Arial"/>
        </w:rPr>
        <w:t>%.</w:t>
      </w:r>
    </w:p>
    <w:p w:rsidR="009D76B7" w:rsidRDefault="009D76B7" w:rsidP="009D76B7">
      <w:pPr>
        <w:rPr>
          <w:rFonts w:cs="Arial"/>
        </w:rPr>
      </w:pPr>
      <w:r w:rsidRPr="00DF0835">
        <w:rPr>
          <w:rFonts w:cs="Arial"/>
        </w:rPr>
        <w:t>Participation increased with increasing age</w:t>
      </w:r>
      <w:r>
        <w:rPr>
          <w:rFonts w:cs="Arial"/>
        </w:rPr>
        <w:t xml:space="preserve"> for both females and males.</w:t>
      </w:r>
    </w:p>
    <w:p w:rsidR="009D76B7" w:rsidRPr="009D76B7" w:rsidRDefault="009D76B7" w:rsidP="009D76B7">
      <w:pPr>
        <w:rPr>
          <w:rFonts w:cs="Arial"/>
        </w:rPr>
      </w:pPr>
      <w:r w:rsidRPr="009D76B7">
        <w:rPr>
          <w:rFonts w:cs="Arial"/>
        </w:rPr>
        <w:t>Unlike Round 1 and other Round 2 categories, there was no difference in participation by sex.</w:t>
      </w:r>
    </w:p>
    <w:p w:rsidR="009D76B7" w:rsidRPr="009D76B7" w:rsidRDefault="009D76B7" w:rsidP="009D76B7">
      <w:pPr>
        <w:rPr>
          <w:rFonts w:cs="Arial"/>
        </w:rPr>
      </w:pPr>
      <w:r w:rsidRPr="009D76B7">
        <w:rPr>
          <w:rFonts w:cs="Arial"/>
        </w:rPr>
        <w:t>Asians were slightly less likely to participate and Pacific people and Māori were slightly more likely to participate than European/Other. This pattern of participation for Pacific people and Māori differs from Round 1 and other Round 2 categories.</w:t>
      </w:r>
    </w:p>
    <w:p w:rsidR="009D76B7" w:rsidRPr="009D76B7" w:rsidRDefault="009D76B7" w:rsidP="009D76B7">
      <w:pPr>
        <w:rPr>
          <w:rFonts w:cs="Arial"/>
        </w:rPr>
      </w:pPr>
      <w:r w:rsidRPr="009D76B7">
        <w:rPr>
          <w:rFonts w:cs="Arial"/>
        </w:rPr>
        <w:t>Pacific people aged 50</w:t>
      </w:r>
      <w:r w:rsidR="00880DBB">
        <w:rPr>
          <w:rFonts w:cs="Arial"/>
        </w:rPr>
        <w:t>–</w:t>
      </w:r>
      <w:r w:rsidRPr="009D76B7">
        <w:rPr>
          <w:rFonts w:cs="Arial"/>
        </w:rPr>
        <w:t>59 and 60</w:t>
      </w:r>
      <w:r w:rsidR="00880DBB">
        <w:rPr>
          <w:rFonts w:cs="Arial"/>
        </w:rPr>
        <w:t>–</w:t>
      </w:r>
      <w:r w:rsidRPr="009D76B7">
        <w:rPr>
          <w:rFonts w:cs="Arial"/>
        </w:rPr>
        <w:t>69 years were slightly more likely to participate than European/Other of the same age.</w:t>
      </w:r>
    </w:p>
    <w:p w:rsidR="009D76B7" w:rsidRPr="009D76B7" w:rsidRDefault="009D76B7" w:rsidP="009D76B7">
      <w:pPr>
        <w:rPr>
          <w:rFonts w:cs="Arial"/>
        </w:rPr>
      </w:pPr>
      <w:bookmarkStart w:id="112" w:name="_Toc446323620"/>
      <w:bookmarkStart w:id="113" w:name="_Toc446324314"/>
      <w:r w:rsidRPr="009D76B7">
        <w:rPr>
          <w:rFonts w:cs="Arial"/>
        </w:rPr>
        <w:t>Compared to European/Other males, Pacific and Māori males were slightly more likely, and Asian males were slightly less likely, to participate.</w:t>
      </w:r>
    </w:p>
    <w:bookmarkEnd w:id="112"/>
    <w:bookmarkEnd w:id="113"/>
    <w:p w:rsidR="009D76B7" w:rsidRDefault="009D76B7" w:rsidP="009D76B7">
      <w:pPr>
        <w:rPr>
          <w:rFonts w:cs="Arial"/>
        </w:rPr>
      </w:pPr>
      <w:r>
        <w:rPr>
          <w:rFonts w:cs="Arial"/>
        </w:rPr>
        <w:t>Participation declined with increasing deprivation.</w:t>
      </w:r>
    </w:p>
    <w:p w:rsidR="009D76B7" w:rsidRPr="00D539A4" w:rsidRDefault="009D76B7" w:rsidP="009D76B7">
      <w:pPr>
        <w:rPr>
          <w:rFonts w:cs="Arial"/>
        </w:rPr>
      </w:pPr>
      <w:r w:rsidRPr="00D539A4">
        <w:rPr>
          <w:rFonts w:cs="Arial"/>
        </w:rPr>
        <w:t xml:space="preserve">Trends </w:t>
      </w:r>
      <w:r>
        <w:rPr>
          <w:rFonts w:cs="Arial"/>
        </w:rPr>
        <w:t>by</w:t>
      </w:r>
      <w:r w:rsidRPr="00D539A4">
        <w:rPr>
          <w:rFonts w:cs="Arial"/>
        </w:rPr>
        <w:t xml:space="preserve"> age and deprivation were the same as those found in Round 1.</w:t>
      </w:r>
    </w:p>
    <w:p w:rsidR="009D76B7" w:rsidRPr="00D539A4" w:rsidRDefault="009D76B7" w:rsidP="009D76B7">
      <w:pPr>
        <w:pStyle w:val="Heading4"/>
        <w:spacing w:line="360" w:lineRule="auto"/>
        <w:rPr>
          <w:rFonts w:cs="Arial"/>
          <w:b w:val="0"/>
          <w:i/>
        </w:rPr>
      </w:pPr>
      <w:bookmarkStart w:id="114" w:name="_Toc446344781"/>
      <w:r w:rsidRPr="00D539A4">
        <w:rPr>
          <w:rFonts w:cs="Arial"/>
          <w:i/>
        </w:rPr>
        <w:t>Not invited in Round 1</w:t>
      </w:r>
      <w:bookmarkEnd w:id="114"/>
    </w:p>
    <w:p w:rsidR="009D76B7" w:rsidRDefault="009D76B7" w:rsidP="009D76B7">
      <w:pPr>
        <w:rPr>
          <w:rFonts w:cs="Arial"/>
        </w:rPr>
      </w:pPr>
      <w:r>
        <w:rPr>
          <w:rFonts w:cs="Arial"/>
        </w:rPr>
        <w:t xml:space="preserve">The majority (62%) of those </w:t>
      </w:r>
      <w:r w:rsidRPr="00A764FC">
        <w:rPr>
          <w:rFonts w:cs="Arial"/>
          <w:noProof/>
        </w:rPr>
        <w:t>being invited</w:t>
      </w:r>
      <w:r>
        <w:rPr>
          <w:rFonts w:cs="Arial"/>
        </w:rPr>
        <w:t xml:space="preserve"> for the first time in Round 2 became eligible due to ageing into the target population. The p</w:t>
      </w:r>
      <w:r w:rsidRPr="007879D7">
        <w:rPr>
          <w:rFonts w:cs="Arial"/>
        </w:rPr>
        <w:t xml:space="preserve">articipation rate </w:t>
      </w:r>
      <w:r>
        <w:rPr>
          <w:rFonts w:cs="Arial"/>
        </w:rPr>
        <w:t>was</w:t>
      </w:r>
      <w:r w:rsidRPr="007879D7">
        <w:rPr>
          <w:rFonts w:cs="Arial"/>
        </w:rPr>
        <w:t xml:space="preserve"> </w:t>
      </w:r>
      <w:r>
        <w:rPr>
          <w:rFonts w:cs="Arial"/>
        </w:rPr>
        <w:t xml:space="preserve">low </w:t>
      </w:r>
      <w:r w:rsidR="00880DBB">
        <w:rPr>
          <w:rFonts w:cs="Arial"/>
        </w:rPr>
        <w:t>–</w:t>
      </w:r>
      <w:r>
        <w:rPr>
          <w:rFonts w:cs="Arial"/>
        </w:rPr>
        <w:t xml:space="preserve"> 41.6</w:t>
      </w:r>
      <w:r w:rsidRPr="007879D7">
        <w:rPr>
          <w:rFonts w:cs="Arial"/>
        </w:rPr>
        <w:t>%.</w:t>
      </w:r>
      <w:r>
        <w:rPr>
          <w:rFonts w:cs="Arial"/>
        </w:rPr>
        <w:t xml:space="preserve"> Participation of the 50</w:t>
      </w:r>
      <w:r w:rsidR="00880DBB">
        <w:rPr>
          <w:rFonts w:cs="Arial"/>
        </w:rPr>
        <w:t>–</w:t>
      </w:r>
      <w:r>
        <w:rPr>
          <w:rFonts w:cs="Arial"/>
        </w:rPr>
        <w:t>54 years age group, comprising 74.2% of this Round 2 category, was 40.5% compared to 46.1% in Round 1.</w:t>
      </w:r>
    </w:p>
    <w:p w:rsidR="009D76B7" w:rsidRDefault="009D76B7" w:rsidP="009D76B7">
      <w:pPr>
        <w:rPr>
          <w:rFonts w:cs="Arial"/>
        </w:rPr>
      </w:pPr>
      <w:r>
        <w:rPr>
          <w:rFonts w:cs="Arial"/>
        </w:rPr>
        <w:t xml:space="preserve">Overall participation was lower than in Round 1 and lower for every age group for both males and females. </w:t>
      </w:r>
    </w:p>
    <w:p w:rsidR="009D76B7" w:rsidRPr="00DF0835" w:rsidRDefault="009D76B7" w:rsidP="009D76B7">
      <w:pPr>
        <w:rPr>
          <w:rFonts w:cs="Arial"/>
        </w:rPr>
      </w:pPr>
      <w:r w:rsidRPr="00DF0835">
        <w:rPr>
          <w:rFonts w:cs="Arial"/>
        </w:rPr>
        <w:t xml:space="preserve">Participation increased with </w:t>
      </w:r>
      <w:r w:rsidRPr="00595857">
        <w:rPr>
          <w:rFonts w:cs="Arial"/>
        </w:rPr>
        <w:t>increasing</w:t>
      </w:r>
      <w:r w:rsidRPr="00DF0835">
        <w:rPr>
          <w:rFonts w:cs="Arial"/>
        </w:rPr>
        <w:t xml:space="preserve"> age from 60-64 years</w:t>
      </w:r>
      <w:r>
        <w:rPr>
          <w:rFonts w:cs="Arial"/>
        </w:rPr>
        <w:t>.</w:t>
      </w:r>
    </w:p>
    <w:p w:rsidR="009D76B7" w:rsidRPr="00E87CF0" w:rsidRDefault="009D76B7" w:rsidP="009D76B7">
      <w:pPr>
        <w:rPr>
          <w:rFonts w:cs="Arial"/>
        </w:rPr>
      </w:pPr>
      <w:r w:rsidRPr="00E87CF0">
        <w:rPr>
          <w:rFonts w:cs="Arial"/>
        </w:rPr>
        <w:t>Males</w:t>
      </w:r>
      <w:r>
        <w:rPr>
          <w:rFonts w:cs="Arial"/>
        </w:rPr>
        <w:t>,</w:t>
      </w:r>
      <w:r w:rsidRPr="00E87CF0">
        <w:rPr>
          <w:rFonts w:cs="Arial"/>
        </w:rPr>
        <w:t xml:space="preserve"> </w:t>
      </w:r>
      <w:r>
        <w:rPr>
          <w:rFonts w:cs="Arial"/>
        </w:rPr>
        <w:t>particularly those aged 50</w:t>
      </w:r>
      <w:r w:rsidR="00880DBB">
        <w:rPr>
          <w:rFonts w:cs="Arial"/>
        </w:rPr>
        <w:t>–</w:t>
      </w:r>
      <w:r>
        <w:rPr>
          <w:rFonts w:cs="Arial"/>
        </w:rPr>
        <w:t>54 years,</w:t>
      </w:r>
      <w:r w:rsidRPr="00E87CF0">
        <w:rPr>
          <w:rFonts w:cs="Arial"/>
        </w:rPr>
        <w:t xml:space="preserve"> were slightly less likely to participate than females. </w:t>
      </w:r>
    </w:p>
    <w:p w:rsidR="009D76B7" w:rsidRPr="0087182A" w:rsidRDefault="009D76B7" w:rsidP="009D76B7">
      <w:pPr>
        <w:rPr>
          <w:rFonts w:cs="Arial"/>
        </w:rPr>
      </w:pPr>
      <w:r w:rsidRPr="0087182A">
        <w:rPr>
          <w:rFonts w:cs="Arial"/>
        </w:rPr>
        <w:t>Participation was highest among European/Other</w:t>
      </w:r>
      <w:r>
        <w:rPr>
          <w:rFonts w:cs="Arial"/>
        </w:rPr>
        <w:t xml:space="preserve"> (</w:t>
      </w:r>
      <w:r w:rsidRPr="0087182A">
        <w:rPr>
          <w:rFonts w:cs="Arial"/>
        </w:rPr>
        <w:t xml:space="preserve">46.1%), followed by Asians (44.1%), Māori (35.6%) and Pacific </w:t>
      </w:r>
      <w:r>
        <w:rPr>
          <w:rFonts w:cs="Arial"/>
        </w:rPr>
        <w:t xml:space="preserve">people </w:t>
      </w:r>
      <w:r w:rsidRPr="0087182A">
        <w:rPr>
          <w:rFonts w:cs="Arial"/>
        </w:rPr>
        <w:t xml:space="preserve">(28.9%). </w:t>
      </w:r>
    </w:p>
    <w:p w:rsidR="009D76B7" w:rsidRPr="00D768FF" w:rsidRDefault="009D76B7" w:rsidP="009D76B7">
      <w:pPr>
        <w:rPr>
          <w:rFonts w:cs="Arial"/>
        </w:rPr>
      </w:pPr>
      <w:r w:rsidRPr="00D768FF">
        <w:rPr>
          <w:rFonts w:cs="Arial"/>
        </w:rPr>
        <w:t xml:space="preserve">Pacific </w:t>
      </w:r>
      <w:r>
        <w:rPr>
          <w:rFonts w:cs="Arial"/>
        </w:rPr>
        <w:t xml:space="preserve">people </w:t>
      </w:r>
      <w:r w:rsidRPr="00D768FF">
        <w:rPr>
          <w:rFonts w:cs="Arial"/>
        </w:rPr>
        <w:t xml:space="preserve">and Māori were less likely to participate than </w:t>
      </w:r>
      <w:r w:rsidRPr="0087182A">
        <w:rPr>
          <w:rFonts w:cs="Arial"/>
        </w:rPr>
        <w:t>European/Other</w:t>
      </w:r>
      <w:r w:rsidRPr="00D768FF">
        <w:rPr>
          <w:rFonts w:cs="Arial"/>
        </w:rPr>
        <w:t xml:space="preserve">. </w:t>
      </w:r>
    </w:p>
    <w:p w:rsidR="009D76B7" w:rsidRDefault="009D76B7" w:rsidP="009D76B7">
      <w:pPr>
        <w:rPr>
          <w:rFonts w:cs="Arial"/>
        </w:rPr>
      </w:pPr>
      <w:r w:rsidRPr="0087182A">
        <w:rPr>
          <w:rFonts w:cs="Arial"/>
        </w:rPr>
        <w:t>Participation</w:t>
      </w:r>
      <w:r w:rsidRPr="00D768FF">
        <w:rPr>
          <w:rFonts w:cs="Arial"/>
        </w:rPr>
        <w:t xml:space="preserve"> </w:t>
      </w:r>
      <w:r>
        <w:rPr>
          <w:rFonts w:cs="Arial"/>
        </w:rPr>
        <w:t xml:space="preserve">among both </w:t>
      </w:r>
      <w:r w:rsidRPr="00D768FF">
        <w:rPr>
          <w:rFonts w:cs="Arial"/>
        </w:rPr>
        <w:t>Pacific</w:t>
      </w:r>
      <w:r>
        <w:rPr>
          <w:rFonts w:cs="Arial"/>
        </w:rPr>
        <w:t xml:space="preserve"> males and females and Asian and </w:t>
      </w:r>
      <w:r w:rsidRPr="00D768FF">
        <w:rPr>
          <w:rFonts w:cs="Arial"/>
        </w:rPr>
        <w:t xml:space="preserve">Māori </w:t>
      </w:r>
      <w:r>
        <w:rPr>
          <w:rFonts w:cs="Arial"/>
        </w:rPr>
        <w:t xml:space="preserve">females </w:t>
      </w:r>
      <w:r w:rsidRPr="00A764FC">
        <w:rPr>
          <w:rFonts w:cs="Arial"/>
          <w:noProof/>
        </w:rPr>
        <w:t>was</w:t>
      </w:r>
      <w:r>
        <w:rPr>
          <w:rFonts w:cs="Arial"/>
        </w:rPr>
        <w:t xml:space="preserve"> lower than for their </w:t>
      </w:r>
      <w:r w:rsidRPr="0087182A">
        <w:rPr>
          <w:rFonts w:cs="Arial"/>
        </w:rPr>
        <w:t>European/Other</w:t>
      </w:r>
      <w:r>
        <w:rPr>
          <w:rFonts w:cs="Arial"/>
        </w:rPr>
        <w:t xml:space="preserve"> counterparts.</w:t>
      </w:r>
    </w:p>
    <w:p w:rsidR="009D76B7" w:rsidRDefault="009D76B7" w:rsidP="009D76B7">
      <w:pPr>
        <w:rPr>
          <w:rFonts w:cs="Arial"/>
        </w:rPr>
      </w:pPr>
      <w:r>
        <w:rPr>
          <w:rFonts w:cs="Arial"/>
        </w:rPr>
        <w:t xml:space="preserve">Among European/Other and Asians aged 50-54 years, both male and female participation were lower than in Round 1. Pacific participation in this age group was higher than in Round 1; this was of marginal statistical significance. </w:t>
      </w:r>
      <w:r w:rsidRPr="00A764FC">
        <w:rPr>
          <w:rFonts w:cs="Arial"/>
          <w:noProof/>
        </w:rPr>
        <w:t>Pacific female participation was higher but there was no difference between rounds for Pacific males.</w:t>
      </w:r>
      <w:r>
        <w:rPr>
          <w:rFonts w:cs="Arial"/>
        </w:rPr>
        <w:t xml:space="preserve"> There was no difference in participation by sex among </w:t>
      </w:r>
      <w:r w:rsidRPr="00D768FF">
        <w:rPr>
          <w:rFonts w:cs="Arial"/>
        </w:rPr>
        <w:t>Māori</w:t>
      </w:r>
      <w:r>
        <w:rPr>
          <w:rFonts w:cs="Arial"/>
        </w:rPr>
        <w:t>.</w:t>
      </w:r>
    </w:p>
    <w:p w:rsidR="009D76B7" w:rsidRDefault="009D76B7" w:rsidP="009D76B7">
      <w:pPr>
        <w:rPr>
          <w:rFonts w:cs="Arial"/>
        </w:rPr>
      </w:pPr>
      <w:r>
        <w:rPr>
          <w:rFonts w:cs="Arial"/>
        </w:rPr>
        <w:t xml:space="preserve">Participation </w:t>
      </w:r>
      <w:r w:rsidRPr="00A764FC">
        <w:rPr>
          <w:rFonts w:cs="Arial"/>
          <w:noProof/>
        </w:rPr>
        <w:t>generally</w:t>
      </w:r>
      <w:r>
        <w:rPr>
          <w:rFonts w:cs="Arial"/>
        </w:rPr>
        <w:t xml:space="preserve"> declined with increasing deprivation.</w:t>
      </w:r>
    </w:p>
    <w:p w:rsidR="009D76B7" w:rsidRDefault="009D76B7" w:rsidP="009D76B7">
      <w:pPr>
        <w:rPr>
          <w:rFonts w:cs="Arial"/>
        </w:rPr>
      </w:pPr>
      <w:r w:rsidRPr="00804192">
        <w:rPr>
          <w:rFonts w:cs="Arial"/>
        </w:rPr>
        <w:t xml:space="preserve">Trends </w:t>
      </w:r>
      <w:r>
        <w:rPr>
          <w:rFonts w:cs="Arial"/>
        </w:rPr>
        <w:t>by</w:t>
      </w:r>
      <w:r w:rsidRPr="00804192">
        <w:rPr>
          <w:rFonts w:cs="Arial"/>
        </w:rPr>
        <w:t xml:space="preserve"> </w:t>
      </w:r>
      <w:r>
        <w:rPr>
          <w:rFonts w:cs="Arial"/>
        </w:rPr>
        <w:t>age, sex, ethnicity and deprivation were similar to</w:t>
      </w:r>
      <w:r w:rsidRPr="00804192">
        <w:rPr>
          <w:rFonts w:cs="Arial"/>
        </w:rPr>
        <w:t xml:space="preserve"> those found in Round 1.</w:t>
      </w:r>
    </w:p>
    <w:p w:rsidR="009D76B7" w:rsidRDefault="009D76B7" w:rsidP="009D76B7">
      <w:pPr>
        <w:rPr>
          <w:rFonts w:cs="Arial"/>
        </w:rPr>
      </w:pPr>
      <w:r w:rsidRPr="007879D7">
        <w:rPr>
          <w:rFonts w:cs="Arial"/>
        </w:rPr>
        <w:t>The BSP meets the</w:t>
      </w:r>
      <w:r>
        <w:rPr>
          <w:rFonts w:cs="Arial"/>
        </w:rPr>
        <w:t xml:space="preserve"> </w:t>
      </w:r>
      <w:r w:rsidRPr="007879D7">
        <w:rPr>
          <w:rFonts w:cs="Arial"/>
        </w:rPr>
        <w:t>acceptable level</w:t>
      </w:r>
      <w:r>
        <w:rPr>
          <w:rFonts w:cs="Arial"/>
        </w:rPr>
        <w:t xml:space="preserve"> set in the European guidelines: having less than 3% of kits not being successfully completed. Round 2 almost reaches the desirable level of less than 1% of </w:t>
      </w:r>
      <w:r w:rsidRPr="00A764FC">
        <w:rPr>
          <w:rFonts w:cs="Arial"/>
          <w:noProof/>
        </w:rPr>
        <w:t>kits</w:t>
      </w:r>
      <w:r>
        <w:rPr>
          <w:rFonts w:cs="Arial"/>
        </w:rPr>
        <w:t xml:space="preserve"> not being successfully completed </w:t>
      </w:r>
      <w:r w:rsidRPr="003F725F">
        <w:rPr>
          <w:rFonts w:cs="Arial"/>
        </w:rPr>
        <w:t>(Moss et al 2010)</w:t>
      </w:r>
      <w:r w:rsidRPr="007879D7">
        <w:rPr>
          <w:rFonts w:cs="Arial"/>
        </w:rPr>
        <w:t>.</w:t>
      </w:r>
    </w:p>
    <w:p w:rsidR="009D76B7" w:rsidRPr="003F725F" w:rsidRDefault="009D76B7" w:rsidP="009D76B7">
      <w:pPr>
        <w:rPr>
          <w:rFonts w:cs="Arial"/>
        </w:rPr>
      </w:pPr>
      <w:r w:rsidRPr="003F725F">
        <w:rPr>
          <w:rFonts w:cs="Arial"/>
        </w:rPr>
        <w:t>The BSP meets the acceptable level</w:t>
      </w:r>
      <w:r>
        <w:rPr>
          <w:rFonts w:cs="Arial"/>
        </w:rPr>
        <w:t xml:space="preserve"> set in the European guidelines: having</w:t>
      </w:r>
      <w:r w:rsidRPr="001877B9">
        <w:rPr>
          <w:rFonts w:cs="Arial"/>
        </w:rPr>
        <w:t xml:space="preserve"> </w:t>
      </w:r>
      <w:r w:rsidRPr="003F725F">
        <w:rPr>
          <w:rFonts w:cs="Arial"/>
        </w:rPr>
        <w:t>a minimum uptake level of 45%</w:t>
      </w:r>
      <w:r>
        <w:rPr>
          <w:rFonts w:cs="Arial"/>
        </w:rPr>
        <w:t xml:space="preserve"> for both rounds </w:t>
      </w:r>
      <w:r w:rsidRPr="003F725F">
        <w:rPr>
          <w:rFonts w:cs="Arial"/>
        </w:rPr>
        <w:t>(Moss et al 2010).</w:t>
      </w:r>
      <w:r>
        <w:rPr>
          <w:rFonts w:cs="Arial"/>
        </w:rPr>
        <w:t xml:space="preserve"> However, it does not meet this level for the newly invited group in Round 2.</w:t>
      </w:r>
    </w:p>
    <w:p w:rsidR="009D76B7" w:rsidRDefault="009D76B7">
      <w:pPr>
        <w:spacing w:before="0"/>
        <w:ind w:left="0"/>
        <w:rPr>
          <w:rFonts w:cs="Arial"/>
          <w:b/>
          <w:i/>
          <w:sz w:val="24"/>
          <w:szCs w:val="24"/>
        </w:rPr>
      </w:pPr>
      <w:bookmarkStart w:id="115" w:name="_Toc446344782"/>
      <w:r>
        <w:rPr>
          <w:rFonts w:cs="Arial"/>
        </w:rPr>
        <w:br w:type="page"/>
      </w:r>
    </w:p>
    <w:p w:rsidR="009D76B7" w:rsidRDefault="009D76B7" w:rsidP="009D76B7">
      <w:pPr>
        <w:pStyle w:val="Heading3"/>
        <w:spacing w:line="480" w:lineRule="auto"/>
        <w:rPr>
          <w:rFonts w:cs="Arial"/>
          <w:b w:val="0"/>
        </w:rPr>
      </w:pPr>
      <w:r w:rsidRPr="00D539A4">
        <w:rPr>
          <w:rFonts w:cs="Arial"/>
        </w:rPr>
        <w:t>Colonoscopy uptake</w:t>
      </w:r>
      <w:bookmarkEnd w:id="115"/>
    </w:p>
    <w:p w:rsidR="009D76B7" w:rsidRDefault="009D76B7" w:rsidP="009D76B7">
      <w:pPr>
        <w:rPr>
          <w:rFonts w:cs="Arial"/>
        </w:rPr>
      </w:pPr>
      <w:r w:rsidRPr="002E2AD9">
        <w:rPr>
          <w:rFonts w:cs="Arial"/>
        </w:rPr>
        <w:t>Colonoscopy uptake was 85.7%</w:t>
      </w:r>
      <w:r>
        <w:rPr>
          <w:rStyle w:val="FootnoteReference"/>
          <w:rFonts w:cs="Arial"/>
        </w:rPr>
        <w:footnoteReference w:id="28"/>
      </w:r>
      <w:r>
        <w:rPr>
          <w:rFonts w:cs="Arial"/>
        </w:rPr>
        <w:t xml:space="preserve"> in Round 1 and </w:t>
      </w:r>
      <w:r w:rsidRPr="002E2AD9">
        <w:rPr>
          <w:rFonts w:cs="Arial"/>
        </w:rPr>
        <w:t>8</w:t>
      </w:r>
      <w:r>
        <w:rPr>
          <w:rFonts w:cs="Arial"/>
        </w:rPr>
        <w:t>2</w:t>
      </w:r>
      <w:r w:rsidRPr="002E2AD9">
        <w:rPr>
          <w:rFonts w:cs="Arial"/>
        </w:rPr>
        <w:t>.</w:t>
      </w:r>
      <w:r>
        <w:rPr>
          <w:rFonts w:cs="Arial"/>
        </w:rPr>
        <w:t>3</w:t>
      </w:r>
      <w:r w:rsidRPr="002E2AD9">
        <w:rPr>
          <w:rFonts w:cs="Arial"/>
        </w:rPr>
        <w:t>%</w:t>
      </w:r>
      <w:r>
        <w:rPr>
          <w:rStyle w:val="FootnoteReference"/>
          <w:rFonts w:cs="Arial"/>
        </w:rPr>
        <w:footnoteReference w:id="29"/>
      </w:r>
      <w:r>
        <w:rPr>
          <w:rFonts w:cs="Arial"/>
        </w:rPr>
        <w:t xml:space="preserve"> in Round 2.</w:t>
      </w:r>
    </w:p>
    <w:p w:rsidR="009D76B7" w:rsidRPr="006C395C" w:rsidRDefault="009D76B7" w:rsidP="009D76B7">
      <w:pPr>
        <w:rPr>
          <w:rFonts w:cs="Arial"/>
        </w:rPr>
      </w:pPr>
      <w:r w:rsidRPr="002E2AD9">
        <w:rPr>
          <w:rFonts w:cs="Arial"/>
        </w:rPr>
        <w:t>Males were more likely to have a colonoscopy than females</w:t>
      </w:r>
      <w:r>
        <w:rPr>
          <w:rFonts w:cs="Arial"/>
        </w:rPr>
        <w:t xml:space="preserve"> in both rounds</w:t>
      </w:r>
      <w:r w:rsidRPr="006C395C">
        <w:rPr>
          <w:rFonts w:cs="Arial"/>
        </w:rPr>
        <w:t xml:space="preserve">. </w:t>
      </w:r>
    </w:p>
    <w:p w:rsidR="009D76B7" w:rsidRPr="006C395C" w:rsidRDefault="009D76B7" w:rsidP="009D76B7">
      <w:pPr>
        <w:rPr>
          <w:rFonts w:cs="Arial"/>
        </w:rPr>
      </w:pPr>
      <w:r w:rsidRPr="006C395C">
        <w:rPr>
          <w:rFonts w:cs="Arial"/>
        </w:rPr>
        <w:t>Asian males were slightly less likely to have a colonoscopy than European/Other males</w:t>
      </w:r>
      <w:r>
        <w:rPr>
          <w:rFonts w:cs="Arial"/>
        </w:rPr>
        <w:t xml:space="preserve"> in Round 1.</w:t>
      </w:r>
    </w:p>
    <w:p w:rsidR="009D76B7" w:rsidRDefault="009D76B7" w:rsidP="009D76B7">
      <w:pPr>
        <w:rPr>
          <w:rFonts w:cs="Arial"/>
        </w:rPr>
      </w:pPr>
      <w:r w:rsidRPr="00573A7D">
        <w:rPr>
          <w:rFonts w:cs="Arial"/>
        </w:rPr>
        <w:t>Colonoscopy uptake increased with increasing deprivation</w:t>
      </w:r>
      <w:r>
        <w:rPr>
          <w:rFonts w:cs="Arial"/>
        </w:rPr>
        <w:t xml:space="preserve"> in Round 1. In Round 2, there was no difference in uptake by deprivation apart from those people from the most deprived quintile area (</w:t>
      </w:r>
      <w:r w:rsidRPr="00BD2935">
        <w:rPr>
          <w:rFonts w:cs="Arial"/>
        </w:rPr>
        <w:t>NZDep Index 9</w:t>
      </w:r>
      <w:r w:rsidR="00880DBB" w:rsidRPr="00BD2935">
        <w:rPr>
          <w:rFonts w:cs="Arial"/>
        </w:rPr>
        <w:t>–</w:t>
      </w:r>
      <w:r w:rsidRPr="00BD2935">
        <w:rPr>
          <w:rFonts w:cs="Arial"/>
        </w:rPr>
        <w:t>10). This group was over 2.5 times as likely as people from the least deprived quintile area (NZDep Index 1</w:t>
      </w:r>
      <w:r w:rsidR="00880DBB" w:rsidRPr="00BD2935">
        <w:rPr>
          <w:rFonts w:cs="Arial"/>
        </w:rPr>
        <w:t>–</w:t>
      </w:r>
      <w:r w:rsidRPr="00BD2935">
        <w:rPr>
          <w:rFonts w:cs="Arial"/>
        </w:rPr>
        <w:t>2</w:t>
      </w:r>
      <w:r w:rsidRPr="006C395C">
        <w:rPr>
          <w:rFonts w:cs="Arial"/>
        </w:rPr>
        <w:t>)</w:t>
      </w:r>
      <w:r>
        <w:rPr>
          <w:rFonts w:cs="Arial"/>
        </w:rPr>
        <w:t xml:space="preserve"> to have a colonoscopy</w:t>
      </w:r>
      <w:r w:rsidRPr="006C395C">
        <w:rPr>
          <w:rFonts w:cs="Arial"/>
        </w:rPr>
        <w:t>.</w:t>
      </w:r>
      <w:r>
        <w:rPr>
          <w:rFonts w:cs="Arial"/>
        </w:rPr>
        <w:t xml:space="preserve"> </w:t>
      </w:r>
    </w:p>
    <w:p w:rsidR="009D76B7" w:rsidRPr="00D539A4" w:rsidRDefault="009D76B7" w:rsidP="009D76B7">
      <w:pPr>
        <w:pStyle w:val="Heading4"/>
        <w:spacing w:line="360" w:lineRule="auto"/>
        <w:rPr>
          <w:rFonts w:cs="Arial"/>
          <w:b w:val="0"/>
          <w:i/>
        </w:rPr>
      </w:pPr>
      <w:bookmarkStart w:id="116" w:name="_Toc446344783"/>
      <w:r w:rsidRPr="00D539A4">
        <w:rPr>
          <w:rFonts w:cs="Arial"/>
          <w:i/>
        </w:rPr>
        <w:t>Completed Round 1, negative iFOBT</w:t>
      </w:r>
      <w:bookmarkEnd w:id="116"/>
    </w:p>
    <w:p w:rsidR="009D76B7" w:rsidRDefault="009D76B7" w:rsidP="009D76B7">
      <w:pPr>
        <w:rPr>
          <w:rFonts w:cs="Arial"/>
        </w:rPr>
      </w:pPr>
      <w:r w:rsidRPr="00696655">
        <w:rPr>
          <w:rFonts w:cs="Arial"/>
        </w:rPr>
        <w:t>Colonoscopy uptake was 83.7%.</w:t>
      </w:r>
      <w:r w:rsidRPr="00D012EF">
        <w:rPr>
          <w:rFonts w:cs="Arial"/>
          <w:i/>
        </w:rPr>
        <w:t xml:space="preserve"> </w:t>
      </w:r>
    </w:p>
    <w:p w:rsidR="009D76B7" w:rsidRPr="00E80287" w:rsidRDefault="009D76B7" w:rsidP="009D76B7">
      <w:pPr>
        <w:rPr>
          <w:rFonts w:cs="Arial"/>
          <w:i/>
        </w:rPr>
      </w:pPr>
      <w:r w:rsidRPr="00E80287">
        <w:rPr>
          <w:rFonts w:cs="Arial"/>
        </w:rPr>
        <w:t xml:space="preserve">Males were more likely to have a colonoscopy than females. </w:t>
      </w:r>
    </w:p>
    <w:p w:rsidR="009D76B7" w:rsidRPr="00C8692B" w:rsidRDefault="009D76B7" w:rsidP="009D76B7">
      <w:pPr>
        <w:rPr>
          <w:rFonts w:cs="Arial"/>
        </w:rPr>
      </w:pPr>
      <w:r w:rsidRPr="00C8692B">
        <w:rPr>
          <w:rFonts w:cs="Arial"/>
        </w:rPr>
        <w:t>Pacific people were almost three times less likely to have a colonoscopy than European/Other</w:t>
      </w:r>
      <w:r>
        <w:rPr>
          <w:rFonts w:cs="Arial"/>
        </w:rPr>
        <w:t xml:space="preserve"> participants</w:t>
      </w:r>
      <w:r w:rsidRPr="00C8692B">
        <w:rPr>
          <w:rFonts w:cs="Arial"/>
        </w:rPr>
        <w:t>. Pacific males were six times less likely to have a colonoscopy than European/Other males.</w:t>
      </w:r>
      <w:r>
        <w:rPr>
          <w:rFonts w:cs="Arial"/>
        </w:rPr>
        <w:t xml:space="preserve"> Pacific males aged 60</w:t>
      </w:r>
      <w:r w:rsidR="00880DBB">
        <w:rPr>
          <w:rFonts w:cs="Arial"/>
        </w:rPr>
        <w:t>–</w:t>
      </w:r>
      <w:r>
        <w:rPr>
          <w:rFonts w:cs="Arial"/>
        </w:rPr>
        <w:t xml:space="preserve">69 years were almost five times </w:t>
      </w:r>
      <w:r w:rsidRPr="00C8692B">
        <w:rPr>
          <w:rFonts w:cs="Arial"/>
        </w:rPr>
        <w:t>less likely to have a colonoscopy than European/Other males</w:t>
      </w:r>
      <w:r>
        <w:rPr>
          <w:rFonts w:cs="Arial"/>
        </w:rPr>
        <w:t xml:space="preserve"> of the same age.</w:t>
      </w:r>
    </w:p>
    <w:p w:rsidR="009D76B7" w:rsidRPr="00A172BA" w:rsidRDefault="009D76B7" w:rsidP="009D76B7">
      <w:pPr>
        <w:rPr>
          <w:rFonts w:cs="Arial"/>
        </w:rPr>
      </w:pPr>
      <w:r w:rsidRPr="008E2EEA">
        <w:rPr>
          <w:rFonts w:cs="Arial"/>
        </w:rPr>
        <w:t>Colonoscopy uptake increased with increasing deprivation.</w:t>
      </w:r>
    </w:p>
    <w:p w:rsidR="009D76B7" w:rsidRDefault="009D76B7" w:rsidP="009D76B7">
      <w:pPr>
        <w:rPr>
          <w:rFonts w:cs="Arial"/>
        </w:rPr>
      </w:pPr>
      <w:r w:rsidRPr="00804192">
        <w:rPr>
          <w:rFonts w:cs="Arial"/>
        </w:rPr>
        <w:t xml:space="preserve">Trends </w:t>
      </w:r>
      <w:r>
        <w:rPr>
          <w:rFonts w:cs="Arial"/>
        </w:rPr>
        <w:t>by</w:t>
      </w:r>
      <w:r w:rsidRPr="00804192">
        <w:rPr>
          <w:rFonts w:cs="Arial"/>
        </w:rPr>
        <w:t xml:space="preserve"> sex </w:t>
      </w:r>
      <w:r>
        <w:rPr>
          <w:rFonts w:cs="Arial"/>
        </w:rPr>
        <w:t xml:space="preserve">and </w:t>
      </w:r>
      <w:r w:rsidRPr="00804192">
        <w:rPr>
          <w:rFonts w:cs="Arial"/>
        </w:rPr>
        <w:t xml:space="preserve">deprivation were </w:t>
      </w:r>
      <w:r>
        <w:rPr>
          <w:rFonts w:cs="Arial"/>
        </w:rPr>
        <w:t xml:space="preserve">similar to </w:t>
      </w:r>
      <w:r w:rsidRPr="00804192">
        <w:rPr>
          <w:rFonts w:cs="Arial"/>
        </w:rPr>
        <w:t>those found in Round 1.</w:t>
      </w:r>
    </w:p>
    <w:p w:rsidR="009D76B7" w:rsidRPr="00B93ACE" w:rsidRDefault="009D76B7" w:rsidP="009D76B7">
      <w:pPr>
        <w:pStyle w:val="Heading4"/>
        <w:spacing w:line="360" w:lineRule="auto"/>
        <w:rPr>
          <w:rFonts w:cs="Arial"/>
          <w:b w:val="0"/>
          <w:i/>
        </w:rPr>
      </w:pPr>
      <w:bookmarkStart w:id="117" w:name="_Toc446344784"/>
      <w:r>
        <w:rPr>
          <w:rFonts w:cs="Arial"/>
          <w:i/>
        </w:rPr>
        <w:t>Did n</w:t>
      </w:r>
      <w:r w:rsidRPr="00B93ACE">
        <w:rPr>
          <w:rFonts w:cs="Arial"/>
          <w:i/>
        </w:rPr>
        <w:t>ot complete Round 1</w:t>
      </w:r>
      <w:bookmarkEnd w:id="117"/>
    </w:p>
    <w:p w:rsidR="009D76B7" w:rsidRDefault="009D76B7" w:rsidP="009D76B7">
      <w:pPr>
        <w:rPr>
          <w:rFonts w:cs="Arial"/>
        </w:rPr>
      </w:pPr>
      <w:r w:rsidRPr="00E87CF0">
        <w:rPr>
          <w:rFonts w:cs="Arial"/>
        </w:rPr>
        <w:t xml:space="preserve">Colonoscopy uptake was </w:t>
      </w:r>
      <w:r>
        <w:rPr>
          <w:rFonts w:cs="Arial"/>
        </w:rPr>
        <w:t>79.0</w:t>
      </w:r>
      <w:r w:rsidRPr="00E87CF0">
        <w:rPr>
          <w:rFonts w:cs="Arial"/>
        </w:rPr>
        <w:t xml:space="preserve">%. </w:t>
      </w:r>
    </w:p>
    <w:p w:rsidR="009D76B7" w:rsidRDefault="009D76B7" w:rsidP="009D76B7">
      <w:pPr>
        <w:rPr>
          <w:rFonts w:cs="Arial"/>
        </w:rPr>
      </w:pPr>
      <w:r>
        <w:rPr>
          <w:rFonts w:cs="Arial"/>
        </w:rPr>
        <w:t>There were no differences in c</w:t>
      </w:r>
      <w:r w:rsidRPr="00C536AF">
        <w:rPr>
          <w:rFonts w:cs="Arial"/>
        </w:rPr>
        <w:t>olonoscopy uptake by age, sex</w:t>
      </w:r>
      <w:r>
        <w:rPr>
          <w:rFonts w:cs="Arial"/>
        </w:rPr>
        <w:t xml:space="preserve"> or</w:t>
      </w:r>
      <w:r w:rsidRPr="00C536AF">
        <w:rPr>
          <w:rFonts w:cs="Arial"/>
        </w:rPr>
        <w:t xml:space="preserve"> ethnicity</w:t>
      </w:r>
      <w:r>
        <w:rPr>
          <w:rFonts w:cs="Arial"/>
        </w:rPr>
        <w:t>.</w:t>
      </w:r>
    </w:p>
    <w:p w:rsidR="009D76B7" w:rsidRDefault="009D76B7" w:rsidP="009D76B7">
      <w:pPr>
        <w:rPr>
          <w:rFonts w:cs="Arial"/>
        </w:rPr>
      </w:pPr>
      <w:r>
        <w:rPr>
          <w:rFonts w:cs="Arial"/>
        </w:rPr>
        <w:t>As in Round 1, c</w:t>
      </w:r>
      <w:r w:rsidRPr="00A172BA">
        <w:rPr>
          <w:rFonts w:cs="Arial"/>
        </w:rPr>
        <w:t>olonoscopy uptake increased with increasing deprivation</w:t>
      </w:r>
      <w:r>
        <w:rPr>
          <w:rFonts w:cs="Arial"/>
        </w:rPr>
        <w:t>.</w:t>
      </w:r>
    </w:p>
    <w:p w:rsidR="009D76B7" w:rsidRPr="00B93ACE" w:rsidRDefault="009D76B7" w:rsidP="009D76B7">
      <w:pPr>
        <w:pStyle w:val="Heading4"/>
        <w:spacing w:line="360" w:lineRule="auto"/>
        <w:rPr>
          <w:rFonts w:cs="Arial"/>
          <w:b w:val="0"/>
          <w:i/>
        </w:rPr>
      </w:pPr>
      <w:bookmarkStart w:id="118" w:name="_Toc446344785"/>
      <w:r w:rsidRPr="00B93ACE">
        <w:rPr>
          <w:rFonts w:cs="Arial"/>
          <w:i/>
        </w:rPr>
        <w:t>Not invited in Round 1</w:t>
      </w:r>
      <w:bookmarkEnd w:id="118"/>
    </w:p>
    <w:p w:rsidR="009D76B7" w:rsidRDefault="009D76B7" w:rsidP="009D76B7">
      <w:pPr>
        <w:rPr>
          <w:rFonts w:cs="Arial"/>
        </w:rPr>
      </w:pPr>
      <w:r w:rsidRPr="00E87CF0">
        <w:rPr>
          <w:rFonts w:cs="Arial"/>
        </w:rPr>
        <w:t xml:space="preserve">Colonoscopy uptake was 82.5%. </w:t>
      </w:r>
    </w:p>
    <w:p w:rsidR="009D76B7" w:rsidRPr="00E26361" w:rsidRDefault="009D76B7" w:rsidP="009D76B7">
      <w:pPr>
        <w:rPr>
          <w:rFonts w:cs="Arial"/>
          <w:highlight w:val="yellow"/>
        </w:rPr>
      </w:pPr>
      <w:r>
        <w:rPr>
          <w:rFonts w:cs="Arial"/>
        </w:rPr>
        <w:t>There were no differences in c</w:t>
      </w:r>
      <w:r w:rsidRPr="00C536AF">
        <w:rPr>
          <w:rFonts w:cs="Arial"/>
        </w:rPr>
        <w:t>olonoscopy uptake by age, sex, ethnicity or deprivation</w:t>
      </w:r>
      <w:r>
        <w:rPr>
          <w:rFonts w:cs="Arial"/>
        </w:rPr>
        <w:t>.</w:t>
      </w:r>
    </w:p>
    <w:p w:rsidR="009D76B7" w:rsidRPr="003F725F" w:rsidRDefault="009D76B7" w:rsidP="009D76B7">
      <w:pPr>
        <w:autoSpaceDE w:val="0"/>
        <w:autoSpaceDN w:val="0"/>
        <w:adjustRightInd w:val="0"/>
        <w:rPr>
          <w:rFonts w:cs="Arial"/>
        </w:rPr>
      </w:pPr>
      <w:r>
        <w:rPr>
          <w:rFonts w:cs="Arial"/>
        </w:rPr>
        <w:t xml:space="preserve">The BSP meets the acceptable level set </w:t>
      </w:r>
      <w:r w:rsidRPr="00A764FC">
        <w:rPr>
          <w:rFonts w:cs="Arial"/>
          <w:noProof/>
        </w:rPr>
        <w:t>in</w:t>
      </w:r>
      <w:r>
        <w:rPr>
          <w:rFonts w:cs="Arial"/>
        </w:rPr>
        <w:t xml:space="preserve"> the European guidelines: having 85% colonoscopy uptake in Round 1, but not in Round 2 (Moss et </w:t>
      </w:r>
      <w:r w:rsidRPr="00A764FC">
        <w:rPr>
          <w:rFonts w:cs="Arial"/>
          <w:noProof/>
        </w:rPr>
        <w:t>al</w:t>
      </w:r>
      <w:r>
        <w:rPr>
          <w:rFonts w:cs="Arial"/>
        </w:rPr>
        <w:t xml:space="preserve"> 2010). Round 2 uptake was highest among those who had a negative iFOBT in Round 1, followed by the newly invited group.</w:t>
      </w:r>
    </w:p>
    <w:p w:rsidR="009D76B7" w:rsidRDefault="009D76B7" w:rsidP="009D76B7">
      <w:pPr>
        <w:rPr>
          <w:rFonts w:cs="Arial"/>
        </w:rPr>
      </w:pPr>
      <w:r>
        <w:rPr>
          <w:rFonts w:cs="Arial"/>
        </w:rPr>
        <w:t xml:space="preserve">About one percent of </w:t>
      </w:r>
      <w:r w:rsidRPr="00744428">
        <w:rPr>
          <w:rFonts w:cs="Arial"/>
        </w:rPr>
        <w:t>participants with a positive iFOBT had CT colonography</w:t>
      </w:r>
      <w:r>
        <w:rPr>
          <w:rStyle w:val="FootnoteReference"/>
          <w:rFonts w:cs="Arial"/>
        </w:rPr>
        <w:footnoteReference w:id="30"/>
      </w:r>
      <w:r>
        <w:rPr>
          <w:rFonts w:cs="Arial"/>
          <w:vertAlign w:val="superscript"/>
        </w:rPr>
        <w:t>,</w:t>
      </w:r>
      <w:r>
        <w:rPr>
          <w:rStyle w:val="FootnoteReference"/>
          <w:rFonts w:cs="Arial"/>
        </w:rPr>
        <w:footnoteReference w:id="31"/>
      </w:r>
      <w:r>
        <w:rPr>
          <w:rFonts w:cs="Arial"/>
        </w:rPr>
        <w:t xml:space="preserve"> in both screening rounds.</w:t>
      </w:r>
    </w:p>
    <w:p w:rsidR="009D76B7" w:rsidRPr="00027003" w:rsidRDefault="00B83300" w:rsidP="009D76B7">
      <w:pPr>
        <w:pStyle w:val="Heading2"/>
        <w:spacing w:line="480" w:lineRule="auto"/>
        <w:rPr>
          <w:rFonts w:cs="Arial"/>
          <w:szCs w:val="24"/>
        </w:rPr>
      </w:pPr>
      <w:bookmarkStart w:id="119" w:name="_Toc446344786"/>
      <w:bookmarkStart w:id="120" w:name="_Toc457842121"/>
      <w:r>
        <w:rPr>
          <w:rFonts w:cs="Arial"/>
          <w:szCs w:val="24"/>
        </w:rPr>
        <w:t>3.4</w:t>
      </w:r>
      <w:r>
        <w:rPr>
          <w:rFonts w:cs="Arial"/>
          <w:szCs w:val="24"/>
        </w:rPr>
        <w:tab/>
      </w:r>
      <w:r w:rsidR="009D76B7" w:rsidRPr="00027003">
        <w:rPr>
          <w:rFonts w:cs="Arial"/>
          <w:szCs w:val="24"/>
        </w:rPr>
        <w:t>Outcomes</w:t>
      </w:r>
      <w:bookmarkEnd w:id="119"/>
      <w:bookmarkEnd w:id="120"/>
    </w:p>
    <w:p w:rsidR="009D76B7" w:rsidRDefault="009D76B7" w:rsidP="009D76B7">
      <w:pPr>
        <w:rPr>
          <w:rFonts w:cs="Arial"/>
        </w:rPr>
      </w:pPr>
      <w:r w:rsidRPr="00825A1F">
        <w:rPr>
          <w:rFonts w:cs="Arial"/>
        </w:rPr>
        <w:t xml:space="preserve">Figures </w:t>
      </w:r>
      <w:r w:rsidR="002B79DC">
        <w:rPr>
          <w:rFonts w:cs="Arial"/>
        </w:rPr>
        <w:t>2</w:t>
      </w:r>
      <w:r>
        <w:rPr>
          <w:rFonts w:cs="Arial"/>
        </w:rPr>
        <w:t xml:space="preserve">, </w:t>
      </w:r>
      <w:r w:rsidR="002B79DC">
        <w:rPr>
          <w:rFonts w:cs="Arial"/>
        </w:rPr>
        <w:t>3</w:t>
      </w:r>
      <w:r>
        <w:rPr>
          <w:rFonts w:cs="Arial"/>
        </w:rPr>
        <w:t xml:space="preserve"> and </w:t>
      </w:r>
      <w:r w:rsidR="002B79DC">
        <w:rPr>
          <w:rFonts w:cs="Arial"/>
        </w:rPr>
        <w:t>4</w:t>
      </w:r>
      <w:r>
        <w:rPr>
          <w:rFonts w:cs="Arial"/>
        </w:rPr>
        <w:t xml:space="preserve"> </w:t>
      </w:r>
      <w:r w:rsidRPr="00825A1F">
        <w:rPr>
          <w:rFonts w:cs="Arial"/>
        </w:rPr>
        <w:t xml:space="preserve">summarise the key findings for </w:t>
      </w:r>
      <w:r>
        <w:rPr>
          <w:rFonts w:cs="Arial"/>
        </w:rPr>
        <w:t xml:space="preserve">a) </w:t>
      </w:r>
      <w:r w:rsidRPr="00825A1F">
        <w:rPr>
          <w:rFonts w:cs="Arial"/>
        </w:rPr>
        <w:t xml:space="preserve">Round 1, </w:t>
      </w:r>
      <w:r>
        <w:rPr>
          <w:rFonts w:cs="Arial"/>
        </w:rPr>
        <w:t xml:space="preserve">b) </w:t>
      </w:r>
      <w:r w:rsidRPr="00825A1F">
        <w:rPr>
          <w:rFonts w:cs="Arial"/>
        </w:rPr>
        <w:t>Round 2</w:t>
      </w:r>
      <w:r>
        <w:rPr>
          <w:rFonts w:cs="Arial"/>
        </w:rPr>
        <w:t>,</w:t>
      </w:r>
      <w:r w:rsidRPr="00825A1F">
        <w:rPr>
          <w:rFonts w:cs="Arial"/>
        </w:rPr>
        <w:t xml:space="preserve"> and </w:t>
      </w:r>
      <w:r>
        <w:rPr>
          <w:rFonts w:cs="Arial"/>
        </w:rPr>
        <w:t xml:space="preserve">c) </w:t>
      </w:r>
      <w:r w:rsidRPr="00825A1F">
        <w:rPr>
          <w:rFonts w:cs="Arial"/>
        </w:rPr>
        <w:t>Round 2</w:t>
      </w:r>
      <w:r>
        <w:rPr>
          <w:rFonts w:cs="Arial"/>
        </w:rPr>
        <w:t xml:space="preserve"> in those who c</w:t>
      </w:r>
      <w:r w:rsidRPr="00825A1F">
        <w:rPr>
          <w:rFonts w:cs="Arial"/>
        </w:rPr>
        <w:t xml:space="preserve">ompleted Round 1 </w:t>
      </w:r>
      <w:r>
        <w:rPr>
          <w:rFonts w:cs="Arial"/>
        </w:rPr>
        <w:t xml:space="preserve">and had a </w:t>
      </w:r>
      <w:r w:rsidRPr="00825A1F">
        <w:rPr>
          <w:rFonts w:cs="Arial"/>
        </w:rPr>
        <w:t xml:space="preserve">negative iFOBT </w:t>
      </w:r>
      <w:r>
        <w:rPr>
          <w:rFonts w:cs="Arial"/>
        </w:rPr>
        <w:t xml:space="preserve">among </w:t>
      </w:r>
      <w:r w:rsidRPr="00825A1F">
        <w:rPr>
          <w:rFonts w:cs="Arial"/>
        </w:rPr>
        <w:t>those participants who had a positive iFOBT, a completed colonoscopy and histopathology results</w:t>
      </w:r>
      <w:r>
        <w:rPr>
          <w:rFonts w:cs="Arial"/>
        </w:rPr>
        <w:t>.</w:t>
      </w:r>
      <w:r w:rsidRPr="00825A1F">
        <w:rPr>
          <w:rFonts w:cs="Arial"/>
        </w:rPr>
        <w:t xml:space="preserve"> </w:t>
      </w:r>
    </w:p>
    <w:p w:rsidR="006E7917" w:rsidRDefault="006E7917" w:rsidP="00EE465A">
      <w:pPr>
        <w:pStyle w:val="Heading3"/>
        <w:rPr>
          <w:rStyle w:val="Heading2Char"/>
          <w:b/>
          <w:i w:val="0"/>
        </w:rPr>
        <w:sectPr w:rsidR="006E7917">
          <w:headerReference w:type="even" r:id="rId20"/>
          <w:headerReference w:type="default" r:id="rId21"/>
          <w:footerReference w:type="even" r:id="rId22"/>
          <w:footerReference w:type="default" r:id="rId23"/>
          <w:headerReference w:type="first" r:id="rId24"/>
          <w:pgSz w:w="11909" w:h="16834" w:code="9"/>
          <w:pgMar w:top="1701" w:right="1134" w:bottom="1701" w:left="1134" w:header="567" w:footer="567" w:gutter="0"/>
          <w:pgNumType w:start="1"/>
          <w:cols w:space="720"/>
        </w:sectPr>
      </w:pPr>
      <w:bookmarkStart w:id="121" w:name="_Toc446344787"/>
      <w:bookmarkStart w:id="122" w:name="_Toc448763622"/>
    </w:p>
    <w:p w:rsidR="00B83300" w:rsidRDefault="00B83300" w:rsidP="00B83300">
      <w:pPr>
        <w:pStyle w:val="Figure"/>
      </w:pPr>
      <w:r>
        <w:t>Figure</w:t>
      </w:r>
      <w:r w:rsidR="002B79DC">
        <w:t xml:space="preserve"> 2</w:t>
      </w:r>
      <w:r>
        <w:t>: Summary of BSP outcomes – Round 1</w:t>
      </w:r>
    </w:p>
    <w:p w:rsidR="00147DCD" w:rsidRPr="00147DCD" w:rsidRDefault="00565301" w:rsidP="00147DCD">
      <w:pPr>
        <w:spacing w:before="0" w:after="200" w:line="276" w:lineRule="auto"/>
        <w:ind w:left="0"/>
        <w:rPr>
          <w:rFonts w:eastAsiaTheme="minorHAnsi" w:cs="Arial"/>
          <w:sz w:val="26"/>
          <w:szCs w:val="26"/>
          <w:lang w:val="en-US" w:eastAsia="en-US"/>
        </w:rPr>
      </w:pPr>
      <w:r>
        <w:rPr>
          <w:rFonts w:asciiTheme="minorHAnsi" w:eastAsiaTheme="minorHAnsi" w:hAnsiTheme="minorHAnsi" w:cs="Arial"/>
          <w:noProof/>
          <w:sz w:val="26"/>
          <w:szCs w:val="26"/>
          <w:lang w:eastAsia="en-NZ"/>
        </w:rPr>
        <mc:AlternateContent>
          <mc:Choice Requires="wps">
            <w:drawing>
              <wp:anchor distT="0" distB="0" distL="114300" distR="114300" simplePos="0" relativeHeight="251676672" behindDoc="0" locked="0" layoutInCell="1" allowOverlap="1" wp14:anchorId="64674531">
                <wp:simplePos x="0" y="0"/>
                <wp:positionH relativeFrom="column">
                  <wp:posOffset>1944370</wp:posOffset>
                </wp:positionH>
                <wp:positionV relativeFrom="paragraph">
                  <wp:posOffset>45085</wp:posOffset>
                </wp:positionV>
                <wp:extent cx="1799590" cy="539750"/>
                <wp:effectExtent l="0" t="0" r="10160" b="12700"/>
                <wp:wrapNone/>
                <wp:docPr id="91" name="Rounded 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539750"/>
                        </a:xfrm>
                        <a:prstGeom prst="roundRect">
                          <a:avLst/>
                        </a:prstGeom>
                        <a:solidFill>
                          <a:sysClr val="window" lastClr="FFFFFF"/>
                        </a:solidFill>
                        <a:ln w="25400" cap="flat" cmpd="sng" algn="ctr">
                          <a:solidFill>
                            <a:sysClr val="windowText" lastClr="000000">
                              <a:lumMod val="50000"/>
                              <a:lumOff val="50000"/>
                            </a:sysClr>
                          </a:solidFill>
                          <a:prstDash val="solid"/>
                        </a:ln>
                        <a:effectLst/>
                      </wps:spPr>
                      <wps:txbx>
                        <w:txbxContent>
                          <w:p w:rsidR="00371B10" w:rsidRPr="00147DCD" w:rsidRDefault="00371B10" w:rsidP="00147DCD">
                            <w:pPr>
                              <w:spacing w:before="0" w:after="200" w:line="276" w:lineRule="auto"/>
                              <w:ind w:left="0"/>
                              <w:jc w:val="center"/>
                              <w:rPr>
                                <w:rFonts w:eastAsiaTheme="minorHAnsi" w:cs="Arial"/>
                                <w:sz w:val="28"/>
                                <w:szCs w:val="28"/>
                                <w:lang w:eastAsia="en-US"/>
                              </w:rPr>
                            </w:pPr>
                            <w:r w:rsidRPr="00147DCD">
                              <w:rPr>
                                <w:rFonts w:eastAsiaTheme="minorHAnsi" w:cs="Arial"/>
                                <w:b/>
                                <w:sz w:val="28"/>
                                <w:szCs w:val="28"/>
                                <w:lang w:eastAsia="en-US"/>
                              </w:rPr>
                              <w:t>Invited</w:t>
                            </w:r>
                            <w:r w:rsidRPr="00147DCD">
                              <w:rPr>
                                <w:rFonts w:eastAsiaTheme="minorHAnsi" w:cs="Arial"/>
                                <w:b/>
                                <w:sz w:val="28"/>
                                <w:szCs w:val="28"/>
                                <w:lang w:eastAsia="en-US"/>
                              </w:rPr>
                              <w:br/>
                            </w:r>
                            <w:r w:rsidRPr="00147DCD">
                              <w:rPr>
                                <w:rFonts w:eastAsiaTheme="minorHAnsi" w:cs="Arial"/>
                                <w:sz w:val="28"/>
                                <w:szCs w:val="28"/>
                                <w:lang w:eastAsia="en-US"/>
                              </w:rPr>
                              <w:t>n = 121,567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74531" id="Rounded Rectangle 91" o:spid="_x0000_s1029" style="position:absolute;margin-left:153.1pt;margin-top:3.55pt;width:141.7pt;height: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" fillcolor="window" strokecolor="#7f7f7f" strokeweight="2pt">
                <v:path arrowok="t"/>
                <v:textbox inset="0,0,0,0">
                  <w:txbxContent>
                    <w:p w:rsidR="00371B10" w:rsidRPr="00147DCD" w:rsidRDefault="00371B10" w:rsidP="00147DCD">
                      <w:pPr>
                        <w:spacing w:before="0" w:after="200" w:line="276" w:lineRule="auto"/>
                        <w:ind w:left="0"/>
                        <w:jc w:val="center"/>
                        <w:rPr>
                          <w:rFonts w:eastAsiaTheme="minorHAnsi" w:cs="Arial"/>
                          <w:sz w:val="28"/>
                          <w:szCs w:val="28"/>
                          <w:lang w:eastAsia="en-US"/>
                        </w:rPr>
                      </w:pPr>
                      <w:r w:rsidRPr="00147DCD">
                        <w:rPr>
                          <w:rFonts w:eastAsiaTheme="minorHAnsi" w:cs="Arial"/>
                          <w:b/>
                          <w:sz w:val="28"/>
                          <w:szCs w:val="28"/>
                          <w:lang w:eastAsia="en-US"/>
                        </w:rPr>
                        <w:t>Invited</w:t>
                      </w:r>
                      <w:r w:rsidRPr="00147DCD">
                        <w:rPr>
                          <w:rFonts w:eastAsiaTheme="minorHAnsi" w:cs="Arial"/>
                          <w:b/>
                          <w:sz w:val="28"/>
                          <w:szCs w:val="28"/>
                          <w:lang w:eastAsia="en-US"/>
                        </w:rPr>
                        <w:br/>
                      </w:r>
                      <w:r w:rsidRPr="00147DCD">
                        <w:rPr>
                          <w:rFonts w:eastAsiaTheme="minorHAnsi" w:cs="Arial"/>
                          <w:sz w:val="28"/>
                          <w:szCs w:val="28"/>
                          <w:lang w:eastAsia="en-US"/>
                        </w:rPr>
                        <w:t>n = 121,567</w:t>
                      </w:r>
                    </w:p>
                  </w:txbxContent>
                </v:textbox>
              </v:roundrect>
            </w:pict>
          </mc:Fallback>
        </mc:AlternateContent>
      </w:r>
    </w:p>
    <w:p w:rsidR="00147DCD" w:rsidRPr="00147DCD" w:rsidRDefault="00565301" w:rsidP="00147DCD">
      <w:pPr>
        <w:spacing w:before="0" w:after="200" w:line="276" w:lineRule="auto"/>
        <w:ind w:left="0"/>
        <w:jc w:val="center"/>
        <w:rPr>
          <w:rFonts w:eastAsiaTheme="minorHAnsi" w:cs="Arial"/>
          <w:sz w:val="26"/>
          <w:szCs w:val="26"/>
          <w:lang w:val="en-US" w:eastAsia="en-US"/>
        </w:rPr>
      </w:pPr>
      <w:r>
        <w:rPr>
          <w:rFonts w:eastAsiaTheme="minorHAnsi" w:cs="Arial"/>
          <w:noProof/>
          <w:sz w:val="26"/>
          <w:szCs w:val="26"/>
          <w:lang w:eastAsia="en-NZ"/>
        </w:rPr>
        <mc:AlternateContent>
          <mc:Choice Requires="wps">
            <w:drawing>
              <wp:anchor distT="0" distB="0" distL="114300" distR="114300" simplePos="0" relativeHeight="251675648" behindDoc="0" locked="0" layoutInCell="1" allowOverlap="1" wp14:anchorId="54A2DC47">
                <wp:simplePos x="0" y="0"/>
                <wp:positionH relativeFrom="column">
                  <wp:posOffset>2838450</wp:posOffset>
                </wp:positionH>
                <wp:positionV relativeFrom="paragraph">
                  <wp:posOffset>256540</wp:posOffset>
                </wp:positionV>
                <wp:extent cx="0" cy="179705"/>
                <wp:effectExtent l="24765" t="27940" r="22860" b="49530"/>
                <wp:wrapNone/>
                <wp:docPr id="68"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38100">
                          <a:solidFill>
                            <a:srgbClr val="00BABF"/>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5DC34FC3" id="_x0000_t32" coordsize="21600,21600" o:spt="32" o:oned="t" path="m,l21600,21600e" filled="f">
                <v:path arrowok="t" fillok="f" o:connecttype="none"/>
                <o:lock v:ext="edit" shapetype="t"/>
              </v:shapetype>
              <v:shape id="Straight Arrow Connector 92" o:spid="_x0000_s1026" type="#_x0000_t32" style="position:absolute;margin-left:223.5pt;margin-top:20.2pt;width:0;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" strokecolor="#00babf" strokeweight="3pt">
                <v:shadow on="t" opacity="22936f" origin=",.5" offset="0,.63889mm"/>
              </v:shape>
            </w:pict>
          </mc:Fallback>
        </mc:AlternateContent>
      </w:r>
    </w:p>
    <w:p w:rsidR="00147DCD" w:rsidRPr="00147DCD" w:rsidRDefault="00565301" w:rsidP="00147DCD">
      <w:pPr>
        <w:spacing w:before="0" w:after="200" w:line="276" w:lineRule="auto"/>
        <w:ind w:left="0"/>
        <w:jc w:val="center"/>
        <w:rPr>
          <w:rFonts w:eastAsiaTheme="minorHAnsi" w:cs="Arial"/>
          <w:sz w:val="26"/>
          <w:szCs w:val="26"/>
          <w:lang w:val="en-US" w:eastAsia="en-US"/>
        </w:rPr>
      </w:pPr>
      <w:r>
        <w:rPr>
          <w:rFonts w:eastAsiaTheme="minorHAnsi" w:cs="Arial"/>
          <w:noProof/>
          <w:sz w:val="26"/>
          <w:szCs w:val="26"/>
          <w:lang w:eastAsia="en-NZ"/>
        </w:rPr>
        <mc:AlternateContent>
          <mc:Choice Requires="wps">
            <w:drawing>
              <wp:anchor distT="0" distB="0" distL="114300" distR="114300" simplePos="0" relativeHeight="251677696" behindDoc="0" locked="0" layoutInCell="1" allowOverlap="1" wp14:anchorId="618E7B10">
                <wp:simplePos x="0" y="0"/>
                <wp:positionH relativeFrom="column">
                  <wp:posOffset>1944370</wp:posOffset>
                </wp:positionH>
                <wp:positionV relativeFrom="paragraph">
                  <wp:posOffset>99060</wp:posOffset>
                </wp:positionV>
                <wp:extent cx="1799590" cy="647700"/>
                <wp:effectExtent l="0" t="0" r="10160" b="19050"/>
                <wp:wrapNone/>
                <wp:docPr id="93" name="Rounded 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647700"/>
                        </a:xfrm>
                        <a:prstGeom prst="roundRect">
                          <a:avLst/>
                        </a:prstGeom>
                        <a:solidFill>
                          <a:sysClr val="window" lastClr="FFFFFF"/>
                        </a:solidFill>
                        <a:ln w="25400" cap="flat" cmpd="sng" algn="ctr">
                          <a:solidFill>
                            <a:sysClr val="windowText" lastClr="000000">
                              <a:lumMod val="50000"/>
                              <a:lumOff val="50000"/>
                            </a:sysClr>
                          </a:solidFill>
                          <a:prstDash val="solid"/>
                        </a:ln>
                        <a:effectLst/>
                      </wps:spPr>
                      <wps:txbx>
                        <w:txbxContent>
                          <w:p w:rsidR="00371B10" w:rsidRPr="00C773C4" w:rsidRDefault="00371B10" w:rsidP="00147DCD">
                            <w:pPr>
                              <w:spacing w:before="0"/>
                              <w:ind w:left="0"/>
                              <w:jc w:val="center"/>
                              <w:rPr>
                                <w:rFonts w:cs="Arial"/>
                                <w:sz w:val="28"/>
                                <w:szCs w:val="28"/>
                              </w:rPr>
                            </w:pPr>
                            <w:r w:rsidRPr="00147DCD">
                              <w:rPr>
                                <w:rFonts w:eastAsiaTheme="minorHAnsi" w:cs="Arial"/>
                                <w:b/>
                                <w:sz w:val="28"/>
                                <w:szCs w:val="28"/>
                                <w:lang w:eastAsia="en-US"/>
                              </w:rPr>
                              <w:t>Completed kit</w:t>
                            </w:r>
                            <w:r w:rsidRPr="00147DCD">
                              <w:rPr>
                                <w:rFonts w:eastAsiaTheme="minorHAnsi" w:cs="Arial"/>
                                <w:b/>
                                <w:sz w:val="28"/>
                                <w:szCs w:val="28"/>
                                <w:lang w:eastAsia="en-US"/>
                              </w:rPr>
                              <w:br/>
                            </w:r>
                            <w:r w:rsidRPr="00147DCD">
                              <w:rPr>
                                <w:rFonts w:eastAsiaTheme="minorHAnsi" w:cs="Arial"/>
                                <w:sz w:val="28"/>
                                <w:szCs w:val="28"/>
                                <w:lang w:eastAsia="en-US"/>
                              </w:rPr>
                              <w:t>n = 69,229</w:t>
                            </w:r>
                            <w:r w:rsidRPr="00147DCD">
                              <w:rPr>
                                <w:rFonts w:cs="Arial"/>
                                <w:sz w:val="28"/>
                                <w:szCs w:val="28"/>
                              </w:rPr>
                              <w:t xml:space="preserve"> (56</w:t>
                            </w:r>
                            <w:r w:rsidRPr="00C773C4">
                              <w:rPr>
                                <w:rFonts w:cs="Arial"/>
                                <w:sz w:val="28"/>
                                <w:szCs w:val="28"/>
                              </w:rPr>
                              <w:t>.</w:t>
                            </w:r>
                            <w:r>
                              <w:rPr>
                                <w:rFonts w:cs="Arial"/>
                                <w:sz w:val="28"/>
                                <w:szCs w:val="28"/>
                              </w:rPr>
                              <w:t>9</w:t>
                            </w:r>
                            <w:r w:rsidRPr="00C773C4">
                              <w:rPr>
                                <w:rFonts w:cs="Arial"/>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8E7B10" id="Rounded Rectangle 93" o:spid="_x0000_s1030" style="position:absolute;left:0;text-align:left;margin-left:153.1pt;margin-top:7.8pt;width:141.7pt;height: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" fillcolor="window" strokecolor="#7f7f7f" strokeweight="2pt">
                <v:path arrowok="t"/>
                <v:textbox inset="0,0,0,0">
                  <w:txbxContent>
                    <w:p w:rsidR="00371B10" w:rsidRPr="00C773C4" w:rsidRDefault="00371B10" w:rsidP="00147DCD">
                      <w:pPr>
                        <w:spacing w:before="0"/>
                        <w:ind w:left="0"/>
                        <w:jc w:val="center"/>
                        <w:rPr>
                          <w:rFonts w:cs="Arial"/>
                          <w:sz w:val="28"/>
                          <w:szCs w:val="28"/>
                        </w:rPr>
                      </w:pPr>
                      <w:r w:rsidRPr="00147DCD">
                        <w:rPr>
                          <w:rFonts w:eastAsiaTheme="minorHAnsi" w:cs="Arial"/>
                          <w:b/>
                          <w:sz w:val="28"/>
                          <w:szCs w:val="28"/>
                          <w:lang w:eastAsia="en-US"/>
                        </w:rPr>
                        <w:t>Completed kit</w:t>
                      </w:r>
                      <w:r w:rsidRPr="00147DCD">
                        <w:rPr>
                          <w:rFonts w:eastAsiaTheme="minorHAnsi" w:cs="Arial"/>
                          <w:b/>
                          <w:sz w:val="28"/>
                          <w:szCs w:val="28"/>
                          <w:lang w:eastAsia="en-US"/>
                        </w:rPr>
                        <w:br/>
                      </w:r>
                      <w:r w:rsidRPr="00147DCD">
                        <w:rPr>
                          <w:rFonts w:eastAsiaTheme="minorHAnsi" w:cs="Arial"/>
                          <w:sz w:val="28"/>
                          <w:szCs w:val="28"/>
                          <w:lang w:eastAsia="en-US"/>
                        </w:rPr>
                        <w:t>n = 69,229</w:t>
                      </w:r>
                      <w:r w:rsidRPr="00147DCD">
                        <w:rPr>
                          <w:rFonts w:cs="Arial"/>
                          <w:sz w:val="28"/>
                          <w:szCs w:val="28"/>
                        </w:rPr>
                        <w:t xml:space="preserve"> (56</w:t>
                      </w:r>
                      <w:r w:rsidRPr="00C773C4">
                        <w:rPr>
                          <w:rFonts w:cs="Arial"/>
                          <w:sz w:val="28"/>
                          <w:szCs w:val="28"/>
                        </w:rPr>
                        <w:t>.</w:t>
                      </w:r>
                      <w:r>
                        <w:rPr>
                          <w:rFonts w:cs="Arial"/>
                          <w:sz w:val="28"/>
                          <w:szCs w:val="28"/>
                        </w:rPr>
                        <w:t>9</w:t>
                      </w:r>
                      <w:r w:rsidRPr="00C773C4">
                        <w:rPr>
                          <w:rFonts w:cs="Arial"/>
                          <w:sz w:val="28"/>
                          <w:szCs w:val="28"/>
                        </w:rPr>
                        <w:t>%)</w:t>
                      </w:r>
                    </w:p>
                  </w:txbxContent>
                </v:textbox>
              </v:roundrect>
            </w:pict>
          </mc:Fallback>
        </mc:AlternateContent>
      </w:r>
    </w:p>
    <w:p w:rsidR="00147DCD" w:rsidRPr="00147DCD" w:rsidRDefault="00147DCD" w:rsidP="00147DCD">
      <w:pPr>
        <w:spacing w:before="0" w:after="200" w:line="276" w:lineRule="auto"/>
        <w:ind w:left="0"/>
        <w:jc w:val="center"/>
        <w:rPr>
          <w:rFonts w:eastAsiaTheme="minorHAnsi" w:cs="Arial"/>
          <w:sz w:val="26"/>
          <w:szCs w:val="26"/>
          <w:lang w:val="en-US" w:eastAsia="en-US"/>
        </w:rPr>
      </w:pPr>
    </w:p>
    <w:p w:rsidR="00147DCD" w:rsidRPr="00147DCD" w:rsidRDefault="00565301" w:rsidP="00147DCD">
      <w:pPr>
        <w:spacing w:before="0" w:after="200" w:line="276" w:lineRule="auto"/>
        <w:ind w:left="0"/>
        <w:jc w:val="center"/>
        <w:rPr>
          <w:rFonts w:eastAsiaTheme="minorHAnsi" w:cs="Arial"/>
          <w:sz w:val="26"/>
          <w:szCs w:val="26"/>
          <w:lang w:val="en-US" w:eastAsia="en-US"/>
        </w:rPr>
      </w:pPr>
      <w:r>
        <w:rPr>
          <w:rFonts w:eastAsiaTheme="minorHAnsi" w:cs="Arial"/>
          <w:noProof/>
          <w:sz w:val="26"/>
          <w:szCs w:val="26"/>
          <w:lang w:eastAsia="en-NZ"/>
        </w:rPr>
        <mc:AlternateContent>
          <mc:Choice Requires="wps">
            <w:drawing>
              <wp:anchor distT="0" distB="0" distL="114300" distR="114300" simplePos="0" relativeHeight="251678720" behindDoc="0" locked="0" layoutInCell="1" allowOverlap="1" wp14:anchorId="26736AC8">
                <wp:simplePos x="0" y="0"/>
                <wp:positionH relativeFrom="column">
                  <wp:posOffset>1944370</wp:posOffset>
                </wp:positionH>
                <wp:positionV relativeFrom="paragraph">
                  <wp:posOffset>236855</wp:posOffset>
                </wp:positionV>
                <wp:extent cx="1799590" cy="647700"/>
                <wp:effectExtent l="0" t="0" r="10160" b="19050"/>
                <wp:wrapNone/>
                <wp:docPr id="94" name="Rounded 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647700"/>
                        </a:xfrm>
                        <a:prstGeom prst="roundRect">
                          <a:avLst/>
                        </a:prstGeom>
                        <a:solidFill>
                          <a:sysClr val="window" lastClr="FFFFFF"/>
                        </a:solidFill>
                        <a:ln w="25400" cap="flat" cmpd="sng" algn="ctr">
                          <a:solidFill>
                            <a:sysClr val="windowText" lastClr="000000"/>
                          </a:solidFill>
                          <a:prstDash val="solid"/>
                        </a:ln>
                        <a:effectLst/>
                      </wps:spPr>
                      <wps:txbx>
                        <w:txbxContent>
                          <w:p w:rsidR="00371B10" w:rsidRPr="00C773C4" w:rsidRDefault="00371B10" w:rsidP="00147DCD">
                            <w:pPr>
                              <w:spacing w:before="0"/>
                              <w:ind w:left="0"/>
                              <w:jc w:val="center"/>
                              <w:rPr>
                                <w:rFonts w:cs="Arial"/>
                                <w:sz w:val="28"/>
                                <w:szCs w:val="28"/>
                              </w:rPr>
                            </w:pPr>
                            <w:r w:rsidRPr="00C773C4">
                              <w:rPr>
                                <w:rFonts w:cs="Arial"/>
                                <w:b/>
                                <w:sz w:val="28"/>
                                <w:szCs w:val="28"/>
                              </w:rPr>
                              <w:t>Positivity</w:t>
                            </w:r>
                            <w:r w:rsidRPr="00C773C4">
                              <w:rPr>
                                <w:rFonts w:cs="Arial"/>
                                <w:b/>
                                <w:sz w:val="28"/>
                                <w:szCs w:val="28"/>
                              </w:rPr>
                              <w:br/>
                            </w:r>
                            <w:r w:rsidRPr="00C773C4">
                              <w:rPr>
                                <w:rFonts w:cs="Arial"/>
                                <w:sz w:val="28"/>
                                <w:szCs w:val="28"/>
                              </w:rPr>
                              <w:t xml:space="preserve">n = </w:t>
                            </w:r>
                            <w:r>
                              <w:rPr>
                                <w:rFonts w:cs="Arial"/>
                                <w:sz w:val="28"/>
                                <w:szCs w:val="28"/>
                              </w:rPr>
                              <w:t>5,212</w:t>
                            </w:r>
                            <w:r w:rsidRPr="00C773C4">
                              <w:rPr>
                                <w:rFonts w:cs="Arial"/>
                                <w:sz w:val="28"/>
                                <w:szCs w:val="28"/>
                              </w:rPr>
                              <w:t xml:space="preserve"> (7.</w:t>
                            </w:r>
                            <w:r>
                              <w:rPr>
                                <w:rFonts w:cs="Arial"/>
                                <w:sz w:val="28"/>
                                <w:szCs w:val="28"/>
                              </w:rPr>
                              <w:t>5</w:t>
                            </w:r>
                            <w:r w:rsidRPr="00C773C4">
                              <w:rPr>
                                <w:rFonts w:cs="Arial"/>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736AC8" id="Rounded Rectangle 94" o:spid="_x0000_s1031" style="position:absolute;left:0;text-align:left;margin-left:153.1pt;margin-top:18.65pt;width:141.7pt;height: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" fillcolor="window" strokecolor="windowText"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Positivity</w:t>
                      </w:r>
                      <w:r w:rsidRPr="00C773C4">
                        <w:rPr>
                          <w:rFonts w:cs="Arial"/>
                          <w:b/>
                          <w:sz w:val="28"/>
                          <w:szCs w:val="28"/>
                        </w:rPr>
                        <w:br/>
                      </w:r>
                      <w:r w:rsidRPr="00C773C4">
                        <w:rPr>
                          <w:rFonts w:cs="Arial"/>
                          <w:sz w:val="28"/>
                          <w:szCs w:val="28"/>
                        </w:rPr>
                        <w:t xml:space="preserve">n = </w:t>
                      </w:r>
                      <w:r>
                        <w:rPr>
                          <w:rFonts w:cs="Arial"/>
                          <w:sz w:val="28"/>
                          <w:szCs w:val="28"/>
                        </w:rPr>
                        <w:t>5,212</w:t>
                      </w:r>
                      <w:r w:rsidRPr="00C773C4">
                        <w:rPr>
                          <w:rFonts w:cs="Arial"/>
                          <w:sz w:val="28"/>
                          <w:szCs w:val="28"/>
                        </w:rPr>
                        <w:t xml:space="preserve"> (7.</w:t>
                      </w:r>
                      <w:r>
                        <w:rPr>
                          <w:rFonts w:cs="Arial"/>
                          <w:sz w:val="28"/>
                          <w:szCs w:val="28"/>
                        </w:rPr>
                        <w:t>5</w:t>
                      </w:r>
                      <w:r w:rsidRPr="00C773C4">
                        <w:rPr>
                          <w:rFonts w:cs="Arial"/>
                          <w:sz w:val="28"/>
                          <w:szCs w:val="28"/>
                        </w:rPr>
                        <w:t>%)</w:t>
                      </w:r>
                    </w:p>
                  </w:txbxContent>
                </v:textbox>
              </v:roundrect>
            </w:pict>
          </mc:Fallback>
        </mc:AlternateContent>
      </w:r>
      <w:r>
        <w:rPr>
          <w:rFonts w:eastAsiaTheme="minorHAnsi" w:cs="Arial"/>
          <w:noProof/>
          <w:sz w:val="26"/>
          <w:szCs w:val="26"/>
          <w:lang w:eastAsia="en-NZ"/>
        </w:rPr>
        <mc:AlternateContent>
          <mc:Choice Requires="wps">
            <w:drawing>
              <wp:anchor distT="0" distB="0" distL="114300" distR="114300" simplePos="0" relativeHeight="251674624" behindDoc="0" locked="0" layoutInCell="1" allowOverlap="1" wp14:anchorId="4FC608CD">
                <wp:simplePos x="0" y="0"/>
                <wp:positionH relativeFrom="column">
                  <wp:posOffset>2837180</wp:posOffset>
                </wp:positionH>
                <wp:positionV relativeFrom="paragraph">
                  <wp:posOffset>48895</wp:posOffset>
                </wp:positionV>
                <wp:extent cx="0" cy="179705"/>
                <wp:effectExtent l="23495" t="27305" r="24130" b="50165"/>
                <wp:wrapNone/>
                <wp:docPr id="6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38100">
                          <a:solidFill>
                            <a:srgbClr val="00BABF"/>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5A2C8347" id="Straight Arrow Connector 1" o:spid="_x0000_s1026" type="#_x0000_t32" style="position:absolute;margin-left:223.4pt;margin-top:3.85pt;width:0;height:1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" strokecolor="#00babf" strokeweight="3pt">
                <v:shadow on="t" opacity="22936f" origin=",.5" offset="0,.63889mm"/>
              </v:shape>
            </w:pict>
          </mc:Fallback>
        </mc:AlternateContent>
      </w:r>
    </w:p>
    <w:p w:rsidR="00147DCD" w:rsidRPr="00147DCD" w:rsidRDefault="00147DCD" w:rsidP="00147DCD">
      <w:pPr>
        <w:spacing w:before="0" w:after="200" w:line="276" w:lineRule="auto"/>
        <w:ind w:left="0"/>
        <w:jc w:val="center"/>
        <w:rPr>
          <w:rFonts w:eastAsiaTheme="minorHAnsi" w:cs="Arial"/>
          <w:sz w:val="26"/>
          <w:szCs w:val="26"/>
          <w:lang w:val="en-US" w:eastAsia="en-US"/>
        </w:rPr>
      </w:pPr>
    </w:p>
    <w:p w:rsidR="00147DCD" w:rsidRPr="00147DCD" w:rsidRDefault="00565301" w:rsidP="00147DCD">
      <w:pPr>
        <w:spacing w:before="0" w:after="200" w:line="276" w:lineRule="auto"/>
        <w:ind w:left="0"/>
        <w:jc w:val="center"/>
        <w:rPr>
          <w:rFonts w:eastAsiaTheme="minorHAnsi" w:cs="Arial"/>
          <w:sz w:val="26"/>
          <w:szCs w:val="26"/>
          <w:lang w:val="en-US" w:eastAsia="en-US"/>
        </w:rPr>
      </w:pPr>
      <w:r>
        <w:rPr>
          <w:rFonts w:eastAsiaTheme="minorHAnsi" w:cs="Arial"/>
          <w:noProof/>
          <w:sz w:val="26"/>
          <w:szCs w:val="26"/>
          <w:lang w:eastAsia="en-NZ"/>
        </w:rPr>
        <mc:AlternateContent>
          <mc:Choice Requires="wps">
            <w:drawing>
              <wp:anchor distT="0" distB="0" distL="114300" distR="114300" simplePos="0" relativeHeight="251668480" behindDoc="0" locked="0" layoutInCell="1" allowOverlap="1" wp14:anchorId="575C1B67">
                <wp:simplePos x="0" y="0"/>
                <wp:positionH relativeFrom="column">
                  <wp:posOffset>2838450</wp:posOffset>
                </wp:positionH>
                <wp:positionV relativeFrom="paragraph">
                  <wp:posOffset>200660</wp:posOffset>
                </wp:positionV>
                <wp:extent cx="981075" cy="180975"/>
                <wp:effectExtent l="24765" t="22225" r="22860" b="44450"/>
                <wp:wrapNone/>
                <wp:docPr id="64"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180975"/>
                        </a:xfrm>
                        <a:prstGeom prst="straightConnector1">
                          <a:avLst/>
                        </a:prstGeom>
                        <a:noFill/>
                        <a:ln w="38100">
                          <a:solidFill>
                            <a:srgbClr val="00BABF"/>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37BAC4" id="Straight Arrow Connector 26" o:spid="_x0000_s1026" type="#_x0000_t32" style="position:absolute;margin-left:223.5pt;margin-top:15.8pt;width:77.2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" strokecolor="#00babf" strokeweight="3pt">
                <v:shadow on="t" opacity="22936f" origin=",.5" offset="0,.63889mm"/>
              </v:shape>
            </w:pict>
          </mc:Fallback>
        </mc:AlternateContent>
      </w:r>
      <w:r>
        <w:rPr>
          <w:rFonts w:eastAsiaTheme="minorHAnsi" w:cs="Arial"/>
          <w:noProof/>
          <w:sz w:val="26"/>
          <w:szCs w:val="26"/>
          <w:lang w:eastAsia="en-NZ"/>
        </w:rPr>
        <mc:AlternateContent>
          <mc:Choice Requires="wps">
            <w:drawing>
              <wp:anchor distT="0" distB="0" distL="114300" distR="114300" simplePos="0" relativeHeight="251667456" behindDoc="0" locked="0" layoutInCell="1" allowOverlap="1" wp14:anchorId="63063290">
                <wp:simplePos x="0" y="0"/>
                <wp:positionH relativeFrom="column">
                  <wp:posOffset>1857375</wp:posOffset>
                </wp:positionH>
                <wp:positionV relativeFrom="paragraph">
                  <wp:posOffset>200660</wp:posOffset>
                </wp:positionV>
                <wp:extent cx="981075" cy="180975"/>
                <wp:effectExtent l="24765" t="22225" r="22860" b="44450"/>
                <wp:wrapNone/>
                <wp:docPr id="63"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180975"/>
                        </a:xfrm>
                        <a:prstGeom prst="straightConnector1">
                          <a:avLst/>
                        </a:prstGeom>
                        <a:noFill/>
                        <a:ln w="38100">
                          <a:solidFill>
                            <a:srgbClr val="00BABF"/>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B22179A" id="Straight Arrow Connector 95" o:spid="_x0000_s1026" type="#_x0000_t32" style="position:absolute;margin-left:146.25pt;margin-top:15.8pt;width:77.25pt;height:14.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" strokecolor="#00babf" strokeweight="3pt">
                <v:shadow on="t" opacity="22936f" origin=",.5" offset="0,.63889mm"/>
              </v:shape>
            </w:pict>
          </mc:Fallback>
        </mc:AlternateContent>
      </w:r>
    </w:p>
    <w:p w:rsidR="00147DCD" w:rsidRPr="00147DCD" w:rsidRDefault="00565301" w:rsidP="00147DCD">
      <w:pPr>
        <w:spacing w:before="0" w:after="200" w:line="276" w:lineRule="auto"/>
        <w:ind w:left="0"/>
        <w:jc w:val="center"/>
        <w:rPr>
          <w:rFonts w:eastAsiaTheme="minorHAnsi" w:cs="Arial"/>
          <w:sz w:val="26"/>
          <w:szCs w:val="26"/>
          <w:lang w:val="en-US" w:eastAsia="en-US"/>
        </w:rPr>
      </w:pPr>
      <w:r>
        <w:rPr>
          <w:rFonts w:eastAsiaTheme="minorHAnsi" w:cs="Arial"/>
          <w:noProof/>
          <w:sz w:val="26"/>
          <w:szCs w:val="26"/>
          <w:lang w:eastAsia="en-NZ"/>
        </w:rPr>
        <mc:AlternateContent>
          <mc:Choice Requires="wps">
            <w:drawing>
              <wp:anchor distT="0" distB="0" distL="114300" distR="114300" simplePos="0" relativeHeight="251691008" behindDoc="0" locked="0" layoutInCell="1" allowOverlap="1" wp14:anchorId="6DDD3DF6">
                <wp:simplePos x="0" y="0"/>
                <wp:positionH relativeFrom="column">
                  <wp:posOffset>2916555</wp:posOffset>
                </wp:positionH>
                <wp:positionV relativeFrom="paragraph">
                  <wp:posOffset>30480</wp:posOffset>
                </wp:positionV>
                <wp:extent cx="1799590" cy="647700"/>
                <wp:effectExtent l="0" t="0" r="10160" b="19050"/>
                <wp:wrapNone/>
                <wp:docPr id="96" name="Rounded 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647700"/>
                        </a:xfrm>
                        <a:prstGeom prst="roundRect">
                          <a:avLst/>
                        </a:prstGeom>
                        <a:solidFill>
                          <a:sysClr val="window" lastClr="FFFFFF"/>
                        </a:solidFill>
                        <a:ln w="25400" cap="flat" cmpd="sng" algn="ctr">
                          <a:solidFill>
                            <a:sysClr val="windowText" lastClr="000000">
                              <a:lumMod val="50000"/>
                              <a:lumOff val="50000"/>
                            </a:sysClr>
                          </a:solidFill>
                          <a:prstDash val="solid"/>
                        </a:ln>
                        <a:effectLst/>
                      </wps:spPr>
                      <wps:txbx>
                        <w:txbxContent>
                          <w:p w:rsidR="00371B10" w:rsidRPr="00C773C4" w:rsidRDefault="00371B10" w:rsidP="00147DCD">
                            <w:pPr>
                              <w:spacing w:before="0"/>
                              <w:ind w:left="0"/>
                              <w:jc w:val="center"/>
                              <w:rPr>
                                <w:rFonts w:cs="Arial"/>
                                <w:sz w:val="28"/>
                                <w:szCs w:val="28"/>
                              </w:rPr>
                            </w:pPr>
                            <w:r w:rsidRPr="00C773C4">
                              <w:rPr>
                                <w:rFonts w:cs="Arial"/>
                                <w:b/>
                                <w:sz w:val="28"/>
                                <w:szCs w:val="28"/>
                              </w:rPr>
                              <w:t>Colono</w:t>
                            </w:r>
                            <w:r>
                              <w:rPr>
                                <w:rFonts w:cs="Arial"/>
                                <w:b/>
                                <w:sz w:val="28"/>
                                <w:szCs w:val="28"/>
                              </w:rPr>
                              <w:t>gra</w:t>
                            </w:r>
                            <w:r w:rsidRPr="00C773C4">
                              <w:rPr>
                                <w:rFonts w:cs="Arial"/>
                                <w:b/>
                                <w:sz w:val="28"/>
                                <w:szCs w:val="28"/>
                              </w:rPr>
                              <w:t>p</w:t>
                            </w:r>
                            <w:r>
                              <w:rPr>
                                <w:rFonts w:cs="Arial"/>
                                <w:b/>
                                <w:sz w:val="28"/>
                                <w:szCs w:val="28"/>
                              </w:rPr>
                              <w:t>h</w:t>
                            </w:r>
                            <w:r w:rsidRPr="00C773C4">
                              <w:rPr>
                                <w:rFonts w:cs="Arial"/>
                                <w:b/>
                                <w:sz w:val="28"/>
                                <w:szCs w:val="28"/>
                              </w:rPr>
                              <w:t>y</w:t>
                            </w:r>
                            <w:r w:rsidRPr="00D345B2">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56</w:t>
                            </w:r>
                            <w:r w:rsidRPr="00C773C4">
                              <w:rPr>
                                <w:rFonts w:cs="Arial"/>
                                <w:sz w:val="28"/>
                                <w:szCs w:val="28"/>
                              </w:rPr>
                              <w:t xml:space="preserve"> (</w:t>
                            </w:r>
                            <w:r>
                              <w:rPr>
                                <w:rFonts w:cs="Arial"/>
                                <w:sz w:val="28"/>
                                <w:szCs w:val="28"/>
                              </w:rPr>
                              <w:t>1</w:t>
                            </w:r>
                            <w:r w:rsidRPr="00C773C4">
                              <w:rPr>
                                <w:rFonts w:cs="Arial"/>
                                <w:sz w:val="28"/>
                                <w:szCs w:val="28"/>
                              </w:rPr>
                              <w:t>.</w:t>
                            </w:r>
                            <w:r>
                              <w:rPr>
                                <w:rFonts w:cs="Arial"/>
                                <w:sz w:val="28"/>
                                <w:szCs w:val="28"/>
                              </w:rPr>
                              <w:t>1</w:t>
                            </w:r>
                            <w:r w:rsidRPr="00C773C4">
                              <w:rPr>
                                <w:rFonts w:cs="Arial"/>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DD3DF6" id="Rounded Rectangle 96" o:spid="_x0000_s1032" style="position:absolute;left:0;text-align:left;margin-left:229.65pt;margin-top:2.4pt;width:141.7pt;height:5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" fillcolor="window" strokecolor="#7f7f7f"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Colono</w:t>
                      </w:r>
                      <w:r>
                        <w:rPr>
                          <w:rFonts w:cs="Arial"/>
                          <w:b/>
                          <w:sz w:val="28"/>
                          <w:szCs w:val="28"/>
                        </w:rPr>
                        <w:t>gra</w:t>
                      </w:r>
                      <w:r w:rsidRPr="00C773C4">
                        <w:rPr>
                          <w:rFonts w:cs="Arial"/>
                          <w:b/>
                          <w:sz w:val="28"/>
                          <w:szCs w:val="28"/>
                        </w:rPr>
                        <w:t>p</w:t>
                      </w:r>
                      <w:r>
                        <w:rPr>
                          <w:rFonts w:cs="Arial"/>
                          <w:b/>
                          <w:sz w:val="28"/>
                          <w:szCs w:val="28"/>
                        </w:rPr>
                        <w:t>h</w:t>
                      </w:r>
                      <w:r w:rsidRPr="00C773C4">
                        <w:rPr>
                          <w:rFonts w:cs="Arial"/>
                          <w:b/>
                          <w:sz w:val="28"/>
                          <w:szCs w:val="28"/>
                        </w:rPr>
                        <w:t>y</w:t>
                      </w:r>
                      <w:r w:rsidRPr="00D345B2">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56</w:t>
                      </w:r>
                      <w:r w:rsidRPr="00C773C4">
                        <w:rPr>
                          <w:rFonts w:cs="Arial"/>
                          <w:sz w:val="28"/>
                          <w:szCs w:val="28"/>
                        </w:rPr>
                        <w:t xml:space="preserve"> (</w:t>
                      </w:r>
                      <w:r>
                        <w:rPr>
                          <w:rFonts w:cs="Arial"/>
                          <w:sz w:val="28"/>
                          <w:szCs w:val="28"/>
                        </w:rPr>
                        <w:t>1</w:t>
                      </w:r>
                      <w:r w:rsidRPr="00C773C4">
                        <w:rPr>
                          <w:rFonts w:cs="Arial"/>
                          <w:sz w:val="28"/>
                          <w:szCs w:val="28"/>
                        </w:rPr>
                        <w:t>.</w:t>
                      </w:r>
                      <w:r>
                        <w:rPr>
                          <w:rFonts w:cs="Arial"/>
                          <w:sz w:val="28"/>
                          <w:szCs w:val="28"/>
                        </w:rPr>
                        <w:t>1</w:t>
                      </w:r>
                      <w:r w:rsidRPr="00C773C4">
                        <w:rPr>
                          <w:rFonts w:cs="Arial"/>
                          <w:sz w:val="28"/>
                          <w:szCs w:val="28"/>
                        </w:rPr>
                        <w:t>%)</w:t>
                      </w:r>
                    </w:p>
                  </w:txbxContent>
                </v:textbox>
              </v:roundrect>
            </w:pict>
          </mc:Fallback>
        </mc:AlternateContent>
      </w:r>
      <w:r>
        <w:rPr>
          <w:rFonts w:eastAsiaTheme="minorHAnsi" w:cs="Arial"/>
          <w:noProof/>
          <w:sz w:val="26"/>
          <w:szCs w:val="26"/>
          <w:lang w:eastAsia="en-NZ"/>
        </w:rPr>
        <mc:AlternateContent>
          <mc:Choice Requires="wps">
            <w:drawing>
              <wp:anchor distT="0" distB="0" distL="114300" distR="114300" simplePos="0" relativeHeight="251679744" behindDoc="0" locked="0" layoutInCell="1" allowOverlap="1" wp14:anchorId="14152B04">
                <wp:simplePos x="0" y="0"/>
                <wp:positionH relativeFrom="column">
                  <wp:posOffset>972185</wp:posOffset>
                </wp:positionH>
                <wp:positionV relativeFrom="paragraph">
                  <wp:posOffset>30480</wp:posOffset>
                </wp:positionV>
                <wp:extent cx="1799590" cy="647700"/>
                <wp:effectExtent l="0" t="0" r="10160" b="19050"/>
                <wp:wrapNone/>
                <wp:docPr id="97" name="Rounded 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647700"/>
                        </a:xfrm>
                        <a:prstGeom prst="roundRect">
                          <a:avLst/>
                        </a:prstGeom>
                        <a:solidFill>
                          <a:sysClr val="window" lastClr="FFFFFF"/>
                        </a:solidFill>
                        <a:ln w="25400" cap="flat" cmpd="sng" algn="ctr">
                          <a:solidFill>
                            <a:sysClr val="windowText" lastClr="000000">
                              <a:lumMod val="50000"/>
                              <a:lumOff val="50000"/>
                            </a:sysClr>
                          </a:solidFill>
                          <a:prstDash val="solid"/>
                        </a:ln>
                        <a:effectLst/>
                      </wps:spPr>
                      <wps:txbx>
                        <w:txbxContent>
                          <w:p w:rsidR="00371B10" w:rsidRPr="00C773C4" w:rsidRDefault="00371B10" w:rsidP="00147DCD">
                            <w:pPr>
                              <w:spacing w:before="0"/>
                              <w:ind w:left="0"/>
                              <w:jc w:val="center"/>
                              <w:rPr>
                                <w:rFonts w:cs="Arial"/>
                                <w:sz w:val="28"/>
                                <w:szCs w:val="28"/>
                              </w:rPr>
                            </w:pPr>
                            <w:r w:rsidRPr="00C773C4">
                              <w:rPr>
                                <w:rFonts w:cs="Arial"/>
                                <w:b/>
                                <w:sz w:val="28"/>
                                <w:szCs w:val="28"/>
                              </w:rPr>
                              <w:t>Colonoscopy</w:t>
                            </w:r>
                            <w:r w:rsidRPr="00D345B2">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4,467</w:t>
                            </w:r>
                            <w:r w:rsidRPr="00C773C4">
                              <w:rPr>
                                <w:rFonts w:cs="Arial"/>
                                <w:sz w:val="28"/>
                                <w:szCs w:val="28"/>
                              </w:rPr>
                              <w:t xml:space="preserve"> (</w:t>
                            </w:r>
                            <w:r>
                              <w:rPr>
                                <w:rFonts w:cs="Arial"/>
                                <w:sz w:val="28"/>
                                <w:szCs w:val="28"/>
                              </w:rPr>
                              <w:t>85</w:t>
                            </w:r>
                            <w:r w:rsidRPr="00C773C4">
                              <w:rPr>
                                <w:rFonts w:cs="Arial"/>
                                <w:sz w:val="28"/>
                                <w:szCs w:val="28"/>
                              </w:rPr>
                              <w:t>.</w:t>
                            </w:r>
                            <w:r>
                              <w:rPr>
                                <w:rFonts w:cs="Arial"/>
                                <w:sz w:val="28"/>
                                <w:szCs w:val="28"/>
                              </w:rPr>
                              <w:t>7</w:t>
                            </w:r>
                            <w:r w:rsidRPr="00C773C4">
                              <w:rPr>
                                <w:rFonts w:cs="Arial"/>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52B04" id="Rounded Rectangle 97" o:spid="_x0000_s1033" style="position:absolute;left:0;text-align:left;margin-left:76.55pt;margin-top:2.4pt;width:141.7pt;height: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" fillcolor="window" strokecolor="#7f7f7f"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Colonoscopy</w:t>
                      </w:r>
                      <w:r w:rsidRPr="00D345B2">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4,467</w:t>
                      </w:r>
                      <w:r w:rsidRPr="00C773C4">
                        <w:rPr>
                          <w:rFonts w:cs="Arial"/>
                          <w:sz w:val="28"/>
                          <w:szCs w:val="28"/>
                        </w:rPr>
                        <w:t xml:space="preserve"> (</w:t>
                      </w:r>
                      <w:r>
                        <w:rPr>
                          <w:rFonts w:cs="Arial"/>
                          <w:sz w:val="28"/>
                          <w:szCs w:val="28"/>
                        </w:rPr>
                        <w:t>85</w:t>
                      </w:r>
                      <w:r w:rsidRPr="00C773C4">
                        <w:rPr>
                          <w:rFonts w:cs="Arial"/>
                          <w:sz w:val="28"/>
                          <w:szCs w:val="28"/>
                        </w:rPr>
                        <w:t>.</w:t>
                      </w:r>
                      <w:r>
                        <w:rPr>
                          <w:rFonts w:cs="Arial"/>
                          <w:sz w:val="28"/>
                          <w:szCs w:val="28"/>
                        </w:rPr>
                        <w:t>7</w:t>
                      </w:r>
                      <w:r w:rsidRPr="00C773C4">
                        <w:rPr>
                          <w:rFonts w:cs="Arial"/>
                          <w:sz w:val="28"/>
                          <w:szCs w:val="28"/>
                        </w:rPr>
                        <w:t>%)</w:t>
                      </w:r>
                    </w:p>
                  </w:txbxContent>
                </v:textbox>
              </v:roundrect>
            </w:pict>
          </mc:Fallback>
        </mc:AlternateContent>
      </w:r>
    </w:p>
    <w:p w:rsidR="00147DCD" w:rsidRPr="00147DCD" w:rsidRDefault="00565301" w:rsidP="00147DCD">
      <w:pPr>
        <w:spacing w:before="0" w:after="200" w:line="276" w:lineRule="auto"/>
        <w:ind w:left="0"/>
        <w:jc w:val="center"/>
        <w:rPr>
          <w:rFonts w:eastAsiaTheme="minorHAnsi" w:cs="Arial"/>
          <w:sz w:val="26"/>
          <w:szCs w:val="26"/>
          <w:lang w:val="en-US" w:eastAsia="en-US"/>
        </w:rPr>
      </w:pPr>
      <w:r>
        <w:rPr>
          <w:rFonts w:eastAsiaTheme="minorHAnsi" w:cs="Arial"/>
          <w:noProof/>
          <w:sz w:val="26"/>
          <w:szCs w:val="26"/>
          <w:lang w:eastAsia="en-NZ"/>
        </w:rPr>
        <mc:AlternateContent>
          <mc:Choice Requires="wps">
            <w:drawing>
              <wp:anchor distT="0" distB="0" distL="114300" distR="114300" simplePos="0" relativeHeight="251665408" behindDoc="0" locked="0" layoutInCell="1" allowOverlap="1" wp14:anchorId="47CBB646">
                <wp:simplePos x="0" y="0"/>
                <wp:positionH relativeFrom="column">
                  <wp:posOffset>3818255</wp:posOffset>
                </wp:positionH>
                <wp:positionV relativeFrom="paragraph">
                  <wp:posOffset>342265</wp:posOffset>
                </wp:positionV>
                <wp:extent cx="0" cy="179705"/>
                <wp:effectExtent l="23495" t="26035" r="24130" b="51435"/>
                <wp:wrapNone/>
                <wp:docPr id="62"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38100">
                          <a:solidFill>
                            <a:srgbClr val="00BABF"/>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52ED0226" id="Straight Arrow Connector 98" o:spid="_x0000_s1026" type="#_x0000_t32" style="position:absolute;margin-left:300.65pt;margin-top:26.95pt;width:0;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" strokecolor="#00babf" strokeweight="3pt">
                <v:shadow on="t" opacity="22936f" origin=",.5" offset="0,.63889mm"/>
              </v:shape>
            </w:pict>
          </mc:Fallback>
        </mc:AlternateContent>
      </w:r>
      <w:r>
        <w:rPr>
          <w:rFonts w:eastAsiaTheme="minorHAnsi" w:cs="Arial"/>
          <w:noProof/>
          <w:sz w:val="26"/>
          <w:szCs w:val="26"/>
          <w:lang w:eastAsia="en-NZ"/>
        </w:rPr>
        <mc:AlternateContent>
          <mc:Choice Requires="wps">
            <w:drawing>
              <wp:anchor distT="0" distB="0" distL="114300" distR="114300" simplePos="0" relativeHeight="251664384" behindDoc="0" locked="0" layoutInCell="1" allowOverlap="1" wp14:anchorId="7544E6D5">
                <wp:simplePos x="0" y="0"/>
                <wp:positionH relativeFrom="column">
                  <wp:posOffset>1875155</wp:posOffset>
                </wp:positionH>
                <wp:positionV relativeFrom="paragraph">
                  <wp:posOffset>323850</wp:posOffset>
                </wp:positionV>
                <wp:extent cx="0" cy="179705"/>
                <wp:effectExtent l="23495" t="26670" r="24130" b="50800"/>
                <wp:wrapNone/>
                <wp:docPr id="61"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38100">
                          <a:solidFill>
                            <a:srgbClr val="00BABF"/>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12804616" id="Straight Arrow Connector 99" o:spid="_x0000_s1026" type="#_x0000_t32" style="position:absolute;margin-left:147.65pt;margin-top:25.5pt;width:0;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" strokecolor="#00babf" strokeweight="3pt">
                <v:shadow on="t" opacity="22936f" origin=",.5" offset="0,.63889mm"/>
              </v:shape>
            </w:pict>
          </mc:Fallback>
        </mc:AlternateContent>
      </w:r>
    </w:p>
    <w:p w:rsidR="00147DCD" w:rsidRPr="00147DCD" w:rsidRDefault="00565301" w:rsidP="00147DCD">
      <w:pPr>
        <w:spacing w:before="0" w:after="200" w:line="276" w:lineRule="auto"/>
        <w:ind w:left="0"/>
        <w:jc w:val="center"/>
        <w:rPr>
          <w:rFonts w:eastAsiaTheme="minorHAnsi" w:cs="Arial"/>
          <w:sz w:val="26"/>
          <w:szCs w:val="26"/>
          <w:lang w:val="en-US" w:eastAsia="en-US"/>
        </w:rPr>
      </w:pPr>
      <w:r>
        <w:rPr>
          <w:rFonts w:eastAsiaTheme="minorHAnsi" w:cs="Arial"/>
          <w:noProof/>
          <w:sz w:val="26"/>
          <w:szCs w:val="26"/>
          <w:lang w:eastAsia="en-NZ"/>
        </w:rPr>
        <mc:AlternateContent>
          <mc:Choice Requires="wps">
            <w:drawing>
              <wp:anchor distT="0" distB="0" distL="114300" distR="114300" simplePos="0" relativeHeight="251680768" behindDoc="0" locked="0" layoutInCell="1" allowOverlap="1" wp14:anchorId="1E8285D9">
                <wp:simplePos x="0" y="0"/>
                <wp:positionH relativeFrom="column">
                  <wp:posOffset>972185</wp:posOffset>
                </wp:positionH>
                <wp:positionV relativeFrom="paragraph">
                  <wp:posOffset>165735</wp:posOffset>
                </wp:positionV>
                <wp:extent cx="1799590" cy="647700"/>
                <wp:effectExtent l="0" t="0" r="10160" b="19050"/>
                <wp:wrapNone/>
                <wp:docPr id="57"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647700"/>
                        </a:xfrm>
                        <a:prstGeom prst="roundRect">
                          <a:avLst/>
                        </a:prstGeom>
                        <a:solidFill>
                          <a:sysClr val="window" lastClr="FFFFFF"/>
                        </a:solidFill>
                        <a:ln w="25400" cap="flat" cmpd="sng" algn="ctr">
                          <a:solidFill>
                            <a:srgbClr val="7F7F7F"/>
                          </a:solidFill>
                          <a:prstDash val="solid"/>
                        </a:ln>
                        <a:effectLst/>
                      </wps:spPr>
                      <wps:txbx>
                        <w:txbxContent>
                          <w:p w:rsidR="00371B10" w:rsidRPr="00C773C4" w:rsidRDefault="00371B10" w:rsidP="00147DCD">
                            <w:pPr>
                              <w:spacing w:before="0"/>
                              <w:ind w:left="0"/>
                              <w:jc w:val="center"/>
                              <w:rPr>
                                <w:rFonts w:cs="Arial"/>
                                <w:sz w:val="28"/>
                                <w:szCs w:val="28"/>
                              </w:rPr>
                            </w:pPr>
                            <w:r w:rsidRPr="00C773C4">
                              <w:rPr>
                                <w:rFonts w:cs="Arial"/>
                                <w:b/>
                                <w:sz w:val="28"/>
                                <w:szCs w:val="28"/>
                              </w:rPr>
                              <w:t>Abnormality</w:t>
                            </w:r>
                            <w:r w:rsidRPr="00D345B2">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3,414</w:t>
                            </w:r>
                            <w:r w:rsidRPr="00C773C4">
                              <w:rPr>
                                <w:rFonts w:cs="Arial"/>
                                <w:sz w:val="28"/>
                                <w:szCs w:val="28"/>
                              </w:rPr>
                              <w:t xml:space="preserve"> (76.</w:t>
                            </w:r>
                            <w:r>
                              <w:rPr>
                                <w:rFonts w:cs="Arial"/>
                                <w:sz w:val="28"/>
                                <w:szCs w:val="28"/>
                              </w:rPr>
                              <w:t>4</w:t>
                            </w:r>
                            <w:r w:rsidRPr="00C773C4">
                              <w:rPr>
                                <w:rFonts w:cs="Arial"/>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8285D9" id="Rounded Rectangle 32" o:spid="_x0000_s1034" style="position:absolute;left:0;text-align:left;margin-left:76.55pt;margin-top:13.05pt;width:141.7pt;height: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" fillcolor="window" strokecolor="#7f7f7f"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Abnormality</w:t>
                      </w:r>
                      <w:r w:rsidRPr="00D345B2">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3,414</w:t>
                      </w:r>
                      <w:r w:rsidRPr="00C773C4">
                        <w:rPr>
                          <w:rFonts w:cs="Arial"/>
                          <w:sz w:val="28"/>
                          <w:szCs w:val="28"/>
                        </w:rPr>
                        <w:t xml:space="preserve"> (76.</w:t>
                      </w:r>
                      <w:r>
                        <w:rPr>
                          <w:rFonts w:cs="Arial"/>
                          <w:sz w:val="28"/>
                          <w:szCs w:val="28"/>
                        </w:rPr>
                        <w:t>4</w:t>
                      </w:r>
                      <w:r w:rsidRPr="00C773C4">
                        <w:rPr>
                          <w:rFonts w:cs="Arial"/>
                          <w:sz w:val="28"/>
                          <w:szCs w:val="28"/>
                        </w:rPr>
                        <w:t>%)</w:t>
                      </w:r>
                    </w:p>
                  </w:txbxContent>
                </v:textbox>
              </v:roundrect>
            </w:pict>
          </mc:Fallback>
        </mc:AlternateContent>
      </w:r>
      <w:r>
        <w:rPr>
          <w:rFonts w:eastAsiaTheme="minorHAnsi" w:cs="Arial"/>
          <w:noProof/>
          <w:sz w:val="26"/>
          <w:szCs w:val="26"/>
          <w:lang w:eastAsia="en-NZ"/>
        </w:rPr>
        <mc:AlternateContent>
          <mc:Choice Requires="wps">
            <w:drawing>
              <wp:anchor distT="0" distB="0" distL="114300" distR="114300" simplePos="0" relativeHeight="251692032" behindDoc="0" locked="0" layoutInCell="1" allowOverlap="1" wp14:anchorId="0178CCE1">
                <wp:simplePos x="0" y="0"/>
                <wp:positionH relativeFrom="column">
                  <wp:posOffset>2916555</wp:posOffset>
                </wp:positionH>
                <wp:positionV relativeFrom="paragraph">
                  <wp:posOffset>165735</wp:posOffset>
                </wp:positionV>
                <wp:extent cx="1800225" cy="647700"/>
                <wp:effectExtent l="0" t="0" r="28575" b="19050"/>
                <wp:wrapNone/>
                <wp:docPr id="100" name="Rounded 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647700"/>
                        </a:xfrm>
                        <a:prstGeom prst="roundRect">
                          <a:avLst/>
                        </a:prstGeom>
                        <a:solidFill>
                          <a:sysClr val="window" lastClr="FFFFFF"/>
                        </a:solidFill>
                        <a:ln w="25400" cap="flat" cmpd="sng" algn="ctr">
                          <a:solidFill>
                            <a:srgbClr val="7F7F7F"/>
                          </a:solidFill>
                          <a:prstDash val="solid"/>
                        </a:ln>
                        <a:effectLst/>
                      </wps:spPr>
                      <wps:txbx>
                        <w:txbxContent>
                          <w:p w:rsidR="00371B10" w:rsidRPr="00C773C4" w:rsidRDefault="00371B10" w:rsidP="00147DCD">
                            <w:pPr>
                              <w:spacing w:before="0"/>
                              <w:ind w:left="0"/>
                              <w:jc w:val="center"/>
                              <w:rPr>
                                <w:rFonts w:cs="Arial"/>
                                <w:sz w:val="28"/>
                                <w:szCs w:val="28"/>
                              </w:rPr>
                            </w:pPr>
                            <w:r w:rsidRPr="00C773C4">
                              <w:rPr>
                                <w:rFonts w:cs="Arial"/>
                                <w:b/>
                                <w:sz w:val="28"/>
                                <w:szCs w:val="28"/>
                              </w:rPr>
                              <w:t>Abnormality</w:t>
                            </w:r>
                            <w:r w:rsidRPr="00D345B2">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9</w:t>
                            </w:r>
                            <w:r w:rsidRPr="00C773C4">
                              <w:rPr>
                                <w:rFonts w:cs="Arial"/>
                                <w:sz w:val="28"/>
                                <w:szCs w:val="28"/>
                              </w:rPr>
                              <w:t xml:space="preserve"> (</w:t>
                            </w:r>
                            <w:r>
                              <w:rPr>
                                <w:rFonts w:cs="Arial"/>
                                <w:sz w:val="28"/>
                                <w:szCs w:val="28"/>
                              </w:rPr>
                              <w:t>16</w:t>
                            </w:r>
                            <w:r w:rsidRPr="00C773C4">
                              <w:rPr>
                                <w:rFonts w:cs="Arial"/>
                                <w:sz w:val="28"/>
                                <w:szCs w:val="28"/>
                              </w:rPr>
                              <w:t>.</w:t>
                            </w:r>
                            <w:r>
                              <w:rPr>
                                <w:rFonts w:cs="Arial"/>
                                <w:sz w:val="28"/>
                                <w:szCs w:val="28"/>
                              </w:rPr>
                              <w:t>1</w:t>
                            </w:r>
                            <w:r w:rsidRPr="00C773C4">
                              <w:rPr>
                                <w:rFonts w:cs="Arial"/>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8CCE1" id="Rounded Rectangle 100" o:spid="_x0000_s1035" style="position:absolute;left:0;text-align:left;margin-left:229.65pt;margin-top:13.05pt;width:141.75pt;height: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" fillcolor="window" strokecolor="#7f7f7f"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Abnormality</w:t>
                      </w:r>
                      <w:r w:rsidRPr="00D345B2">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9</w:t>
                      </w:r>
                      <w:r w:rsidRPr="00C773C4">
                        <w:rPr>
                          <w:rFonts w:cs="Arial"/>
                          <w:sz w:val="28"/>
                          <w:szCs w:val="28"/>
                        </w:rPr>
                        <w:t xml:space="preserve"> (</w:t>
                      </w:r>
                      <w:r>
                        <w:rPr>
                          <w:rFonts w:cs="Arial"/>
                          <w:sz w:val="28"/>
                          <w:szCs w:val="28"/>
                        </w:rPr>
                        <w:t>16</w:t>
                      </w:r>
                      <w:r w:rsidRPr="00C773C4">
                        <w:rPr>
                          <w:rFonts w:cs="Arial"/>
                          <w:sz w:val="28"/>
                          <w:szCs w:val="28"/>
                        </w:rPr>
                        <w:t>.</w:t>
                      </w:r>
                      <w:r>
                        <w:rPr>
                          <w:rFonts w:cs="Arial"/>
                          <w:sz w:val="28"/>
                          <w:szCs w:val="28"/>
                        </w:rPr>
                        <w:t>1</w:t>
                      </w:r>
                      <w:r w:rsidRPr="00C773C4">
                        <w:rPr>
                          <w:rFonts w:cs="Arial"/>
                          <w:sz w:val="28"/>
                          <w:szCs w:val="28"/>
                        </w:rPr>
                        <w:t>%)</w:t>
                      </w:r>
                    </w:p>
                  </w:txbxContent>
                </v:textbox>
              </v:roundrect>
            </w:pict>
          </mc:Fallback>
        </mc:AlternateContent>
      </w:r>
    </w:p>
    <w:p w:rsidR="00147DCD" w:rsidRPr="00147DCD" w:rsidRDefault="00147DCD" w:rsidP="00147DCD">
      <w:pPr>
        <w:spacing w:before="0" w:after="200" w:line="276" w:lineRule="auto"/>
        <w:ind w:left="0"/>
        <w:jc w:val="center"/>
        <w:rPr>
          <w:rFonts w:eastAsiaTheme="minorHAnsi" w:cs="Arial"/>
          <w:sz w:val="26"/>
          <w:szCs w:val="26"/>
          <w:lang w:val="en-US" w:eastAsia="en-US"/>
        </w:rPr>
      </w:pPr>
    </w:p>
    <w:p w:rsidR="00147DCD" w:rsidRPr="00147DCD" w:rsidRDefault="00565301" w:rsidP="00147DCD">
      <w:pPr>
        <w:spacing w:before="0" w:after="200" w:line="276" w:lineRule="auto"/>
        <w:ind w:left="0"/>
        <w:jc w:val="center"/>
        <w:rPr>
          <w:rFonts w:eastAsiaTheme="minorHAnsi" w:cs="Arial"/>
          <w:sz w:val="26"/>
          <w:szCs w:val="26"/>
          <w:lang w:val="en-US" w:eastAsia="en-US"/>
        </w:rPr>
      </w:pPr>
      <w:r>
        <w:rPr>
          <w:rFonts w:eastAsiaTheme="minorHAnsi" w:cs="Arial"/>
          <w:noProof/>
          <w:sz w:val="26"/>
          <w:szCs w:val="26"/>
          <w:lang w:eastAsia="en-NZ"/>
        </w:rPr>
        <mc:AlternateContent>
          <mc:Choice Requires="wps">
            <w:drawing>
              <wp:anchor distT="0" distB="0" distL="114300" distR="114300" simplePos="0" relativeHeight="251673600" behindDoc="0" locked="0" layoutInCell="1" allowOverlap="1" wp14:anchorId="73EB6C35">
                <wp:simplePos x="0" y="0"/>
                <wp:positionH relativeFrom="column">
                  <wp:posOffset>2838450</wp:posOffset>
                </wp:positionH>
                <wp:positionV relativeFrom="paragraph">
                  <wp:posOffset>112395</wp:posOffset>
                </wp:positionV>
                <wp:extent cx="981075" cy="180975"/>
                <wp:effectExtent l="24765" t="22225" r="22860" b="44450"/>
                <wp:wrapNone/>
                <wp:docPr id="51"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180975"/>
                        </a:xfrm>
                        <a:prstGeom prst="straightConnector1">
                          <a:avLst/>
                        </a:prstGeom>
                        <a:noFill/>
                        <a:ln w="38100">
                          <a:solidFill>
                            <a:srgbClr val="00BABF"/>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763341" id="Straight Arrow Connector 35" o:spid="_x0000_s1026" type="#_x0000_t32" style="position:absolute;margin-left:223.5pt;margin-top:8.85pt;width:77.25pt;height:14.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" strokecolor="#00babf" strokeweight="3pt">
                <v:shadow on="t" opacity="22936f" origin=",.5" offset="0,.63889mm"/>
              </v:shape>
            </w:pict>
          </mc:Fallback>
        </mc:AlternateContent>
      </w:r>
      <w:r>
        <w:rPr>
          <w:rFonts w:eastAsiaTheme="minorHAnsi" w:cs="Arial"/>
          <w:noProof/>
          <w:sz w:val="26"/>
          <w:szCs w:val="26"/>
          <w:lang w:eastAsia="en-NZ"/>
        </w:rPr>
        <mc:AlternateContent>
          <mc:Choice Requires="wps">
            <w:drawing>
              <wp:anchor distT="0" distB="0" distL="114300" distR="114300" simplePos="0" relativeHeight="251672576" behindDoc="0" locked="0" layoutInCell="1" allowOverlap="1" wp14:anchorId="73E2D585">
                <wp:simplePos x="0" y="0"/>
                <wp:positionH relativeFrom="column">
                  <wp:posOffset>1876425</wp:posOffset>
                </wp:positionH>
                <wp:positionV relativeFrom="paragraph">
                  <wp:posOffset>112395</wp:posOffset>
                </wp:positionV>
                <wp:extent cx="962025" cy="180340"/>
                <wp:effectExtent l="24765" t="22225" r="22860" b="45085"/>
                <wp:wrapNone/>
                <wp:docPr id="50"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180340"/>
                        </a:xfrm>
                        <a:prstGeom prst="straightConnector1">
                          <a:avLst/>
                        </a:prstGeom>
                        <a:noFill/>
                        <a:ln w="38100">
                          <a:solidFill>
                            <a:srgbClr val="00BABF"/>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193419" id="Straight Arrow Connector 101" o:spid="_x0000_s1026" type="#_x0000_t32" style="position:absolute;margin-left:147.75pt;margin-top:8.85pt;width:75.75pt;height:1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" strokecolor="#00babf" strokeweight="3pt">
                <v:shadow on="t" opacity="22936f" origin=",.5" offset="0,.63889mm"/>
              </v:shape>
            </w:pict>
          </mc:Fallback>
        </mc:AlternateContent>
      </w:r>
      <w:r>
        <w:rPr>
          <w:rFonts w:eastAsiaTheme="minorHAnsi" w:cs="Arial"/>
          <w:noProof/>
          <w:sz w:val="26"/>
          <w:szCs w:val="26"/>
          <w:lang w:eastAsia="en-NZ"/>
        </w:rPr>
        <mc:AlternateContent>
          <mc:Choice Requires="wps">
            <w:drawing>
              <wp:anchor distT="0" distB="0" distL="114300" distR="114300" simplePos="0" relativeHeight="251681792" behindDoc="0" locked="0" layoutInCell="1" allowOverlap="1" wp14:anchorId="167EEC44">
                <wp:simplePos x="0" y="0"/>
                <wp:positionH relativeFrom="column">
                  <wp:posOffset>1944370</wp:posOffset>
                </wp:positionH>
                <wp:positionV relativeFrom="paragraph">
                  <wp:posOffset>304165</wp:posOffset>
                </wp:positionV>
                <wp:extent cx="1799590" cy="647700"/>
                <wp:effectExtent l="0" t="0" r="10160" b="19050"/>
                <wp:wrapNone/>
                <wp:docPr id="102" name="Rounded 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647700"/>
                        </a:xfrm>
                        <a:prstGeom prst="roundRect">
                          <a:avLst/>
                        </a:prstGeom>
                        <a:solidFill>
                          <a:sysClr val="window" lastClr="FFFFFF"/>
                        </a:solidFill>
                        <a:ln w="25400" cap="flat" cmpd="sng" algn="ctr">
                          <a:solidFill>
                            <a:sysClr val="windowText" lastClr="000000">
                              <a:lumMod val="50000"/>
                              <a:lumOff val="50000"/>
                            </a:sysClr>
                          </a:solidFill>
                          <a:prstDash val="solid"/>
                        </a:ln>
                        <a:effectLst/>
                      </wps:spPr>
                      <wps:txbx>
                        <w:txbxContent>
                          <w:p w:rsidR="00371B10" w:rsidRPr="00C773C4" w:rsidRDefault="00371B10" w:rsidP="00147DCD">
                            <w:pPr>
                              <w:spacing w:before="0"/>
                              <w:ind w:left="0"/>
                              <w:jc w:val="center"/>
                              <w:rPr>
                                <w:rFonts w:cs="Arial"/>
                                <w:sz w:val="28"/>
                                <w:szCs w:val="28"/>
                              </w:rPr>
                            </w:pPr>
                            <w:r w:rsidRPr="00C773C4">
                              <w:rPr>
                                <w:rFonts w:cs="Arial"/>
                                <w:b/>
                                <w:sz w:val="28"/>
                                <w:szCs w:val="28"/>
                              </w:rPr>
                              <w:t>Histopathology</w:t>
                            </w:r>
                            <w:r w:rsidRPr="00D345B2">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3,403</w:t>
                            </w:r>
                            <w:r w:rsidRPr="00C773C4">
                              <w:rPr>
                                <w:rFonts w:cs="Arial"/>
                                <w:sz w:val="28"/>
                                <w:szCs w:val="28"/>
                              </w:rPr>
                              <w:t xml:space="preserve"> (9</w:t>
                            </w:r>
                            <w:r>
                              <w:rPr>
                                <w:rFonts w:cs="Arial"/>
                                <w:sz w:val="28"/>
                                <w:szCs w:val="28"/>
                              </w:rPr>
                              <w:t>9</w:t>
                            </w:r>
                            <w:r w:rsidRPr="00C773C4">
                              <w:rPr>
                                <w:rFonts w:cs="Arial"/>
                                <w:sz w:val="28"/>
                                <w:szCs w:val="28"/>
                              </w:rPr>
                              <w:t>.</w:t>
                            </w:r>
                            <w:r>
                              <w:rPr>
                                <w:rFonts w:cs="Arial"/>
                                <w:sz w:val="28"/>
                                <w:szCs w:val="28"/>
                              </w:rPr>
                              <w:t>4</w:t>
                            </w:r>
                            <w:r w:rsidRPr="00C773C4">
                              <w:rPr>
                                <w:rFonts w:cs="Arial"/>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EEC44" id="Rounded Rectangle 102" o:spid="_x0000_s1036" style="position:absolute;left:0;text-align:left;margin-left:153.1pt;margin-top:23.95pt;width:141.7pt;height: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" fillcolor="window" strokecolor="#7f7f7f"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Histopathology</w:t>
                      </w:r>
                      <w:r w:rsidRPr="00D345B2">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3,403</w:t>
                      </w:r>
                      <w:r w:rsidRPr="00C773C4">
                        <w:rPr>
                          <w:rFonts w:cs="Arial"/>
                          <w:sz w:val="28"/>
                          <w:szCs w:val="28"/>
                        </w:rPr>
                        <w:t xml:space="preserve"> (9</w:t>
                      </w:r>
                      <w:r>
                        <w:rPr>
                          <w:rFonts w:cs="Arial"/>
                          <w:sz w:val="28"/>
                          <w:szCs w:val="28"/>
                        </w:rPr>
                        <w:t>9</w:t>
                      </w:r>
                      <w:r w:rsidRPr="00C773C4">
                        <w:rPr>
                          <w:rFonts w:cs="Arial"/>
                          <w:sz w:val="28"/>
                          <w:szCs w:val="28"/>
                        </w:rPr>
                        <w:t>.</w:t>
                      </w:r>
                      <w:r>
                        <w:rPr>
                          <w:rFonts w:cs="Arial"/>
                          <w:sz w:val="28"/>
                          <w:szCs w:val="28"/>
                        </w:rPr>
                        <w:t>4</w:t>
                      </w:r>
                      <w:r w:rsidRPr="00C773C4">
                        <w:rPr>
                          <w:rFonts w:cs="Arial"/>
                          <w:sz w:val="28"/>
                          <w:szCs w:val="28"/>
                        </w:rPr>
                        <w:t>%)</w:t>
                      </w:r>
                    </w:p>
                  </w:txbxContent>
                </v:textbox>
              </v:roundrect>
            </w:pict>
          </mc:Fallback>
        </mc:AlternateContent>
      </w:r>
    </w:p>
    <w:p w:rsidR="00147DCD" w:rsidRPr="00147DCD" w:rsidRDefault="00147DCD" w:rsidP="00147DCD">
      <w:pPr>
        <w:spacing w:before="0" w:after="200" w:line="276" w:lineRule="auto"/>
        <w:ind w:left="0"/>
        <w:jc w:val="center"/>
        <w:rPr>
          <w:rFonts w:eastAsiaTheme="minorHAnsi" w:cs="Arial"/>
          <w:sz w:val="26"/>
          <w:szCs w:val="26"/>
          <w:lang w:val="en-US" w:eastAsia="en-US"/>
        </w:rPr>
      </w:pPr>
    </w:p>
    <w:p w:rsidR="00147DCD" w:rsidRPr="00147DCD" w:rsidRDefault="00565301" w:rsidP="00147DCD">
      <w:pPr>
        <w:spacing w:before="0" w:after="200" w:line="276" w:lineRule="auto"/>
        <w:ind w:left="0"/>
        <w:jc w:val="center"/>
        <w:rPr>
          <w:rFonts w:eastAsiaTheme="minorHAnsi" w:cs="Arial"/>
          <w:sz w:val="26"/>
          <w:szCs w:val="26"/>
          <w:lang w:val="en-US" w:eastAsia="en-US"/>
        </w:rPr>
      </w:pPr>
      <w:r>
        <w:rPr>
          <w:rFonts w:eastAsiaTheme="minorHAnsi" w:cs="Arial"/>
          <w:noProof/>
          <w:sz w:val="26"/>
          <w:szCs w:val="26"/>
          <w:lang w:eastAsia="en-NZ"/>
        </w:rPr>
        <mc:AlternateContent>
          <mc:Choice Requires="wps">
            <w:drawing>
              <wp:anchor distT="0" distB="0" distL="114300" distR="114300" simplePos="0" relativeHeight="251666432" behindDoc="0" locked="0" layoutInCell="1" allowOverlap="1" wp14:anchorId="389D0885">
                <wp:simplePos x="0" y="0"/>
                <wp:positionH relativeFrom="column">
                  <wp:posOffset>971550</wp:posOffset>
                </wp:positionH>
                <wp:positionV relativeFrom="paragraph">
                  <wp:posOffset>269240</wp:posOffset>
                </wp:positionV>
                <wp:extent cx="1866900" cy="247650"/>
                <wp:effectExtent l="24765" t="22225" r="22860" b="44450"/>
                <wp:wrapNone/>
                <wp:docPr id="49"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6900" cy="247650"/>
                        </a:xfrm>
                        <a:prstGeom prst="straightConnector1">
                          <a:avLst/>
                        </a:prstGeom>
                        <a:noFill/>
                        <a:ln w="38100">
                          <a:solidFill>
                            <a:srgbClr val="00BABF"/>
                          </a:solidFill>
                          <a:prstDash val="sysDot"/>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A28E7C" id="Straight Arrow Connector 51" o:spid="_x0000_s1026" type="#_x0000_t32" style="position:absolute;margin-left:76.5pt;margin-top:21.2pt;width:147pt;height:1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" strokecolor="#00babf" strokeweight="3pt">
                <v:stroke dashstyle="1 1"/>
                <v:shadow on="t" opacity="22936f" origin=",.5" offset="0,.63889mm"/>
              </v:shape>
            </w:pict>
          </mc:Fallback>
        </mc:AlternateContent>
      </w:r>
      <w:r>
        <w:rPr>
          <w:rFonts w:eastAsiaTheme="minorHAnsi" w:cs="Arial"/>
          <w:noProof/>
          <w:sz w:val="26"/>
          <w:szCs w:val="26"/>
          <w:lang w:eastAsia="en-NZ"/>
        </w:rPr>
        <mc:AlternateContent>
          <mc:Choice Requires="wps">
            <w:drawing>
              <wp:anchor distT="0" distB="0" distL="114300" distR="114300" simplePos="0" relativeHeight="251670528" behindDoc="0" locked="0" layoutInCell="1" allowOverlap="1" wp14:anchorId="2AC563E6">
                <wp:simplePos x="0" y="0"/>
                <wp:positionH relativeFrom="column">
                  <wp:posOffset>2838450</wp:posOffset>
                </wp:positionH>
                <wp:positionV relativeFrom="paragraph">
                  <wp:posOffset>269240</wp:posOffset>
                </wp:positionV>
                <wp:extent cx="1895475" cy="247650"/>
                <wp:effectExtent l="24765" t="22225" r="22860" b="44450"/>
                <wp:wrapNone/>
                <wp:docPr id="48"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247650"/>
                        </a:xfrm>
                        <a:prstGeom prst="straightConnector1">
                          <a:avLst/>
                        </a:prstGeom>
                        <a:noFill/>
                        <a:ln w="38100">
                          <a:solidFill>
                            <a:srgbClr val="00BABF"/>
                          </a:solidFill>
                          <a:prstDash val="sysDot"/>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B5535F" id="Straight Arrow Connector 42" o:spid="_x0000_s1026" type="#_x0000_t32" style="position:absolute;margin-left:223.5pt;margin-top:21.2pt;width:149.2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" strokecolor="#00babf" strokeweight="3pt">
                <v:stroke dashstyle="1 1"/>
                <v:shadow on="t" opacity="22936f" origin=",.5" offset="0,.63889mm"/>
              </v:shape>
            </w:pict>
          </mc:Fallback>
        </mc:AlternateContent>
      </w:r>
      <w:r>
        <w:rPr>
          <w:rFonts w:eastAsiaTheme="minorHAnsi" w:cs="Arial"/>
          <w:noProof/>
          <w:sz w:val="26"/>
          <w:szCs w:val="26"/>
          <w:lang w:eastAsia="en-NZ"/>
        </w:rPr>
        <mc:AlternateContent>
          <mc:Choice Requires="wps">
            <w:drawing>
              <wp:anchor distT="0" distB="0" distL="114300" distR="114300" simplePos="0" relativeHeight="251669504" behindDoc="0" locked="0" layoutInCell="1" allowOverlap="1" wp14:anchorId="2B533429">
                <wp:simplePos x="0" y="0"/>
                <wp:positionH relativeFrom="column">
                  <wp:posOffset>2838450</wp:posOffset>
                </wp:positionH>
                <wp:positionV relativeFrom="paragraph">
                  <wp:posOffset>250190</wp:posOffset>
                </wp:positionV>
                <wp:extent cx="0" cy="247650"/>
                <wp:effectExtent l="24765" t="22225" r="22860" b="44450"/>
                <wp:wrapNone/>
                <wp:docPr id="47"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38100">
                          <a:solidFill>
                            <a:srgbClr val="00BABF"/>
                          </a:solidFill>
                          <a:prstDash val="sysDot"/>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3219B791" id="Straight Arrow Connector 103" o:spid="_x0000_s1026" type="#_x0000_t32" style="position:absolute;margin-left:223.5pt;margin-top:19.7pt;width:0;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" strokecolor="#00babf" strokeweight="3pt">
                <v:stroke dashstyle="1 1"/>
                <v:shadow on="t" opacity="22936f" origin=",.5" offset="0,.63889mm"/>
              </v:shape>
            </w:pict>
          </mc:Fallback>
        </mc:AlternateContent>
      </w:r>
    </w:p>
    <w:p w:rsidR="00147DCD" w:rsidRPr="00147DCD" w:rsidRDefault="00565301" w:rsidP="00147DCD">
      <w:pPr>
        <w:spacing w:before="0" w:after="200" w:line="276" w:lineRule="auto"/>
        <w:ind w:left="0"/>
        <w:jc w:val="center"/>
        <w:rPr>
          <w:rFonts w:eastAsiaTheme="minorHAnsi" w:cs="Arial"/>
          <w:sz w:val="26"/>
          <w:szCs w:val="26"/>
          <w:lang w:val="en-US" w:eastAsia="en-US"/>
        </w:rPr>
      </w:pPr>
      <w:r>
        <w:rPr>
          <w:rFonts w:eastAsiaTheme="minorHAnsi" w:cs="Arial"/>
          <w:noProof/>
          <w:sz w:val="26"/>
          <w:szCs w:val="26"/>
          <w:lang w:eastAsia="en-NZ"/>
        </w:rPr>
        <mc:AlternateContent>
          <mc:Choice Requires="wps">
            <w:drawing>
              <wp:anchor distT="0" distB="0" distL="114300" distR="114300" simplePos="0" relativeHeight="251689984" behindDoc="0" locked="0" layoutInCell="1" allowOverlap="1" wp14:anchorId="76E9EE8A">
                <wp:simplePos x="0" y="0"/>
                <wp:positionH relativeFrom="column">
                  <wp:posOffset>3810000</wp:posOffset>
                </wp:positionH>
                <wp:positionV relativeFrom="paragraph">
                  <wp:posOffset>160655</wp:posOffset>
                </wp:positionV>
                <wp:extent cx="1799590" cy="647700"/>
                <wp:effectExtent l="0" t="0" r="10160" b="19050"/>
                <wp:wrapNone/>
                <wp:docPr id="52" name="Rounded 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647700"/>
                        </a:xfrm>
                        <a:prstGeom prst="roundRect">
                          <a:avLst/>
                        </a:prstGeom>
                        <a:solidFill>
                          <a:sysClr val="window" lastClr="FFFFFF"/>
                        </a:solidFill>
                        <a:ln w="25400" cap="flat" cmpd="sng" algn="ctr">
                          <a:solidFill>
                            <a:srgbClr val="7F7F7F"/>
                          </a:solidFill>
                          <a:prstDash val="solid"/>
                        </a:ln>
                        <a:effectLst/>
                      </wps:spPr>
                      <wps:txbx>
                        <w:txbxContent>
                          <w:p w:rsidR="00371B10" w:rsidRPr="00C773C4" w:rsidRDefault="00371B10" w:rsidP="00147DCD">
                            <w:pPr>
                              <w:spacing w:before="0"/>
                              <w:ind w:left="0"/>
                              <w:jc w:val="center"/>
                              <w:rPr>
                                <w:rFonts w:cs="Arial"/>
                                <w:sz w:val="28"/>
                                <w:szCs w:val="28"/>
                              </w:rPr>
                            </w:pPr>
                            <w:r>
                              <w:rPr>
                                <w:rFonts w:cs="Arial"/>
                                <w:b/>
                                <w:sz w:val="28"/>
                                <w:szCs w:val="28"/>
                              </w:rPr>
                              <w:t>Other</w:t>
                            </w:r>
                            <w:r w:rsidRPr="002D40F9">
                              <w:rPr>
                                <w:rFonts w:cs="Arial"/>
                                <w:b/>
                                <w:sz w:val="28"/>
                                <w:szCs w:val="28"/>
                                <w:vertAlign w:val="superscript"/>
                              </w:rPr>
                              <w:t>‡</w:t>
                            </w:r>
                            <w:r>
                              <w:rPr>
                                <w:rFonts w:cs="Arial"/>
                                <w:b/>
                                <w:sz w:val="28"/>
                                <w:szCs w:val="28"/>
                                <w:vertAlign w:val="superscript"/>
                              </w:rPr>
                              <w:t>¹</w:t>
                            </w:r>
                            <w:r w:rsidRPr="00C773C4">
                              <w:rPr>
                                <w:rFonts w:cs="Arial"/>
                                <w:b/>
                                <w:sz w:val="28"/>
                                <w:szCs w:val="28"/>
                              </w:rPr>
                              <w:br/>
                            </w:r>
                            <w:r w:rsidRPr="00C773C4">
                              <w:rPr>
                                <w:rFonts w:cs="Arial"/>
                                <w:sz w:val="28"/>
                                <w:szCs w:val="28"/>
                              </w:rPr>
                              <w:t xml:space="preserve">n = </w:t>
                            </w:r>
                            <w:r>
                              <w:rPr>
                                <w:rFonts w:cs="Arial"/>
                                <w:sz w:val="28"/>
                                <w:szCs w:val="28"/>
                              </w:rPr>
                              <w:t>792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9EE8A" id="Rounded Rectangle 52" o:spid="_x0000_s1037" style="position:absolute;left:0;text-align:left;margin-left:300pt;margin-top:12.65pt;width:141.7pt;height: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" fillcolor="window" strokecolor="#7f7f7f" strokeweight="2pt">
                <v:path arrowok="t"/>
                <v:textbox inset="0,0,0,0">
                  <w:txbxContent>
                    <w:p w:rsidR="00371B10" w:rsidRPr="00C773C4" w:rsidRDefault="00371B10" w:rsidP="00147DCD">
                      <w:pPr>
                        <w:spacing w:before="0"/>
                        <w:ind w:left="0"/>
                        <w:jc w:val="center"/>
                        <w:rPr>
                          <w:rFonts w:cs="Arial"/>
                          <w:sz w:val="28"/>
                          <w:szCs w:val="28"/>
                        </w:rPr>
                      </w:pPr>
                      <w:r>
                        <w:rPr>
                          <w:rFonts w:cs="Arial"/>
                          <w:b/>
                          <w:sz w:val="28"/>
                          <w:szCs w:val="28"/>
                        </w:rPr>
                        <w:t>Other</w:t>
                      </w:r>
                      <w:r w:rsidRPr="002D40F9">
                        <w:rPr>
                          <w:rFonts w:cs="Arial"/>
                          <w:b/>
                          <w:sz w:val="28"/>
                          <w:szCs w:val="28"/>
                          <w:vertAlign w:val="superscript"/>
                        </w:rPr>
                        <w:t>‡</w:t>
                      </w:r>
                      <w:r>
                        <w:rPr>
                          <w:rFonts w:cs="Arial"/>
                          <w:b/>
                          <w:sz w:val="28"/>
                          <w:szCs w:val="28"/>
                          <w:vertAlign w:val="superscript"/>
                        </w:rPr>
                        <w:t>¹</w:t>
                      </w:r>
                      <w:r w:rsidRPr="00C773C4">
                        <w:rPr>
                          <w:rFonts w:cs="Arial"/>
                          <w:b/>
                          <w:sz w:val="28"/>
                          <w:szCs w:val="28"/>
                        </w:rPr>
                        <w:br/>
                      </w:r>
                      <w:r w:rsidRPr="00C773C4">
                        <w:rPr>
                          <w:rFonts w:cs="Arial"/>
                          <w:sz w:val="28"/>
                          <w:szCs w:val="28"/>
                        </w:rPr>
                        <w:t xml:space="preserve">n = </w:t>
                      </w:r>
                      <w:r>
                        <w:rPr>
                          <w:rFonts w:cs="Arial"/>
                          <w:sz w:val="28"/>
                          <w:szCs w:val="28"/>
                        </w:rPr>
                        <w:t>792</w:t>
                      </w:r>
                    </w:p>
                  </w:txbxContent>
                </v:textbox>
              </v:roundrect>
            </w:pict>
          </mc:Fallback>
        </mc:AlternateContent>
      </w:r>
      <w:r>
        <w:rPr>
          <w:rFonts w:eastAsiaTheme="minorHAnsi" w:cs="Arial"/>
          <w:noProof/>
          <w:sz w:val="26"/>
          <w:szCs w:val="26"/>
          <w:lang w:eastAsia="en-NZ"/>
        </w:rPr>
        <mc:AlternateContent>
          <mc:Choice Requires="wps">
            <w:drawing>
              <wp:anchor distT="0" distB="0" distL="114300" distR="114300" simplePos="0" relativeHeight="251683840" behindDoc="0" locked="0" layoutInCell="1" allowOverlap="1" wp14:anchorId="5C45EE83">
                <wp:simplePos x="0" y="0"/>
                <wp:positionH relativeFrom="column">
                  <wp:posOffset>1944370</wp:posOffset>
                </wp:positionH>
                <wp:positionV relativeFrom="paragraph">
                  <wp:posOffset>161290</wp:posOffset>
                </wp:positionV>
                <wp:extent cx="1800225" cy="647700"/>
                <wp:effectExtent l="0" t="0" r="28575" b="19050"/>
                <wp:wrapNone/>
                <wp:docPr id="53"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64770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371B10" w:rsidRPr="00C773C4" w:rsidRDefault="00371B10" w:rsidP="00147DCD">
                            <w:pPr>
                              <w:spacing w:before="0"/>
                              <w:ind w:left="0"/>
                              <w:jc w:val="center"/>
                              <w:rPr>
                                <w:rFonts w:cs="Arial"/>
                                <w:sz w:val="28"/>
                                <w:szCs w:val="28"/>
                              </w:rPr>
                            </w:pPr>
                            <w:r w:rsidRPr="00C773C4">
                              <w:rPr>
                                <w:rFonts w:cs="Arial"/>
                                <w:b/>
                                <w:sz w:val="28"/>
                                <w:szCs w:val="28"/>
                              </w:rPr>
                              <w:t>Adenoma</w:t>
                            </w:r>
                            <w:r w:rsidRPr="002D40F9">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2,686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45EE83" id="Rounded Rectangle 53" o:spid="_x0000_s1038" style="position:absolute;left:0;text-align:left;margin-left:153.1pt;margin-top:12.7pt;width:141.75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" fillcolor="windowText"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Adenoma</w:t>
                      </w:r>
                      <w:r w:rsidRPr="002D40F9">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2,686</w:t>
                      </w:r>
                    </w:p>
                  </w:txbxContent>
                </v:textbox>
              </v:roundrect>
            </w:pict>
          </mc:Fallback>
        </mc:AlternateContent>
      </w:r>
      <w:r>
        <w:rPr>
          <w:rFonts w:eastAsiaTheme="minorHAnsi" w:cs="Arial"/>
          <w:noProof/>
          <w:sz w:val="26"/>
          <w:szCs w:val="26"/>
          <w:lang w:eastAsia="en-NZ"/>
        </w:rPr>
        <mc:AlternateContent>
          <mc:Choice Requires="wps">
            <w:drawing>
              <wp:anchor distT="0" distB="0" distL="114300" distR="114300" simplePos="0" relativeHeight="251682816" behindDoc="0" locked="0" layoutInCell="1" allowOverlap="1" wp14:anchorId="1A441C51">
                <wp:simplePos x="0" y="0"/>
                <wp:positionH relativeFrom="column">
                  <wp:posOffset>76835</wp:posOffset>
                </wp:positionH>
                <wp:positionV relativeFrom="paragraph">
                  <wp:posOffset>161290</wp:posOffset>
                </wp:positionV>
                <wp:extent cx="1799590" cy="647700"/>
                <wp:effectExtent l="0" t="0" r="10160" b="19050"/>
                <wp:wrapNone/>
                <wp:docPr id="54" name="Rounded 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64770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371B10" w:rsidRPr="00C773C4" w:rsidRDefault="00371B10" w:rsidP="00147DCD">
                            <w:pPr>
                              <w:spacing w:before="0"/>
                              <w:ind w:left="0"/>
                              <w:jc w:val="center"/>
                              <w:rPr>
                                <w:rFonts w:cs="Arial"/>
                                <w:sz w:val="28"/>
                                <w:szCs w:val="28"/>
                              </w:rPr>
                            </w:pPr>
                            <w:r w:rsidRPr="00C773C4">
                              <w:rPr>
                                <w:rFonts w:cs="Arial"/>
                                <w:b/>
                                <w:sz w:val="28"/>
                                <w:szCs w:val="28"/>
                              </w:rPr>
                              <w:t>Cancer</w:t>
                            </w:r>
                            <w:r w:rsidRPr="002D40F9">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212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441C51" id="Rounded Rectangle 54" o:spid="_x0000_s1039" style="position:absolute;left:0;text-align:left;margin-left:6.05pt;margin-top:12.7pt;width:141.7pt;height: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" fillcolor="windowText"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Cancer</w:t>
                      </w:r>
                      <w:r w:rsidRPr="002D40F9">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212</w:t>
                      </w:r>
                    </w:p>
                  </w:txbxContent>
                </v:textbox>
              </v:roundrect>
            </w:pict>
          </mc:Fallback>
        </mc:AlternateContent>
      </w:r>
    </w:p>
    <w:p w:rsidR="00147DCD" w:rsidRPr="00147DCD" w:rsidRDefault="00147DCD" w:rsidP="00147DCD">
      <w:pPr>
        <w:spacing w:before="0" w:after="200" w:line="276" w:lineRule="auto"/>
        <w:ind w:left="0"/>
        <w:jc w:val="center"/>
        <w:rPr>
          <w:rFonts w:eastAsiaTheme="minorHAnsi" w:cs="Arial"/>
          <w:sz w:val="26"/>
          <w:szCs w:val="26"/>
          <w:lang w:val="en-US" w:eastAsia="en-US"/>
        </w:rPr>
      </w:pPr>
    </w:p>
    <w:p w:rsidR="00147DCD" w:rsidRPr="00147DCD" w:rsidRDefault="00565301" w:rsidP="00147DCD">
      <w:pPr>
        <w:spacing w:before="0" w:after="200" w:line="276" w:lineRule="auto"/>
        <w:ind w:left="0"/>
        <w:jc w:val="center"/>
        <w:rPr>
          <w:rFonts w:eastAsiaTheme="minorHAnsi" w:cs="Arial"/>
          <w:sz w:val="26"/>
          <w:szCs w:val="26"/>
          <w:lang w:val="en-US" w:eastAsia="en-US"/>
        </w:rPr>
      </w:pPr>
      <w:r>
        <w:rPr>
          <w:rFonts w:eastAsiaTheme="minorHAnsi" w:cs="Arial"/>
          <w:noProof/>
          <w:sz w:val="26"/>
          <w:szCs w:val="26"/>
          <w:lang w:eastAsia="en-NZ"/>
        </w:rPr>
        <mc:AlternateContent>
          <mc:Choice Requires="wps">
            <w:drawing>
              <wp:anchor distT="0" distB="0" distL="114300" distR="114300" simplePos="0" relativeHeight="251686912" behindDoc="0" locked="0" layoutInCell="1" allowOverlap="1" wp14:anchorId="39637EBA">
                <wp:simplePos x="0" y="0"/>
                <wp:positionH relativeFrom="column">
                  <wp:posOffset>2199640</wp:posOffset>
                </wp:positionH>
                <wp:positionV relativeFrom="paragraph">
                  <wp:posOffset>142875</wp:posOffset>
                </wp:positionV>
                <wp:extent cx="1284605" cy="359410"/>
                <wp:effectExtent l="0" t="0" r="10795" b="2159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4605" cy="359410"/>
                        </a:xfrm>
                        <a:prstGeom prst="rect">
                          <a:avLst/>
                        </a:prstGeom>
                        <a:solidFill>
                          <a:sysClr val="window" lastClr="FFFFFF"/>
                        </a:solidFill>
                        <a:ln w="25400" cap="flat" cmpd="sng" algn="ctr">
                          <a:solidFill>
                            <a:sysClr val="windowText" lastClr="000000"/>
                          </a:solidFill>
                          <a:prstDash val="solid"/>
                        </a:ln>
                        <a:effectLst/>
                      </wps:spPr>
                      <wps:txbx>
                        <w:txbxContent>
                          <w:p w:rsidR="00371B10" w:rsidRPr="009E7BC5" w:rsidRDefault="00371B10" w:rsidP="00147DCD">
                            <w:pPr>
                              <w:spacing w:before="0"/>
                              <w:ind w:left="0"/>
                              <w:jc w:val="center"/>
                              <w:rPr>
                                <w:rFonts w:cs="Arial"/>
                                <w:b/>
                              </w:rPr>
                            </w:pPr>
                            <w:r w:rsidRPr="009E7BC5">
                              <w:rPr>
                                <w:rFonts w:cs="Arial"/>
                                <w:b/>
                              </w:rPr>
                              <w:t>DR</w:t>
                            </w:r>
                            <w:r w:rsidRPr="00A5266E">
                              <w:rPr>
                                <w:rFonts w:cs="Arial"/>
                              </w:rPr>
                              <w:t>=3</w:t>
                            </w:r>
                            <w:r>
                              <w:rPr>
                                <w:rFonts w:cs="Arial"/>
                              </w:rPr>
                              <w:t>8</w:t>
                            </w:r>
                            <w:r w:rsidRPr="00A5266E">
                              <w:rPr>
                                <w:rFonts w:cs="Arial"/>
                              </w:rPr>
                              <w:t>.</w:t>
                            </w:r>
                            <w:r>
                              <w:rPr>
                                <w:rFonts w:cs="Arial"/>
                              </w:rPr>
                              <w:t xml:space="preserve">8 per </w:t>
                            </w:r>
                            <w:r w:rsidRPr="00A5266E">
                              <w:rPr>
                                <w:rFonts w:cs="Arial"/>
                              </w:rPr>
                              <w:t>1</w:t>
                            </w:r>
                            <w:r>
                              <w:rPr>
                                <w:rFonts w:cs="Arial"/>
                              </w:rPr>
                              <w:t>,</w:t>
                            </w:r>
                            <w:r w:rsidRPr="00A5266E">
                              <w:rPr>
                                <w:rFonts w:cs="Arial"/>
                              </w:rPr>
                              <w:t>000</w:t>
                            </w:r>
                            <w:r w:rsidRPr="00A5266E">
                              <w:rPr>
                                <w:rFonts w:cs="Arial"/>
                              </w:rPr>
                              <w:br/>
                            </w:r>
                            <w:r w:rsidRPr="009E7BC5">
                              <w:rPr>
                                <w:rFonts w:cs="Arial"/>
                                <w:b/>
                              </w:rPr>
                              <w:t>PPV</w:t>
                            </w:r>
                            <w:r w:rsidRPr="00A5266E">
                              <w:rPr>
                                <w:rFonts w:cs="Arial"/>
                              </w:rPr>
                              <w:t>=</w:t>
                            </w:r>
                            <w:r>
                              <w:rPr>
                                <w:rFonts w:cs="Arial"/>
                              </w:rPr>
                              <w:t>51</w:t>
                            </w:r>
                            <w:r w:rsidRPr="00A5266E">
                              <w:rPr>
                                <w:rFonts w:cs="Arial"/>
                              </w:rPr>
                              <w:t>.</w:t>
                            </w:r>
                            <w:r>
                              <w:rPr>
                                <w:rFonts w:cs="Arial"/>
                              </w:rPr>
                              <w:t>5</w:t>
                            </w:r>
                            <w:r w:rsidRPr="00A5266E">
                              <w:rPr>
                                <w:rFonts w:cs="Aria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37EBA" id="Text Box 55" o:spid="_x0000_s1040" type="#_x0000_t202" style="position:absolute;left:0;text-align:left;margin-left:173.2pt;margin-top:11.25pt;width:101.15pt;height:2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" fillcolor="window" strokecolor="windowText" strokeweight="2pt">
                <v:path arrowok="t"/>
                <v:textbox inset="0,0,0,0">
                  <w:txbxContent>
                    <w:p w:rsidR="00371B10" w:rsidRPr="009E7BC5" w:rsidRDefault="00371B10" w:rsidP="00147DCD">
                      <w:pPr>
                        <w:spacing w:before="0"/>
                        <w:ind w:left="0"/>
                        <w:jc w:val="center"/>
                        <w:rPr>
                          <w:rFonts w:cs="Arial"/>
                          <w:b/>
                        </w:rPr>
                      </w:pPr>
                      <w:r w:rsidRPr="009E7BC5">
                        <w:rPr>
                          <w:rFonts w:cs="Arial"/>
                          <w:b/>
                        </w:rPr>
                        <w:t>DR</w:t>
                      </w:r>
                      <w:r w:rsidRPr="00A5266E">
                        <w:rPr>
                          <w:rFonts w:cs="Arial"/>
                        </w:rPr>
                        <w:t>=3</w:t>
                      </w:r>
                      <w:r>
                        <w:rPr>
                          <w:rFonts w:cs="Arial"/>
                        </w:rPr>
                        <w:t>8</w:t>
                      </w:r>
                      <w:r w:rsidRPr="00A5266E">
                        <w:rPr>
                          <w:rFonts w:cs="Arial"/>
                        </w:rPr>
                        <w:t>.</w:t>
                      </w:r>
                      <w:r>
                        <w:rPr>
                          <w:rFonts w:cs="Arial"/>
                        </w:rPr>
                        <w:t xml:space="preserve">8 per </w:t>
                      </w:r>
                      <w:r w:rsidRPr="00A5266E">
                        <w:rPr>
                          <w:rFonts w:cs="Arial"/>
                        </w:rPr>
                        <w:t>1</w:t>
                      </w:r>
                      <w:r>
                        <w:rPr>
                          <w:rFonts w:cs="Arial"/>
                        </w:rPr>
                        <w:t>,</w:t>
                      </w:r>
                      <w:r w:rsidRPr="00A5266E">
                        <w:rPr>
                          <w:rFonts w:cs="Arial"/>
                        </w:rPr>
                        <w:t>000</w:t>
                      </w:r>
                      <w:r w:rsidRPr="00A5266E">
                        <w:rPr>
                          <w:rFonts w:cs="Arial"/>
                        </w:rPr>
                        <w:br/>
                      </w:r>
                      <w:r w:rsidRPr="009E7BC5">
                        <w:rPr>
                          <w:rFonts w:cs="Arial"/>
                          <w:b/>
                        </w:rPr>
                        <w:t>PPV</w:t>
                      </w:r>
                      <w:r w:rsidRPr="00A5266E">
                        <w:rPr>
                          <w:rFonts w:cs="Arial"/>
                        </w:rPr>
                        <w:t>=</w:t>
                      </w:r>
                      <w:r>
                        <w:rPr>
                          <w:rFonts w:cs="Arial"/>
                        </w:rPr>
                        <w:t>51</w:t>
                      </w:r>
                      <w:r w:rsidRPr="00A5266E">
                        <w:rPr>
                          <w:rFonts w:cs="Arial"/>
                        </w:rPr>
                        <w:t>.</w:t>
                      </w:r>
                      <w:r>
                        <w:rPr>
                          <w:rFonts w:cs="Arial"/>
                        </w:rPr>
                        <w:t>5</w:t>
                      </w:r>
                      <w:r w:rsidRPr="00A5266E">
                        <w:rPr>
                          <w:rFonts w:cs="Arial"/>
                        </w:rPr>
                        <w:t>%</w:t>
                      </w:r>
                    </w:p>
                  </w:txbxContent>
                </v:textbox>
              </v:shape>
            </w:pict>
          </mc:Fallback>
        </mc:AlternateContent>
      </w:r>
      <w:r w:rsidR="00147DCD" w:rsidRPr="00147DCD">
        <w:rPr>
          <w:rFonts w:eastAsiaTheme="minorHAnsi" w:cs="Arial"/>
          <w:sz w:val="26"/>
          <w:szCs w:val="26"/>
          <w:vertAlign w:val="superscript"/>
          <w:lang w:val="en-US" w:eastAsia="en-US"/>
        </w:rPr>
        <w:footnoteReference w:id="32"/>
      </w:r>
      <w:r>
        <w:rPr>
          <w:rFonts w:eastAsiaTheme="minorHAnsi" w:cs="Arial"/>
          <w:noProof/>
          <w:sz w:val="26"/>
          <w:szCs w:val="26"/>
          <w:lang w:eastAsia="en-NZ"/>
        </w:rPr>
        <mc:AlternateContent>
          <mc:Choice Requires="wps">
            <w:drawing>
              <wp:anchor distT="0" distB="0" distL="114300" distR="114300" simplePos="0" relativeHeight="251685888" behindDoc="0" locked="0" layoutInCell="1" allowOverlap="1" wp14:anchorId="736EC26F">
                <wp:simplePos x="0" y="0"/>
                <wp:positionH relativeFrom="column">
                  <wp:posOffset>381635</wp:posOffset>
                </wp:positionH>
                <wp:positionV relativeFrom="paragraph">
                  <wp:posOffset>151130</wp:posOffset>
                </wp:positionV>
                <wp:extent cx="1188085" cy="360045"/>
                <wp:effectExtent l="0" t="0" r="12065" b="2095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8085" cy="360045"/>
                        </a:xfrm>
                        <a:prstGeom prst="rect">
                          <a:avLst/>
                        </a:prstGeom>
                        <a:solidFill>
                          <a:sysClr val="window" lastClr="FFFFFF"/>
                        </a:solidFill>
                        <a:ln w="25400" cap="flat" cmpd="sng" algn="ctr">
                          <a:solidFill>
                            <a:sysClr val="windowText" lastClr="000000"/>
                          </a:solidFill>
                          <a:prstDash val="solid"/>
                        </a:ln>
                        <a:effectLst/>
                      </wps:spPr>
                      <wps:txbx>
                        <w:txbxContent>
                          <w:p w:rsidR="00371B10" w:rsidRPr="009E7BC5" w:rsidRDefault="00371B10" w:rsidP="00147DCD">
                            <w:pPr>
                              <w:spacing w:before="0"/>
                              <w:ind w:left="0"/>
                              <w:jc w:val="center"/>
                              <w:rPr>
                                <w:rFonts w:cs="Arial"/>
                                <w:b/>
                              </w:rPr>
                            </w:pPr>
                            <w:r w:rsidRPr="009E7BC5">
                              <w:rPr>
                                <w:rFonts w:cs="Arial"/>
                                <w:b/>
                              </w:rPr>
                              <w:t>DR</w:t>
                            </w:r>
                            <w:r w:rsidRPr="00A5266E">
                              <w:rPr>
                                <w:rFonts w:cs="Arial"/>
                              </w:rPr>
                              <w:t>=</w:t>
                            </w:r>
                            <w:r>
                              <w:rPr>
                                <w:rFonts w:cs="Arial"/>
                              </w:rPr>
                              <w:t>3</w:t>
                            </w:r>
                            <w:r w:rsidRPr="00A5266E">
                              <w:rPr>
                                <w:rFonts w:cs="Arial"/>
                              </w:rPr>
                              <w:t>.</w:t>
                            </w:r>
                            <w:r>
                              <w:rPr>
                                <w:rFonts w:cs="Arial"/>
                              </w:rPr>
                              <w:t xml:space="preserve">1 per </w:t>
                            </w:r>
                            <w:r w:rsidRPr="00A5266E">
                              <w:rPr>
                                <w:rFonts w:cs="Arial"/>
                              </w:rPr>
                              <w:t>1</w:t>
                            </w:r>
                            <w:r>
                              <w:rPr>
                                <w:rFonts w:cs="Arial"/>
                              </w:rPr>
                              <w:t>,</w:t>
                            </w:r>
                            <w:r w:rsidRPr="00A5266E">
                              <w:rPr>
                                <w:rFonts w:cs="Arial"/>
                              </w:rPr>
                              <w:t>000</w:t>
                            </w:r>
                            <w:r w:rsidRPr="009E7BC5">
                              <w:rPr>
                                <w:rFonts w:cs="Arial"/>
                                <w:b/>
                              </w:rPr>
                              <w:br/>
                              <w:t>PPV</w:t>
                            </w:r>
                            <w:r w:rsidRPr="00A5266E">
                              <w:rPr>
                                <w:rFonts w:cs="Arial"/>
                              </w:rPr>
                              <w:t>=</w:t>
                            </w:r>
                            <w:r>
                              <w:rPr>
                                <w:rFonts w:cs="Arial"/>
                              </w:rPr>
                              <w:t>4</w:t>
                            </w:r>
                            <w:r w:rsidRPr="00A5266E">
                              <w:rPr>
                                <w:rFonts w:cs="Arial"/>
                              </w:rPr>
                              <w:t>.</w:t>
                            </w:r>
                            <w:r>
                              <w:rPr>
                                <w:rFonts w:cs="Arial"/>
                              </w:rPr>
                              <w:t>1</w:t>
                            </w:r>
                            <w:r w:rsidRPr="00A5266E">
                              <w:rPr>
                                <w:rFonts w:cs="Aria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EC26F" id="Text Box 56" o:spid="_x0000_s1041" type="#_x0000_t202" style="position:absolute;left:0;text-align:left;margin-left:30.05pt;margin-top:11.9pt;width:93.55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" fillcolor="window" strokecolor="windowText" strokeweight="2pt">
                <v:path arrowok="t"/>
                <v:textbox inset="0,0,0,0">
                  <w:txbxContent>
                    <w:p w:rsidR="00371B10" w:rsidRPr="009E7BC5" w:rsidRDefault="00371B10" w:rsidP="00147DCD">
                      <w:pPr>
                        <w:spacing w:before="0"/>
                        <w:ind w:left="0"/>
                        <w:jc w:val="center"/>
                        <w:rPr>
                          <w:rFonts w:cs="Arial"/>
                          <w:b/>
                        </w:rPr>
                      </w:pPr>
                      <w:r w:rsidRPr="009E7BC5">
                        <w:rPr>
                          <w:rFonts w:cs="Arial"/>
                          <w:b/>
                        </w:rPr>
                        <w:t>DR</w:t>
                      </w:r>
                      <w:r w:rsidRPr="00A5266E">
                        <w:rPr>
                          <w:rFonts w:cs="Arial"/>
                        </w:rPr>
                        <w:t>=</w:t>
                      </w:r>
                      <w:r>
                        <w:rPr>
                          <w:rFonts w:cs="Arial"/>
                        </w:rPr>
                        <w:t>3</w:t>
                      </w:r>
                      <w:r w:rsidRPr="00A5266E">
                        <w:rPr>
                          <w:rFonts w:cs="Arial"/>
                        </w:rPr>
                        <w:t>.</w:t>
                      </w:r>
                      <w:r>
                        <w:rPr>
                          <w:rFonts w:cs="Arial"/>
                        </w:rPr>
                        <w:t xml:space="preserve">1 per </w:t>
                      </w:r>
                      <w:r w:rsidRPr="00A5266E">
                        <w:rPr>
                          <w:rFonts w:cs="Arial"/>
                        </w:rPr>
                        <w:t>1</w:t>
                      </w:r>
                      <w:r>
                        <w:rPr>
                          <w:rFonts w:cs="Arial"/>
                        </w:rPr>
                        <w:t>,</w:t>
                      </w:r>
                      <w:r w:rsidRPr="00A5266E">
                        <w:rPr>
                          <w:rFonts w:cs="Arial"/>
                        </w:rPr>
                        <w:t>000</w:t>
                      </w:r>
                      <w:r w:rsidRPr="009E7BC5">
                        <w:rPr>
                          <w:rFonts w:cs="Arial"/>
                          <w:b/>
                        </w:rPr>
                        <w:br/>
                        <w:t>PPV</w:t>
                      </w:r>
                      <w:r w:rsidRPr="00A5266E">
                        <w:rPr>
                          <w:rFonts w:cs="Arial"/>
                        </w:rPr>
                        <w:t>=</w:t>
                      </w:r>
                      <w:r>
                        <w:rPr>
                          <w:rFonts w:cs="Arial"/>
                        </w:rPr>
                        <w:t>4</w:t>
                      </w:r>
                      <w:r w:rsidRPr="00A5266E">
                        <w:rPr>
                          <w:rFonts w:cs="Arial"/>
                        </w:rPr>
                        <w:t>.</w:t>
                      </w:r>
                      <w:r>
                        <w:rPr>
                          <w:rFonts w:cs="Arial"/>
                        </w:rPr>
                        <w:t>1</w:t>
                      </w:r>
                      <w:r w:rsidRPr="00A5266E">
                        <w:rPr>
                          <w:rFonts w:cs="Arial"/>
                        </w:rPr>
                        <w:t>%</w:t>
                      </w:r>
                    </w:p>
                  </w:txbxContent>
                </v:textbox>
              </v:shape>
            </w:pict>
          </mc:Fallback>
        </mc:AlternateContent>
      </w:r>
    </w:p>
    <w:p w:rsidR="00147DCD" w:rsidRPr="00147DCD" w:rsidRDefault="00565301" w:rsidP="00147DCD">
      <w:pPr>
        <w:spacing w:before="0" w:after="200" w:line="276" w:lineRule="auto"/>
        <w:ind w:left="0"/>
        <w:jc w:val="center"/>
        <w:rPr>
          <w:rFonts w:eastAsiaTheme="minorHAnsi" w:cs="Arial"/>
          <w:sz w:val="26"/>
          <w:szCs w:val="26"/>
          <w:lang w:val="en-US" w:eastAsia="en-US"/>
        </w:rPr>
      </w:pPr>
      <w:r>
        <w:rPr>
          <w:rFonts w:eastAsiaTheme="minorHAnsi" w:cs="Arial"/>
          <w:noProof/>
          <w:sz w:val="26"/>
          <w:szCs w:val="26"/>
          <w:lang w:eastAsia="en-NZ"/>
        </w:rPr>
        <mc:AlternateContent>
          <mc:Choice Requires="wps">
            <w:drawing>
              <wp:anchor distT="0" distB="0" distL="114300" distR="114300" simplePos="0" relativeHeight="251684864" behindDoc="0" locked="0" layoutInCell="1" allowOverlap="1" wp14:anchorId="73AD0DF7">
                <wp:simplePos x="0" y="0"/>
                <wp:positionH relativeFrom="column">
                  <wp:posOffset>1896745</wp:posOffset>
                </wp:positionH>
                <wp:positionV relativeFrom="paragraph">
                  <wp:posOffset>325120</wp:posOffset>
                </wp:positionV>
                <wp:extent cx="1871980" cy="647700"/>
                <wp:effectExtent l="0" t="0" r="13970" b="19050"/>
                <wp:wrapNone/>
                <wp:docPr id="58" name="Rounded 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980" cy="64770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371B10" w:rsidRPr="00C773C4" w:rsidRDefault="00371B10" w:rsidP="00147DCD">
                            <w:pPr>
                              <w:spacing w:before="0"/>
                              <w:ind w:left="0"/>
                              <w:jc w:val="center"/>
                              <w:rPr>
                                <w:rFonts w:cs="Arial"/>
                                <w:sz w:val="28"/>
                                <w:szCs w:val="28"/>
                              </w:rPr>
                            </w:pPr>
                            <w:r w:rsidRPr="00C773C4">
                              <w:rPr>
                                <w:rFonts w:cs="Arial"/>
                                <w:b/>
                                <w:sz w:val="28"/>
                                <w:szCs w:val="28"/>
                              </w:rPr>
                              <w:t>Advanced Adenoma</w:t>
                            </w:r>
                            <w:r w:rsidRPr="002D40F9">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1,158</w:t>
                            </w:r>
                            <w:r w:rsidRPr="00C773C4">
                              <w:rPr>
                                <w:rFonts w:cs="Arial"/>
                                <w:sz w:val="28"/>
                                <w:szCs w:val="28"/>
                              </w:rPr>
                              <w:t xml:space="preserve"> (</w:t>
                            </w:r>
                            <w:r>
                              <w:rPr>
                                <w:rFonts w:cs="Arial"/>
                                <w:sz w:val="28"/>
                                <w:szCs w:val="28"/>
                              </w:rPr>
                              <w:t>43</w:t>
                            </w:r>
                            <w:r w:rsidRPr="00C773C4">
                              <w:rPr>
                                <w:rFonts w:cs="Arial"/>
                                <w:sz w:val="28"/>
                                <w:szCs w:val="28"/>
                              </w:rPr>
                              <w:t>.</w:t>
                            </w:r>
                            <w:r>
                              <w:rPr>
                                <w:rFonts w:cs="Arial"/>
                                <w:sz w:val="28"/>
                                <w:szCs w:val="28"/>
                              </w:rPr>
                              <w:t>1</w:t>
                            </w:r>
                            <w:r w:rsidRPr="00C773C4">
                              <w:rPr>
                                <w:rFonts w:cs="Arial"/>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D0DF7" id="Rounded Rectangle 58" o:spid="_x0000_s1042" style="position:absolute;left:0;text-align:left;margin-left:149.35pt;margin-top:25.6pt;width:147.4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" fillcolor="windowText"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Advanced Adenoma</w:t>
                      </w:r>
                      <w:r w:rsidRPr="002D40F9">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1,158</w:t>
                      </w:r>
                      <w:r w:rsidRPr="00C773C4">
                        <w:rPr>
                          <w:rFonts w:cs="Arial"/>
                          <w:sz w:val="28"/>
                          <w:szCs w:val="28"/>
                        </w:rPr>
                        <w:t xml:space="preserve"> (</w:t>
                      </w:r>
                      <w:r>
                        <w:rPr>
                          <w:rFonts w:cs="Arial"/>
                          <w:sz w:val="28"/>
                          <w:szCs w:val="28"/>
                        </w:rPr>
                        <w:t>43</w:t>
                      </w:r>
                      <w:r w:rsidRPr="00C773C4">
                        <w:rPr>
                          <w:rFonts w:cs="Arial"/>
                          <w:sz w:val="28"/>
                          <w:szCs w:val="28"/>
                        </w:rPr>
                        <w:t>.</w:t>
                      </w:r>
                      <w:r>
                        <w:rPr>
                          <w:rFonts w:cs="Arial"/>
                          <w:sz w:val="28"/>
                          <w:szCs w:val="28"/>
                        </w:rPr>
                        <w:t>1</w:t>
                      </w:r>
                      <w:r w:rsidRPr="00C773C4">
                        <w:rPr>
                          <w:rFonts w:cs="Arial"/>
                          <w:sz w:val="28"/>
                          <w:szCs w:val="28"/>
                        </w:rPr>
                        <w:t>%)</w:t>
                      </w:r>
                    </w:p>
                  </w:txbxContent>
                </v:textbox>
              </v:roundrect>
            </w:pict>
          </mc:Fallback>
        </mc:AlternateContent>
      </w:r>
      <w:r>
        <w:rPr>
          <w:rFonts w:eastAsiaTheme="minorHAnsi" w:cs="Arial"/>
          <w:noProof/>
          <w:sz w:val="26"/>
          <w:szCs w:val="26"/>
          <w:lang w:eastAsia="en-NZ"/>
        </w:rPr>
        <mc:AlternateContent>
          <mc:Choice Requires="wps">
            <w:drawing>
              <wp:anchor distT="0" distB="0" distL="114300" distR="114300" simplePos="0" relativeHeight="251671552" behindDoc="0" locked="0" layoutInCell="1" allowOverlap="1" wp14:anchorId="31DB67D9">
                <wp:simplePos x="0" y="0"/>
                <wp:positionH relativeFrom="column">
                  <wp:posOffset>2833370</wp:posOffset>
                </wp:positionH>
                <wp:positionV relativeFrom="paragraph">
                  <wp:posOffset>158115</wp:posOffset>
                </wp:positionV>
                <wp:extent cx="0" cy="144145"/>
                <wp:effectExtent l="19685" t="25400" r="27940" b="49530"/>
                <wp:wrapNone/>
                <wp:docPr id="46"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38100">
                          <a:solidFill>
                            <a:srgbClr val="00BABF"/>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67671CDD" id="Straight Arrow Connector 57" o:spid="_x0000_s1026" type="#_x0000_t32" style="position:absolute;margin-left:223.1pt;margin-top:12.45pt;width:0;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" strokecolor="#00babf" strokeweight="3pt">
                <v:shadow on="t" opacity="22936f" origin=",.5" offset="0,.63889mm"/>
              </v:shape>
            </w:pict>
          </mc:Fallback>
        </mc:AlternateContent>
      </w:r>
    </w:p>
    <w:p w:rsidR="00147DCD" w:rsidRPr="00147DCD" w:rsidRDefault="00147DCD" w:rsidP="00147DCD">
      <w:pPr>
        <w:spacing w:before="0" w:after="200" w:line="276" w:lineRule="auto"/>
        <w:ind w:left="0"/>
        <w:jc w:val="center"/>
        <w:rPr>
          <w:rFonts w:eastAsiaTheme="minorHAnsi" w:cs="Arial"/>
          <w:sz w:val="26"/>
          <w:szCs w:val="26"/>
          <w:lang w:val="en-US" w:eastAsia="en-US"/>
        </w:rPr>
      </w:pPr>
    </w:p>
    <w:p w:rsidR="00147DCD" w:rsidRPr="00147DCD" w:rsidRDefault="00565301" w:rsidP="00147DCD">
      <w:pPr>
        <w:spacing w:before="0" w:after="200" w:line="276" w:lineRule="auto"/>
        <w:ind w:left="0"/>
        <w:jc w:val="center"/>
        <w:rPr>
          <w:rFonts w:eastAsiaTheme="minorHAnsi" w:cs="Arial"/>
          <w:sz w:val="26"/>
          <w:szCs w:val="26"/>
          <w:lang w:val="en-US" w:eastAsia="en-US"/>
        </w:rPr>
      </w:pPr>
      <w:r>
        <w:rPr>
          <w:rFonts w:eastAsiaTheme="minorHAnsi" w:cs="Arial"/>
          <w:noProof/>
          <w:sz w:val="26"/>
          <w:szCs w:val="26"/>
          <w:lang w:eastAsia="en-NZ"/>
        </w:rPr>
        <mc:AlternateContent>
          <mc:Choice Requires="wps">
            <w:drawing>
              <wp:anchor distT="0" distB="0" distL="114300" distR="114300" simplePos="0" relativeHeight="251687936" behindDoc="0" locked="0" layoutInCell="1" allowOverlap="1" wp14:anchorId="530D9924">
                <wp:simplePos x="0" y="0"/>
                <wp:positionH relativeFrom="column">
                  <wp:posOffset>2199640</wp:posOffset>
                </wp:positionH>
                <wp:positionV relativeFrom="paragraph">
                  <wp:posOffset>302260</wp:posOffset>
                </wp:positionV>
                <wp:extent cx="1285240" cy="360045"/>
                <wp:effectExtent l="0" t="0" r="10160" b="2095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240" cy="360045"/>
                        </a:xfrm>
                        <a:prstGeom prst="rect">
                          <a:avLst/>
                        </a:prstGeom>
                        <a:solidFill>
                          <a:sysClr val="window" lastClr="FFFFFF"/>
                        </a:solidFill>
                        <a:ln w="25400" cap="flat" cmpd="sng" algn="ctr">
                          <a:solidFill>
                            <a:sysClr val="windowText" lastClr="000000"/>
                          </a:solidFill>
                          <a:prstDash val="solid"/>
                        </a:ln>
                        <a:effectLst/>
                      </wps:spPr>
                      <wps:txbx>
                        <w:txbxContent>
                          <w:p w:rsidR="00371B10" w:rsidRPr="00A5266E" w:rsidRDefault="00371B10" w:rsidP="00147DCD">
                            <w:pPr>
                              <w:spacing w:before="0"/>
                              <w:ind w:left="0"/>
                              <w:jc w:val="center"/>
                              <w:rPr>
                                <w:rFonts w:cs="Arial"/>
                              </w:rPr>
                            </w:pPr>
                            <w:r w:rsidRPr="009E7BC5">
                              <w:rPr>
                                <w:rFonts w:cs="Arial"/>
                                <w:b/>
                              </w:rPr>
                              <w:t>DR</w:t>
                            </w:r>
                            <w:r w:rsidRPr="00A5266E">
                              <w:rPr>
                                <w:rFonts w:cs="Arial"/>
                              </w:rPr>
                              <w:t>=1</w:t>
                            </w:r>
                            <w:r>
                              <w:rPr>
                                <w:rFonts w:cs="Arial"/>
                              </w:rPr>
                              <w:t>6</w:t>
                            </w:r>
                            <w:r w:rsidRPr="00A5266E">
                              <w:rPr>
                                <w:rFonts w:cs="Arial"/>
                              </w:rPr>
                              <w:t>.</w:t>
                            </w:r>
                            <w:r>
                              <w:rPr>
                                <w:rFonts w:cs="Arial"/>
                              </w:rPr>
                              <w:t xml:space="preserve">7 per </w:t>
                            </w:r>
                            <w:r w:rsidRPr="00A5266E">
                              <w:rPr>
                                <w:rFonts w:cs="Arial"/>
                              </w:rPr>
                              <w:t>1</w:t>
                            </w:r>
                            <w:r>
                              <w:rPr>
                                <w:rFonts w:cs="Arial"/>
                              </w:rPr>
                              <w:t>,</w:t>
                            </w:r>
                            <w:r w:rsidRPr="00A5266E">
                              <w:rPr>
                                <w:rFonts w:cs="Arial"/>
                              </w:rPr>
                              <w:t>000</w:t>
                            </w:r>
                            <w:r w:rsidRPr="00A5266E">
                              <w:rPr>
                                <w:rFonts w:cs="Arial"/>
                              </w:rPr>
                              <w:br/>
                            </w:r>
                            <w:r w:rsidRPr="009E7BC5">
                              <w:rPr>
                                <w:rFonts w:cs="Arial"/>
                                <w:b/>
                              </w:rPr>
                              <w:t>PPV</w:t>
                            </w:r>
                            <w:r w:rsidRPr="00A5266E">
                              <w:rPr>
                                <w:rFonts w:cs="Arial"/>
                              </w:rPr>
                              <w:t>=2</w:t>
                            </w:r>
                            <w:r>
                              <w:rPr>
                                <w:rFonts w:cs="Arial"/>
                              </w:rPr>
                              <w:t>2</w:t>
                            </w:r>
                            <w:r w:rsidRPr="00A5266E">
                              <w:rPr>
                                <w:rFonts w:cs="Arial"/>
                              </w:rPr>
                              <w:t>.</w:t>
                            </w:r>
                            <w:r>
                              <w:rPr>
                                <w:rFonts w:cs="Arial"/>
                              </w:rPr>
                              <w:t>2</w:t>
                            </w:r>
                            <w:r w:rsidRPr="00A5266E">
                              <w:rPr>
                                <w:rFonts w:cs="Aria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D9924" id="Text Box 59" o:spid="_x0000_s1043" type="#_x0000_t202" style="position:absolute;left:0;text-align:left;margin-left:173.2pt;margin-top:23.8pt;width:101.2pt;height:28.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" fillcolor="window" strokecolor="windowText" strokeweight="2pt">
                <v:path arrowok="t"/>
                <v:textbox inset="0,0,0,0">
                  <w:txbxContent>
                    <w:p w:rsidR="00371B10" w:rsidRPr="00A5266E" w:rsidRDefault="00371B10" w:rsidP="00147DCD">
                      <w:pPr>
                        <w:spacing w:before="0"/>
                        <w:ind w:left="0"/>
                        <w:jc w:val="center"/>
                        <w:rPr>
                          <w:rFonts w:cs="Arial"/>
                        </w:rPr>
                      </w:pPr>
                      <w:r w:rsidRPr="009E7BC5">
                        <w:rPr>
                          <w:rFonts w:cs="Arial"/>
                          <w:b/>
                        </w:rPr>
                        <w:t>DR</w:t>
                      </w:r>
                      <w:r w:rsidRPr="00A5266E">
                        <w:rPr>
                          <w:rFonts w:cs="Arial"/>
                        </w:rPr>
                        <w:t>=1</w:t>
                      </w:r>
                      <w:r>
                        <w:rPr>
                          <w:rFonts w:cs="Arial"/>
                        </w:rPr>
                        <w:t>6</w:t>
                      </w:r>
                      <w:r w:rsidRPr="00A5266E">
                        <w:rPr>
                          <w:rFonts w:cs="Arial"/>
                        </w:rPr>
                        <w:t>.</w:t>
                      </w:r>
                      <w:r>
                        <w:rPr>
                          <w:rFonts w:cs="Arial"/>
                        </w:rPr>
                        <w:t xml:space="preserve">7 per </w:t>
                      </w:r>
                      <w:r w:rsidRPr="00A5266E">
                        <w:rPr>
                          <w:rFonts w:cs="Arial"/>
                        </w:rPr>
                        <w:t>1</w:t>
                      </w:r>
                      <w:r>
                        <w:rPr>
                          <w:rFonts w:cs="Arial"/>
                        </w:rPr>
                        <w:t>,</w:t>
                      </w:r>
                      <w:r w:rsidRPr="00A5266E">
                        <w:rPr>
                          <w:rFonts w:cs="Arial"/>
                        </w:rPr>
                        <w:t>000</w:t>
                      </w:r>
                      <w:r w:rsidRPr="00A5266E">
                        <w:rPr>
                          <w:rFonts w:cs="Arial"/>
                        </w:rPr>
                        <w:br/>
                      </w:r>
                      <w:r w:rsidRPr="009E7BC5">
                        <w:rPr>
                          <w:rFonts w:cs="Arial"/>
                          <w:b/>
                        </w:rPr>
                        <w:t>PPV</w:t>
                      </w:r>
                      <w:r w:rsidRPr="00A5266E">
                        <w:rPr>
                          <w:rFonts w:cs="Arial"/>
                        </w:rPr>
                        <w:t>=2</w:t>
                      </w:r>
                      <w:r>
                        <w:rPr>
                          <w:rFonts w:cs="Arial"/>
                        </w:rPr>
                        <w:t>2</w:t>
                      </w:r>
                      <w:r w:rsidRPr="00A5266E">
                        <w:rPr>
                          <w:rFonts w:cs="Arial"/>
                        </w:rPr>
                        <w:t>.</w:t>
                      </w:r>
                      <w:r>
                        <w:rPr>
                          <w:rFonts w:cs="Arial"/>
                        </w:rPr>
                        <w:t>2</w:t>
                      </w:r>
                      <w:r w:rsidRPr="00A5266E">
                        <w:rPr>
                          <w:rFonts w:cs="Arial"/>
                        </w:rPr>
                        <w:t>%</w:t>
                      </w:r>
                    </w:p>
                  </w:txbxContent>
                </v:textbox>
              </v:shape>
            </w:pict>
          </mc:Fallback>
        </mc:AlternateContent>
      </w:r>
    </w:p>
    <w:p w:rsidR="00147DCD" w:rsidRPr="00147DCD" w:rsidRDefault="00147DCD" w:rsidP="00147DCD">
      <w:pPr>
        <w:spacing w:before="0" w:after="200" w:line="276" w:lineRule="auto"/>
        <w:ind w:left="0"/>
        <w:jc w:val="center"/>
        <w:rPr>
          <w:rFonts w:eastAsiaTheme="minorHAnsi" w:cs="Arial"/>
          <w:sz w:val="26"/>
          <w:szCs w:val="26"/>
          <w:lang w:val="en-US" w:eastAsia="en-US"/>
        </w:rPr>
      </w:pPr>
    </w:p>
    <w:p w:rsidR="00147DCD" w:rsidRPr="00147DCD" w:rsidRDefault="00565301" w:rsidP="00147DCD">
      <w:pPr>
        <w:spacing w:before="0" w:after="200" w:line="276" w:lineRule="auto"/>
        <w:ind w:left="0"/>
        <w:jc w:val="center"/>
        <w:rPr>
          <w:rFonts w:eastAsiaTheme="minorHAnsi" w:cs="Arial"/>
          <w:sz w:val="26"/>
          <w:szCs w:val="26"/>
          <w:lang w:val="en-US" w:eastAsia="en-US"/>
        </w:rPr>
      </w:pPr>
      <w:r>
        <w:rPr>
          <w:rFonts w:eastAsiaTheme="minorHAnsi" w:cs="Arial"/>
          <w:noProof/>
          <w:sz w:val="26"/>
          <w:szCs w:val="26"/>
          <w:lang w:eastAsia="en-NZ"/>
        </w:rPr>
        <mc:AlternateContent>
          <mc:Choice Requires="wps">
            <w:drawing>
              <wp:anchor distT="0" distB="0" distL="114300" distR="114300" simplePos="0" relativeHeight="251693056" behindDoc="0" locked="0" layoutInCell="1" allowOverlap="1" wp14:anchorId="05973C15">
                <wp:simplePos x="0" y="0"/>
                <wp:positionH relativeFrom="column">
                  <wp:posOffset>3914775</wp:posOffset>
                </wp:positionH>
                <wp:positionV relativeFrom="paragraph">
                  <wp:posOffset>183515</wp:posOffset>
                </wp:positionV>
                <wp:extent cx="1943735" cy="539750"/>
                <wp:effectExtent l="0" t="0" r="18415" b="1270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735" cy="539750"/>
                        </a:xfrm>
                        <a:prstGeom prst="rect">
                          <a:avLst/>
                        </a:prstGeom>
                        <a:solidFill>
                          <a:sysClr val="window" lastClr="FFFFFF"/>
                        </a:solidFill>
                        <a:ln w="19050" cap="flat" cmpd="sng" algn="ctr">
                          <a:solidFill>
                            <a:srgbClr val="00BABF"/>
                          </a:solidFill>
                          <a:prstDash val="sysDash"/>
                        </a:ln>
                        <a:effectLst/>
                      </wps:spPr>
                      <wps:txbx>
                        <w:txbxContent>
                          <w:p w:rsidR="00371B10" w:rsidRPr="002D40F9" w:rsidRDefault="00371B10" w:rsidP="00147DCD">
                            <w:pPr>
                              <w:tabs>
                                <w:tab w:val="left" w:pos="3402"/>
                              </w:tabs>
                              <w:spacing w:before="0"/>
                              <w:ind w:left="0"/>
                              <w:rPr>
                                <w:rFonts w:cs="Arial"/>
                                <w:sz w:val="18"/>
                                <w:szCs w:val="18"/>
                              </w:rPr>
                            </w:pPr>
                            <w:r w:rsidRPr="00966241">
                              <w:rPr>
                                <w:rFonts w:cs="Arial"/>
                                <w:sz w:val="18"/>
                                <w:szCs w:val="18"/>
                              </w:rPr>
                              <w:br/>
                            </w:r>
                            <w:r>
                              <w:rPr>
                                <w:rFonts w:cs="Arial"/>
                                <w:b/>
                                <w:sz w:val="20"/>
                                <w:szCs w:val="18"/>
                              </w:rPr>
                              <w:t>†</w:t>
                            </w:r>
                            <w:r w:rsidRPr="00775001">
                              <w:rPr>
                                <w:rFonts w:cs="Arial"/>
                                <w:b/>
                                <w:sz w:val="20"/>
                                <w:szCs w:val="18"/>
                              </w:rPr>
                              <w:t xml:space="preserve"> </w:t>
                            </w:r>
                            <w:r>
                              <w:rPr>
                                <w:rFonts w:cs="Arial"/>
                                <w:b/>
                                <w:sz w:val="20"/>
                                <w:szCs w:val="18"/>
                              </w:rPr>
                              <w:t>:</w:t>
                            </w:r>
                            <w:r w:rsidRPr="00775001">
                              <w:rPr>
                                <w:rFonts w:cs="Arial"/>
                                <w:b/>
                                <w:sz w:val="20"/>
                                <w:szCs w:val="18"/>
                              </w:rPr>
                              <w:t xml:space="preserve"> </w:t>
                            </w:r>
                            <w:r>
                              <w:rPr>
                                <w:rFonts w:cs="Arial"/>
                                <w:sz w:val="20"/>
                                <w:szCs w:val="18"/>
                              </w:rPr>
                              <w:t>WDHB</w:t>
                            </w:r>
                            <w:r w:rsidRPr="002D40F9">
                              <w:rPr>
                                <w:rFonts w:cs="Arial"/>
                                <w:sz w:val="20"/>
                                <w:szCs w:val="18"/>
                              </w:rPr>
                              <w:br/>
                            </w:r>
                            <w:r>
                              <w:rPr>
                                <w:rFonts w:cs="Arial"/>
                                <w:b/>
                                <w:sz w:val="20"/>
                                <w:szCs w:val="18"/>
                              </w:rPr>
                              <w:t xml:space="preserve">‡ : </w:t>
                            </w:r>
                            <w:r>
                              <w:rPr>
                                <w:rFonts w:cs="Arial"/>
                                <w:sz w:val="20"/>
                                <w:szCs w:val="18"/>
                              </w:rPr>
                              <w:t>WDHB and other</w:t>
                            </w:r>
                          </w:p>
                          <w:p w:rsidR="00371B10" w:rsidRPr="00966241" w:rsidRDefault="00371B10" w:rsidP="00147DCD">
                            <w:pPr>
                              <w:tabs>
                                <w:tab w:val="left" w:pos="3402"/>
                              </w:tabs>
                              <w:rPr>
                                <w:rFonts w:cs="Arial"/>
                                <w:sz w:val="18"/>
                                <w:szCs w:val="18"/>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73C15" id="Text Box 104" o:spid="_x0000_s1044" type="#_x0000_t202" style="position:absolute;left:0;text-align:left;margin-left:308.25pt;margin-top:14.45pt;width:153.05pt;height: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" fillcolor="window" strokecolor="#00babf" strokeweight="1.5pt">
                <v:stroke dashstyle="3 1"/>
                <v:path arrowok="t"/>
                <v:textbox inset="1mm,1mm,1mm,1mm">
                  <w:txbxContent>
                    <w:p w:rsidR="00371B10" w:rsidRPr="002D40F9" w:rsidRDefault="00371B10" w:rsidP="00147DCD">
                      <w:pPr>
                        <w:tabs>
                          <w:tab w:val="left" w:pos="3402"/>
                        </w:tabs>
                        <w:spacing w:before="0"/>
                        <w:ind w:left="0"/>
                        <w:rPr>
                          <w:rFonts w:cs="Arial"/>
                          <w:sz w:val="18"/>
                          <w:szCs w:val="18"/>
                        </w:rPr>
                      </w:pPr>
                      <w:r w:rsidRPr="00966241">
                        <w:rPr>
                          <w:rFonts w:cs="Arial"/>
                          <w:sz w:val="18"/>
                          <w:szCs w:val="18"/>
                        </w:rPr>
                        <w:br/>
                      </w:r>
                      <w:r>
                        <w:rPr>
                          <w:rFonts w:cs="Arial"/>
                          <w:b/>
                          <w:sz w:val="20"/>
                          <w:szCs w:val="18"/>
                        </w:rPr>
                        <w:t>†</w:t>
                      </w:r>
                      <w:r w:rsidRPr="00775001">
                        <w:rPr>
                          <w:rFonts w:cs="Arial"/>
                          <w:b/>
                          <w:sz w:val="20"/>
                          <w:szCs w:val="18"/>
                        </w:rPr>
                        <w:t xml:space="preserve"> </w:t>
                      </w:r>
                      <w:r>
                        <w:rPr>
                          <w:rFonts w:cs="Arial"/>
                          <w:b/>
                          <w:sz w:val="20"/>
                          <w:szCs w:val="18"/>
                        </w:rPr>
                        <w:t>:</w:t>
                      </w:r>
                      <w:r w:rsidRPr="00775001">
                        <w:rPr>
                          <w:rFonts w:cs="Arial"/>
                          <w:b/>
                          <w:sz w:val="20"/>
                          <w:szCs w:val="18"/>
                        </w:rPr>
                        <w:t xml:space="preserve"> </w:t>
                      </w:r>
                      <w:r>
                        <w:rPr>
                          <w:rFonts w:cs="Arial"/>
                          <w:sz w:val="20"/>
                          <w:szCs w:val="18"/>
                        </w:rPr>
                        <w:t>WDHB</w:t>
                      </w:r>
                      <w:r w:rsidRPr="002D40F9">
                        <w:rPr>
                          <w:rFonts w:cs="Arial"/>
                          <w:sz w:val="20"/>
                          <w:szCs w:val="18"/>
                        </w:rPr>
                        <w:br/>
                      </w:r>
                      <w:r>
                        <w:rPr>
                          <w:rFonts w:cs="Arial"/>
                          <w:b/>
                          <w:sz w:val="20"/>
                          <w:szCs w:val="18"/>
                        </w:rPr>
                        <w:t xml:space="preserve">‡ : </w:t>
                      </w:r>
                      <w:r>
                        <w:rPr>
                          <w:rFonts w:cs="Arial"/>
                          <w:sz w:val="20"/>
                          <w:szCs w:val="18"/>
                        </w:rPr>
                        <w:t>WDHB and other</w:t>
                      </w:r>
                    </w:p>
                    <w:p w:rsidR="00371B10" w:rsidRPr="00966241" w:rsidRDefault="00371B10" w:rsidP="00147DCD">
                      <w:pPr>
                        <w:tabs>
                          <w:tab w:val="left" w:pos="3402"/>
                        </w:tabs>
                        <w:rPr>
                          <w:rFonts w:cs="Arial"/>
                          <w:sz w:val="18"/>
                          <w:szCs w:val="18"/>
                        </w:rPr>
                      </w:pPr>
                    </w:p>
                  </w:txbxContent>
                </v:textbox>
              </v:shape>
            </w:pict>
          </mc:Fallback>
        </mc:AlternateContent>
      </w:r>
      <w:r>
        <w:rPr>
          <w:rFonts w:eastAsiaTheme="minorHAnsi" w:cs="Arial"/>
          <w:noProof/>
          <w:sz w:val="26"/>
          <w:szCs w:val="26"/>
          <w:lang w:eastAsia="en-NZ"/>
        </w:rPr>
        <mc:AlternateContent>
          <mc:Choice Requires="wps">
            <w:drawing>
              <wp:anchor distT="0" distB="0" distL="114300" distR="114300" simplePos="0" relativeHeight="251688960" behindDoc="0" locked="0" layoutInCell="1" allowOverlap="1" wp14:anchorId="6F45D233">
                <wp:simplePos x="0" y="0"/>
                <wp:positionH relativeFrom="column">
                  <wp:posOffset>-47625</wp:posOffset>
                </wp:positionH>
                <wp:positionV relativeFrom="paragraph">
                  <wp:posOffset>180340</wp:posOffset>
                </wp:positionV>
                <wp:extent cx="3959860" cy="539750"/>
                <wp:effectExtent l="0" t="0" r="21590" b="1270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9860" cy="539750"/>
                        </a:xfrm>
                        <a:prstGeom prst="rect">
                          <a:avLst/>
                        </a:prstGeom>
                        <a:solidFill>
                          <a:sysClr val="window" lastClr="FFFFFF"/>
                        </a:solidFill>
                        <a:ln w="19050" cap="flat" cmpd="sng" algn="ctr">
                          <a:solidFill>
                            <a:srgbClr val="00BABF"/>
                          </a:solidFill>
                          <a:prstDash val="sysDash"/>
                        </a:ln>
                        <a:effectLst/>
                      </wps:spPr>
                      <wps:txbx>
                        <w:txbxContent>
                          <w:p w:rsidR="00371B10" w:rsidRPr="002D40F9" w:rsidRDefault="00371B10" w:rsidP="00147DCD">
                            <w:pPr>
                              <w:tabs>
                                <w:tab w:val="left" w:pos="3402"/>
                              </w:tabs>
                              <w:spacing w:before="0"/>
                              <w:ind w:left="0"/>
                              <w:rPr>
                                <w:rFonts w:cs="Arial"/>
                                <w:sz w:val="18"/>
                                <w:szCs w:val="18"/>
                                <w:u w:val="single"/>
                              </w:rPr>
                            </w:pPr>
                            <w:r w:rsidRPr="00966241">
                              <w:rPr>
                                <w:rFonts w:cs="Arial"/>
                                <w:sz w:val="18"/>
                                <w:szCs w:val="18"/>
                                <w:u w:val="single"/>
                              </w:rPr>
                              <w:t>Key:</w:t>
                            </w:r>
                            <w:r w:rsidRPr="00966241">
                              <w:rPr>
                                <w:rFonts w:cs="Arial"/>
                                <w:sz w:val="18"/>
                                <w:szCs w:val="18"/>
                              </w:rPr>
                              <w:br/>
                            </w:r>
                            <w:r w:rsidRPr="00775001">
                              <w:rPr>
                                <w:rFonts w:cs="Arial"/>
                                <w:b/>
                                <w:sz w:val="20"/>
                                <w:szCs w:val="18"/>
                              </w:rPr>
                              <w:t>DR = Detection Rate</w:t>
                            </w:r>
                            <w:r>
                              <w:rPr>
                                <w:rFonts w:cs="Arial"/>
                                <w:b/>
                                <w:sz w:val="20"/>
                                <w:szCs w:val="18"/>
                              </w:rPr>
                              <w:t xml:space="preserve"> </w:t>
                            </w:r>
                            <w:r w:rsidRPr="00966241">
                              <w:rPr>
                                <w:rFonts w:cs="Arial"/>
                                <w:sz w:val="18"/>
                                <w:szCs w:val="18"/>
                              </w:rPr>
                              <w:t xml:space="preserve">= n / </w:t>
                            </w:r>
                            <w:r>
                              <w:rPr>
                                <w:rFonts w:cs="Arial"/>
                                <w:sz w:val="18"/>
                                <w:szCs w:val="18"/>
                              </w:rPr>
                              <w:t>Completed kit</w:t>
                            </w:r>
                            <w:r w:rsidRPr="00966241">
                              <w:rPr>
                                <w:rFonts w:cs="Arial"/>
                                <w:sz w:val="18"/>
                                <w:szCs w:val="18"/>
                              </w:rPr>
                              <w:t xml:space="preserve"> * 1</w:t>
                            </w:r>
                            <w:r>
                              <w:rPr>
                                <w:rFonts w:cs="Arial"/>
                                <w:sz w:val="18"/>
                                <w:szCs w:val="18"/>
                              </w:rPr>
                              <w:t>,</w:t>
                            </w:r>
                            <w:r w:rsidRPr="00966241">
                              <w:rPr>
                                <w:rFonts w:cs="Arial"/>
                                <w:sz w:val="18"/>
                                <w:szCs w:val="18"/>
                              </w:rPr>
                              <w:t>000</w:t>
                            </w:r>
                            <w:r>
                              <w:rPr>
                                <w:rFonts w:cs="Arial"/>
                                <w:b/>
                                <w:sz w:val="20"/>
                                <w:szCs w:val="18"/>
                              </w:rPr>
                              <w:br/>
                            </w:r>
                            <w:r w:rsidRPr="00775001">
                              <w:rPr>
                                <w:rFonts w:cs="Arial"/>
                                <w:b/>
                                <w:sz w:val="20"/>
                                <w:szCs w:val="18"/>
                              </w:rPr>
                              <w:t>PPV = Positive Predictive Value of iFOBT</w:t>
                            </w:r>
                            <w:r>
                              <w:rPr>
                                <w:rFonts w:cs="Arial"/>
                                <w:b/>
                                <w:sz w:val="20"/>
                                <w:szCs w:val="18"/>
                              </w:rPr>
                              <w:t xml:space="preserve"> </w:t>
                            </w:r>
                            <w:r w:rsidRPr="00966241">
                              <w:rPr>
                                <w:rFonts w:cs="Arial"/>
                                <w:sz w:val="18"/>
                                <w:szCs w:val="18"/>
                              </w:rPr>
                              <w:t>= n / Positive iFOBT * 100</w:t>
                            </w:r>
                          </w:p>
                          <w:p w:rsidR="00371B10" w:rsidRPr="00966241" w:rsidRDefault="00371B10" w:rsidP="00147DCD">
                            <w:pPr>
                              <w:tabs>
                                <w:tab w:val="left" w:pos="3402"/>
                              </w:tabs>
                              <w:spacing w:before="0"/>
                              <w:ind w:left="0"/>
                              <w:rPr>
                                <w:rFonts w:cs="Arial"/>
                                <w:sz w:val="18"/>
                                <w:szCs w:val="18"/>
                              </w:rPr>
                            </w:pPr>
                            <w:r w:rsidRPr="00966241">
                              <w:rPr>
                                <w:rFonts w:cs="Arial"/>
                                <w:sz w:val="18"/>
                                <w:szCs w:val="18"/>
                              </w:rPr>
                              <w:br/>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5D233" id="Text Box 60" o:spid="_x0000_s1045" type="#_x0000_t202" style="position:absolute;left:0;text-align:left;margin-left:-3.75pt;margin-top:14.2pt;width:311.8pt;height: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" fillcolor="window" strokecolor="#00babf" strokeweight="1.5pt">
                <v:stroke dashstyle="3 1"/>
                <v:path arrowok="t"/>
                <v:textbox inset="1mm,1mm,1mm,1mm">
                  <w:txbxContent>
                    <w:p w:rsidR="00371B10" w:rsidRPr="002D40F9" w:rsidRDefault="00371B10" w:rsidP="00147DCD">
                      <w:pPr>
                        <w:tabs>
                          <w:tab w:val="left" w:pos="3402"/>
                        </w:tabs>
                        <w:spacing w:before="0"/>
                        <w:ind w:left="0"/>
                        <w:rPr>
                          <w:rFonts w:cs="Arial"/>
                          <w:sz w:val="18"/>
                          <w:szCs w:val="18"/>
                          <w:u w:val="single"/>
                        </w:rPr>
                      </w:pPr>
                      <w:r w:rsidRPr="00966241">
                        <w:rPr>
                          <w:rFonts w:cs="Arial"/>
                          <w:sz w:val="18"/>
                          <w:szCs w:val="18"/>
                          <w:u w:val="single"/>
                        </w:rPr>
                        <w:t>Key:</w:t>
                      </w:r>
                      <w:r w:rsidRPr="00966241">
                        <w:rPr>
                          <w:rFonts w:cs="Arial"/>
                          <w:sz w:val="18"/>
                          <w:szCs w:val="18"/>
                        </w:rPr>
                        <w:br/>
                      </w:r>
                      <w:r w:rsidRPr="00775001">
                        <w:rPr>
                          <w:rFonts w:cs="Arial"/>
                          <w:b/>
                          <w:sz w:val="20"/>
                          <w:szCs w:val="18"/>
                        </w:rPr>
                        <w:t>DR = Detection Rate</w:t>
                      </w:r>
                      <w:r>
                        <w:rPr>
                          <w:rFonts w:cs="Arial"/>
                          <w:b/>
                          <w:sz w:val="20"/>
                          <w:szCs w:val="18"/>
                        </w:rPr>
                        <w:t xml:space="preserve"> </w:t>
                      </w:r>
                      <w:r w:rsidRPr="00966241">
                        <w:rPr>
                          <w:rFonts w:cs="Arial"/>
                          <w:sz w:val="18"/>
                          <w:szCs w:val="18"/>
                        </w:rPr>
                        <w:t xml:space="preserve">= n / </w:t>
                      </w:r>
                      <w:r>
                        <w:rPr>
                          <w:rFonts w:cs="Arial"/>
                          <w:sz w:val="18"/>
                          <w:szCs w:val="18"/>
                        </w:rPr>
                        <w:t>Completed kit</w:t>
                      </w:r>
                      <w:r w:rsidRPr="00966241">
                        <w:rPr>
                          <w:rFonts w:cs="Arial"/>
                          <w:sz w:val="18"/>
                          <w:szCs w:val="18"/>
                        </w:rPr>
                        <w:t xml:space="preserve"> * 1</w:t>
                      </w:r>
                      <w:r>
                        <w:rPr>
                          <w:rFonts w:cs="Arial"/>
                          <w:sz w:val="18"/>
                          <w:szCs w:val="18"/>
                        </w:rPr>
                        <w:t>,</w:t>
                      </w:r>
                      <w:r w:rsidRPr="00966241">
                        <w:rPr>
                          <w:rFonts w:cs="Arial"/>
                          <w:sz w:val="18"/>
                          <w:szCs w:val="18"/>
                        </w:rPr>
                        <w:t>000</w:t>
                      </w:r>
                      <w:r>
                        <w:rPr>
                          <w:rFonts w:cs="Arial"/>
                          <w:b/>
                          <w:sz w:val="20"/>
                          <w:szCs w:val="18"/>
                        </w:rPr>
                        <w:br/>
                      </w:r>
                      <w:r w:rsidRPr="00775001">
                        <w:rPr>
                          <w:rFonts w:cs="Arial"/>
                          <w:b/>
                          <w:sz w:val="20"/>
                          <w:szCs w:val="18"/>
                        </w:rPr>
                        <w:t>PPV = Positive Predictive Value of iFOBT</w:t>
                      </w:r>
                      <w:r>
                        <w:rPr>
                          <w:rFonts w:cs="Arial"/>
                          <w:b/>
                          <w:sz w:val="20"/>
                          <w:szCs w:val="18"/>
                        </w:rPr>
                        <w:t xml:space="preserve"> </w:t>
                      </w:r>
                      <w:r w:rsidRPr="00966241">
                        <w:rPr>
                          <w:rFonts w:cs="Arial"/>
                          <w:sz w:val="18"/>
                          <w:szCs w:val="18"/>
                        </w:rPr>
                        <w:t>= n / Positive iFOBT * 100</w:t>
                      </w:r>
                    </w:p>
                    <w:p w:rsidR="00371B10" w:rsidRPr="00966241" w:rsidRDefault="00371B10" w:rsidP="00147DCD">
                      <w:pPr>
                        <w:tabs>
                          <w:tab w:val="left" w:pos="3402"/>
                        </w:tabs>
                        <w:spacing w:before="0"/>
                        <w:ind w:left="0"/>
                        <w:rPr>
                          <w:rFonts w:cs="Arial"/>
                          <w:sz w:val="18"/>
                          <w:szCs w:val="18"/>
                        </w:rPr>
                      </w:pPr>
                      <w:r w:rsidRPr="00966241">
                        <w:rPr>
                          <w:rFonts w:cs="Arial"/>
                          <w:sz w:val="18"/>
                          <w:szCs w:val="18"/>
                        </w:rPr>
                        <w:br/>
                      </w:r>
                    </w:p>
                  </w:txbxContent>
                </v:textbox>
              </v:shape>
            </w:pict>
          </mc:Fallback>
        </mc:AlternateContent>
      </w:r>
    </w:p>
    <w:p w:rsidR="00147DCD" w:rsidRPr="00147DCD" w:rsidRDefault="00147DCD" w:rsidP="00147DCD">
      <w:pPr>
        <w:spacing w:before="0" w:after="200" w:line="276" w:lineRule="auto"/>
        <w:ind w:left="0"/>
        <w:rPr>
          <w:rFonts w:eastAsiaTheme="majorEastAsia" w:cstheme="majorBidi"/>
          <w:b/>
          <w:bCs/>
          <w:color w:val="000000" w:themeColor="text1"/>
          <w:sz w:val="24"/>
          <w:szCs w:val="26"/>
          <w:lang w:eastAsia="en-US"/>
        </w:rPr>
      </w:pPr>
    </w:p>
    <w:p w:rsidR="009C3D1F" w:rsidRDefault="009C3D1F">
      <w:pPr>
        <w:spacing w:before="0"/>
        <w:ind w:left="0"/>
        <w:sectPr w:rsidR="009C3D1F">
          <w:pgSz w:w="11909" w:h="16834" w:code="9"/>
          <w:pgMar w:top="1701" w:right="1134" w:bottom="1701" w:left="1134" w:header="567" w:footer="567" w:gutter="0"/>
          <w:cols w:space="720"/>
        </w:sectPr>
      </w:pPr>
    </w:p>
    <w:p w:rsidR="00B83300" w:rsidRDefault="00B83300" w:rsidP="00B83300">
      <w:pPr>
        <w:pStyle w:val="Figure"/>
      </w:pPr>
      <w:r>
        <w:t xml:space="preserve">Figure </w:t>
      </w:r>
      <w:r w:rsidR="002B79DC">
        <w:t>3</w:t>
      </w:r>
      <w:r>
        <w:t>: Summary of BSP outcomes – Round 2</w:t>
      </w:r>
    </w:p>
    <w:p w:rsidR="00147DCD" w:rsidRPr="005F26BF" w:rsidRDefault="00565301" w:rsidP="00147DCD">
      <w:pPr>
        <w:rPr>
          <w:rFonts w:cs="Arial"/>
          <w:sz w:val="26"/>
          <w:szCs w:val="26"/>
          <w:lang w:val="en-US"/>
        </w:rPr>
      </w:pPr>
      <w:r>
        <w:rPr>
          <w:rFonts w:cs="Arial"/>
          <w:noProof/>
          <w:sz w:val="26"/>
          <w:szCs w:val="26"/>
          <w:lang w:eastAsia="en-NZ"/>
        </w:rPr>
        <mc:AlternateContent>
          <mc:Choice Requires="wps">
            <w:drawing>
              <wp:anchor distT="0" distB="0" distL="114300" distR="114300" simplePos="0" relativeHeight="251707392" behindDoc="0" locked="0" layoutInCell="1" allowOverlap="1" wp14:anchorId="03A89047">
                <wp:simplePos x="0" y="0"/>
                <wp:positionH relativeFrom="column">
                  <wp:posOffset>1944370</wp:posOffset>
                </wp:positionH>
                <wp:positionV relativeFrom="paragraph">
                  <wp:posOffset>54610</wp:posOffset>
                </wp:positionV>
                <wp:extent cx="1799590" cy="539750"/>
                <wp:effectExtent l="0" t="0" r="10160" b="12700"/>
                <wp:wrapNone/>
                <wp:docPr id="45"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539750"/>
                        </a:xfrm>
                        <a:prstGeom prst="roundRect">
                          <a:avLst/>
                        </a:prstGeom>
                        <a:ln>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rsidR="00371B10" w:rsidRPr="00C773C4" w:rsidRDefault="00371B10" w:rsidP="00147DCD">
                            <w:pPr>
                              <w:spacing w:before="0"/>
                              <w:ind w:left="0"/>
                              <w:jc w:val="center"/>
                              <w:rPr>
                                <w:rFonts w:cs="Arial"/>
                                <w:sz w:val="28"/>
                                <w:szCs w:val="28"/>
                              </w:rPr>
                            </w:pPr>
                            <w:r w:rsidRPr="00C773C4">
                              <w:rPr>
                                <w:rFonts w:cs="Arial"/>
                                <w:b/>
                                <w:sz w:val="28"/>
                                <w:szCs w:val="28"/>
                              </w:rPr>
                              <w:t>Invited</w:t>
                            </w:r>
                            <w:r w:rsidRPr="00C773C4">
                              <w:rPr>
                                <w:rFonts w:cs="Arial"/>
                                <w:b/>
                                <w:sz w:val="28"/>
                                <w:szCs w:val="28"/>
                              </w:rPr>
                              <w:br/>
                            </w:r>
                            <w:r w:rsidRPr="00C773C4">
                              <w:rPr>
                                <w:rFonts w:cs="Arial"/>
                                <w:sz w:val="28"/>
                                <w:szCs w:val="28"/>
                              </w:rPr>
                              <w:t xml:space="preserve">n = </w:t>
                            </w:r>
                            <w:r>
                              <w:rPr>
                                <w:rFonts w:cs="Arial"/>
                                <w:sz w:val="28"/>
                                <w:szCs w:val="28"/>
                              </w:rPr>
                              <w:t>62,520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A89047" id="Rounded Rectangle 7" o:spid="_x0000_s1046" style="position:absolute;left:0;text-align:left;margin-left:153.1pt;margin-top:4.3pt;width:141.7pt;height: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" fillcolor="white [3201]" strokecolor="gray [1629]"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Invited</w:t>
                      </w:r>
                      <w:r w:rsidRPr="00C773C4">
                        <w:rPr>
                          <w:rFonts w:cs="Arial"/>
                          <w:b/>
                          <w:sz w:val="28"/>
                          <w:szCs w:val="28"/>
                        </w:rPr>
                        <w:br/>
                      </w:r>
                      <w:r w:rsidRPr="00C773C4">
                        <w:rPr>
                          <w:rFonts w:cs="Arial"/>
                          <w:sz w:val="28"/>
                          <w:szCs w:val="28"/>
                        </w:rPr>
                        <w:t xml:space="preserve">n = </w:t>
                      </w:r>
                      <w:r>
                        <w:rPr>
                          <w:rFonts w:cs="Arial"/>
                          <w:sz w:val="28"/>
                          <w:szCs w:val="28"/>
                        </w:rPr>
                        <w:t>62,520</w:t>
                      </w:r>
                    </w:p>
                  </w:txbxContent>
                </v:textbox>
              </v:roundrect>
            </w:pict>
          </mc:Fallback>
        </mc:AlternateContent>
      </w:r>
    </w:p>
    <w:p w:rsidR="00147DCD" w:rsidRPr="005F26BF" w:rsidRDefault="00565301" w:rsidP="00147DCD">
      <w:pPr>
        <w:jc w:val="center"/>
        <w:rPr>
          <w:rFonts w:cs="Arial"/>
          <w:sz w:val="26"/>
          <w:szCs w:val="26"/>
          <w:lang w:val="en-US"/>
        </w:rPr>
      </w:pPr>
      <w:r>
        <w:rPr>
          <w:rFonts w:cs="Arial"/>
          <w:noProof/>
          <w:sz w:val="26"/>
          <w:szCs w:val="26"/>
          <w:lang w:eastAsia="en-NZ"/>
        </w:rPr>
        <mc:AlternateContent>
          <mc:Choice Requires="wps">
            <w:drawing>
              <wp:anchor distT="0" distB="0" distL="114300" distR="114300" simplePos="0" relativeHeight="251695104" behindDoc="0" locked="0" layoutInCell="1" allowOverlap="1" wp14:anchorId="48BB9EC4">
                <wp:simplePos x="0" y="0"/>
                <wp:positionH relativeFrom="column">
                  <wp:posOffset>2838450</wp:posOffset>
                </wp:positionH>
                <wp:positionV relativeFrom="paragraph">
                  <wp:posOffset>256540</wp:posOffset>
                </wp:positionV>
                <wp:extent cx="0" cy="179705"/>
                <wp:effectExtent l="19050" t="20955" r="19050" b="46990"/>
                <wp:wrapNone/>
                <wp:docPr id="4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38100">
                          <a:solidFill>
                            <a:srgbClr val="00BABF"/>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D0022DF" id="Straight Arrow Connector 64" o:spid="_x0000_s1026" type="#_x0000_t32" style="position:absolute;margin-left:223.5pt;margin-top:20.2pt;width:0;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" strokecolor="#00babf" strokeweight="3pt">
                <v:shadow on="t" opacity="22936f" origin=",.5" offset="0,.63889mm"/>
              </v:shape>
            </w:pict>
          </mc:Fallback>
        </mc:AlternateContent>
      </w:r>
    </w:p>
    <w:p w:rsidR="00147DCD" w:rsidRPr="005F26BF" w:rsidRDefault="00565301" w:rsidP="00147DCD">
      <w:pPr>
        <w:jc w:val="center"/>
        <w:rPr>
          <w:rFonts w:cs="Arial"/>
          <w:sz w:val="26"/>
          <w:szCs w:val="26"/>
          <w:lang w:val="en-US"/>
        </w:rPr>
      </w:pPr>
      <w:r>
        <w:rPr>
          <w:rFonts w:cs="Arial"/>
          <w:noProof/>
          <w:sz w:val="26"/>
          <w:szCs w:val="26"/>
          <w:lang w:eastAsia="en-NZ"/>
        </w:rPr>
        <mc:AlternateContent>
          <mc:Choice Requires="wps">
            <w:drawing>
              <wp:anchor distT="0" distB="0" distL="114300" distR="114300" simplePos="0" relativeHeight="251708416" behindDoc="0" locked="0" layoutInCell="1" allowOverlap="1" wp14:anchorId="77C97801">
                <wp:simplePos x="0" y="0"/>
                <wp:positionH relativeFrom="column">
                  <wp:posOffset>1944370</wp:posOffset>
                </wp:positionH>
                <wp:positionV relativeFrom="paragraph">
                  <wp:posOffset>108585</wp:posOffset>
                </wp:positionV>
                <wp:extent cx="1799590" cy="647700"/>
                <wp:effectExtent l="0" t="0" r="10160" b="19050"/>
                <wp:wrapNone/>
                <wp:docPr id="65" name="Rounded 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647700"/>
                        </a:xfrm>
                        <a:prstGeom prst="roundRect">
                          <a:avLst/>
                        </a:prstGeom>
                        <a:ln>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rsidR="00371B10" w:rsidRPr="00C773C4" w:rsidRDefault="00371B10" w:rsidP="00147DCD">
                            <w:pPr>
                              <w:spacing w:before="0"/>
                              <w:ind w:left="0"/>
                              <w:jc w:val="center"/>
                              <w:rPr>
                                <w:rFonts w:cs="Arial"/>
                                <w:sz w:val="28"/>
                                <w:szCs w:val="28"/>
                              </w:rPr>
                            </w:pPr>
                            <w:r>
                              <w:rPr>
                                <w:rFonts w:cs="Arial"/>
                                <w:b/>
                                <w:sz w:val="28"/>
                                <w:szCs w:val="28"/>
                              </w:rPr>
                              <w:t>Completed kit</w:t>
                            </w:r>
                            <w:r w:rsidRPr="00C773C4">
                              <w:rPr>
                                <w:rFonts w:cs="Arial"/>
                                <w:b/>
                                <w:sz w:val="28"/>
                                <w:szCs w:val="28"/>
                              </w:rPr>
                              <w:br/>
                            </w:r>
                            <w:r w:rsidRPr="00C773C4">
                              <w:rPr>
                                <w:rFonts w:cs="Arial"/>
                                <w:sz w:val="28"/>
                                <w:szCs w:val="28"/>
                              </w:rPr>
                              <w:t xml:space="preserve">n = </w:t>
                            </w:r>
                            <w:r>
                              <w:rPr>
                                <w:rFonts w:cs="Arial"/>
                                <w:sz w:val="28"/>
                                <w:szCs w:val="28"/>
                              </w:rPr>
                              <w:t>32,274</w:t>
                            </w:r>
                            <w:r w:rsidRPr="00C773C4">
                              <w:rPr>
                                <w:rFonts w:cs="Arial"/>
                                <w:sz w:val="28"/>
                                <w:szCs w:val="28"/>
                              </w:rPr>
                              <w:t xml:space="preserve"> (</w:t>
                            </w:r>
                            <w:r>
                              <w:rPr>
                                <w:rFonts w:cs="Arial"/>
                                <w:sz w:val="28"/>
                                <w:szCs w:val="28"/>
                              </w:rPr>
                              <w:t>51</w:t>
                            </w:r>
                            <w:r w:rsidRPr="00C773C4">
                              <w:rPr>
                                <w:rFonts w:cs="Arial"/>
                                <w:sz w:val="28"/>
                                <w:szCs w:val="28"/>
                              </w:rPr>
                              <w:t>.</w:t>
                            </w:r>
                            <w:r>
                              <w:rPr>
                                <w:rFonts w:cs="Arial"/>
                                <w:sz w:val="28"/>
                                <w:szCs w:val="28"/>
                              </w:rPr>
                              <w:t>6</w:t>
                            </w:r>
                            <w:r w:rsidRPr="00C773C4">
                              <w:rPr>
                                <w:rFonts w:cs="Arial"/>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C97801" id="Rounded Rectangle 65" o:spid="_x0000_s1047" style="position:absolute;left:0;text-align:left;margin-left:153.1pt;margin-top:8.55pt;width:141.7pt;height:5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" fillcolor="white [3201]" strokecolor="gray [1629]" strokeweight="2pt">
                <v:path arrowok="t"/>
                <v:textbox inset="0,0,0,0">
                  <w:txbxContent>
                    <w:p w:rsidR="00371B10" w:rsidRPr="00C773C4" w:rsidRDefault="00371B10" w:rsidP="00147DCD">
                      <w:pPr>
                        <w:spacing w:before="0"/>
                        <w:ind w:left="0"/>
                        <w:jc w:val="center"/>
                        <w:rPr>
                          <w:rFonts w:cs="Arial"/>
                          <w:sz w:val="28"/>
                          <w:szCs w:val="28"/>
                        </w:rPr>
                      </w:pPr>
                      <w:r>
                        <w:rPr>
                          <w:rFonts w:cs="Arial"/>
                          <w:b/>
                          <w:sz w:val="28"/>
                          <w:szCs w:val="28"/>
                        </w:rPr>
                        <w:t>Completed kit</w:t>
                      </w:r>
                      <w:r w:rsidRPr="00C773C4">
                        <w:rPr>
                          <w:rFonts w:cs="Arial"/>
                          <w:b/>
                          <w:sz w:val="28"/>
                          <w:szCs w:val="28"/>
                        </w:rPr>
                        <w:br/>
                      </w:r>
                      <w:r w:rsidRPr="00C773C4">
                        <w:rPr>
                          <w:rFonts w:cs="Arial"/>
                          <w:sz w:val="28"/>
                          <w:szCs w:val="28"/>
                        </w:rPr>
                        <w:t xml:space="preserve">n = </w:t>
                      </w:r>
                      <w:r>
                        <w:rPr>
                          <w:rFonts w:cs="Arial"/>
                          <w:sz w:val="28"/>
                          <w:szCs w:val="28"/>
                        </w:rPr>
                        <w:t>32,274</w:t>
                      </w:r>
                      <w:r w:rsidRPr="00C773C4">
                        <w:rPr>
                          <w:rFonts w:cs="Arial"/>
                          <w:sz w:val="28"/>
                          <w:szCs w:val="28"/>
                        </w:rPr>
                        <w:t xml:space="preserve"> (</w:t>
                      </w:r>
                      <w:r>
                        <w:rPr>
                          <w:rFonts w:cs="Arial"/>
                          <w:sz w:val="28"/>
                          <w:szCs w:val="28"/>
                        </w:rPr>
                        <w:t>51</w:t>
                      </w:r>
                      <w:r w:rsidRPr="00C773C4">
                        <w:rPr>
                          <w:rFonts w:cs="Arial"/>
                          <w:sz w:val="28"/>
                          <w:szCs w:val="28"/>
                        </w:rPr>
                        <w:t>.</w:t>
                      </w:r>
                      <w:r>
                        <w:rPr>
                          <w:rFonts w:cs="Arial"/>
                          <w:sz w:val="28"/>
                          <w:szCs w:val="28"/>
                        </w:rPr>
                        <w:t>6</w:t>
                      </w:r>
                      <w:r w:rsidRPr="00C773C4">
                        <w:rPr>
                          <w:rFonts w:cs="Arial"/>
                          <w:sz w:val="28"/>
                          <w:szCs w:val="28"/>
                        </w:rPr>
                        <w:t>%)</w:t>
                      </w:r>
                    </w:p>
                  </w:txbxContent>
                </v:textbox>
              </v:roundrect>
            </w:pict>
          </mc:Fallback>
        </mc:AlternateContent>
      </w:r>
    </w:p>
    <w:p w:rsidR="00147DCD" w:rsidRPr="005F26BF" w:rsidRDefault="00147DCD" w:rsidP="00147DCD">
      <w:pPr>
        <w:jc w:val="center"/>
        <w:rPr>
          <w:rFonts w:cs="Arial"/>
          <w:sz w:val="26"/>
          <w:szCs w:val="26"/>
          <w:lang w:val="en-US"/>
        </w:rPr>
      </w:pPr>
    </w:p>
    <w:p w:rsidR="00147DCD" w:rsidRPr="005F26BF" w:rsidRDefault="00565301" w:rsidP="00147DCD">
      <w:pPr>
        <w:jc w:val="center"/>
        <w:rPr>
          <w:rFonts w:cs="Arial"/>
          <w:sz w:val="26"/>
          <w:szCs w:val="26"/>
          <w:lang w:val="en-US"/>
        </w:rPr>
      </w:pPr>
      <w:r>
        <w:rPr>
          <w:rFonts w:cs="Arial"/>
          <w:noProof/>
          <w:sz w:val="26"/>
          <w:szCs w:val="26"/>
          <w:lang w:eastAsia="en-NZ"/>
        </w:rPr>
        <mc:AlternateContent>
          <mc:Choice Requires="wps">
            <w:drawing>
              <wp:anchor distT="0" distB="0" distL="114300" distR="114300" simplePos="0" relativeHeight="251709440" behindDoc="0" locked="0" layoutInCell="1" allowOverlap="1" wp14:anchorId="51D20F89">
                <wp:simplePos x="0" y="0"/>
                <wp:positionH relativeFrom="column">
                  <wp:posOffset>1944370</wp:posOffset>
                </wp:positionH>
                <wp:positionV relativeFrom="paragraph">
                  <wp:posOffset>246380</wp:posOffset>
                </wp:positionV>
                <wp:extent cx="1799590" cy="647700"/>
                <wp:effectExtent l="0" t="0" r="10160" b="19050"/>
                <wp:wrapNone/>
                <wp:docPr id="66" name="Rounded 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647700"/>
                        </a:xfrm>
                        <a:prstGeom prst="roundRect">
                          <a:avLst/>
                        </a:prstGeom>
                      </wps:spPr>
                      <wps:style>
                        <a:lnRef idx="2">
                          <a:schemeClr val="dk1"/>
                        </a:lnRef>
                        <a:fillRef idx="1">
                          <a:schemeClr val="lt1"/>
                        </a:fillRef>
                        <a:effectRef idx="0">
                          <a:schemeClr val="dk1"/>
                        </a:effectRef>
                        <a:fontRef idx="minor">
                          <a:schemeClr val="dk1"/>
                        </a:fontRef>
                      </wps:style>
                      <wps:txbx>
                        <w:txbxContent>
                          <w:p w:rsidR="00371B10" w:rsidRPr="00C773C4" w:rsidRDefault="00371B10" w:rsidP="00147DCD">
                            <w:pPr>
                              <w:spacing w:before="0"/>
                              <w:ind w:left="0"/>
                              <w:jc w:val="center"/>
                              <w:rPr>
                                <w:rFonts w:cs="Arial"/>
                                <w:sz w:val="28"/>
                                <w:szCs w:val="28"/>
                              </w:rPr>
                            </w:pPr>
                            <w:r w:rsidRPr="00C773C4">
                              <w:rPr>
                                <w:rFonts w:cs="Arial"/>
                                <w:b/>
                                <w:sz w:val="28"/>
                                <w:szCs w:val="28"/>
                              </w:rPr>
                              <w:t>Positivity</w:t>
                            </w:r>
                            <w:r w:rsidRPr="00C773C4">
                              <w:rPr>
                                <w:rFonts w:cs="Arial"/>
                                <w:b/>
                                <w:sz w:val="28"/>
                                <w:szCs w:val="28"/>
                              </w:rPr>
                              <w:br/>
                            </w:r>
                            <w:r w:rsidRPr="00C773C4">
                              <w:rPr>
                                <w:rFonts w:cs="Arial"/>
                                <w:sz w:val="28"/>
                                <w:szCs w:val="28"/>
                              </w:rPr>
                              <w:t xml:space="preserve">n = </w:t>
                            </w:r>
                            <w:r>
                              <w:rPr>
                                <w:rFonts w:cs="Arial"/>
                                <w:sz w:val="28"/>
                                <w:szCs w:val="28"/>
                              </w:rPr>
                              <w:t>1,886</w:t>
                            </w:r>
                            <w:r w:rsidRPr="00C773C4">
                              <w:rPr>
                                <w:rFonts w:cs="Arial"/>
                                <w:sz w:val="28"/>
                                <w:szCs w:val="28"/>
                              </w:rPr>
                              <w:t xml:space="preserve"> (</w:t>
                            </w:r>
                            <w:r>
                              <w:rPr>
                                <w:rFonts w:cs="Arial"/>
                                <w:sz w:val="28"/>
                                <w:szCs w:val="28"/>
                              </w:rPr>
                              <w:t>5</w:t>
                            </w:r>
                            <w:r w:rsidRPr="00C773C4">
                              <w:rPr>
                                <w:rFonts w:cs="Arial"/>
                                <w:sz w:val="28"/>
                                <w:szCs w:val="28"/>
                              </w:rPr>
                              <w:t>.</w:t>
                            </w:r>
                            <w:r>
                              <w:rPr>
                                <w:rFonts w:cs="Arial"/>
                                <w:sz w:val="28"/>
                                <w:szCs w:val="28"/>
                              </w:rPr>
                              <w:t>8</w:t>
                            </w:r>
                            <w:r w:rsidRPr="00C773C4">
                              <w:rPr>
                                <w:rFonts w:cs="Arial"/>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20F89" id="Rounded Rectangle 66" o:spid="_x0000_s1048" style="position:absolute;left:0;text-align:left;margin-left:153.1pt;margin-top:19.4pt;width:141.7pt;height:5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" fillcolor="white [3201]" strokecolor="black [3200]"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Positivity</w:t>
                      </w:r>
                      <w:r w:rsidRPr="00C773C4">
                        <w:rPr>
                          <w:rFonts w:cs="Arial"/>
                          <w:b/>
                          <w:sz w:val="28"/>
                          <w:szCs w:val="28"/>
                        </w:rPr>
                        <w:br/>
                      </w:r>
                      <w:r w:rsidRPr="00C773C4">
                        <w:rPr>
                          <w:rFonts w:cs="Arial"/>
                          <w:sz w:val="28"/>
                          <w:szCs w:val="28"/>
                        </w:rPr>
                        <w:t xml:space="preserve">n = </w:t>
                      </w:r>
                      <w:r>
                        <w:rPr>
                          <w:rFonts w:cs="Arial"/>
                          <w:sz w:val="28"/>
                          <w:szCs w:val="28"/>
                        </w:rPr>
                        <w:t>1,886</w:t>
                      </w:r>
                      <w:r w:rsidRPr="00C773C4">
                        <w:rPr>
                          <w:rFonts w:cs="Arial"/>
                          <w:sz w:val="28"/>
                          <w:szCs w:val="28"/>
                        </w:rPr>
                        <w:t xml:space="preserve"> (</w:t>
                      </w:r>
                      <w:r>
                        <w:rPr>
                          <w:rFonts w:cs="Arial"/>
                          <w:sz w:val="28"/>
                          <w:szCs w:val="28"/>
                        </w:rPr>
                        <w:t>5</w:t>
                      </w:r>
                      <w:r w:rsidRPr="00C773C4">
                        <w:rPr>
                          <w:rFonts w:cs="Arial"/>
                          <w:sz w:val="28"/>
                          <w:szCs w:val="28"/>
                        </w:rPr>
                        <w:t>.</w:t>
                      </w:r>
                      <w:r>
                        <w:rPr>
                          <w:rFonts w:cs="Arial"/>
                          <w:sz w:val="28"/>
                          <w:szCs w:val="28"/>
                        </w:rPr>
                        <w:t>8</w:t>
                      </w:r>
                      <w:r w:rsidRPr="00C773C4">
                        <w:rPr>
                          <w:rFonts w:cs="Arial"/>
                          <w:sz w:val="28"/>
                          <w:szCs w:val="28"/>
                        </w:rPr>
                        <w:t>%)</w:t>
                      </w:r>
                    </w:p>
                  </w:txbxContent>
                </v:textbox>
              </v:roundrect>
            </w:pict>
          </mc:Fallback>
        </mc:AlternateContent>
      </w:r>
      <w:r>
        <w:rPr>
          <w:rFonts w:cs="Arial"/>
          <w:noProof/>
          <w:sz w:val="26"/>
          <w:szCs w:val="26"/>
          <w:lang w:eastAsia="en-NZ"/>
        </w:rPr>
        <mc:AlternateContent>
          <mc:Choice Requires="wps">
            <w:drawing>
              <wp:anchor distT="0" distB="0" distL="114300" distR="114300" simplePos="0" relativeHeight="251696128" behindDoc="0" locked="0" layoutInCell="1" allowOverlap="1" wp14:anchorId="71997496">
                <wp:simplePos x="0" y="0"/>
                <wp:positionH relativeFrom="column">
                  <wp:posOffset>2837180</wp:posOffset>
                </wp:positionH>
                <wp:positionV relativeFrom="paragraph">
                  <wp:posOffset>48895</wp:posOffset>
                </wp:positionV>
                <wp:extent cx="0" cy="179705"/>
                <wp:effectExtent l="27305" t="20955" r="20320" b="46990"/>
                <wp:wrapNone/>
                <wp:docPr id="43"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38100">
                          <a:solidFill>
                            <a:srgbClr val="00BABF"/>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8410857" id="Straight Arrow Connector 67" o:spid="_x0000_s1026" type="#_x0000_t32" style="position:absolute;margin-left:223.4pt;margin-top:3.85pt;width:0;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" strokecolor="#00babf" strokeweight="3pt">
                <v:shadow on="t" opacity="22936f" origin=",.5" offset="0,.63889mm"/>
              </v:shape>
            </w:pict>
          </mc:Fallback>
        </mc:AlternateContent>
      </w:r>
    </w:p>
    <w:p w:rsidR="00147DCD" w:rsidRPr="005F26BF" w:rsidRDefault="00147DCD" w:rsidP="00147DCD">
      <w:pPr>
        <w:jc w:val="center"/>
        <w:rPr>
          <w:rFonts w:cs="Arial"/>
          <w:sz w:val="26"/>
          <w:szCs w:val="26"/>
          <w:lang w:val="en-US"/>
        </w:rPr>
      </w:pPr>
    </w:p>
    <w:p w:rsidR="00147DCD" w:rsidRPr="005F26BF" w:rsidRDefault="00565301" w:rsidP="00147DCD">
      <w:pPr>
        <w:jc w:val="center"/>
        <w:rPr>
          <w:rFonts w:cs="Arial"/>
          <w:sz w:val="26"/>
          <w:szCs w:val="26"/>
          <w:lang w:val="en-US"/>
        </w:rPr>
      </w:pPr>
      <w:r>
        <w:rPr>
          <w:rFonts w:cs="Arial"/>
          <w:noProof/>
          <w:sz w:val="26"/>
          <w:szCs w:val="26"/>
          <w:lang w:eastAsia="en-NZ"/>
        </w:rPr>
        <mc:AlternateContent>
          <mc:Choice Requires="wps">
            <w:drawing>
              <wp:anchor distT="0" distB="0" distL="114300" distR="114300" simplePos="0" relativeHeight="251701248" behindDoc="0" locked="0" layoutInCell="1" allowOverlap="1" wp14:anchorId="64A6F654">
                <wp:simplePos x="0" y="0"/>
                <wp:positionH relativeFrom="column">
                  <wp:posOffset>2838450</wp:posOffset>
                </wp:positionH>
                <wp:positionV relativeFrom="paragraph">
                  <wp:posOffset>200660</wp:posOffset>
                </wp:positionV>
                <wp:extent cx="981075" cy="180975"/>
                <wp:effectExtent l="19050" t="19050" r="19050" b="47625"/>
                <wp:wrapNone/>
                <wp:docPr id="42"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180975"/>
                        </a:xfrm>
                        <a:prstGeom prst="straightConnector1">
                          <a:avLst/>
                        </a:prstGeom>
                        <a:noFill/>
                        <a:ln w="38100">
                          <a:solidFill>
                            <a:srgbClr val="00BABF"/>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319A45" id="Straight Arrow Connector 68" o:spid="_x0000_s1026" type="#_x0000_t32" style="position:absolute;margin-left:223.5pt;margin-top:15.8pt;width:77.2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" strokecolor="#00babf" strokeweight="3pt">
                <v:shadow on="t" opacity="22936f" origin=",.5" offset="0,.63889mm"/>
              </v:shape>
            </w:pict>
          </mc:Fallback>
        </mc:AlternateContent>
      </w:r>
      <w:r>
        <w:rPr>
          <w:rFonts w:cs="Arial"/>
          <w:noProof/>
          <w:sz w:val="26"/>
          <w:szCs w:val="26"/>
          <w:lang w:eastAsia="en-NZ"/>
        </w:rPr>
        <mc:AlternateContent>
          <mc:Choice Requires="wps">
            <w:drawing>
              <wp:anchor distT="0" distB="0" distL="114300" distR="114300" simplePos="0" relativeHeight="251700224" behindDoc="0" locked="0" layoutInCell="1" allowOverlap="1" wp14:anchorId="140E2CC9">
                <wp:simplePos x="0" y="0"/>
                <wp:positionH relativeFrom="column">
                  <wp:posOffset>1857375</wp:posOffset>
                </wp:positionH>
                <wp:positionV relativeFrom="paragraph">
                  <wp:posOffset>200660</wp:posOffset>
                </wp:positionV>
                <wp:extent cx="981075" cy="180975"/>
                <wp:effectExtent l="19050" t="19050" r="19050" b="47625"/>
                <wp:wrapNone/>
                <wp:docPr id="35"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180975"/>
                        </a:xfrm>
                        <a:prstGeom prst="straightConnector1">
                          <a:avLst/>
                        </a:prstGeom>
                        <a:noFill/>
                        <a:ln w="38100">
                          <a:solidFill>
                            <a:srgbClr val="00BABF"/>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44CF9F" id="Straight Arrow Connector 69" o:spid="_x0000_s1026" type="#_x0000_t32" style="position:absolute;margin-left:146.25pt;margin-top:15.8pt;width:77.25pt;height:14.2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" strokecolor="#00babf" strokeweight="3pt">
                <v:shadow on="t" opacity="22936f" origin=",.5" offset="0,.63889mm"/>
              </v:shape>
            </w:pict>
          </mc:Fallback>
        </mc:AlternateContent>
      </w:r>
    </w:p>
    <w:p w:rsidR="00147DCD" w:rsidRPr="005F26BF" w:rsidRDefault="00565301" w:rsidP="00147DCD">
      <w:pPr>
        <w:jc w:val="center"/>
        <w:rPr>
          <w:rFonts w:cs="Arial"/>
          <w:sz w:val="26"/>
          <w:szCs w:val="26"/>
          <w:lang w:val="en-US"/>
        </w:rPr>
      </w:pPr>
      <w:r>
        <w:rPr>
          <w:rFonts w:cs="Arial"/>
          <w:noProof/>
          <w:sz w:val="26"/>
          <w:szCs w:val="26"/>
          <w:lang w:eastAsia="en-NZ"/>
        </w:rPr>
        <mc:AlternateContent>
          <mc:Choice Requires="wps">
            <w:drawing>
              <wp:anchor distT="0" distB="0" distL="114300" distR="114300" simplePos="0" relativeHeight="251710464" behindDoc="0" locked="0" layoutInCell="1" allowOverlap="1" wp14:anchorId="1A7E00F2">
                <wp:simplePos x="0" y="0"/>
                <wp:positionH relativeFrom="column">
                  <wp:posOffset>972185</wp:posOffset>
                </wp:positionH>
                <wp:positionV relativeFrom="paragraph">
                  <wp:posOffset>40005</wp:posOffset>
                </wp:positionV>
                <wp:extent cx="1799590" cy="647700"/>
                <wp:effectExtent l="0" t="0" r="10160" b="19050"/>
                <wp:wrapNone/>
                <wp:docPr id="71" name="Rounded 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647700"/>
                        </a:xfrm>
                        <a:prstGeom prst="roundRect">
                          <a:avLst/>
                        </a:prstGeom>
                        <a:ln>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rsidR="00371B10" w:rsidRPr="00C773C4" w:rsidRDefault="00371B10" w:rsidP="00147DCD">
                            <w:pPr>
                              <w:spacing w:before="0"/>
                              <w:ind w:left="0"/>
                              <w:jc w:val="center"/>
                              <w:rPr>
                                <w:rFonts w:cs="Arial"/>
                                <w:sz w:val="28"/>
                                <w:szCs w:val="28"/>
                              </w:rPr>
                            </w:pPr>
                            <w:r w:rsidRPr="00C773C4">
                              <w:rPr>
                                <w:rFonts w:cs="Arial"/>
                                <w:b/>
                                <w:sz w:val="28"/>
                                <w:szCs w:val="28"/>
                              </w:rPr>
                              <w:t>Colonoscopy</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1,552</w:t>
                            </w:r>
                            <w:r w:rsidRPr="00C773C4">
                              <w:rPr>
                                <w:rFonts w:cs="Arial"/>
                                <w:sz w:val="28"/>
                                <w:szCs w:val="28"/>
                              </w:rPr>
                              <w:t xml:space="preserve"> (</w:t>
                            </w:r>
                            <w:r>
                              <w:rPr>
                                <w:rFonts w:cs="Arial"/>
                                <w:sz w:val="28"/>
                                <w:szCs w:val="28"/>
                              </w:rPr>
                              <w:t>82</w:t>
                            </w:r>
                            <w:r w:rsidRPr="00C773C4">
                              <w:rPr>
                                <w:rFonts w:cs="Arial"/>
                                <w:sz w:val="28"/>
                                <w:szCs w:val="28"/>
                              </w:rPr>
                              <w:t>.</w:t>
                            </w:r>
                            <w:r>
                              <w:rPr>
                                <w:rFonts w:cs="Arial"/>
                                <w:sz w:val="28"/>
                                <w:szCs w:val="28"/>
                              </w:rPr>
                              <w:t>3</w:t>
                            </w:r>
                            <w:r w:rsidRPr="00C773C4">
                              <w:rPr>
                                <w:rFonts w:cs="Arial"/>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E00F2" id="Rounded Rectangle 71" o:spid="_x0000_s1049" style="position:absolute;left:0;text-align:left;margin-left:76.55pt;margin-top:3.15pt;width:141.7pt;height:5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" fillcolor="white [3201]" strokecolor="gray [1629]"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Colonoscopy</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1,552</w:t>
                      </w:r>
                      <w:r w:rsidRPr="00C773C4">
                        <w:rPr>
                          <w:rFonts w:cs="Arial"/>
                          <w:sz w:val="28"/>
                          <w:szCs w:val="28"/>
                        </w:rPr>
                        <w:t xml:space="preserve"> (</w:t>
                      </w:r>
                      <w:r>
                        <w:rPr>
                          <w:rFonts w:cs="Arial"/>
                          <w:sz w:val="28"/>
                          <w:szCs w:val="28"/>
                        </w:rPr>
                        <w:t>82</w:t>
                      </w:r>
                      <w:r w:rsidRPr="00C773C4">
                        <w:rPr>
                          <w:rFonts w:cs="Arial"/>
                          <w:sz w:val="28"/>
                          <w:szCs w:val="28"/>
                        </w:rPr>
                        <w:t>.</w:t>
                      </w:r>
                      <w:r>
                        <w:rPr>
                          <w:rFonts w:cs="Arial"/>
                          <w:sz w:val="28"/>
                          <w:szCs w:val="28"/>
                        </w:rPr>
                        <w:t>3</w:t>
                      </w:r>
                      <w:r w:rsidRPr="00C773C4">
                        <w:rPr>
                          <w:rFonts w:cs="Arial"/>
                          <w:sz w:val="28"/>
                          <w:szCs w:val="28"/>
                        </w:rPr>
                        <w:t>%)</w:t>
                      </w:r>
                    </w:p>
                  </w:txbxContent>
                </v:textbox>
              </v:roundrect>
            </w:pict>
          </mc:Fallback>
        </mc:AlternateContent>
      </w:r>
      <w:r>
        <w:rPr>
          <w:rFonts w:cs="Arial"/>
          <w:noProof/>
          <w:sz w:val="26"/>
          <w:szCs w:val="26"/>
          <w:lang w:eastAsia="en-NZ"/>
        </w:rPr>
        <mc:AlternateContent>
          <mc:Choice Requires="wps">
            <w:drawing>
              <wp:anchor distT="0" distB="0" distL="114300" distR="114300" simplePos="0" relativeHeight="251721728" behindDoc="0" locked="0" layoutInCell="1" allowOverlap="1" wp14:anchorId="657CA163">
                <wp:simplePos x="0" y="0"/>
                <wp:positionH relativeFrom="column">
                  <wp:posOffset>2916555</wp:posOffset>
                </wp:positionH>
                <wp:positionV relativeFrom="paragraph">
                  <wp:posOffset>40005</wp:posOffset>
                </wp:positionV>
                <wp:extent cx="1799590" cy="647700"/>
                <wp:effectExtent l="0" t="0" r="10160" b="19050"/>
                <wp:wrapNone/>
                <wp:docPr id="70" name="Rounded 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647700"/>
                        </a:xfrm>
                        <a:prstGeom prst="roundRect">
                          <a:avLst/>
                        </a:prstGeom>
                        <a:ln>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rsidR="00371B10" w:rsidRPr="00C773C4" w:rsidRDefault="00371B10" w:rsidP="00147DCD">
                            <w:pPr>
                              <w:spacing w:before="0"/>
                              <w:ind w:left="0"/>
                              <w:jc w:val="center"/>
                              <w:rPr>
                                <w:rFonts w:cs="Arial"/>
                                <w:sz w:val="28"/>
                                <w:szCs w:val="28"/>
                              </w:rPr>
                            </w:pPr>
                            <w:r w:rsidRPr="00C773C4">
                              <w:rPr>
                                <w:rFonts w:cs="Arial"/>
                                <w:b/>
                                <w:sz w:val="28"/>
                                <w:szCs w:val="28"/>
                              </w:rPr>
                              <w:t>Colono</w:t>
                            </w:r>
                            <w:r>
                              <w:rPr>
                                <w:rFonts w:cs="Arial"/>
                                <w:b/>
                                <w:sz w:val="28"/>
                                <w:szCs w:val="28"/>
                              </w:rPr>
                              <w:t>gra</w:t>
                            </w:r>
                            <w:r w:rsidRPr="00C773C4">
                              <w:rPr>
                                <w:rFonts w:cs="Arial"/>
                                <w:b/>
                                <w:sz w:val="28"/>
                                <w:szCs w:val="28"/>
                              </w:rPr>
                              <w:t>p</w:t>
                            </w:r>
                            <w:r>
                              <w:rPr>
                                <w:rFonts w:cs="Arial"/>
                                <w:b/>
                                <w:sz w:val="28"/>
                                <w:szCs w:val="28"/>
                              </w:rPr>
                              <w:t>h</w:t>
                            </w:r>
                            <w:r w:rsidRPr="00C773C4">
                              <w:rPr>
                                <w:rFonts w:cs="Arial"/>
                                <w:b/>
                                <w:sz w:val="28"/>
                                <w:szCs w:val="28"/>
                              </w:rPr>
                              <w:t>y</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18</w:t>
                            </w:r>
                            <w:r w:rsidRPr="00C773C4">
                              <w:rPr>
                                <w:rFonts w:cs="Arial"/>
                                <w:sz w:val="28"/>
                                <w:szCs w:val="28"/>
                              </w:rPr>
                              <w:t xml:space="preserve"> (</w:t>
                            </w:r>
                            <w:r>
                              <w:rPr>
                                <w:rFonts w:cs="Arial"/>
                                <w:sz w:val="28"/>
                                <w:szCs w:val="28"/>
                              </w:rPr>
                              <w:t>1</w:t>
                            </w:r>
                            <w:r w:rsidRPr="00C773C4">
                              <w:rPr>
                                <w:rFonts w:cs="Arial"/>
                                <w:sz w:val="28"/>
                                <w:szCs w:val="28"/>
                              </w:rPr>
                              <w:t>.</w:t>
                            </w:r>
                            <w:r>
                              <w:rPr>
                                <w:rFonts w:cs="Arial"/>
                                <w:sz w:val="28"/>
                                <w:szCs w:val="28"/>
                              </w:rPr>
                              <w:t>0</w:t>
                            </w:r>
                            <w:r w:rsidRPr="00C773C4">
                              <w:rPr>
                                <w:rFonts w:cs="Arial"/>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7CA163" id="Rounded Rectangle 70" o:spid="_x0000_s1050" style="position:absolute;left:0;text-align:left;margin-left:229.65pt;margin-top:3.15pt;width:141.7pt;height:5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" fillcolor="white [3201]" strokecolor="gray [1629]"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Colono</w:t>
                      </w:r>
                      <w:r>
                        <w:rPr>
                          <w:rFonts w:cs="Arial"/>
                          <w:b/>
                          <w:sz w:val="28"/>
                          <w:szCs w:val="28"/>
                        </w:rPr>
                        <w:t>gra</w:t>
                      </w:r>
                      <w:r w:rsidRPr="00C773C4">
                        <w:rPr>
                          <w:rFonts w:cs="Arial"/>
                          <w:b/>
                          <w:sz w:val="28"/>
                          <w:szCs w:val="28"/>
                        </w:rPr>
                        <w:t>p</w:t>
                      </w:r>
                      <w:r>
                        <w:rPr>
                          <w:rFonts w:cs="Arial"/>
                          <w:b/>
                          <w:sz w:val="28"/>
                          <w:szCs w:val="28"/>
                        </w:rPr>
                        <w:t>h</w:t>
                      </w:r>
                      <w:r w:rsidRPr="00C773C4">
                        <w:rPr>
                          <w:rFonts w:cs="Arial"/>
                          <w:b/>
                          <w:sz w:val="28"/>
                          <w:szCs w:val="28"/>
                        </w:rPr>
                        <w:t>y</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18</w:t>
                      </w:r>
                      <w:r w:rsidRPr="00C773C4">
                        <w:rPr>
                          <w:rFonts w:cs="Arial"/>
                          <w:sz w:val="28"/>
                          <w:szCs w:val="28"/>
                        </w:rPr>
                        <w:t xml:space="preserve"> (</w:t>
                      </w:r>
                      <w:r>
                        <w:rPr>
                          <w:rFonts w:cs="Arial"/>
                          <w:sz w:val="28"/>
                          <w:szCs w:val="28"/>
                        </w:rPr>
                        <w:t>1</w:t>
                      </w:r>
                      <w:r w:rsidRPr="00C773C4">
                        <w:rPr>
                          <w:rFonts w:cs="Arial"/>
                          <w:sz w:val="28"/>
                          <w:szCs w:val="28"/>
                        </w:rPr>
                        <w:t>.</w:t>
                      </w:r>
                      <w:r>
                        <w:rPr>
                          <w:rFonts w:cs="Arial"/>
                          <w:sz w:val="28"/>
                          <w:szCs w:val="28"/>
                        </w:rPr>
                        <w:t>0</w:t>
                      </w:r>
                      <w:r w:rsidRPr="00C773C4">
                        <w:rPr>
                          <w:rFonts w:cs="Arial"/>
                          <w:sz w:val="28"/>
                          <w:szCs w:val="28"/>
                        </w:rPr>
                        <w:t>%)</w:t>
                      </w:r>
                    </w:p>
                  </w:txbxContent>
                </v:textbox>
              </v:roundrect>
            </w:pict>
          </mc:Fallback>
        </mc:AlternateContent>
      </w:r>
    </w:p>
    <w:p w:rsidR="00147DCD" w:rsidRDefault="00565301" w:rsidP="00147DCD">
      <w:pPr>
        <w:jc w:val="center"/>
        <w:rPr>
          <w:rFonts w:cs="Arial"/>
          <w:sz w:val="26"/>
          <w:szCs w:val="26"/>
          <w:lang w:val="en-US"/>
        </w:rPr>
      </w:pPr>
      <w:r>
        <w:rPr>
          <w:rFonts w:cs="Arial"/>
          <w:noProof/>
          <w:sz w:val="26"/>
          <w:szCs w:val="26"/>
          <w:lang w:eastAsia="en-NZ"/>
        </w:rPr>
        <mc:AlternateContent>
          <mc:Choice Requires="wps">
            <w:drawing>
              <wp:anchor distT="0" distB="0" distL="114300" distR="114300" simplePos="0" relativeHeight="251698176" behindDoc="0" locked="0" layoutInCell="1" allowOverlap="1" wp14:anchorId="62F96459">
                <wp:simplePos x="0" y="0"/>
                <wp:positionH relativeFrom="column">
                  <wp:posOffset>3818255</wp:posOffset>
                </wp:positionH>
                <wp:positionV relativeFrom="paragraph">
                  <wp:posOffset>342265</wp:posOffset>
                </wp:positionV>
                <wp:extent cx="0" cy="179705"/>
                <wp:effectExtent l="27305" t="26035" r="20320" b="51435"/>
                <wp:wrapNone/>
                <wp:docPr id="3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38100">
                          <a:solidFill>
                            <a:srgbClr val="00BABF"/>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5DF455A1" id="Straight Arrow Connector 72" o:spid="_x0000_s1026" type="#_x0000_t32" style="position:absolute;margin-left:300.65pt;margin-top:26.95pt;width:0;height:1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" strokecolor="#00babf" strokeweight="3pt">
                <v:shadow on="t" opacity="22936f" origin=",.5" offset="0,.63889mm"/>
              </v:shape>
            </w:pict>
          </mc:Fallback>
        </mc:AlternateContent>
      </w:r>
      <w:r>
        <w:rPr>
          <w:rFonts w:cs="Arial"/>
          <w:noProof/>
          <w:sz w:val="26"/>
          <w:szCs w:val="26"/>
          <w:lang w:eastAsia="en-NZ"/>
        </w:rPr>
        <mc:AlternateContent>
          <mc:Choice Requires="wps">
            <w:drawing>
              <wp:anchor distT="0" distB="0" distL="114300" distR="114300" simplePos="0" relativeHeight="251697152" behindDoc="0" locked="0" layoutInCell="1" allowOverlap="1" wp14:anchorId="4B904D29">
                <wp:simplePos x="0" y="0"/>
                <wp:positionH relativeFrom="column">
                  <wp:posOffset>1875155</wp:posOffset>
                </wp:positionH>
                <wp:positionV relativeFrom="paragraph">
                  <wp:posOffset>323850</wp:posOffset>
                </wp:positionV>
                <wp:extent cx="0" cy="179705"/>
                <wp:effectExtent l="27305" t="26670" r="20320" b="50800"/>
                <wp:wrapNone/>
                <wp:docPr id="31"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38100">
                          <a:solidFill>
                            <a:srgbClr val="00BABF"/>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42D3B305" id="Straight Arrow Connector 73" o:spid="_x0000_s1026" type="#_x0000_t32" style="position:absolute;margin-left:147.65pt;margin-top:25.5pt;width:0;height:14.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" strokecolor="#00babf" strokeweight="3pt">
                <v:shadow on="t" opacity="22936f" origin=",.5" offset="0,.63889mm"/>
              </v:shape>
            </w:pict>
          </mc:Fallback>
        </mc:AlternateContent>
      </w:r>
    </w:p>
    <w:p w:rsidR="00147DCD" w:rsidRDefault="00565301" w:rsidP="00147DCD">
      <w:pPr>
        <w:jc w:val="center"/>
        <w:rPr>
          <w:rFonts w:cs="Arial"/>
          <w:sz w:val="26"/>
          <w:szCs w:val="26"/>
          <w:lang w:val="en-US"/>
        </w:rPr>
      </w:pPr>
      <w:r>
        <w:rPr>
          <w:rFonts w:cs="Arial"/>
          <w:noProof/>
          <w:sz w:val="26"/>
          <w:szCs w:val="26"/>
          <w:lang w:eastAsia="en-NZ"/>
        </w:rPr>
        <mc:AlternateContent>
          <mc:Choice Requires="wps">
            <w:drawing>
              <wp:anchor distT="0" distB="0" distL="114300" distR="114300" simplePos="0" relativeHeight="251711488" behindDoc="0" locked="0" layoutInCell="1" allowOverlap="1" wp14:anchorId="3073F720">
                <wp:simplePos x="0" y="0"/>
                <wp:positionH relativeFrom="column">
                  <wp:posOffset>972185</wp:posOffset>
                </wp:positionH>
                <wp:positionV relativeFrom="paragraph">
                  <wp:posOffset>165735</wp:posOffset>
                </wp:positionV>
                <wp:extent cx="1799590" cy="647700"/>
                <wp:effectExtent l="0" t="0" r="10160" b="19050"/>
                <wp:wrapNone/>
                <wp:docPr id="74"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647700"/>
                        </a:xfrm>
                        <a:prstGeom prst="roundRect">
                          <a:avLst/>
                        </a:prstGeom>
                        <a:ln>
                          <a:solidFill>
                            <a:srgbClr val="7F7F7F"/>
                          </a:solidFill>
                        </a:ln>
                      </wps:spPr>
                      <wps:style>
                        <a:lnRef idx="2">
                          <a:schemeClr val="dk1"/>
                        </a:lnRef>
                        <a:fillRef idx="1">
                          <a:schemeClr val="lt1"/>
                        </a:fillRef>
                        <a:effectRef idx="0">
                          <a:schemeClr val="dk1"/>
                        </a:effectRef>
                        <a:fontRef idx="minor">
                          <a:schemeClr val="dk1"/>
                        </a:fontRef>
                      </wps:style>
                      <wps:txbx>
                        <w:txbxContent>
                          <w:p w:rsidR="00371B10" w:rsidRPr="00C773C4" w:rsidRDefault="00371B10" w:rsidP="00147DCD">
                            <w:pPr>
                              <w:spacing w:before="0"/>
                              <w:ind w:left="0"/>
                              <w:jc w:val="center"/>
                              <w:rPr>
                                <w:rFonts w:cs="Arial"/>
                                <w:sz w:val="28"/>
                                <w:szCs w:val="28"/>
                              </w:rPr>
                            </w:pPr>
                            <w:r w:rsidRPr="00C773C4">
                              <w:rPr>
                                <w:rFonts w:cs="Arial"/>
                                <w:b/>
                                <w:sz w:val="28"/>
                                <w:szCs w:val="28"/>
                              </w:rPr>
                              <w:t>Abnormality</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1,126</w:t>
                            </w:r>
                            <w:r w:rsidRPr="00C773C4">
                              <w:rPr>
                                <w:rFonts w:cs="Arial"/>
                                <w:sz w:val="28"/>
                                <w:szCs w:val="28"/>
                              </w:rPr>
                              <w:t xml:space="preserve"> (7</w:t>
                            </w:r>
                            <w:r>
                              <w:rPr>
                                <w:rFonts w:cs="Arial"/>
                                <w:sz w:val="28"/>
                                <w:szCs w:val="28"/>
                              </w:rPr>
                              <w:t>2</w:t>
                            </w:r>
                            <w:r w:rsidRPr="00C773C4">
                              <w:rPr>
                                <w:rFonts w:cs="Arial"/>
                                <w:sz w:val="28"/>
                                <w:szCs w:val="28"/>
                              </w:rPr>
                              <w:t>.</w:t>
                            </w:r>
                            <w:r>
                              <w:rPr>
                                <w:rFonts w:cs="Arial"/>
                                <w:sz w:val="28"/>
                                <w:szCs w:val="28"/>
                              </w:rPr>
                              <w:t>6</w:t>
                            </w:r>
                            <w:r w:rsidRPr="00C773C4">
                              <w:rPr>
                                <w:rFonts w:cs="Arial"/>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3F720" id="Rounded Rectangle 74" o:spid="_x0000_s1051" style="position:absolute;left:0;text-align:left;margin-left:76.55pt;margin-top:13.05pt;width:141.7pt;height:5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" fillcolor="white [3201]" strokecolor="#7f7f7f"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Abnormality</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1,126</w:t>
                      </w:r>
                      <w:r w:rsidRPr="00C773C4">
                        <w:rPr>
                          <w:rFonts w:cs="Arial"/>
                          <w:sz w:val="28"/>
                          <w:szCs w:val="28"/>
                        </w:rPr>
                        <w:t xml:space="preserve"> (7</w:t>
                      </w:r>
                      <w:r>
                        <w:rPr>
                          <w:rFonts w:cs="Arial"/>
                          <w:sz w:val="28"/>
                          <w:szCs w:val="28"/>
                        </w:rPr>
                        <w:t>2</w:t>
                      </w:r>
                      <w:r w:rsidRPr="00C773C4">
                        <w:rPr>
                          <w:rFonts w:cs="Arial"/>
                          <w:sz w:val="28"/>
                          <w:szCs w:val="28"/>
                        </w:rPr>
                        <w:t>.</w:t>
                      </w:r>
                      <w:r>
                        <w:rPr>
                          <w:rFonts w:cs="Arial"/>
                          <w:sz w:val="28"/>
                          <w:szCs w:val="28"/>
                        </w:rPr>
                        <w:t>6</w:t>
                      </w:r>
                      <w:r w:rsidRPr="00C773C4">
                        <w:rPr>
                          <w:rFonts w:cs="Arial"/>
                          <w:sz w:val="28"/>
                          <w:szCs w:val="28"/>
                        </w:rPr>
                        <w:t>%)</w:t>
                      </w:r>
                    </w:p>
                  </w:txbxContent>
                </v:textbox>
              </v:roundrect>
            </w:pict>
          </mc:Fallback>
        </mc:AlternateContent>
      </w:r>
      <w:r>
        <w:rPr>
          <w:rFonts w:cs="Arial"/>
          <w:noProof/>
          <w:sz w:val="26"/>
          <w:szCs w:val="26"/>
          <w:lang w:eastAsia="en-NZ"/>
        </w:rPr>
        <mc:AlternateContent>
          <mc:Choice Requires="wps">
            <w:drawing>
              <wp:anchor distT="0" distB="0" distL="114300" distR="114300" simplePos="0" relativeHeight="251722752" behindDoc="0" locked="0" layoutInCell="1" allowOverlap="1" wp14:anchorId="22AAA398">
                <wp:simplePos x="0" y="0"/>
                <wp:positionH relativeFrom="column">
                  <wp:posOffset>2916555</wp:posOffset>
                </wp:positionH>
                <wp:positionV relativeFrom="paragraph">
                  <wp:posOffset>165735</wp:posOffset>
                </wp:positionV>
                <wp:extent cx="1800225" cy="647700"/>
                <wp:effectExtent l="0" t="0" r="28575" b="19050"/>
                <wp:wrapNone/>
                <wp:docPr id="75" name="Rounded 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647700"/>
                        </a:xfrm>
                        <a:prstGeom prst="roundRect">
                          <a:avLst/>
                        </a:prstGeom>
                        <a:ln>
                          <a:solidFill>
                            <a:srgbClr val="7F7F7F"/>
                          </a:solidFill>
                        </a:ln>
                      </wps:spPr>
                      <wps:style>
                        <a:lnRef idx="2">
                          <a:schemeClr val="dk1"/>
                        </a:lnRef>
                        <a:fillRef idx="1">
                          <a:schemeClr val="lt1"/>
                        </a:fillRef>
                        <a:effectRef idx="0">
                          <a:schemeClr val="dk1"/>
                        </a:effectRef>
                        <a:fontRef idx="minor">
                          <a:schemeClr val="dk1"/>
                        </a:fontRef>
                      </wps:style>
                      <wps:txbx>
                        <w:txbxContent>
                          <w:p w:rsidR="00371B10" w:rsidRPr="00C773C4" w:rsidRDefault="00371B10" w:rsidP="00147DCD">
                            <w:pPr>
                              <w:spacing w:before="0"/>
                              <w:ind w:left="0"/>
                              <w:jc w:val="center"/>
                              <w:rPr>
                                <w:rFonts w:cs="Arial"/>
                                <w:sz w:val="28"/>
                                <w:szCs w:val="28"/>
                              </w:rPr>
                            </w:pPr>
                            <w:r w:rsidRPr="00C773C4">
                              <w:rPr>
                                <w:rFonts w:cs="Arial"/>
                                <w:b/>
                                <w:sz w:val="28"/>
                                <w:szCs w:val="28"/>
                              </w:rPr>
                              <w:t>Abnormality</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0</w:t>
                            </w:r>
                            <w:r w:rsidRPr="00C773C4">
                              <w:rPr>
                                <w:rFonts w:cs="Arial"/>
                                <w:sz w:val="28"/>
                                <w:szCs w:val="28"/>
                              </w:rPr>
                              <w:t xml:space="preserve"> (</w:t>
                            </w:r>
                            <w:r>
                              <w:rPr>
                                <w:rFonts w:cs="Arial"/>
                                <w:sz w:val="28"/>
                                <w:szCs w:val="28"/>
                              </w:rPr>
                              <w:t>0</w:t>
                            </w:r>
                            <w:r w:rsidRPr="00C773C4">
                              <w:rPr>
                                <w:rFonts w:cs="Arial"/>
                                <w:sz w:val="28"/>
                                <w:szCs w:val="28"/>
                              </w:rPr>
                              <w:t>.</w:t>
                            </w:r>
                            <w:r>
                              <w:rPr>
                                <w:rFonts w:cs="Arial"/>
                                <w:sz w:val="28"/>
                                <w:szCs w:val="28"/>
                              </w:rPr>
                              <w:t>0</w:t>
                            </w:r>
                            <w:r w:rsidRPr="00C773C4">
                              <w:rPr>
                                <w:rFonts w:cs="Arial"/>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AA398" id="Rounded Rectangle 75" o:spid="_x0000_s1052" style="position:absolute;left:0;text-align:left;margin-left:229.65pt;margin-top:13.05pt;width:141.75pt;height:5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" fillcolor="white [3201]" strokecolor="#7f7f7f"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Abnormality</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0</w:t>
                      </w:r>
                      <w:r w:rsidRPr="00C773C4">
                        <w:rPr>
                          <w:rFonts w:cs="Arial"/>
                          <w:sz w:val="28"/>
                          <w:szCs w:val="28"/>
                        </w:rPr>
                        <w:t xml:space="preserve"> (</w:t>
                      </w:r>
                      <w:r>
                        <w:rPr>
                          <w:rFonts w:cs="Arial"/>
                          <w:sz w:val="28"/>
                          <w:szCs w:val="28"/>
                        </w:rPr>
                        <w:t>0</w:t>
                      </w:r>
                      <w:r w:rsidRPr="00C773C4">
                        <w:rPr>
                          <w:rFonts w:cs="Arial"/>
                          <w:sz w:val="28"/>
                          <w:szCs w:val="28"/>
                        </w:rPr>
                        <w:t>.</w:t>
                      </w:r>
                      <w:r>
                        <w:rPr>
                          <w:rFonts w:cs="Arial"/>
                          <w:sz w:val="28"/>
                          <w:szCs w:val="28"/>
                        </w:rPr>
                        <w:t>0</w:t>
                      </w:r>
                      <w:r w:rsidRPr="00C773C4">
                        <w:rPr>
                          <w:rFonts w:cs="Arial"/>
                          <w:sz w:val="28"/>
                          <w:szCs w:val="28"/>
                        </w:rPr>
                        <w:t>%)</w:t>
                      </w:r>
                    </w:p>
                  </w:txbxContent>
                </v:textbox>
              </v:roundrect>
            </w:pict>
          </mc:Fallback>
        </mc:AlternateContent>
      </w:r>
    </w:p>
    <w:p w:rsidR="00147DCD" w:rsidRDefault="00147DCD" w:rsidP="00147DCD">
      <w:pPr>
        <w:jc w:val="center"/>
        <w:rPr>
          <w:rFonts w:cs="Arial"/>
          <w:sz w:val="26"/>
          <w:szCs w:val="26"/>
          <w:lang w:val="en-US"/>
        </w:rPr>
      </w:pPr>
    </w:p>
    <w:p w:rsidR="00147DCD" w:rsidRDefault="00565301" w:rsidP="00147DCD">
      <w:pPr>
        <w:jc w:val="center"/>
        <w:rPr>
          <w:rFonts w:cs="Arial"/>
          <w:sz w:val="26"/>
          <w:szCs w:val="26"/>
          <w:lang w:val="en-US"/>
        </w:rPr>
      </w:pPr>
      <w:r>
        <w:rPr>
          <w:rFonts w:cs="Arial"/>
          <w:noProof/>
          <w:sz w:val="26"/>
          <w:szCs w:val="26"/>
          <w:lang w:eastAsia="en-NZ"/>
        </w:rPr>
        <mc:AlternateContent>
          <mc:Choice Requires="wps">
            <w:drawing>
              <wp:anchor distT="0" distB="0" distL="114300" distR="114300" simplePos="0" relativeHeight="251706368" behindDoc="0" locked="0" layoutInCell="1" allowOverlap="1" wp14:anchorId="74718CFF">
                <wp:simplePos x="0" y="0"/>
                <wp:positionH relativeFrom="column">
                  <wp:posOffset>2838450</wp:posOffset>
                </wp:positionH>
                <wp:positionV relativeFrom="paragraph">
                  <wp:posOffset>112395</wp:posOffset>
                </wp:positionV>
                <wp:extent cx="981075" cy="180975"/>
                <wp:effectExtent l="19050" t="22860" r="19050" b="43815"/>
                <wp:wrapNone/>
                <wp:docPr id="30"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180975"/>
                        </a:xfrm>
                        <a:prstGeom prst="straightConnector1">
                          <a:avLst/>
                        </a:prstGeom>
                        <a:noFill/>
                        <a:ln w="38100">
                          <a:solidFill>
                            <a:srgbClr val="00BABF"/>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21B476" id="Straight Arrow Connector 76" o:spid="_x0000_s1026" type="#_x0000_t32" style="position:absolute;margin-left:223.5pt;margin-top:8.85pt;width:77.25pt;height:14.2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" strokecolor="#00babf" strokeweight="3pt">
                <v:shadow on="t" opacity="22936f" origin=",.5" offset="0,.63889mm"/>
              </v:shape>
            </w:pict>
          </mc:Fallback>
        </mc:AlternateContent>
      </w:r>
      <w:r>
        <w:rPr>
          <w:rFonts w:cs="Arial"/>
          <w:noProof/>
          <w:sz w:val="26"/>
          <w:szCs w:val="26"/>
          <w:lang w:eastAsia="en-NZ"/>
        </w:rPr>
        <mc:AlternateContent>
          <mc:Choice Requires="wps">
            <w:drawing>
              <wp:anchor distT="0" distB="0" distL="114300" distR="114300" simplePos="0" relativeHeight="251705344" behindDoc="0" locked="0" layoutInCell="1" allowOverlap="1" wp14:anchorId="49F8AEC0">
                <wp:simplePos x="0" y="0"/>
                <wp:positionH relativeFrom="column">
                  <wp:posOffset>1876425</wp:posOffset>
                </wp:positionH>
                <wp:positionV relativeFrom="paragraph">
                  <wp:posOffset>112395</wp:posOffset>
                </wp:positionV>
                <wp:extent cx="962025" cy="180340"/>
                <wp:effectExtent l="19050" t="22860" r="19050" b="44450"/>
                <wp:wrapNone/>
                <wp:docPr id="29"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180340"/>
                        </a:xfrm>
                        <a:prstGeom prst="straightConnector1">
                          <a:avLst/>
                        </a:prstGeom>
                        <a:noFill/>
                        <a:ln w="38100">
                          <a:solidFill>
                            <a:srgbClr val="00BABF"/>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AE0242" id="Straight Arrow Connector 77" o:spid="_x0000_s1026" type="#_x0000_t32" style="position:absolute;margin-left:147.75pt;margin-top:8.85pt;width:75.75pt;height:14.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" strokecolor="#00babf" strokeweight="3pt">
                <v:shadow on="t" opacity="22936f" origin=",.5" offset="0,.63889mm"/>
              </v:shape>
            </w:pict>
          </mc:Fallback>
        </mc:AlternateContent>
      </w:r>
      <w:r>
        <w:rPr>
          <w:rFonts w:cs="Arial"/>
          <w:noProof/>
          <w:sz w:val="26"/>
          <w:szCs w:val="26"/>
          <w:lang w:eastAsia="en-NZ"/>
        </w:rPr>
        <mc:AlternateContent>
          <mc:Choice Requires="wps">
            <w:drawing>
              <wp:anchor distT="0" distB="0" distL="114300" distR="114300" simplePos="0" relativeHeight="251712512" behindDoc="0" locked="0" layoutInCell="1" allowOverlap="1" wp14:anchorId="2123B206">
                <wp:simplePos x="0" y="0"/>
                <wp:positionH relativeFrom="column">
                  <wp:posOffset>1944370</wp:posOffset>
                </wp:positionH>
                <wp:positionV relativeFrom="paragraph">
                  <wp:posOffset>304165</wp:posOffset>
                </wp:positionV>
                <wp:extent cx="1799590" cy="647700"/>
                <wp:effectExtent l="0" t="0" r="10160" b="19050"/>
                <wp:wrapNone/>
                <wp:docPr id="78" name="Rounded 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647700"/>
                        </a:xfrm>
                        <a:prstGeom prst="roundRect">
                          <a:avLst/>
                        </a:prstGeom>
                        <a:ln>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rsidR="00371B10" w:rsidRPr="00C773C4" w:rsidRDefault="00371B10" w:rsidP="00147DCD">
                            <w:pPr>
                              <w:spacing w:before="0"/>
                              <w:ind w:left="0"/>
                              <w:jc w:val="center"/>
                              <w:rPr>
                                <w:rFonts w:cs="Arial"/>
                                <w:sz w:val="28"/>
                                <w:szCs w:val="28"/>
                              </w:rPr>
                            </w:pPr>
                            <w:r w:rsidRPr="00C773C4">
                              <w:rPr>
                                <w:rFonts w:cs="Arial"/>
                                <w:b/>
                                <w:sz w:val="28"/>
                                <w:szCs w:val="28"/>
                              </w:rPr>
                              <w:t>Histopathology</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sidRPr="00512315">
                              <w:rPr>
                                <w:rFonts w:cs="Arial"/>
                                <w:sz w:val="28"/>
                                <w:szCs w:val="28"/>
                              </w:rPr>
                              <w:t>1,122 (99.</w:t>
                            </w:r>
                            <w:r>
                              <w:rPr>
                                <w:rFonts w:cs="Arial"/>
                                <w:sz w:val="28"/>
                                <w:szCs w:val="28"/>
                              </w:rPr>
                              <w:t>6</w:t>
                            </w:r>
                            <w:r w:rsidRPr="00512315">
                              <w:rPr>
                                <w:rFonts w:cs="Arial"/>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3B206" id="Rounded Rectangle 78" o:spid="_x0000_s1053" style="position:absolute;left:0;text-align:left;margin-left:153.1pt;margin-top:23.95pt;width:141.7pt;height:5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" fillcolor="white [3201]" strokecolor="gray [1629]"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Histopathology</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sidRPr="00512315">
                        <w:rPr>
                          <w:rFonts w:cs="Arial"/>
                          <w:sz w:val="28"/>
                          <w:szCs w:val="28"/>
                        </w:rPr>
                        <w:t>1,122 (99.</w:t>
                      </w:r>
                      <w:r>
                        <w:rPr>
                          <w:rFonts w:cs="Arial"/>
                          <w:sz w:val="28"/>
                          <w:szCs w:val="28"/>
                        </w:rPr>
                        <w:t>6</w:t>
                      </w:r>
                      <w:r w:rsidRPr="00512315">
                        <w:rPr>
                          <w:rFonts w:cs="Arial"/>
                          <w:sz w:val="28"/>
                          <w:szCs w:val="28"/>
                        </w:rPr>
                        <w:t>%)</w:t>
                      </w:r>
                    </w:p>
                  </w:txbxContent>
                </v:textbox>
              </v:roundrect>
            </w:pict>
          </mc:Fallback>
        </mc:AlternateContent>
      </w:r>
    </w:p>
    <w:p w:rsidR="00147DCD" w:rsidRDefault="00147DCD" w:rsidP="00147DCD">
      <w:pPr>
        <w:jc w:val="center"/>
        <w:rPr>
          <w:rFonts w:cs="Arial"/>
          <w:sz w:val="26"/>
          <w:szCs w:val="26"/>
          <w:lang w:val="en-US"/>
        </w:rPr>
      </w:pPr>
    </w:p>
    <w:p w:rsidR="00147DCD" w:rsidRDefault="00565301" w:rsidP="00147DCD">
      <w:pPr>
        <w:jc w:val="center"/>
        <w:rPr>
          <w:rFonts w:cs="Arial"/>
          <w:sz w:val="26"/>
          <w:szCs w:val="26"/>
          <w:lang w:val="en-US"/>
        </w:rPr>
      </w:pPr>
      <w:r>
        <w:rPr>
          <w:rFonts w:cs="Arial"/>
          <w:noProof/>
          <w:sz w:val="26"/>
          <w:szCs w:val="26"/>
          <w:lang w:eastAsia="en-NZ"/>
        </w:rPr>
        <mc:AlternateContent>
          <mc:Choice Requires="wps">
            <w:drawing>
              <wp:anchor distT="0" distB="0" distL="114300" distR="114300" simplePos="0" relativeHeight="251703296" behindDoc="0" locked="0" layoutInCell="1" allowOverlap="1" wp14:anchorId="2D8B9538">
                <wp:simplePos x="0" y="0"/>
                <wp:positionH relativeFrom="column">
                  <wp:posOffset>2838450</wp:posOffset>
                </wp:positionH>
                <wp:positionV relativeFrom="paragraph">
                  <wp:posOffset>269240</wp:posOffset>
                </wp:positionV>
                <wp:extent cx="1895475" cy="247650"/>
                <wp:effectExtent l="19050" t="26035" r="19050" b="50165"/>
                <wp:wrapNone/>
                <wp:docPr id="28"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247650"/>
                        </a:xfrm>
                        <a:prstGeom prst="straightConnector1">
                          <a:avLst/>
                        </a:prstGeom>
                        <a:noFill/>
                        <a:ln w="38100">
                          <a:solidFill>
                            <a:srgbClr val="00BABF"/>
                          </a:solidFill>
                          <a:prstDash val="sysDot"/>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A5DE51" id="Straight Arrow Connector 79" o:spid="_x0000_s1026" type="#_x0000_t32" style="position:absolute;margin-left:223.5pt;margin-top:21.2pt;width:149.2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" strokecolor="#00babf" strokeweight="3pt">
                <v:stroke dashstyle="1 1"/>
                <v:shadow on="t" opacity="22936f" origin=",.5" offset="0,.63889mm"/>
              </v:shape>
            </w:pict>
          </mc:Fallback>
        </mc:AlternateContent>
      </w:r>
      <w:r>
        <w:rPr>
          <w:rFonts w:cs="Arial"/>
          <w:noProof/>
          <w:sz w:val="26"/>
          <w:szCs w:val="26"/>
          <w:lang w:eastAsia="en-NZ"/>
        </w:rPr>
        <mc:AlternateContent>
          <mc:Choice Requires="wps">
            <w:drawing>
              <wp:anchor distT="0" distB="0" distL="114300" distR="114300" simplePos="0" relativeHeight="251699200" behindDoc="0" locked="0" layoutInCell="1" allowOverlap="1" wp14:anchorId="1295AB63">
                <wp:simplePos x="0" y="0"/>
                <wp:positionH relativeFrom="column">
                  <wp:posOffset>971550</wp:posOffset>
                </wp:positionH>
                <wp:positionV relativeFrom="paragraph">
                  <wp:posOffset>269240</wp:posOffset>
                </wp:positionV>
                <wp:extent cx="1866900" cy="247650"/>
                <wp:effectExtent l="19050" t="26035" r="19050" b="50165"/>
                <wp:wrapNone/>
                <wp:docPr id="27"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6900" cy="247650"/>
                        </a:xfrm>
                        <a:prstGeom prst="straightConnector1">
                          <a:avLst/>
                        </a:prstGeom>
                        <a:noFill/>
                        <a:ln w="38100">
                          <a:solidFill>
                            <a:srgbClr val="00BABF"/>
                          </a:solidFill>
                          <a:prstDash val="sysDot"/>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840CEE4" id="Straight Arrow Connector 80" o:spid="_x0000_s1026" type="#_x0000_t32" style="position:absolute;margin-left:76.5pt;margin-top:21.2pt;width:147pt;height:19.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" strokecolor="#00babf" strokeweight="3pt">
                <v:stroke dashstyle="1 1"/>
                <v:shadow on="t" opacity="22936f" origin=",.5" offset="0,.63889mm"/>
              </v:shape>
            </w:pict>
          </mc:Fallback>
        </mc:AlternateContent>
      </w:r>
      <w:r>
        <w:rPr>
          <w:rFonts w:cs="Arial"/>
          <w:noProof/>
          <w:sz w:val="26"/>
          <w:szCs w:val="26"/>
          <w:lang w:eastAsia="en-NZ"/>
        </w:rPr>
        <mc:AlternateContent>
          <mc:Choice Requires="wps">
            <w:drawing>
              <wp:anchor distT="0" distB="0" distL="114300" distR="114300" simplePos="0" relativeHeight="251702272" behindDoc="0" locked="0" layoutInCell="1" allowOverlap="1" wp14:anchorId="39FC9D45">
                <wp:simplePos x="0" y="0"/>
                <wp:positionH relativeFrom="column">
                  <wp:posOffset>2838450</wp:posOffset>
                </wp:positionH>
                <wp:positionV relativeFrom="paragraph">
                  <wp:posOffset>250190</wp:posOffset>
                </wp:positionV>
                <wp:extent cx="0" cy="247650"/>
                <wp:effectExtent l="19050" t="26035" r="19050" b="50165"/>
                <wp:wrapNone/>
                <wp:docPr id="26"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38100">
                          <a:solidFill>
                            <a:srgbClr val="00BABF"/>
                          </a:solidFill>
                          <a:prstDash val="sysDot"/>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35259E00" id="Straight Arrow Connector 81" o:spid="_x0000_s1026" type="#_x0000_t32" style="position:absolute;margin-left:223.5pt;margin-top:19.7pt;width:0;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" strokecolor="#00babf" strokeweight="3pt">
                <v:stroke dashstyle="1 1"/>
                <v:shadow on="t" opacity="22936f" origin=",.5" offset="0,.63889mm"/>
              </v:shape>
            </w:pict>
          </mc:Fallback>
        </mc:AlternateContent>
      </w:r>
    </w:p>
    <w:p w:rsidR="00147DCD" w:rsidRDefault="00565301" w:rsidP="00147DCD">
      <w:pPr>
        <w:jc w:val="center"/>
        <w:rPr>
          <w:rFonts w:cs="Arial"/>
          <w:sz w:val="26"/>
          <w:szCs w:val="26"/>
          <w:lang w:val="en-US"/>
        </w:rPr>
      </w:pPr>
      <w:r>
        <w:rPr>
          <w:rFonts w:cs="Arial"/>
          <w:noProof/>
          <w:sz w:val="26"/>
          <w:szCs w:val="26"/>
          <w:lang w:eastAsia="en-NZ"/>
        </w:rPr>
        <mc:AlternateContent>
          <mc:Choice Requires="wps">
            <w:drawing>
              <wp:anchor distT="0" distB="0" distL="114300" distR="114300" simplePos="0" relativeHeight="251720704" behindDoc="0" locked="0" layoutInCell="1" allowOverlap="1" wp14:anchorId="5417D3D6">
                <wp:simplePos x="0" y="0"/>
                <wp:positionH relativeFrom="column">
                  <wp:posOffset>3810000</wp:posOffset>
                </wp:positionH>
                <wp:positionV relativeFrom="paragraph">
                  <wp:posOffset>160655</wp:posOffset>
                </wp:positionV>
                <wp:extent cx="1799590" cy="647700"/>
                <wp:effectExtent l="0" t="0" r="10160" b="19050"/>
                <wp:wrapNone/>
                <wp:docPr id="82" name="Rounded 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647700"/>
                        </a:xfrm>
                        <a:prstGeom prst="roundRect">
                          <a:avLst/>
                        </a:prstGeom>
                        <a:ln>
                          <a:solidFill>
                            <a:srgbClr val="7F7F7F"/>
                          </a:solidFill>
                        </a:ln>
                      </wps:spPr>
                      <wps:style>
                        <a:lnRef idx="2">
                          <a:schemeClr val="dk1"/>
                        </a:lnRef>
                        <a:fillRef idx="1">
                          <a:schemeClr val="lt1"/>
                        </a:fillRef>
                        <a:effectRef idx="0">
                          <a:schemeClr val="dk1"/>
                        </a:effectRef>
                        <a:fontRef idx="minor">
                          <a:schemeClr val="dk1"/>
                        </a:fontRef>
                      </wps:style>
                      <wps:txbx>
                        <w:txbxContent>
                          <w:p w:rsidR="00371B10" w:rsidRPr="00C773C4" w:rsidRDefault="00371B10" w:rsidP="00147DCD">
                            <w:pPr>
                              <w:spacing w:before="0"/>
                              <w:ind w:left="0"/>
                              <w:jc w:val="center"/>
                              <w:rPr>
                                <w:rFonts w:cs="Arial"/>
                                <w:sz w:val="28"/>
                                <w:szCs w:val="28"/>
                              </w:rPr>
                            </w:pPr>
                            <w:r>
                              <w:rPr>
                                <w:rFonts w:cs="Arial"/>
                                <w:b/>
                                <w:sz w:val="28"/>
                                <w:szCs w:val="28"/>
                              </w:rPr>
                              <w:t>Other</w:t>
                            </w:r>
                            <w:r w:rsidRPr="0087318E">
                              <w:rPr>
                                <w:rFonts w:cs="Arial"/>
                                <w:b/>
                                <w:sz w:val="28"/>
                                <w:szCs w:val="28"/>
                                <w:vertAlign w:val="superscript"/>
                              </w:rPr>
                              <w:t>‡</w:t>
                            </w:r>
                            <w:r>
                              <w:rPr>
                                <w:rFonts w:cs="Arial"/>
                                <w:b/>
                                <w:sz w:val="28"/>
                                <w:szCs w:val="28"/>
                                <w:vertAlign w:val="superscript"/>
                              </w:rPr>
                              <w:t>¹</w:t>
                            </w:r>
                            <w:r w:rsidRPr="00C773C4">
                              <w:rPr>
                                <w:rFonts w:cs="Arial"/>
                                <w:b/>
                                <w:sz w:val="28"/>
                                <w:szCs w:val="28"/>
                              </w:rPr>
                              <w:br/>
                            </w:r>
                            <w:r w:rsidRPr="00C773C4">
                              <w:rPr>
                                <w:rFonts w:cs="Arial"/>
                                <w:sz w:val="28"/>
                                <w:szCs w:val="28"/>
                              </w:rPr>
                              <w:t xml:space="preserve">n = </w:t>
                            </w:r>
                            <w:r>
                              <w:rPr>
                                <w:rFonts w:cs="Arial"/>
                                <w:sz w:val="28"/>
                                <w:szCs w:val="28"/>
                              </w:rPr>
                              <w:t>392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17D3D6" id="Rounded Rectangle 82" o:spid="_x0000_s1054" style="position:absolute;left:0;text-align:left;margin-left:300pt;margin-top:12.65pt;width:141.7pt;height:5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" fillcolor="white [3201]" strokecolor="#7f7f7f" strokeweight="2pt">
                <v:path arrowok="t"/>
                <v:textbox inset="0,0,0,0">
                  <w:txbxContent>
                    <w:p w:rsidR="00371B10" w:rsidRPr="00C773C4" w:rsidRDefault="00371B10" w:rsidP="00147DCD">
                      <w:pPr>
                        <w:spacing w:before="0"/>
                        <w:ind w:left="0"/>
                        <w:jc w:val="center"/>
                        <w:rPr>
                          <w:rFonts w:cs="Arial"/>
                          <w:sz w:val="28"/>
                          <w:szCs w:val="28"/>
                        </w:rPr>
                      </w:pPr>
                      <w:r>
                        <w:rPr>
                          <w:rFonts w:cs="Arial"/>
                          <w:b/>
                          <w:sz w:val="28"/>
                          <w:szCs w:val="28"/>
                        </w:rPr>
                        <w:t>Other</w:t>
                      </w:r>
                      <w:r w:rsidRPr="0087318E">
                        <w:rPr>
                          <w:rFonts w:cs="Arial"/>
                          <w:b/>
                          <w:sz w:val="28"/>
                          <w:szCs w:val="28"/>
                          <w:vertAlign w:val="superscript"/>
                        </w:rPr>
                        <w:t>‡</w:t>
                      </w:r>
                      <w:r>
                        <w:rPr>
                          <w:rFonts w:cs="Arial"/>
                          <w:b/>
                          <w:sz w:val="28"/>
                          <w:szCs w:val="28"/>
                          <w:vertAlign w:val="superscript"/>
                        </w:rPr>
                        <w:t>¹</w:t>
                      </w:r>
                      <w:r w:rsidRPr="00C773C4">
                        <w:rPr>
                          <w:rFonts w:cs="Arial"/>
                          <w:b/>
                          <w:sz w:val="28"/>
                          <w:szCs w:val="28"/>
                        </w:rPr>
                        <w:br/>
                      </w:r>
                      <w:r w:rsidRPr="00C773C4">
                        <w:rPr>
                          <w:rFonts w:cs="Arial"/>
                          <w:sz w:val="28"/>
                          <w:szCs w:val="28"/>
                        </w:rPr>
                        <w:t xml:space="preserve">n = </w:t>
                      </w:r>
                      <w:r>
                        <w:rPr>
                          <w:rFonts w:cs="Arial"/>
                          <w:sz w:val="28"/>
                          <w:szCs w:val="28"/>
                        </w:rPr>
                        <w:t>392</w:t>
                      </w:r>
                    </w:p>
                  </w:txbxContent>
                </v:textbox>
              </v:roundrect>
            </w:pict>
          </mc:Fallback>
        </mc:AlternateContent>
      </w:r>
      <w:r>
        <w:rPr>
          <w:rFonts w:cs="Arial"/>
          <w:noProof/>
          <w:sz w:val="26"/>
          <w:szCs w:val="26"/>
          <w:lang w:eastAsia="en-NZ"/>
        </w:rPr>
        <mc:AlternateContent>
          <mc:Choice Requires="wps">
            <w:drawing>
              <wp:anchor distT="0" distB="0" distL="114300" distR="114300" simplePos="0" relativeHeight="251714560" behindDoc="0" locked="0" layoutInCell="1" allowOverlap="1" wp14:anchorId="1AD77CAA">
                <wp:simplePos x="0" y="0"/>
                <wp:positionH relativeFrom="column">
                  <wp:posOffset>1944370</wp:posOffset>
                </wp:positionH>
                <wp:positionV relativeFrom="paragraph">
                  <wp:posOffset>161290</wp:posOffset>
                </wp:positionV>
                <wp:extent cx="1800225" cy="647700"/>
                <wp:effectExtent l="0" t="0" r="28575" b="19050"/>
                <wp:wrapNone/>
                <wp:docPr id="83" name="Rounded 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6477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371B10" w:rsidRPr="00C773C4" w:rsidRDefault="00371B10" w:rsidP="00147DCD">
                            <w:pPr>
                              <w:spacing w:before="0"/>
                              <w:ind w:left="0"/>
                              <w:jc w:val="center"/>
                              <w:rPr>
                                <w:rFonts w:cs="Arial"/>
                                <w:sz w:val="28"/>
                                <w:szCs w:val="28"/>
                              </w:rPr>
                            </w:pPr>
                            <w:r w:rsidRPr="00C773C4">
                              <w:rPr>
                                <w:rFonts w:cs="Arial"/>
                                <w:b/>
                                <w:sz w:val="28"/>
                                <w:szCs w:val="28"/>
                              </w:rPr>
                              <w:t>Adenoma</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802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D77CAA" id="Rounded Rectangle 83" o:spid="_x0000_s1055" style="position:absolute;left:0;text-align:left;margin-left:153.1pt;margin-top:12.7pt;width:141.75pt;height:5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" fillcolor="black [3200]" strokecolor="black [1600]"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Adenoma</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802</w:t>
                      </w:r>
                    </w:p>
                  </w:txbxContent>
                </v:textbox>
              </v:roundrect>
            </w:pict>
          </mc:Fallback>
        </mc:AlternateContent>
      </w:r>
      <w:r>
        <w:rPr>
          <w:rFonts w:cs="Arial"/>
          <w:noProof/>
          <w:sz w:val="26"/>
          <w:szCs w:val="26"/>
          <w:lang w:eastAsia="en-NZ"/>
        </w:rPr>
        <mc:AlternateContent>
          <mc:Choice Requires="wps">
            <w:drawing>
              <wp:anchor distT="0" distB="0" distL="114300" distR="114300" simplePos="0" relativeHeight="251713536" behindDoc="0" locked="0" layoutInCell="1" allowOverlap="1" wp14:anchorId="368B048C">
                <wp:simplePos x="0" y="0"/>
                <wp:positionH relativeFrom="column">
                  <wp:posOffset>76835</wp:posOffset>
                </wp:positionH>
                <wp:positionV relativeFrom="paragraph">
                  <wp:posOffset>161290</wp:posOffset>
                </wp:positionV>
                <wp:extent cx="1799590" cy="647700"/>
                <wp:effectExtent l="0" t="0" r="10160" b="19050"/>
                <wp:wrapNone/>
                <wp:docPr id="84" name="Rounded 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6477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371B10" w:rsidRPr="00C773C4" w:rsidRDefault="00371B10" w:rsidP="00147DCD">
                            <w:pPr>
                              <w:spacing w:before="0"/>
                              <w:ind w:left="0"/>
                              <w:jc w:val="center"/>
                              <w:rPr>
                                <w:rFonts w:cs="Arial"/>
                                <w:sz w:val="28"/>
                                <w:szCs w:val="28"/>
                              </w:rPr>
                            </w:pPr>
                            <w:r w:rsidRPr="00C773C4">
                              <w:rPr>
                                <w:rFonts w:cs="Arial"/>
                                <w:b/>
                                <w:sz w:val="28"/>
                                <w:szCs w:val="28"/>
                              </w:rPr>
                              <w:t>Cancer</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53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8B048C" id="Rounded Rectangle 84" o:spid="_x0000_s1056" style="position:absolute;left:0;text-align:left;margin-left:6.05pt;margin-top:12.7pt;width:141.7pt;height:5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" fillcolor="black [3200]" strokecolor="black [1600]"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Cancer</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53</w:t>
                      </w:r>
                    </w:p>
                  </w:txbxContent>
                </v:textbox>
              </v:roundrect>
            </w:pict>
          </mc:Fallback>
        </mc:AlternateContent>
      </w:r>
    </w:p>
    <w:p w:rsidR="00147DCD" w:rsidRDefault="00147DCD" w:rsidP="00147DCD">
      <w:pPr>
        <w:jc w:val="center"/>
        <w:rPr>
          <w:rFonts w:cs="Arial"/>
          <w:sz w:val="26"/>
          <w:szCs w:val="26"/>
          <w:lang w:val="en-US"/>
        </w:rPr>
      </w:pPr>
    </w:p>
    <w:p w:rsidR="00147DCD" w:rsidRDefault="00147DCD" w:rsidP="00147DCD">
      <w:pPr>
        <w:jc w:val="center"/>
        <w:rPr>
          <w:rFonts w:cs="Arial"/>
          <w:sz w:val="26"/>
          <w:szCs w:val="26"/>
          <w:lang w:val="en-US"/>
        </w:rPr>
      </w:pPr>
      <w:r>
        <w:rPr>
          <w:rStyle w:val="FootnoteReference"/>
          <w:rFonts w:cs="Arial"/>
          <w:sz w:val="26"/>
          <w:szCs w:val="26"/>
          <w:lang w:val="en-US"/>
        </w:rPr>
        <w:footnoteReference w:id="33"/>
      </w:r>
      <w:r w:rsidR="00565301">
        <w:rPr>
          <w:rFonts w:cs="Arial"/>
          <w:noProof/>
          <w:sz w:val="26"/>
          <w:szCs w:val="26"/>
          <w:lang w:eastAsia="en-NZ"/>
        </w:rPr>
        <mc:AlternateContent>
          <mc:Choice Requires="wps">
            <w:drawing>
              <wp:anchor distT="0" distB="0" distL="114300" distR="114300" simplePos="0" relativeHeight="251717632" behindDoc="0" locked="0" layoutInCell="1" allowOverlap="1" wp14:anchorId="51A6C9B2">
                <wp:simplePos x="0" y="0"/>
                <wp:positionH relativeFrom="column">
                  <wp:posOffset>2199640</wp:posOffset>
                </wp:positionH>
                <wp:positionV relativeFrom="paragraph">
                  <wp:posOffset>142875</wp:posOffset>
                </wp:positionV>
                <wp:extent cx="1284605" cy="359410"/>
                <wp:effectExtent l="0" t="0" r="10795" b="2159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4605" cy="359410"/>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rsidR="00371B10" w:rsidRPr="009E7BC5" w:rsidRDefault="00371B10" w:rsidP="00147DCD">
                            <w:pPr>
                              <w:spacing w:before="0"/>
                              <w:ind w:left="0"/>
                              <w:jc w:val="center"/>
                              <w:rPr>
                                <w:rFonts w:cs="Arial"/>
                                <w:b/>
                              </w:rPr>
                            </w:pPr>
                            <w:r w:rsidRPr="009E7BC5">
                              <w:rPr>
                                <w:rFonts w:cs="Arial"/>
                                <w:b/>
                              </w:rPr>
                              <w:t>DR</w:t>
                            </w:r>
                            <w:r w:rsidRPr="00A5266E">
                              <w:rPr>
                                <w:rFonts w:cs="Arial"/>
                              </w:rPr>
                              <w:t>=</w:t>
                            </w:r>
                            <w:r>
                              <w:rPr>
                                <w:rFonts w:cs="Arial"/>
                              </w:rPr>
                              <w:t>24</w:t>
                            </w:r>
                            <w:r w:rsidRPr="00A5266E">
                              <w:rPr>
                                <w:rFonts w:cs="Arial"/>
                              </w:rPr>
                              <w:t>.</w:t>
                            </w:r>
                            <w:r>
                              <w:rPr>
                                <w:rFonts w:cs="Arial"/>
                              </w:rPr>
                              <w:t xml:space="preserve">8 per </w:t>
                            </w:r>
                            <w:r w:rsidRPr="00A5266E">
                              <w:rPr>
                                <w:rFonts w:cs="Arial"/>
                              </w:rPr>
                              <w:t>1</w:t>
                            </w:r>
                            <w:r>
                              <w:rPr>
                                <w:rFonts w:cs="Arial"/>
                              </w:rPr>
                              <w:t>,</w:t>
                            </w:r>
                            <w:r w:rsidRPr="00A5266E">
                              <w:rPr>
                                <w:rFonts w:cs="Arial"/>
                              </w:rPr>
                              <w:t>000</w:t>
                            </w:r>
                            <w:r w:rsidRPr="00A5266E">
                              <w:rPr>
                                <w:rFonts w:cs="Arial"/>
                              </w:rPr>
                              <w:br/>
                            </w:r>
                            <w:r w:rsidRPr="009E7BC5">
                              <w:rPr>
                                <w:rFonts w:cs="Arial"/>
                                <w:b/>
                              </w:rPr>
                              <w:t>PPV</w:t>
                            </w:r>
                            <w:r w:rsidRPr="00A5266E">
                              <w:rPr>
                                <w:rFonts w:cs="Arial"/>
                              </w:rPr>
                              <w:t>=</w:t>
                            </w:r>
                            <w:r>
                              <w:rPr>
                                <w:rFonts w:cs="Arial"/>
                              </w:rPr>
                              <w:t>42</w:t>
                            </w:r>
                            <w:r w:rsidRPr="00A5266E">
                              <w:rPr>
                                <w:rFonts w:cs="Arial"/>
                              </w:rPr>
                              <w:t>.</w:t>
                            </w:r>
                            <w:r>
                              <w:rPr>
                                <w:rFonts w:cs="Arial"/>
                              </w:rPr>
                              <w:t>5</w:t>
                            </w:r>
                            <w:r w:rsidRPr="00A5266E">
                              <w:rPr>
                                <w:rFonts w:cs="Aria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6C9B2" id="Text Box 85" o:spid="_x0000_s1057" type="#_x0000_t202" style="position:absolute;left:0;text-align:left;margin-left:173.2pt;margin-top:11.25pt;width:101.15pt;height:28.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" fillcolor="white [3201]" strokecolor="black [3213]" strokeweight="2pt">
                <v:path arrowok="t"/>
                <v:textbox inset="0,0,0,0">
                  <w:txbxContent>
                    <w:p w:rsidR="00371B10" w:rsidRPr="009E7BC5" w:rsidRDefault="00371B10" w:rsidP="00147DCD">
                      <w:pPr>
                        <w:spacing w:before="0"/>
                        <w:ind w:left="0"/>
                        <w:jc w:val="center"/>
                        <w:rPr>
                          <w:rFonts w:cs="Arial"/>
                          <w:b/>
                        </w:rPr>
                      </w:pPr>
                      <w:r w:rsidRPr="009E7BC5">
                        <w:rPr>
                          <w:rFonts w:cs="Arial"/>
                          <w:b/>
                        </w:rPr>
                        <w:t>DR</w:t>
                      </w:r>
                      <w:r w:rsidRPr="00A5266E">
                        <w:rPr>
                          <w:rFonts w:cs="Arial"/>
                        </w:rPr>
                        <w:t>=</w:t>
                      </w:r>
                      <w:r>
                        <w:rPr>
                          <w:rFonts w:cs="Arial"/>
                        </w:rPr>
                        <w:t>24</w:t>
                      </w:r>
                      <w:r w:rsidRPr="00A5266E">
                        <w:rPr>
                          <w:rFonts w:cs="Arial"/>
                        </w:rPr>
                        <w:t>.</w:t>
                      </w:r>
                      <w:r>
                        <w:rPr>
                          <w:rFonts w:cs="Arial"/>
                        </w:rPr>
                        <w:t xml:space="preserve">8 per </w:t>
                      </w:r>
                      <w:r w:rsidRPr="00A5266E">
                        <w:rPr>
                          <w:rFonts w:cs="Arial"/>
                        </w:rPr>
                        <w:t>1</w:t>
                      </w:r>
                      <w:r>
                        <w:rPr>
                          <w:rFonts w:cs="Arial"/>
                        </w:rPr>
                        <w:t>,</w:t>
                      </w:r>
                      <w:r w:rsidRPr="00A5266E">
                        <w:rPr>
                          <w:rFonts w:cs="Arial"/>
                        </w:rPr>
                        <w:t>000</w:t>
                      </w:r>
                      <w:r w:rsidRPr="00A5266E">
                        <w:rPr>
                          <w:rFonts w:cs="Arial"/>
                        </w:rPr>
                        <w:br/>
                      </w:r>
                      <w:r w:rsidRPr="009E7BC5">
                        <w:rPr>
                          <w:rFonts w:cs="Arial"/>
                          <w:b/>
                        </w:rPr>
                        <w:t>PPV</w:t>
                      </w:r>
                      <w:r w:rsidRPr="00A5266E">
                        <w:rPr>
                          <w:rFonts w:cs="Arial"/>
                        </w:rPr>
                        <w:t>=</w:t>
                      </w:r>
                      <w:r>
                        <w:rPr>
                          <w:rFonts w:cs="Arial"/>
                        </w:rPr>
                        <w:t>42</w:t>
                      </w:r>
                      <w:r w:rsidRPr="00A5266E">
                        <w:rPr>
                          <w:rFonts w:cs="Arial"/>
                        </w:rPr>
                        <w:t>.</w:t>
                      </w:r>
                      <w:r>
                        <w:rPr>
                          <w:rFonts w:cs="Arial"/>
                        </w:rPr>
                        <w:t>5</w:t>
                      </w:r>
                      <w:r w:rsidRPr="00A5266E">
                        <w:rPr>
                          <w:rFonts w:cs="Arial"/>
                        </w:rPr>
                        <w:t>%</w:t>
                      </w:r>
                    </w:p>
                  </w:txbxContent>
                </v:textbox>
              </v:shape>
            </w:pict>
          </mc:Fallback>
        </mc:AlternateContent>
      </w:r>
      <w:r w:rsidR="00565301">
        <w:rPr>
          <w:rFonts w:cs="Arial"/>
          <w:noProof/>
          <w:sz w:val="26"/>
          <w:szCs w:val="26"/>
          <w:lang w:eastAsia="en-NZ"/>
        </w:rPr>
        <mc:AlternateContent>
          <mc:Choice Requires="wps">
            <w:drawing>
              <wp:anchor distT="0" distB="0" distL="114300" distR="114300" simplePos="0" relativeHeight="251716608" behindDoc="0" locked="0" layoutInCell="1" allowOverlap="1" wp14:anchorId="739AEA24">
                <wp:simplePos x="0" y="0"/>
                <wp:positionH relativeFrom="column">
                  <wp:posOffset>381635</wp:posOffset>
                </wp:positionH>
                <wp:positionV relativeFrom="paragraph">
                  <wp:posOffset>141605</wp:posOffset>
                </wp:positionV>
                <wp:extent cx="1187450" cy="359410"/>
                <wp:effectExtent l="0" t="0" r="12700" b="2159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7450" cy="359410"/>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rsidR="00371B10" w:rsidRPr="009E7BC5" w:rsidRDefault="00371B10" w:rsidP="00147DCD">
                            <w:pPr>
                              <w:spacing w:before="0"/>
                              <w:ind w:left="0"/>
                              <w:jc w:val="center"/>
                              <w:rPr>
                                <w:rFonts w:cs="Arial"/>
                                <w:b/>
                              </w:rPr>
                            </w:pPr>
                            <w:r w:rsidRPr="009E7BC5">
                              <w:rPr>
                                <w:rFonts w:cs="Arial"/>
                                <w:b/>
                              </w:rPr>
                              <w:t>DR</w:t>
                            </w:r>
                            <w:r w:rsidRPr="00A5266E">
                              <w:rPr>
                                <w:rFonts w:cs="Arial"/>
                              </w:rPr>
                              <w:t>=</w:t>
                            </w:r>
                            <w:r>
                              <w:rPr>
                                <w:rFonts w:cs="Arial"/>
                              </w:rPr>
                              <w:t>1</w:t>
                            </w:r>
                            <w:r w:rsidRPr="00A5266E">
                              <w:rPr>
                                <w:rFonts w:cs="Arial"/>
                              </w:rPr>
                              <w:t>.</w:t>
                            </w:r>
                            <w:r>
                              <w:rPr>
                                <w:rFonts w:cs="Arial"/>
                              </w:rPr>
                              <w:t xml:space="preserve">6 per </w:t>
                            </w:r>
                            <w:r w:rsidRPr="00A5266E">
                              <w:rPr>
                                <w:rFonts w:cs="Arial"/>
                              </w:rPr>
                              <w:t>1</w:t>
                            </w:r>
                            <w:r>
                              <w:rPr>
                                <w:rFonts w:cs="Arial"/>
                              </w:rPr>
                              <w:t>,</w:t>
                            </w:r>
                            <w:r w:rsidRPr="00A5266E">
                              <w:rPr>
                                <w:rFonts w:cs="Arial"/>
                              </w:rPr>
                              <w:t>000</w:t>
                            </w:r>
                            <w:r w:rsidRPr="009E7BC5">
                              <w:rPr>
                                <w:rFonts w:cs="Arial"/>
                                <w:b/>
                              </w:rPr>
                              <w:br/>
                              <w:t>PPV</w:t>
                            </w:r>
                            <w:r w:rsidRPr="00A5266E">
                              <w:rPr>
                                <w:rFonts w:cs="Arial"/>
                              </w:rPr>
                              <w:t>=</w:t>
                            </w:r>
                            <w:r>
                              <w:rPr>
                                <w:rFonts w:cs="Arial"/>
                              </w:rPr>
                              <w:t>2</w:t>
                            </w:r>
                            <w:r w:rsidRPr="00A5266E">
                              <w:rPr>
                                <w:rFonts w:cs="Arial"/>
                              </w:rPr>
                              <w:t>.</w:t>
                            </w:r>
                            <w:r>
                              <w:rPr>
                                <w:rFonts w:cs="Arial"/>
                              </w:rPr>
                              <w:t>8</w:t>
                            </w:r>
                            <w:r w:rsidRPr="00A5266E">
                              <w:rPr>
                                <w:rFonts w:cs="Aria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AEA24" id="Text Box 86" o:spid="_x0000_s1058" type="#_x0000_t202" style="position:absolute;left:0;text-align:left;margin-left:30.05pt;margin-top:11.15pt;width:93.5pt;height:28.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" fillcolor="white [3201]" strokecolor="black [3213]" strokeweight="2pt">
                <v:path arrowok="t"/>
                <v:textbox inset="0,0,0,0">
                  <w:txbxContent>
                    <w:p w:rsidR="00371B10" w:rsidRPr="009E7BC5" w:rsidRDefault="00371B10" w:rsidP="00147DCD">
                      <w:pPr>
                        <w:spacing w:before="0"/>
                        <w:ind w:left="0"/>
                        <w:jc w:val="center"/>
                        <w:rPr>
                          <w:rFonts w:cs="Arial"/>
                          <w:b/>
                        </w:rPr>
                      </w:pPr>
                      <w:r w:rsidRPr="009E7BC5">
                        <w:rPr>
                          <w:rFonts w:cs="Arial"/>
                          <w:b/>
                        </w:rPr>
                        <w:t>DR</w:t>
                      </w:r>
                      <w:r w:rsidRPr="00A5266E">
                        <w:rPr>
                          <w:rFonts w:cs="Arial"/>
                        </w:rPr>
                        <w:t>=</w:t>
                      </w:r>
                      <w:r>
                        <w:rPr>
                          <w:rFonts w:cs="Arial"/>
                        </w:rPr>
                        <w:t>1</w:t>
                      </w:r>
                      <w:r w:rsidRPr="00A5266E">
                        <w:rPr>
                          <w:rFonts w:cs="Arial"/>
                        </w:rPr>
                        <w:t>.</w:t>
                      </w:r>
                      <w:r>
                        <w:rPr>
                          <w:rFonts w:cs="Arial"/>
                        </w:rPr>
                        <w:t xml:space="preserve">6 per </w:t>
                      </w:r>
                      <w:r w:rsidRPr="00A5266E">
                        <w:rPr>
                          <w:rFonts w:cs="Arial"/>
                        </w:rPr>
                        <w:t>1</w:t>
                      </w:r>
                      <w:r>
                        <w:rPr>
                          <w:rFonts w:cs="Arial"/>
                        </w:rPr>
                        <w:t>,</w:t>
                      </w:r>
                      <w:r w:rsidRPr="00A5266E">
                        <w:rPr>
                          <w:rFonts w:cs="Arial"/>
                        </w:rPr>
                        <w:t>000</w:t>
                      </w:r>
                      <w:r w:rsidRPr="009E7BC5">
                        <w:rPr>
                          <w:rFonts w:cs="Arial"/>
                          <w:b/>
                        </w:rPr>
                        <w:br/>
                        <w:t>PPV</w:t>
                      </w:r>
                      <w:r w:rsidRPr="00A5266E">
                        <w:rPr>
                          <w:rFonts w:cs="Arial"/>
                        </w:rPr>
                        <w:t>=</w:t>
                      </w:r>
                      <w:r>
                        <w:rPr>
                          <w:rFonts w:cs="Arial"/>
                        </w:rPr>
                        <w:t>2</w:t>
                      </w:r>
                      <w:r w:rsidRPr="00A5266E">
                        <w:rPr>
                          <w:rFonts w:cs="Arial"/>
                        </w:rPr>
                        <w:t>.</w:t>
                      </w:r>
                      <w:r>
                        <w:rPr>
                          <w:rFonts w:cs="Arial"/>
                        </w:rPr>
                        <w:t>8</w:t>
                      </w:r>
                      <w:r w:rsidRPr="00A5266E">
                        <w:rPr>
                          <w:rFonts w:cs="Arial"/>
                        </w:rPr>
                        <w:t>%</w:t>
                      </w:r>
                    </w:p>
                  </w:txbxContent>
                </v:textbox>
              </v:shape>
            </w:pict>
          </mc:Fallback>
        </mc:AlternateContent>
      </w:r>
    </w:p>
    <w:p w:rsidR="00147DCD" w:rsidRDefault="00565301" w:rsidP="00147DCD">
      <w:pPr>
        <w:jc w:val="center"/>
        <w:rPr>
          <w:rFonts w:cs="Arial"/>
          <w:sz w:val="26"/>
          <w:szCs w:val="26"/>
          <w:lang w:val="en-US"/>
        </w:rPr>
      </w:pPr>
      <w:r>
        <w:rPr>
          <w:rFonts w:cs="Arial"/>
          <w:noProof/>
          <w:sz w:val="26"/>
          <w:szCs w:val="26"/>
          <w:lang w:eastAsia="en-NZ"/>
        </w:rPr>
        <mc:AlternateContent>
          <mc:Choice Requires="wps">
            <w:drawing>
              <wp:anchor distT="0" distB="0" distL="114300" distR="114300" simplePos="0" relativeHeight="251715584" behindDoc="0" locked="0" layoutInCell="1" allowOverlap="1" wp14:anchorId="5459354B">
                <wp:simplePos x="0" y="0"/>
                <wp:positionH relativeFrom="column">
                  <wp:posOffset>1896745</wp:posOffset>
                </wp:positionH>
                <wp:positionV relativeFrom="paragraph">
                  <wp:posOffset>325120</wp:posOffset>
                </wp:positionV>
                <wp:extent cx="1871980" cy="647700"/>
                <wp:effectExtent l="0" t="0" r="13970" b="19050"/>
                <wp:wrapNone/>
                <wp:docPr id="87" name="Rounded 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980" cy="6477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371B10" w:rsidRPr="00C773C4" w:rsidRDefault="00371B10" w:rsidP="00147DCD">
                            <w:pPr>
                              <w:spacing w:before="0"/>
                              <w:ind w:left="0"/>
                              <w:jc w:val="center"/>
                              <w:rPr>
                                <w:rFonts w:cs="Arial"/>
                                <w:sz w:val="28"/>
                                <w:szCs w:val="28"/>
                              </w:rPr>
                            </w:pPr>
                            <w:r w:rsidRPr="00C773C4">
                              <w:rPr>
                                <w:rFonts w:cs="Arial"/>
                                <w:b/>
                                <w:sz w:val="28"/>
                                <w:szCs w:val="28"/>
                              </w:rPr>
                              <w:t>Advanced Adenoma</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277 (34.5%)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9354B" id="Rounded Rectangle 87" o:spid="_x0000_s1059" style="position:absolute;left:0;text-align:left;margin-left:149.35pt;margin-top:25.6pt;width:147.4pt;height:5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" fillcolor="black [3200]" strokecolor="black [1600]"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Advanced Adenoma</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277 (34.5%)</w:t>
                      </w:r>
                    </w:p>
                  </w:txbxContent>
                </v:textbox>
              </v:roundrect>
            </w:pict>
          </mc:Fallback>
        </mc:AlternateContent>
      </w:r>
      <w:r>
        <w:rPr>
          <w:rFonts w:cs="Arial"/>
          <w:noProof/>
          <w:sz w:val="26"/>
          <w:szCs w:val="26"/>
          <w:lang w:eastAsia="en-NZ"/>
        </w:rPr>
        <mc:AlternateContent>
          <mc:Choice Requires="wps">
            <w:drawing>
              <wp:anchor distT="0" distB="0" distL="114300" distR="114300" simplePos="0" relativeHeight="251704320" behindDoc="0" locked="0" layoutInCell="1" allowOverlap="1" wp14:anchorId="27941399">
                <wp:simplePos x="0" y="0"/>
                <wp:positionH relativeFrom="column">
                  <wp:posOffset>2833370</wp:posOffset>
                </wp:positionH>
                <wp:positionV relativeFrom="paragraph">
                  <wp:posOffset>158115</wp:posOffset>
                </wp:positionV>
                <wp:extent cx="0" cy="144145"/>
                <wp:effectExtent l="23495" t="26670" r="24130" b="48260"/>
                <wp:wrapNone/>
                <wp:docPr id="25"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38100">
                          <a:solidFill>
                            <a:srgbClr val="00BABF"/>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02CACEC6" id="Straight Arrow Connector 88" o:spid="_x0000_s1026" type="#_x0000_t32" style="position:absolute;margin-left:223.1pt;margin-top:12.45pt;width:0;height:1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" strokecolor="#00babf" strokeweight="3pt">
                <v:shadow on="t" opacity="22936f" origin=",.5" offset="0,.63889mm"/>
              </v:shape>
            </w:pict>
          </mc:Fallback>
        </mc:AlternateContent>
      </w:r>
    </w:p>
    <w:p w:rsidR="00147DCD" w:rsidRDefault="00147DCD" w:rsidP="00147DCD">
      <w:pPr>
        <w:jc w:val="center"/>
        <w:rPr>
          <w:rFonts w:cs="Arial"/>
          <w:sz w:val="26"/>
          <w:szCs w:val="26"/>
          <w:lang w:val="en-US"/>
        </w:rPr>
      </w:pPr>
    </w:p>
    <w:p w:rsidR="00147DCD" w:rsidRDefault="00565301" w:rsidP="00147DCD">
      <w:pPr>
        <w:jc w:val="center"/>
        <w:rPr>
          <w:rFonts w:cs="Arial"/>
          <w:sz w:val="26"/>
          <w:szCs w:val="26"/>
          <w:lang w:val="en-US"/>
        </w:rPr>
      </w:pPr>
      <w:r>
        <w:rPr>
          <w:rFonts w:cs="Arial"/>
          <w:noProof/>
          <w:sz w:val="26"/>
          <w:szCs w:val="26"/>
          <w:lang w:eastAsia="en-NZ"/>
        </w:rPr>
        <mc:AlternateContent>
          <mc:Choice Requires="wps">
            <w:drawing>
              <wp:anchor distT="0" distB="0" distL="114300" distR="114300" simplePos="0" relativeHeight="251718656" behindDoc="0" locked="0" layoutInCell="1" allowOverlap="1" wp14:anchorId="33924613">
                <wp:simplePos x="0" y="0"/>
                <wp:positionH relativeFrom="column">
                  <wp:posOffset>2199640</wp:posOffset>
                </wp:positionH>
                <wp:positionV relativeFrom="paragraph">
                  <wp:posOffset>302260</wp:posOffset>
                </wp:positionV>
                <wp:extent cx="1285240" cy="360045"/>
                <wp:effectExtent l="0" t="0" r="10160" b="2095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240" cy="360045"/>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rsidR="00371B10" w:rsidRPr="00A5266E" w:rsidRDefault="00371B10" w:rsidP="00147DCD">
                            <w:pPr>
                              <w:spacing w:before="0"/>
                              <w:ind w:left="0"/>
                              <w:jc w:val="center"/>
                              <w:rPr>
                                <w:rFonts w:cs="Arial"/>
                              </w:rPr>
                            </w:pPr>
                            <w:r w:rsidRPr="009E7BC5">
                              <w:rPr>
                                <w:rFonts w:cs="Arial"/>
                                <w:b/>
                              </w:rPr>
                              <w:t>DR</w:t>
                            </w:r>
                            <w:r w:rsidRPr="00A5266E">
                              <w:rPr>
                                <w:rFonts w:cs="Arial"/>
                              </w:rPr>
                              <w:t>=</w:t>
                            </w:r>
                            <w:r>
                              <w:rPr>
                                <w:rFonts w:cs="Arial"/>
                              </w:rPr>
                              <w:t>8</w:t>
                            </w:r>
                            <w:r w:rsidRPr="00A5266E">
                              <w:rPr>
                                <w:rFonts w:cs="Arial"/>
                              </w:rPr>
                              <w:t>.</w:t>
                            </w:r>
                            <w:r>
                              <w:rPr>
                                <w:rFonts w:cs="Arial"/>
                              </w:rPr>
                              <w:t xml:space="preserve">6 per </w:t>
                            </w:r>
                            <w:r w:rsidRPr="00A5266E">
                              <w:rPr>
                                <w:rFonts w:cs="Arial"/>
                              </w:rPr>
                              <w:t>1</w:t>
                            </w:r>
                            <w:r>
                              <w:rPr>
                                <w:rFonts w:cs="Arial"/>
                              </w:rPr>
                              <w:t>,</w:t>
                            </w:r>
                            <w:r w:rsidRPr="00A5266E">
                              <w:rPr>
                                <w:rFonts w:cs="Arial"/>
                              </w:rPr>
                              <w:t>000</w:t>
                            </w:r>
                            <w:r w:rsidRPr="00A5266E">
                              <w:rPr>
                                <w:rFonts w:cs="Arial"/>
                              </w:rPr>
                              <w:br/>
                            </w:r>
                            <w:r w:rsidRPr="009E7BC5">
                              <w:rPr>
                                <w:rFonts w:cs="Arial"/>
                                <w:b/>
                              </w:rPr>
                              <w:t>PPV</w:t>
                            </w:r>
                            <w:r w:rsidRPr="00A5266E">
                              <w:rPr>
                                <w:rFonts w:cs="Arial"/>
                              </w:rPr>
                              <w:t>=</w:t>
                            </w:r>
                            <w:r>
                              <w:rPr>
                                <w:rFonts w:cs="Arial"/>
                              </w:rPr>
                              <w:t>14</w:t>
                            </w:r>
                            <w:r w:rsidRPr="00A5266E">
                              <w:rPr>
                                <w:rFonts w:cs="Arial"/>
                              </w:rPr>
                              <w:t>.</w:t>
                            </w:r>
                            <w:r>
                              <w:rPr>
                                <w:rFonts w:cs="Arial"/>
                              </w:rPr>
                              <w:t>7</w:t>
                            </w:r>
                            <w:r w:rsidRPr="00A5266E">
                              <w:rPr>
                                <w:rFonts w:cs="Aria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24613" id="Text Box 89" o:spid="_x0000_s1060" type="#_x0000_t202" style="position:absolute;left:0;text-align:left;margin-left:173.2pt;margin-top:23.8pt;width:101.2pt;height:28.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" fillcolor="white [3201]" strokecolor="black [3213]" strokeweight="2pt">
                <v:path arrowok="t"/>
                <v:textbox inset="0,0,0,0">
                  <w:txbxContent>
                    <w:p w:rsidR="00371B10" w:rsidRPr="00A5266E" w:rsidRDefault="00371B10" w:rsidP="00147DCD">
                      <w:pPr>
                        <w:spacing w:before="0"/>
                        <w:ind w:left="0"/>
                        <w:jc w:val="center"/>
                        <w:rPr>
                          <w:rFonts w:cs="Arial"/>
                        </w:rPr>
                      </w:pPr>
                      <w:r w:rsidRPr="009E7BC5">
                        <w:rPr>
                          <w:rFonts w:cs="Arial"/>
                          <w:b/>
                        </w:rPr>
                        <w:t>DR</w:t>
                      </w:r>
                      <w:r w:rsidRPr="00A5266E">
                        <w:rPr>
                          <w:rFonts w:cs="Arial"/>
                        </w:rPr>
                        <w:t>=</w:t>
                      </w:r>
                      <w:r>
                        <w:rPr>
                          <w:rFonts w:cs="Arial"/>
                        </w:rPr>
                        <w:t>8</w:t>
                      </w:r>
                      <w:r w:rsidRPr="00A5266E">
                        <w:rPr>
                          <w:rFonts w:cs="Arial"/>
                        </w:rPr>
                        <w:t>.</w:t>
                      </w:r>
                      <w:r>
                        <w:rPr>
                          <w:rFonts w:cs="Arial"/>
                        </w:rPr>
                        <w:t xml:space="preserve">6 per </w:t>
                      </w:r>
                      <w:r w:rsidRPr="00A5266E">
                        <w:rPr>
                          <w:rFonts w:cs="Arial"/>
                        </w:rPr>
                        <w:t>1</w:t>
                      </w:r>
                      <w:r>
                        <w:rPr>
                          <w:rFonts w:cs="Arial"/>
                        </w:rPr>
                        <w:t>,</w:t>
                      </w:r>
                      <w:r w:rsidRPr="00A5266E">
                        <w:rPr>
                          <w:rFonts w:cs="Arial"/>
                        </w:rPr>
                        <w:t>000</w:t>
                      </w:r>
                      <w:r w:rsidRPr="00A5266E">
                        <w:rPr>
                          <w:rFonts w:cs="Arial"/>
                        </w:rPr>
                        <w:br/>
                      </w:r>
                      <w:r w:rsidRPr="009E7BC5">
                        <w:rPr>
                          <w:rFonts w:cs="Arial"/>
                          <w:b/>
                        </w:rPr>
                        <w:t>PPV</w:t>
                      </w:r>
                      <w:r w:rsidRPr="00A5266E">
                        <w:rPr>
                          <w:rFonts w:cs="Arial"/>
                        </w:rPr>
                        <w:t>=</w:t>
                      </w:r>
                      <w:r>
                        <w:rPr>
                          <w:rFonts w:cs="Arial"/>
                        </w:rPr>
                        <w:t>14</w:t>
                      </w:r>
                      <w:r w:rsidRPr="00A5266E">
                        <w:rPr>
                          <w:rFonts w:cs="Arial"/>
                        </w:rPr>
                        <w:t>.</w:t>
                      </w:r>
                      <w:r>
                        <w:rPr>
                          <w:rFonts w:cs="Arial"/>
                        </w:rPr>
                        <w:t>7</w:t>
                      </w:r>
                      <w:r w:rsidRPr="00A5266E">
                        <w:rPr>
                          <w:rFonts w:cs="Arial"/>
                        </w:rPr>
                        <w:t>%</w:t>
                      </w:r>
                    </w:p>
                  </w:txbxContent>
                </v:textbox>
              </v:shape>
            </w:pict>
          </mc:Fallback>
        </mc:AlternateContent>
      </w:r>
    </w:p>
    <w:p w:rsidR="00147DCD" w:rsidRDefault="00147DCD" w:rsidP="00147DCD">
      <w:pPr>
        <w:jc w:val="center"/>
        <w:rPr>
          <w:rFonts w:cs="Arial"/>
          <w:sz w:val="26"/>
          <w:szCs w:val="26"/>
          <w:lang w:val="en-US"/>
        </w:rPr>
      </w:pPr>
    </w:p>
    <w:p w:rsidR="00147DCD" w:rsidRDefault="00565301" w:rsidP="00147DCD">
      <w:pPr>
        <w:jc w:val="center"/>
        <w:rPr>
          <w:rFonts w:cs="Arial"/>
          <w:sz w:val="26"/>
          <w:szCs w:val="26"/>
          <w:lang w:val="en-US"/>
        </w:rPr>
      </w:pPr>
      <w:r>
        <w:rPr>
          <w:rFonts w:cs="Arial"/>
          <w:noProof/>
          <w:sz w:val="26"/>
          <w:szCs w:val="26"/>
          <w:lang w:eastAsia="en-NZ"/>
        </w:rPr>
        <mc:AlternateContent>
          <mc:Choice Requires="wps">
            <w:drawing>
              <wp:anchor distT="0" distB="0" distL="114300" distR="114300" simplePos="0" relativeHeight="251723776" behindDoc="0" locked="0" layoutInCell="1" allowOverlap="1" wp14:anchorId="1A3B884F">
                <wp:simplePos x="0" y="0"/>
                <wp:positionH relativeFrom="column">
                  <wp:posOffset>3962400</wp:posOffset>
                </wp:positionH>
                <wp:positionV relativeFrom="paragraph">
                  <wp:posOffset>183515</wp:posOffset>
                </wp:positionV>
                <wp:extent cx="1943735" cy="539750"/>
                <wp:effectExtent l="0" t="0" r="18415" b="1270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735" cy="539750"/>
                        </a:xfrm>
                        <a:prstGeom prst="rect">
                          <a:avLst/>
                        </a:prstGeom>
                        <a:ln w="19050">
                          <a:solidFill>
                            <a:srgbClr val="00BABF"/>
                          </a:solidFill>
                          <a:prstDash val="sysDash"/>
                        </a:ln>
                      </wps:spPr>
                      <wps:style>
                        <a:lnRef idx="2">
                          <a:schemeClr val="accent5"/>
                        </a:lnRef>
                        <a:fillRef idx="1">
                          <a:schemeClr val="lt1"/>
                        </a:fillRef>
                        <a:effectRef idx="0">
                          <a:schemeClr val="accent5"/>
                        </a:effectRef>
                        <a:fontRef idx="minor">
                          <a:schemeClr val="dk1"/>
                        </a:fontRef>
                      </wps:style>
                      <wps:txbx>
                        <w:txbxContent>
                          <w:p w:rsidR="00371B10" w:rsidRPr="002D40F9" w:rsidRDefault="00371B10" w:rsidP="00147DCD">
                            <w:pPr>
                              <w:tabs>
                                <w:tab w:val="left" w:pos="3402"/>
                              </w:tabs>
                              <w:spacing w:before="0"/>
                              <w:ind w:left="0"/>
                              <w:rPr>
                                <w:rFonts w:cs="Arial"/>
                                <w:sz w:val="18"/>
                                <w:szCs w:val="18"/>
                              </w:rPr>
                            </w:pPr>
                            <w:r w:rsidRPr="00966241">
                              <w:rPr>
                                <w:rFonts w:cs="Arial"/>
                                <w:sz w:val="18"/>
                                <w:szCs w:val="18"/>
                              </w:rPr>
                              <w:br/>
                            </w:r>
                            <w:r>
                              <w:rPr>
                                <w:rFonts w:cs="Arial"/>
                                <w:b/>
                                <w:sz w:val="20"/>
                                <w:szCs w:val="18"/>
                              </w:rPr>
                              <w:t>†</w:t>
                            </w:r>
                            <w:r w:rsidRPr="00775001">
                              <w:rPr>
                                <w:rFonts w:cs="Arial"/>
                                <w:b/>
                                <w:sz w:val="20"/>
                                <w:szCs w:val="18"/>
                              </w:rPr>
                              <w:t xml:space="preserve"> </w:t>
                            </w:r>
                            <w:r>
                              <w:rPr>
                                <w:rFonts w:cs="Arial"/>
                                <w:b/>
                                <w:sz w:val="20"/>
                                <w:szCs w:val="18"/>
                              </w:rPr>
                              <w:t>:</w:t>
                            </w:r>
                            <w:r w:rsidRPr="00775001">
                              <w:rPr>
                                <w:rFonts w:cs="Arial"/>
                                <w:b/>
                                <w:sz w:val="20"/>
                                <w:szCs w:val="18"/>
                              </w:rPr>
                              <w:t xml:space="preserve"> </w:t>
                            </w:r>
                            <w:r>
                              <w:rPr>
                                <w:rFonts w:cs="Arial"/>
                                <w:sz w:val="20"/>
                                <w:szCs w:val="18"/>
                              </w:rPr>
                              <w:t>WDHB</w:t>
                            </w:r>
                            <w:r w:rsidRPr="002D40F9">
                              <w:rPr>
                                <w:rFonts w:cs="Arial"/>
                                <w:sz w:val="20"/>
                                <w:szCs w:val="18"/>
                              </w:rPr>
                              <w:br/>
                            </w:r>
                            <w:r>
                              <w:rPr>
                                <w:rFonts w:cs="Arial"/>
                                <w:b/>
                                <w:sz w:val="20"/>
                                <w:szCs w:val="18"/>
                              </w:rPr>
                              <w:t xml:space="preserve">‡ : </w:t>
                            </w:r>
                            <w:r>
                              <w:rPr>
                                <w:rFonts w:cs="Arial"/>
                                <w:sz w:val="20"/>
                                <w:szCs w:val="18"/>
                              </w:rPr>
                              <w:t>WDHB and other</w:t>
                            </w:r>
                          </w:p>
                          <w:p w:rsidR="00371B10" w:rsidRPr="00966241" w:rsidRDefault="00371B10" w:rsidP="00147DCD">
                            <w:pPr>
                              <w:tabs>
                                <w:tab w:val="left" w:pos="3402"/>
                              </w:tabs>
                              <w:spacing w:before="0"/>
                              <w:ind w:left="0"/>
                              <w:rPr>
                                <w:rFonts w:cs="Arial"/>
                                <w:sz w:val="18"/>
                                <w:szCs w:val="18"/>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B884F" id="Text Box 90" o:spid="_x0000_s1061" type="#_x0000_t202" style="position:absolute;left:0;text-align:left;margin-left:312pt;margin-top:14.45pt;width:153.05pt;height: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" fillcolor="white [3201]" strokecolor="#00babf" strokeweight="1.5pt">
                <v:stroke dashstyle="3 1"/>
                <v:path arrowok="t"/>
                <v:textbox inset="1mm,1mm,1mm,1mm">
                  <w:txbxContent>
                    <w:p w:rsidR="00371B10" w:rsidRPr="002D40F9" w:rsidRDefault="00371B10" w:rsidP="00147DCD">
                      <w:pPr>
                        <w:tabs>
                          <w:tab w:val="left" w:pos="3402"/>
                        </w:tabs>
                        <w:spacing w:before="0"/>
                        <w:ind w:left="0"/>
                        <w:rPr>
                          <w:rFonts w:cs="Arial"/>
                          <w:sz w:val="18"/>
                          <w:szCs w:val="18"/>
                        </w:rPr>
                      </w:pPr>
                      <w:r w:rsidRPr="00966241">
                        <w:rPr>
                          <w:rFonts w:cs="Arial"/>
                          <w:sz w:val="18"/>
                          <w:szCs w:val="18"/>
                        </w:rPr>
                        <w:br/>
                      </w:r>
                      <w:r>
                        <w:rPr>
                          <w:rFonts w:cs="Arial"/>
                          <w:b/>
                          <w:sz w:val="20"/>
                          <w:szCs w:val="18"/>
                        </w:rPr>
                        <w:t>†</w:t>
                      </w:r>
                      <w:r w:rsidRPr="00775001">
                        <w:rPr>
                          <w:rFonts w:cs="Arial"/>
                          <w:b/>
                          <w:sz w:val="20"/>
                          <w:szCs w:val="18"/>
                        </w:rPr>
                        <w:t xml:space="preserve"> </w:t>
                      </w:r>
                      <w:r>
                        <w:rPr>
                          <w:rFonts w:cs="Arial"/>
                          <w:b/>
                          <w:sz w:val="20"/>
                          <w:szCs w:val="18"/>
                        </w:rPr>
                        <w:t>:</w:t>
                      </w:r>
                      <w:r w:rsidRPr="00775001">
                        <w:rPr>
                          <w:rFonts w:cs="Arial"/>
                          <w:b/>
                          <w:sz w:val="20"/>
                          <w:szCs w:val="18"/>
                        </w:rPr>
                        <w:t xml:space="preserve"> </w:t>
                      </w:r>
                      <w:r>
                        <w:rPr>
                          <w:rFonts w:cs="Arial"/>
                          <w:sz w:val="20"/>
                          <w:szCs w:val="18"/>
                        </w:rPr>
                        <w:t>WDHB</w:t>
                      </w:r>
                      <w:r w:rsidRPr="002D40F9">
                        <w:rPr>
                          <w:rFonts w:cs="Arial"/>
                          <w:sz w:val="20"/>
                          <w:szCs w:val="18"/>
                        </w:rPr>
                        <w:br/>
                      </w:r>
                      <w:r>
                        <w:rPr>
                          <w:rFonts w:cs="Arial"/>
                          <w:b/>
                          <w:sz w:val="20"/>
                          <w:szCs w:val="18"/>
                        </w:rPr>
                        <w:t xml:space="preserve">‡ : </w:t>
                      </w:r>
                      <w:r>
                        <w:rPr>
                          <w:rFonts w:cs="Arial"/>
                          <w:sz w:val="20"/>
                          <w:szCs w:val="18"/>
                        </w:rPr>
                        <w:t>WDHB and other</w:t>
                      </w:r>
                    </w:p>
                    <w:p w:rsidR="00371B10" w:rsidRPr="00966241" w:rsidRDefault="00371B10" w:rsidP="00147DCD">
                      <w:pPr>
                        <w:tabs>
                          <w:tab w:val="left" w:pos="3402"/>
                        </w:tabs>
                        <w:spacing w:before="0"/>
                        <w:ind w:left="0"/>
                        <w:rPr>
                          <w:rFonts w:cs="Arial"/>
                          <w:sz w:val="18"/>
                          <w:szCs w:val="18"/>
                        </w:rPr>
                      </w:pPr>
                    </w:p>
                  </w:txbxContent>
                </v:textbox>
              </v:shape>
            </w:pict>
          </mc:Fallback>
        </mc:AlternateContent>
      </w:r>
      <w:r>
        <w:rPr>
          <w:rFonts w:cs="Arial"/>
          <w:noProof/>
          <w:sz w:val="26"/>
          <w:szCs w:val="26"/>
          <w:lang w:eastAsia="en-NZ"/>
        </w:rPr>
        <mc:AlternateContent>
          <mc:Choice Requires="wps">
            <w:drawing>
              <wp:anchor distT="0" distB="0" distL="114300" distR="114300" simplePos="0" relativeHeight="251719680" behindDoc="0" locked="0" layoutInCell="1" allowOverlap="1" wp14:anchorId="4BB681C9">
                <wp:simplePos x="0" y="0"/>
                <wp:positionH relativeFrom="column">
                  <wp:posOffset>0</wp:posOffset>
                </wp:positionH>
                <wp:positionV relativeFrom="paragraph">
                  <wp:posOffset>180340</wp:posOffset>
                </wp:positionV>
                <wp:extent cx="3959860" cy="539750"/>
                <wp:effectExtent l="0" t="0" r="21590" b="1270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9860" cy="539750"/>
                        </a:xfrm>
                        <a:prstGeom prst="rect">
                          <a:avLst/>
                        </a:prstGeom>
                        <a:ln w="19050">
                          <a:solidFill>
                            <a:srgbClr val="00BABF"/>
                          </a:solidFill>
                          <a:prstDash val="sysDash"/>
                        </a:ln>
                      </wps:spPr>
                      <wps:style>
                        <a:lnRef idx="2">
                          <a:schemeClr val="accent5"/>
                        </a:lnRef>
                        <a:fillRef idx="1">
                          <a:schemeClr val="lt1"/>
                        </a:fillRef>
                        <a:effectRef idx="0">
                          <a:schemeClr val="accent5"/>
                        </a:effectRef>
                        <a:fontRef idx="minor">
                          <a:schemeClr val="dk1"/>
                        </a:fontRef>
                      </wps:style>
                      <wps:txbx>
                        <w:txbxContent>
                          <w:p w:rsidR="00371B10" w:rsidRPr="00966241" w:rsidRDefault="00371B10" w:rsidP="00147DCD">
                            <w:pPr>
                              <w:tabs>
                                <w:tab w:val="left" w:pos="3402"/>
                              </w:tabs>
                              <w:spacing w:before="0"/>
                              <w:ind w:left="0"/>
                              <w:rPr>
                                <w:rFonts w:cs="Arial"/>
                                <w:sz w:val="18"/>
                                <w:szCs w:val="18"/>
                              </w:rPr>
                            </w:pPr>
                            <w:r w:rsidRPr="00966241">
                              <w:rPr>
                                <w:rFonts w:cs="Arial"/>
                                <w:sz w:val="18"/>
                                <w:szCs w:val="18"/>
                                <w:u w:val="single"/>
                              </w:rPr>
                              <w:t>Key:</w:t>
                            </w:r>
                            <w:r w:rsidRPr="00966241">
                              <w:rPr>
                                <w:rFonts w:cs="Arial"/>
                                <w:sz w:val="18"/>
                                <w:szCs w:val="18"/>
                              </w:rPr>
                              <w:br/>
                            </w:r>
                            <w:r w:rsidRPr="00775001">
                              <w:rPr>
                                <w:rFonts w:cs="Arial"/>
                                <w:b/>
                                <w:sz w:val="20"/>
                                <w:szCs w:val="18"/>
                              </w:rPr>
                              <w:t>DR = Detection Rate</w:t>
                            </w:r>
                            <w:r>
                              <w:rPr>
                                <w:rFonts w:cs="Arial"/>
                                <w:b/>
                                <w:sz w:val="20"/>
                                <w:szCs w:val="18"/>
                              </w:rPr>
                              <w:t xml:space="preserve"> </w:t>
                            </w:r>
                            <w:r w:rsidRPr="00966241">
                              <w:rPr>
                                <w:rFonts w:cs="Arial"/>
                                <w:sz w:val="18"/>
                                <w:szCs w:val="18"/>
                              </w:rPr>
                              <w:t xml:space="preserve">= n / </w:t>
                            </w:r>
                            <w:r>
                              <w:rPr>
                                <w:rFonts w:cs="Arial"/>
                                <w:sz w:val="18"/>
                                <w:szCs w:val="18"/>
                              </w:rPr>
                              <w:t>Completed kit</w:t>
                            </w:r>
                            <w:r w:rsidRPr="00966241">
                              <w:rPr>
                                <w:rFonts w:cs="Arial"/>
                                <w:sz w:val="18"/>
                                <w:szCs w:val="18"/>
                              </w:rPr>
                              <w:t xml:space="preserve"> * 1</w:t>
                            </w:r>
                            <w:r>
                              <w:rPr>
                                <w:rFonts w:cs="Arial"/>
                                <w:sz w:val="18"/>
                                <w:szCs w:val="18"/>
                              </w:rPr>
                              <w:t>,</w:t>
                            </w:r>
                            <w:r w:rsidRPr="00966241">
                              <w:rPr>
                                <w:rFonts w:cs="Arial"/>
                                <w:sz w:val="18"/>
                                <w:szCs w:val="18"/>
                              </w:rPr>
                              <w:t>000</w:t>
                            </w:r>
                            <w:r>
                              <w:rPr>
                                <w:rFonts w:cs="Arial"/>
                                <w:b/>
                                <w:sz w:val="20"/>
                                <w:szCs w:val="18"/>
                              </w:rPr>
                              <w:br/>
                            </w:r>
                            <w:r w:rsidRPr="00775001">
                              <w:rPr>
                                <w:rFonts w:cs="Arial"/>
                                <w:b/>
                                <w:sz w:val="20"/>
                                <w:szCs w:val="18"/>
                              </w:rPr>
                              <w:t>PPV = Positive Predictive Value of iFOBT</w:t>
                            </w:r>
                            <w:r>
                              <w:rPr>
                                <w:rFonts w:cs="Arial"/>
                                <w:b/>
                                <w:sz w:val="20"/>
                                <w:szCs w:val="18"/>
                              </w:rPr>
                              <w:t xml:space="preserve"> </w:t>
                            </w:r>
                            <w:r w:rsidRPr="00966241">
                              <w:rPr>
                                <w:rFonts w:cs="Arial"/>
                                <w:sz w:val="18"/>
                                <w:szCs w:val="18"/>
                              </w:rPr>
                              <w:t>= n / Positive iFOBT * 100</w:t>
                            </w:r>
                          </w:p>
                          <w:p w:rsidR="00371B10" w:rsidRPr="00966241" w:rsidRDefault="00371B10" w:rsidP="00147DCD">
                            <w:pPr>
                              <w:tabs>
                                <w:tab w:val="left" w:pos="3402"/>
                              </w:tabs>
                              <w:spacing w:before="0"/>
                              <w:ind w:left="0"/>
                              <w:rPr>
                                <w:rFonts w:cs="Arial"/>
                                <w:sz w:val="18"/>
                                <w:szCs w:val="18"/>
                              </w:rPr>
                            </w:pPr>
                            <w:r w:rsidRPr="00966241">
                              <w:rPr>
                                <w:rFonts w:cs="Arial"/>
                                <w:sz w:val="18"/>
                                <w:szCs w:val="18"/>
                              </w:rPr>
                              <w:br/>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681C9" id="Text Box 105" o:spid="_x0000_s1062" type="#_x0000_t202" style="position:absolute;left:0;text-align:left;margin-left:0;margin-top:14.2pt;width:311.8pt;height:4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" fillcolor="white [3201]" strokecolor="#00babf" strokeweight="1.5pt">
                <v:stroke dashstyle="3 1"/>
                <v:path arrowok="t"/>
                <v:textbox inset="1mm,1mm,1mm,1mm">
                  <w:txbxContent>
                    <w:p w:rsidR="00371B10" w:rsidRPr="00966241" w:rsidRDefault="00371B10" w:rsidP="00147DCD">
                      <w:pPr>
                        <w:tabs>
                          <w:tab w:val="left" w:pos="3402"/>
                        </w:tabs>
                        <w:spacing w:before="0"/>
                        <w:ind w:left="0"/>
                        <w:rPr>
                          <w:rFonts w:cs="Arial"/>
                          <w:sz w:val="18"/>
                          <w:szCs w:val="18"/>
                        </w:rPr>
                      </w:pPr>
                      <w:r w:rsidRPr="00966241">
                        <w:rPr>
                          <w:rFonts w:cs="Arial"/>
                          <w:sz w:val="18"/>
                          <w:szCs w:val="18"/>
                          <w:u w:val="single"/>
                        </w:rPr>
                        <w:t>Key:</w:t>
                      </w:r>
                      <w:r w:rsidRPr="00966241">
                        <w:rPr>
                          <w:rFonts w:cs="Arial"/>
                          <w:sz w:val="18"/>
                          <w:szCs w:val="18"/>
                        </w:rPr>
                        <w:br/>
                      </w:r>
                      <w:r w:rsidRPr="00775001">
                        <w:rPr>
                          <w:rFonts w:cs="Arial"/>
                          <w:b/>
                          <w:sz w:val="20"/>
                          <w:szCs w:val="18"/>
                        </w:rPr>
                        <w:t>DR = Detection Rate</w:t>
                      </w:r>
                      <w:r>
                        <w:rPr>
                          <w:rFonts w:cs="Arial"/>
                          <w:b/>
                          <w:sz w:val="20"/>
                          <w:szCs w:val="18"/>
                        </w:rPr>
                        <w:t xml:space="preserve"> </w:t>
                      </w:r>
                      <w:r w:rsidRPr="00966241">
                        <w:rPr>
                          <w:rFonts w:cs="Arial"/>
                          <w:sz w:val="18"/>
                          <w:szCs w:val="18"/>
                        </w:rPr>
                        <w:t xml:space="preserve">= n / </w:t>
                      </w:r>
                      <w:r>
                        <w:rPr>
                          <w:rFonts w:cs="Arial"/>
                          <w:sz w:val="18"/>
                          <w:szCs w:val="18"/>
                        </w:rPr>
                        <w:t>Completed kit</w:t>
                      </w:r>
                      <w:r w:rsidRPr="00966241">
                        <w:rPr>
                          <w:rFonts w:cs="Arial"/>
                          <w:sz w:val="18"/>
                          <w:szCs w:val="18"/>
                        </w:rPr>
                        <w:t xml:space="preserve"> * 1</w:t>
                      </w:r>
                      <w:r>
                        <w:rPr>
                          <w:rFonts w:cs="Arial"/>
                          <w:sz w:val="18"/>
                          <w:szCs w:val="18"/>
                        </w:rPr>
                        <w:t>,</w:t>
                      </w:r>
                      <w:r w:rsidRPr="00966241">
                        <w:rPr>
                          <w:rFonts w:cs="Arial"/>
                          <w:sz w:val="18"/>
                          <w:szCs w:val="18"/>
                        </w:rPr>
                        <w:t>000</w:t>
                      </w:r>
                      <w:r>
                        <w:rPr>
                          <w:rFonts w:cs="Arial"/>
                          <w:b/>
                          <w:sz w:val="20"/>
                          <w:szCs w:val="18"/>
                        </w:rPr>
                        <w:br/>
                      </w:r>
                      <w:r w:rsidRPr="00775001">
                        <w:rPr>
                          <w:rFonts w:cs="Arial"/>
                          <w:b/>
                          <w:sz w:val="20"/>
                          <w:szCs w:val="18"/>
                        </w:rPr>
                        <w:t>PPV = Positive Predictive Value of iFOBT</w:t>
                      </w:r>
                      <w:r>
                        <w:rPr>
                          <w:rFonts w:cs="Arial"/>
                          <w:b/>
                          <w:sz w:val="20"/>
                          <w:szCs w:val="18"/>
                        </w:rPr>
                        <w:t xml:space="preserve"> </w:t>
                      </w:r>
                      <w:r w:rsidRPr="00966241">
                        <w:rPr>
                          <w:rFonts w:cs="Arial"/>
                          <w:sz w:val="18"/>
                          <w:szCs w:val="18"/>
                        </w:rPr>
                        <w:t>= n / Positive iFOBT * 100</w:t>
                      </w:r>
                    </w:p>
                    <w:p w:rsidR="00371B10" w:rsidRPr="00966241" w:rsidRDefault="00371B10" w:rsidP="00147DCD">
                      <w:pPr>
                        <w:tabs>
                          <w:tab w:val="left" w:pos="3402"/>
                        </w:tabs>
                        <w:spacing w:before="0"/>
                        <w:ind w:left="0"/>
                        <w:rPr>
                          <w:rFonts w:cs="Arial"/>
                          <w:sz w:val="18"/>
                          <w:szCs w:val="18"/>
                        </w:rPr>
                      </w:pPr>
                      <w:r w:rsidRPr="00966241">
                        <w:rPr>
                          <w:rFonts w:cs="Arial"/>
                          <w:sz w:val="18"/>
                          <w:szCs w:val="18"/>
                        </w:rPr>
                        <w:br/>
                      </w:r>
                    </w:p>
                  </w:txbxContent>
                </v:textbox>
              </v:shape>
            </w:pict>
          </mc:Fallback>
        </mc:AlternateContent>
      </w:r>
    </w:p>
    <w:p w:rsidR="00147DCD" w:rsidRDefault="00147DCD" w:rsidP="00147DCD">
      <w:pPr>
        <w:ind w:left="0"/>
        <w:rPr>
          <w:rFonts w:cs="Arial"/>
          <w:b/>
        </w:rPr>
        <w:sectPr w:rsidR="00147DCD">
          <w:headerReference w:type="default" r:id="rId25"/>
          <w:footerReference w:type="default" r:id="rId26"/>
          <w:headerReference w:type="first" r:id="rId27"/>
          <w:footerReference w:type="first" r:id="rId28"/>
          <w:pgSz w:w="11906" w:h="16838"/>
          <w:pgMar w:top="1440" w:right="1440" w:bottom="1440" w:left="1440" w:header="709" w:footer="709" w:gutter="0"/>
          <w:cols w:space="708"/>
          <w:titlePg/>
          <w:docGrid w:linePitch="360"/>
        </w:sectPr>
      </w:pPr>
    </w:p>
    <w:p w:rsidR="00B83300" w:rsidRDefault="00B83300" w:rsidP="00B83300">
      <w:pPr>
        <w:pStyle w:val="Figure"/>
      </w:pPr>
      <w:r>
        <w:t xml:space="preserve">Figure </w:t>
      </w:r>
      <w:r w:rsidR="002B79DC">
        <w:t>4</w:t>
      </w:r>
      <w:r>
        <w:t>: Summary of BSP outcomes – Round 2, Completed Round 1, negative iFOBT</w:t>
      </w:r>
    </w:p>
    <w:p w:rsidR="00147DCD" w:rsidRPr="005F26BF" w:rsidRDefault="00565301" w:rsidP="00147DCD">
      <w:pPr>
        <w:rPr>
          <w:rFonts w:cs="Arial"/>
          <w:sz w:val="26"/>
          <w:szCs w:val="26"/>
          <w:lang w:val="en-US"/>
        </w:rPr>
      </w:pPr>
      <w:r>
        <w:rPr>
          <w:rFonts w:cs="Arial"/>
          <w:noProof/>
          <w:sz w:val="26"/>
          <w:szCs w:val="26"/>
          <w:lang w:eastAsia="en-NZ"/>
        </w:rPr>
        <mc:AlternateContent>
          <mc:Choice Requires="wps">
            <w:drawing>
              <wp:anchor distT="0" distB="0" distL="114300" distR="114300" simplePos="0" relativeHeight="251738112" behindDoc="0" locked="0" layoutInCell="1" allowOverlap="1" wp14:anchorId="51846D20">
                <wp:simplePos x="0" y="0"/>
                <wp:positionH relativeFrom="column">
                  <wp:posOffset>1943100</wp:posOffset>
                </wp:positionH>
                <wp:positionV relativeFrom="paragraph">
                  <wp:posOffset>45085</wp:posOffset>
                </wp:positionV>
                <wp:extent cx="1799590" cy="539750"/>
                <wp:effectExtent l="0" t="0" r="10160" b="12700"/>
                <wp:wrapNone/>
                <wp:docPr id="106" name="Rounded 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539750"/>
                        </a:xfrm>
                        <a:prstGeom prst="roundRect">
                          <a:avLst/>
                        </a:prstGeom>
                        <a:ln>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rsidR="00371B10" w:rsidRPr="00C773C4" w:rsidRDefault="00371B10" w:rsidP="00147DCD">
                            <w:pPr>
                              <w:spacing w:before="0"/>
                              <w:ind w:left="0"/>
                              <w:jc w:val="center"/>
                              <w:rPr>
                                <w:rFonts w:cs="Arial"/>
                                <w:sz w:val="28"/>
                                <w:szCs w:val="28"/>
                              </w:rPr>
                            </w:pPr>
                            <w:r w:rsidRPr="00C773C4">
                              <w:rPr>
                                <w:rFonts w:cs="Arial"/>
                                <w:b/>
                                <w:sz w:val="28"/>
                                <w:szCs w:val="28"/>
                              </w:rPr>
                              <w:t>Invited</w:t>
                            </w:r>
                            <w:r w:rsidRPr="00C773C4">
                              <w:rPr>
                                <w:rFonts w:cs="Arial"/>
                                <w:b/>
                                <w:sz w:val="28"/>
                                <w:szCs w:val="28"/>
                              </w:rPr>
                              <w:br/>
                            </w:r>
                            <w:r w:rsidRPr="00C773C4">
                              <w:rPr>
                                <w:rFonts w:cs="Arial"/>
                                <w:sz w:val="28"/>
                                <w:szCs w:val="28"/>
                              </w:rPr>
                              <w:t xml:space="preserve">n = </w:t>
                            </w:r>
                            <w:r>
                              <w:rPr>
                                <w:rFonts w:cs="Arial"/>
                                <w:sz w:val="28"/>
                                <w:szCs w:val="28"/>
                              </w:rPr>
                              <w:t>24,533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846D20" id="Rounded Rectangle 106" o:spid="_x0000_s1063" style="position:absolute;left:0;text-align:left;margin-left:153pt;margin-top:3.55pt;width:141.7pt;height:4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" fillcolor="white [3201]" strokecolor="gray [1629]"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Invited</w:t>
                      </w:r>
                      <w:r w:rsidRPr="00C773C4">
                        <w:rPr>
                          <w:rFonts w:cs="Arial"/>
                          <w:b/>
                          <w:sz w:val="28"/>
                          <w:szCs w:val="28"/>
                        </w:rPr>
                        <w:br/>
                      </w:r>
                      <w:r w:rsidRPr="00C773C4">
                        <w:rPr>
                          <w:rFonts w:cs="Arial"/>
                          <w:sz w:val="28"/>
                          <w:szCs w:val="28"/>
                        </w:rPr>
                        <w:t xml:space="preserve">n = </w:t>
                      </w:r>
                      <w:r>
                        <w:rPr>
                          <w:rFonts w:cs="Arial"/>
                          <w:sz w:val="28"/>
                          <w:szCs w:val="28"/>
                        </w:rPr>
                        <w:t>24,533</w:t>
                      </w:r>
                    </w:p>
                  </w:txbxContent>
                </v:textbox>
              </v:roundrect>
            </w:pict>
          </mc:Fallback>
        </mc:AlternateContent>
      </w:r>
    </w:p>
    <w:p w:rsidR="00147DCD" w:rsidRPr="005F26BF" w:rsidRDefault="00565301" w:rsidP="00147DCD">
      <w:pPr>
        <w:jc w:val="center"/>
        <w:rPr>
          <w:rFonts w:cs="Arial"/>
          <w:sz w:val="26"/>
          <w:szCs w:val="26"/>
          <w:lang w:val="en-US"/>
        </w:rPr>
      </w:pPr>
      <w:r>
        <w:rPr>
          <w:rFonts w:cs="Arial"/>
          <w:noProof/>
          <w:sz w:val="26"/>
          <w:szCs w:val="26"/>
          <w:lang w:eastAsia="en-NZ"/>
        </w:rPr>
        <mc:AlternateContent>
          <mc:Choice Requires="wps">
            <w:drawing>
              <wp:anchor distT="0" distB="0" distL="114300" distR="114300" simplePos="0" relativeHeight="251725824" behindDoc="0" locked="0" layoutInCell="1" allowOverlap="1" wp14:anchorId="67A78013">
                <wp:simplePos x="0" y="0"/>
                <wp:positionH relativeFrom="column">
                  <wp:posOffset>2838450</wp:posOffset>
                </wp:positionH>
                <wp:positionV relativeFrom="paragraph">
                  <wp:posOffset>256540</wp:posOffset>
                </wp:positionV>
                <wp:extent cx="0" cy="179705"/>
                <wp:effectExtent l="24765" t="24765" r="22860" b="43180"/>
                <wp:wrapNone/>
                <wp:docPr id="24"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38100">
                          <a:solidFill>
                            <a:srgbClr val="00BABF"/>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43C3DE9A" id="Straight Arrow Connector 107" o:spid="_x0000_s1026" type="#_x0000_t32" style="position:absolute;margin-left:223.5pt;margin-top:20.2pt;width:0;height:14.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" strokecolor="#00babf" strokeweight="3pt">
                <v:shadow on="t" opacity="22936f" origin=",.5" offset="0,.63889mm"/>
              </v:shape>
            </w:pict>
          </mc:Fallback>
        </mc:AlternateContent>
      </w:r>
    </w:p>
    <w:p w:rsidR="00147DCD" w:rsidRPr="005F26BF" w:rsidRDefault="00565301" w:rsidP="00147DCD">
      <w:pPr>
        <w:jc w:val="center"/>
        <w:rPr>
          <w:rFonts w:cs="Arial"/>
          <w:sz w:val="26"/>
          <w:szCs w:val="26"/>
          <w:lang w:val="en-US"/>
        </w:rPr>
      </w:pPr>
      <w:r>
        <w:rPr>
          <w:rFonts w:cs="Arial"/>
          <w:noProof/>
          <w:sz w:val="26"/>
          <w:szCs w:val="26"/>
          <w:lang w:eastAsia="en-NZ"/>
        </w:rPr>
        <mc:AlternateContent>
          <mc:Choice Requires="wps">
            <w:drawing>
              <wp:anchor distT="0" distB="0" distL="114300" distR="114300" simplePos="0" relativeHeight="251739136" behindDoc="0" locked="0" layoutInCell="1" allowOverlap="1" wp14:anchorId="286ED28B">
                <wp:simplePos x="0" y="0"/>
                <wp:positionH relativeFrom="column">
                  <wp:posOffset>1944370</wp:posOffset>
                </wp:positionH>
                <wp:positionV relativeFrom="paragraph">
                  <wp:posOffset>108585</wp:posOffset>
                </wp:positionV>
                <wp:extent cx="1799590" cy="647700"/>
                <wp:effectExtent l="0" t="0" r="10160" b="19050"/>
                <wp:wrapNone/>
                <wp:docPr id="108" name="Rounded 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647700"/>
                        </a:xfrm>
                        <a:prstGeom prst="roundRect">
                          <a:avLst/>
                        </a:prstGeom>
                        <a:ln>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rsidR="00371B10" w:rsidRPr="00C773C4" w:rsidRDefault="00371B10" w:rsidP="00147DCD">
                            <w:pPr>
                              <w:spacing w:before="0"/>
                              <w:ind w:left="0"/>
                              <w:jc w:val="center"/>
                              <w:rPr>
                                <w:rFonts w:cs="Arial"/>
                                <w:sz w:val="28"/>
                                <w:szCs w:val="28"/>
                              </w:rPr>
                            </w:pPr>
                            <w:r>
                              <w:rPr>
                                <w:rFonts w:cs="Arial"/>
                                <w:b/>
                                <w:sz w:val="28"/>
                                <w:szCs w:val="28"/>
                              </w:rPr>
                              <w:t>Completed kit</w:t>
                            </w:r>
                            <w:r w:rsidRPr="00C773C4">
                              <w:rPr>
                                <w:rFonts w:cs="Arial"/>
                                <w:b/>
                                <w:sz w:val="28"/>
                                <w:szCs w:val="28"/>
                              </w:rPr>
                              <w:br/>
                            </w:r>
                            <w:r w:rsidRPr="00C773C4">
                              <w:rPr>
                                <w:rFonts w:cs="Arial"/>
                                <w:sz w:val="28"/>
                                <w:szCs w:val="28"/>
                              </w:rPr>
                              <w:t xml:space="preserve">n = </w:t>
                            </w:r>
                            <w:r>
                              <w:rPr>
                                <w:rFonts w:cs="Arial"/>
                                <w:sz w:val="28"/>
                                <w:szCs w:val="28"/>
                              </w:rPr>
                              <w:t>20,230</w:t>
                            </w:r>
                            <w:r w:rsidRPr="00C773C4">
                              <w:rPr>
                                <w:rFonts w:cs="Arial"/>
                                <w:sz w:val="28"/>
                                <w:szCs w:val="28"/>
                              </w:rPr>
                              <w:t xml:space="preserve"> (</w:t>
                            </w:r>
                            <w:r>
                              <w:rPr>
                                <w:rFonts w:cs="Arial"/>
                                <w:sz w:val="28"/>
                                <w:szCs w:val="28"/>
                              </w:rPr>
                              <w:t>82</w:t>
                            </w:r>
                            <w:r w:rsidRPr="00C773C4">
                              <w:rPr>
                                <w:rFonts w:cs="Arial"/>
                                <w:sz w:val="28"/>
                                <w:szCs w:val="28"/>
                              </w:rPr>
                              <w:t>.</w:t>
                            </w:r>
                            <w:r>
                              <w:rPr>
                                <w:rFonts w:cs="Arial"/>
                                <w:sz w:val="28"/>
                                <w:szCs w:val="28"/>
                              </w:rPr>
                              <w:t>5</w:t>
                            </w:r>
                            <w:r w:rsidRPr="00C773C4">
                              <w:rPr>
                                <w:rFonts w:cs="Arial"/>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6ED28B" id="Rounded Rectangle 108" o:spid="_x0000_s1064" style="position:absolute;left:0;text-align:left;margin-left:153.1pt;margin-top:8.55pt;width:141.7pt;height:5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" fillcolor="white [3201]" strokecolor="gray [1629]" strokeweight="2pt">
                <v:path arrowok="t"/>
                <v:textbox inset="0,0,0,0">
                  <w:txbxContent>
                    <w:p w:rsidR="00371B10" w:rsidRPr="00C773C4" w:rsidRDefault="00371B10" w:rsidP="00147DCD">
                      <w:pPr>
                        <w:spacing w:before="0"/>
                        <w:ind w:left="0"/>
                        <w:jc w:val="center"/>
                        <w:rPr>
                          <w:rFonts w:cs="Arial"/>
                          <w:sz w:val="28"/>
                          <w:szCs w:val="28"/>
                        </w:rPr>
                      </w:pPr>
                      <w:r>
                        <w:rPr>
                          <w:rFonts w:cs="Arial"/>
                          <w:b/>
                          <w:sz w:val="28"/>
                          <w:szCs w:val="28"/>
                        </w:rPr>
                        <w:t>Completed kit</w:t>
                      </w:r>
                      <w:r w:rsidRPr="00C773C4">
                        <w:rPr>
                          <w:rFonts w:cs="Arial"/>
                          <w:b/>
                          <w:sz w:val="28"/>
                          <w:szCs w:val="28"/>
                        </w:rPr>
                        <w:br/>
                      </w:r>
                      <w:r w:rsidRPr="00C773C4">
                        <w:rPr>
                          <w:rFonts w:cs="Arial"/>
                          <w:sz w:val="28"/>
                          <w:szCs w:val="28"/>
                        </w:rPr>
                        <w:t xml:space="preserve">n = </w:t>
                      </w:r>
                      <w:r>
                        <w:rPr>
                          <w:rFonts w:cs="Arial"/>
                          <w:sz w:val="28"/>
                          <w:szCs w:val="28"/>
                        </w:rPr>
                        <w:t>20,230</w:t>
                      </w:r>
                      <w:r w:rsidRPr="00C773C4">
                        <w:rPr>
                          <w:rFonts w:cs="Arial"/>
                          <w:sz w:val="28"/>
                          <w:szCs w:val="28"/>
                        </w:rPr>
                        <w:t xml:space="preserve"> (</w:t>
                      </w:r>
                      <w:r>
                        <w:rPr>
                          <w:rFonts w:cs="Arial"/>
                          <w:sz w:val="28"/>
                          <w:szCs w:val="28"/>
                        </w:rPr>
                        <w:t>82</w:t>
                      </w:r>
                      <w:r w:rsidRPr="00C773C4">
                        <w:rPr>
                          <w:rFonts w:cs="Arial"/>
                          <w:sz w:val="28"/>
                          <w:szCs w:val="28"/>
                        </w:rPr>
                        <w:t>.</w:t>
                      </w:r>
                      <w:r>
                        <w:rPr>
                          <w:rFonts w:cs="Arial"/>
                          <w:sz w:val="28"/>
                          <w:szCs w:val="28"/>
                        </w:rPr>
                        <w:t>5</w:t>
                      </w:r>
                      <w:r w:rsidRPr="00C773C4">
                        <w:rPr>
                          <w:rFonts w:cs="Arial"/>
                          <w:sz w:val="28"/>
                          <w:szCs w:val="28"/>
                        </w:rPr>
                        <w:t>%)</w:t>
                      </w:r>
                    </w:p>
                  </w:txbxContent>
                </v:textbox>
              </v:roundrect>
            </w:pict>
          </mc:Fallback>
        </mc:AlternateContent>
      </w:r>
    </w:p>
    <w:p w:rsidR="00147DCD" w:rsidRPr="005F26BF" w:rsidRDefault="00147DCD" w:rsidP="00147DCD">
      <w:pPr>
        <w:jc w:val="center"/>
        <w:rPr>
          <w:rFonts w:cs="Arial"/>
          <w:sz w:val="26"/>
          <w:szCs w:val="26"/>
          <w:lang w:val="en-US"/>
        </w:rPr>
      </w:pPr>
    </w:p>
    <w:p w:rsidR="00147DCD" w:rsidRPr="005F26BF" w:rsidRDefault="00565301" w:rsidP="00147DCD">
      <w:pPr>
        <w:jc w:val="center"/>
        <w:rPr>
          <w:rFonts w:cs="Arial"/>
          <w:sz w:val="26"/>
          <w:szCs w:val="26"/>
          <w:lang w:val="en-US"/>
        </w:rPr>
      </w:pPr>
      <w:r>
        <w:rPr>
          <w:rFonts w:cs="Arial"/>
          <w:noProof/>
          <w:sz w:val="26"/>
          <w:szCs w:val="26"/>
          <w:lang w:eastAsia="en-NZ"/>
        </w:rPr>
        <mc:AlternateContent>
          <mc:Choice Requires="wps">
            <w:drawing>
              <wp:anchor distT="0" distB="0" distL="114300" distR="114300" simplePos="0" relativeHeight="251740160" behindDoc="0" locked="0" layoutInCell="1" allowOverlap="1" wp14:anchorId="61E7A402">
                <wp:simplePos x="0" y="0"/>
                <wp:positionH relativeFrom="column">
                  <wp:posOffset>1944370</wp:posOffset>
                </wp:positionH>
                <wp:positionV relativeFrom="paragraph">
                  <wp:posOffset>246380</wp:posOffset>
                </wp:positionV>
                <wp:extent cx="1799590" cy="647700"/>
                <wp:effectExtent l="0" t="0" r="10160" b="19050"/>
                <wp:wrapNone/>
                <wp:docPr id="109" name="Rounded 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647700"/>
                        </a:xfrm>
                        <a:prstGeom prst="roundRect">
                          <a:avLst/>
                        </a:prstGeom>
                      </wps:spPr>
                      <wps:style>
                        <a:lnRef idx="2">
                          <a:schemeClr val="dk1"/>
                        </a:lnRef>
                        <a:fillRef idx="1">
                          <a:schemeClr val="lt1"/>
                        </a:fillRef>
                        <a:effectRef idx="0">
                          <a:schemeClr val="dk1"/>
                        </a:effectRef>
                        <a:fontRef idx="minor">
                          <a:schemeClr val="dk1"/>
                        </a:fontRef>
                      </wps:style>
                      <wps:txbx>
                        <w:txbxContent>
                          <w:p w:rsidR="00371B10" w:rsidRPr="00C773C4" w:rsidRDefault="00371B10" w:rsidP="00147DCD">
                            <w:pPr>
                              <w:spacing w:before="0"/>
                              <w:ind w:left="0"/>
                              <w:jc w:val="center"/>
                              <w:rPr>
                                <w:rFonts w:cs="Arial"/>
                                <w:sz w:val="28"/>
                                <w:szCs w:val="28"/>
                              </w:rPr>
                            </w:pPr>
                            <w:r w:rsidRPr="00C773C4">
                              <w:rPr>
                                <w:rFonts w:cs="Arial"/>
                                <w:b/>
                                <w:sz w:val="28"/>
                                <w:szCs w:val="28"/>
                              </w:rPr>
                              <w:t>Positivity</w:t>
                            </w:r>
                            <w:r w:rsidRPr="00C773C4">
                              <w:rPr>
                                <w:rFonts w:cs="Arial"/>
                                <w:b/>
                                <w:sz w:val="28"/>
                                <w:szCs w:val="28"/>
                              </w:rPr>
                              <w:br/>
                            </w:r>
                            <w:r w:rsidRPr="00C773C4">
                              <w:rPr>
                                <w:rFonts w:cs="Arial"/>
                                <w:sz w:val="28"/>
                                <w:szCs w:val="28"/>
                              </w:rPr>
                              <w:t xml:space="preserve">n = </w:t>
                            </w:r>
                            <w:r>
                              <w:rPr>
                                <w:rFonts w:cs="Arial"/>
                                <w:sz w:val="28"/>
                                <w:szCs w:val="28"/>
                              </w:rPr>
                              <w:t>1,095</w:t>
                            </w:r>
                            <w:r w:rsidRPr="00C773C4">
                              <w:rPr>
                                <w:rFonts w:cs="Arial"/>
                                <w:sz w:val="28"/>
                                <w:szCs w:val="28"/>
                              </w:rPr>
                              <w:t xml:space="preserve"> (</w:t>
                            </w:r>
                            <w:r>
                              <w:rPr>
                                <w:rFonts w:cs="Arial"/>
                                <w:sz w:val="28"/>
                                <w:szCs w:val="28"/>
                              </w:rPr>
                              <w:t>5</w:t>
                            </w:r>
                            <w:r w:rsidRPr="00C773C4">
                              <w:rPr>
                                <w:rFonts w:cs="Arial"/>
                                <w:sz w:val="28"/>
                                <w:szCs w:val="28"/>
                              </w:rPr>
                              <w:t>.</w:t>
                            </w:r>
                            <w:r>
                              <w:rPr>
                                <w:rFonts w:cs="Arial"/>
                                <w:sz w:val="28"/>
                                <w:szCs w:val="28"/>
                              </w:rPr>
                              <w:t>4</w:t>
                            </w:r>
                            <w:r w:rsidRPr="00C773C4">
                              <w:rPr>
                                <w:rFonts w:cs="Arial"/>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E7A402" id="Rounded Rectangle 109" o:spid="_x0000_s1065" style="position:absolute;left:0;text-align:left;margin-left:153.1pt;margin-top:19.4pt;width:141.7pt;height:5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" fillcolor="white [3201]" strokecolor="black [3200]"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Positivity</w:t>
                      </w:r>
                      <w:r w:rsidRPr="00C773C4">
                        <w:rPr>
                          <w:rFonts w:cs="Arial"/>
                          <w:b/>
                          <w:sz w:val="28"/>
                          <w:szCs w:val="28"/>
                        </w:rPr>
                        <w:br/>
                      </w:r>
                      <w:r w:rsidRPr="00C773C4">
                        <w:rPr>
                          <w:rFonts w:cs="Arial"/>
                          <w:sz w:val="28"/>
                          <w:szCs w:val="28"/>
                        </w:rPr>
                        <w:t xml:space="preserve">n = </w:t>
                      </w:r>
                      <w:r>
                        <w:rPr>
                          <w:rFonts w:cs="Arial"/>
                          <w:sz w:val="28"/>
                          <w:szCs w:val="28"/>
                        </w:rPr>
                        <w:t>1,095</w:t>
                      </w:r>
                      <w:r w:rsidRPr="00C773C4">
                        <w:rPr>
                          <w:rFonts w:cs="Arial"/>
                          <w:sz w:val="28"/>
                          <w:szCs w:val="28"/>
                        </w:rPr>
                        <w:t xml:space="preserve"> (</w:t>
                      </w:r>
                      <w:r>
                        <w:rPr>
                          <w:rFonts w:cs="Arial"/>
                          <w:sz w:val="28"/>
                          <w:szCs w:val="28"/>
                        </w:rPr>
                        <w:t>5</w:t>
                      </w:r>
                      <w:r w:rsidRPr="00C773C4">
                        <w:rPr>
                          <w:rFonts w:cs="Arial"/>
                          <w:sz w:val="28"/>
                          <w:szCs w:val="28"/>
                        </w:rPr>
                        <w:t>.</w:t>
                      </w:r>
                      <w:r>
                        <w:rPr>
                          <w:rFonts w:cs="Arial"/>
                          <w:sz w:val="28"/>
                          <w:szCs w:val="28"/>
                        </w:rPr>
                        <w:t>4</w:t>
                      </w:r>
                      <w:r w:rsidRPr="00C773C4">
                        <w:rPr>
                          <w:rFonts w:cs="Arial"/>
                          <w:sz w:val="28"/>
                          <w:szCs w:val="28"/>
                        </w:rPr>
                        <w:t>%)</w:t>
                      </w:r>
                    </w:p>
                  </w:txbxContent>
                </v:textbox>
              </v:roundrect>
            </w:pict>
          </mc:Fallback>
        </mc:AlternateContent>
      </w:r>
      <w:r>
        <w:rPr>
          <w:rFonts w:cs="Arial"/>
          <w:noProof/>
          <w:sz w:val="26"/>
          <w:szCs w:val="26"/>
          <w:lang w:eastAsia="en-NZ"/>
        </w:rPr>
        <mc:AlternateContent>
          <mc:Choice Requires="wps">
            <w:drawing>
              <wp:anchor distT="0" distB="0" distL="114300" distR="114300" simplePos="0" relativeHeight="251726848" behindDoc="0" locked="0" layoutInCell="1" allowOverlap="1" wp14:anchorId="25219494">
                <wp:simplePos x="0" y="0"/>
                <wp:positionH relativeFrom="column">
                  <wp:posOffset>2837180</wp:posOffset>
                </wp:positionH>
                <wp:positionV relativeFrom="paragraph">
                  <wp:posOffset>48895</wp:posOffset>
                </wp:positionV>
                <wp:extent cx="0" cy="179705"/>
                <wp:effectExtent l="23495" t="24765" r="24130" b="43180"/>
                <wp:wrapNone/>
                <wp:docPr id="23"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38100">
                          <a:solidFill>
                            <a:srgbClr val="00BABF"/>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599D5326" id="Straight Arrow Connector 110" o:spid="_x0000_s1026" type="#_x0000_t32" style="position:absolute;margin-left:223.4pt;margin-top:3.85pt;width:0;height:14.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" strokecolor="#00babf" strokeweight="3pt">
                <v:shadow on="t" opacity="22936f" origin=",.5" offset="0,.63889mm"/>
              </v:shape>
            </w:pict>
          </mc:Fallback>
        </mc:AlternateContent>
      </w:r>
    </w:p>
    <w:p w:rsidR="00147DCD" w:rsidRPr="005F26BF" w:rsidRDefault="00147DCD" w:rsidP="00147DCD">
      <w:pPr>
        <w:jc w:val="center"/>
        <w:rPr>
          <w:rFonts w:cs="Arial"/>
          <w:sz w:val="26"/>
          <w:szCs w:val="26"/>
          <w:lang w:val="en-US"/>
        </w:rPr>
      </w:pPr>
    </w:p>
    <w:p w:rsidR="00147DCD" w:rsidRPr="005F26BF" w:rsidRDefault="00565301" w:rsidP="00147DCD">
      <w:pPr>
        <w:jc w:val="center"/>
        <w:rPr>
          <w:rFonts w:cs="Arial"/>
          <w:sz w:val="26"/>
          <w:szCs w:val="26"/>
          <w:lang w:val="en-US"/>
        </w:rPr>
      </w:pPr>
      <w:r>
        <w:rPr>
          <w:rFonts w:cs="Arial"/>
          <w:noProof/>
          <w:sz w:val="26"/>
          <w:szCs w:val="26"/>
          <w:lang w:eastAsia="en-NZ"/>
        </w:rPr>
        <mc:AlternateContent>
          <mc:Choice Requires="wps">
            <w:drawing>
              <wp:anchor distT="0" distB="0" distL="114300" distR="114300" simplePos="0" relativeHeight="251731968" behindDoc="0" locked="0" layoutInCell="1" allowOverlap="1" wp14:anchorId="6A4E9405">
                <wp:simplePos x="0" y="0"/>
                <wp:positionH relativeFrom="column">
                  <wp:posOffset>2838450</wp:posOffset>
                </wp:positionH>
                <wp:positionV relativeFrom="paragraph">
                  <wp:posOffset>200660</wp:posOffset>
                </wp:positionV>
                <wp:extent cx="981075" cy="180975"/>
                <wp:effectExtent l="24765" t="22860" r="22860" b="43815"/>
                <wp:wrapNone/>
                <wp:docPr id="22"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180975"/>
                        </a:xfrm>
                        <a:prstGeom prst="straightConnector1">
                          <a:avLst/>
                        </a:prstGeom>
                        <a:noFill/>
                        <a:ln w="38100">
                          <a:solidFill>
                            <a:srgbClr val="00BABF"/>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E006C4" id="Straight Arrow Connector 111" o:spid="_x0000_s1026" type="#_x0000_t32" style="position:absolute;margin-left:223.5pt;margin-top:15.8pt;width:77.25pt;height:14.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" strokecolor="#00babf" strokeweight="3pt">
                <v:shadow on="t" opacity="22936f" origin=",.5" offset="0,.63889mm"/>
              </v:shape>
            </w:pict>
          </mc:Fallback>
        </mc:AlternateContent>
      </w:r>
      <w:r>
        <w:rPr>
          <w:rFonts w:cs="Arial"/>
          <w:noProof/>
          <w:sz w:val="26"/>
          <w:szCs w:val="26"/>
          <w:lang w:eastAsia="en-NZ"/>
        </w:rPr>
        <mc:AlternateContent>
          <mc:Choice Requires="wps">
            <w:drawing>
              <wp:anchor distT="0" distB="0" distL="114300" distR="114300" simplePos="0" relativeHeight="251730944" behindDoc="0" locked="0" layoutInCell="1" allowOverlap="1" wp14:anchorId="60406876">
                <wp:simplePos x="0" y="0"/>
                <wp:positionH relativeFrom="column">
                  <wp:posOffset>1857375</wp:posOffset>
                </wp:positionH>
                <wp:positionV relativeFrom="paragraph">
                  <wp:posOffset>200660</wp:posOffset>
                </wp:positionV>
                <wp:extent cx="981075" cy="180975"/>
                <wp:effectExtent l="24765" t="22860" r="22860" b="43815"/>
                <wp:wrapNone/>
                <wp:docPr id="21"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180975"/>
                        </a:xfrm>
                        <a:prstGeom prst="straightConnector1">
                          <a:avLst/>
                        </a:prstGeom>
                        <a:noFill/>
                        <a:ln w="38100">
                          <a:solidFill>
                            <a:srgbClr val="00BABF"/>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E1E09A" id="Straight Arrow Connector 112" o:spid="_x0000_s1026" type="#_x0000_t32" style="position:absolute;margin-left:146.25pt;margin-top:15.8pt;width:77.25pt;height:14.2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" strokecolor="#00babf" strokeweight="3pt">
                <v:shadow on="t" opacity="22936f" origin=",.5" offset="0,.63889mm"/>
              </v:shape>
            </w:pict>
          </mc:Fallback>
        </mc:AlternateContent>
      </w:r>
    </w:p>
    <w:p w:rsidR="00147DCD" w:rsidRPr="005F26BF" w:rsidRDefault="00565301" w:rsidP="00147DCD">
      <w:pPr>
        <w:jc w:val="center"/>
        <w:rPr>
          <w:rFonts w:cs="Arial"/>
          <w:sz w:val="26"/>
          <w:szCs w:val="26"/>
          <w:lang w:val="en-US"/>
        </w:rPr>
      </w:pPr>
      <w:r>
        <w:rPr>
          <w:rFonts w:cs="Arial"/>
          <w:noProof/>
          <w:sz w:val="26"/>
          <w:szCs w:val="26"/>
          <w:lang w:eastAsia="en-NZ"/>
        </w:rPr>
        <mc:AlternateContent>
          <mc:Choice Requires="wps">
            <w:drawing>
              <wp:anchor distT="0" distB="0" distL="114300" distR="114300" simplePos="0" relativeHeight="251741184" behindDoc="0" locked="0" layoutInCell="1" allowOverlap="1" wp14:anchorId="7DB50395">
                <wp:simplePos x="0" y="0"/>
                <wp:positionH relativeFrom="column">
                  <wp:posOffset>972185</wp:posOffset>
                </wp:positionH>
                <wp:positionV relativeFrom="paragraph">
                  <wp:posOffset>40005</wp:posOffset>
                </wp:positionV>
                <wp:extent cx="1799590" cy="647700"/>
                <wp:effectExtent l="0" t="0" r="10160" b="19050"/>
                <wp:wrapNone/>
                <wp:docPr id="114" name="Rounded 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647700"/>
                        </a:xfrm>
                        <a:prstGeom prst="roundRect">
                          <a:avLst/>
                        </a:prstGeom>
                        <a:ln>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rsidR="00371B10" w:rsidRPr="00C773C4" w:rsidRDefault="00371B10" w:rsidP="00147DCD">
                            <w:pPr>
                              <w:spacing w:before="0"/>
                              <w:ind w:left="0"/>
                              <w:jc w:val="center"/>
                              <w:rPr>
                                <w:rFonts w:cs="Arial"/>
                                <w:sz w:val="28"/>
                                <w:szCs w:val="28"/>
                              </w:rPr>
                            </w:pPr>
                            <w:r w:rsidRPr="00C773C4">
                              <w:rPr>
                                <w:rFonts w:cs="Arial"/>
                                <w:b/>
                                <w:sz w:val="28"/>
                                <w:szCs w:val="28"/>
                              </w:rPr>
                              <w:t>Colonoscopy</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917</w:t>
                            </w:r>
                            <w:r w:rsidRPr="00C773C4">
                              <w:rPr>
                                <w:rFonts w:cs="Arial"/>
                                <w:sz w:val="28"/>
                                <w:szCs w:val="28"/>
                              </w:rPr>
                              <w:t xml:space="preserve"> (</w:t>
                            </w:r>
                            <w:r>
                              <w:rPr>
                                <w:rFonts w:cs="Arial"/>
                                <w:sz w:val="28"/>
                                <w:szCs w:val="28"/>
                              </w:rPr>
                              <w:t>83</w:t>
                            </w:r>
                            <w:r w:rsidRPr="00C773C4">
                              <w:rPr>
                                <w:rFonts w:cs="Arial"/>
                                <w:sz w:val="28"/>
                                <w:szCs w:val="28"/>
                              </w:rPr>
                              <w:t>.</w:t>
                            </w:r>
                            <w:r>
                              <w:rPr>
                                <w:rFonts w:cs="Arial"/>
                                <w:sz w:val="28"/>
                                <w:szCs w:val="28"/>
                              </w:rPr>
                              <w:t>7</w:t>
                            </w:r>
                            <w:r w:rsidRPr="00C773C4">
                              <w:rPr>
                                <w:rFonts w:cs="Arial"/>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B50395" id="Rounded Rectangle 114" o:spid="_x0000_s1066" style="position:absolute;left:0;text-align:left;margin-left:76.55pt;margin-top:3.15pt;width:141.7pt;height:5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" fillcolor="white [3201]" strokecolor="gray [1629]"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Colonoscopy</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917</w:t>
                      </w:r>
                      <w:r w:rsidRPr="00C773C4">
                        <w:rPr>
                          <w:rFonts w:cs="Arial"/>
                          <w:sz w:val="28"/>
                          <w:szCs w:val="28"/>
                        </w:rPr>
                        <w:t xml:space="preserve"> (</w:t>
                      </w:r>
                      <w:r>
                        <w:rPr>
                          <w:rFonts w:cs="Arial"/>
                          <w:sz w:val="28"/>
                          <w:szCs w:val="28"/>
                        </w:rPr>
                        <w:t>83</w:t>
                      </w:r>
                      <w:r w:rsidRPr="00C773C4">
                        <w:rPr>
                          <w:rFonts w:cs="Arial"/>
                          <w:sz w:val="28"/>
                          <w:szCs w:val="28"/>
                        </w:rPr>
                        <w:t>.</w:t>
                      </w:r>
                      <w:r>
                        <w:rPr>
                          <w:rFonts w:cs="Arial"/>
                          <w:sz w:val="28"/>
                          <w:szCs w:val="28"/>
                        </w:rPr>
                        <w:t>7</w:t>
                      </w:r>
                      <w:r w:rsidRPr="00C773C4">
                        <w:rPr>
                          <w:rFonts w:cs="Arial"/>
                          <w:sz w:val="28"/>
                          <w:szCs w:val="28"/>
                        </w:rPr>
                        <w:t>%)</w:t>
                      </w:r>
                    </w:p>
                  </w:txbxContent>
                </v:textbox>
              </v:roundrect>
            </w:pict>
          </mc:Fallback>
        </mc:AlternateContent>
      </w:r>
      <w:r>
        <w:rPr>
          <w:rFonts w:cs="Arial"/>
          <w:noProof/>
          <w:sz w:val="26"/>
          <w:szCs w:val="26"/>
          <w:lang w:eastAsia="en-NZ"/>
        </w:rPr>
        <mc:AlternateContent>
          <mc:Choice Requires="wps">
            <w:drawing>
              <wp:anchor distT="0" distB="0" distL="114300" distR="114300" simplePos="0" relativeHeight="251752448" behindDoc="0" locked="0" layoutInCell="1" allowOverlap="1" wp14:anchorId="7D0EE884">
                <wp:simplePos x="0" y="0"/>
                <wp:positionH relativeFrom="column">
                  <wp:posOffset>2916555</wp:posOffset>
                </wp:positionH>
                <wp:positionV relativeFrom="paragraph">
                  <wp:posOffset>30480</wp:posOffset>
                </wp:positionV>
                <wp:extent cx="1799590" cy="647700"/>
                <wp:effectExtent l="0" t="0" r="10160" b="19050"/>
                <wp:wrapNone/>
                <wp:docPr id="113" name="Rounded 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647700"/>
                        </a:xfrm>
                        <a:prstGeom prst="roundRect">
                          <a:avLst/>
                        </a:prstGeom>
                        <a:ln>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rsidR="00371B10" w:rsidRPr="00C773C4" w:rsidRDefault="00371B10" w:rsidP="00147DCD">
                            <w:pPr>
                              <w:spacing w:before="0"/>
                              <w:ind w:left="0"/>
                              <w:jc w:val="center"/>
                              <w:rPr>
                                <w:rFonts w:cs="Arial"/>
                                <w:sz w:val="28"/>
                                <w:szCs w:val="28"/>
                              </w:rPr>
                            </w:pPr>
                            <w:r w:rsidRPr="00C773C4">
                              <w:rPr>
                                <w:rFonts w:cs="Arial"/>
                                <w:b/>
                                <w:sz w:val="28"/>
                                <w:szCs w:val="28"/>
                              </w:rPr>
                              <w:t>Colono</w:t>
                            </w:r>
                            <w:r>
                              <w:rPr>
                                <w:rFonts w:cs="Arial"/>
                                <w:b/>
                                <w:sz w:val="28"/>
                                <w:szCs w:val="28"/>
                              </w:rPr>
                              <w:t>gra</w:t>
                            </w:r>
                            <w:r w:rsidRPr="00C773C4">
                              <w:rPr>
                                <w:rFonts w:cs="Arial"/>
                                <w:b/>
                                <w:sz w:val="28"/>
                                <w:szCs w:val="28"/>
                              </w:rPr>
                              <w:t>p</w:t>
                            </w:r>
                            <w:r>
                              <w:rPr>
                                <w:rFonts w:cs="Arial"/>
                                <w:b/>
                                <w:sz w:val="28"/>
                                <w:szCs w:val="28"/>
                              </w:rPr>
                              <w:t>h</w:t>
                            </w:r>
                            <w:r w:rsidRPr="00C773C4">
                              <w:rPr>
                                <w:rFonts w:cs="Arial"/>
                                <w:b/>
                                <w:sz w:val="28"/>
                                <w:szCs w:val="28"/>
                              </w:rPr>
                              <w:t>y</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7</w:t>
                            </w:r>
                            <w:r w:rsidRPr="00C773C4">
                              <w:rPr>
                                <w:rFonts w:cs="Arial"/>
                                <w:sz w:val="28"/>
                                <w:szCs w:val="28"/>
                              </w:rPr>
                              <w:t xml:space="preserve"> (</w:t>
                            </w:r>
                            <w:r>
                              <w:rPr>
                                <w:rFonts w:cs="Arial"/>
                                <w:sz w:val="28"/>
                                <w:szCs w:val="28"/>
                              </w:rPr>
                              <w:t>0</w:t>
                            </w:r>
                            <w:r w:rsidRPr="00C773C4">
                              <w:rPr>
                                <w:rFonts w:cs="Arial"/>
                                <w:sz w:val="28"/>
                                <w:szCs w:val="28"/>
                              </w:rPr>
                              <w:t>.</w:t>
                            </w:r>
                            <w:r>
                              <w:rPr>
                                <w:rFonts w:cs="Arial"/>
                                <w:sz w:val="28"/>
                                <w:szCs w:val="28"/>
                              </w:rPr>
                              <w:t>6</w:t>
                            </w:r>
                            <w:r w:rsidRPr="00C773C4">
                              <w:rPr>
                                <w:rFonts w:cs="Arial"/>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EE884" id="Rounded Rectangle 113" o:spid="_x0000_s1067" style="position:absolute;left:0;text-align:left;margin-left:229.65pt;margin-top:2.4pt;width:141.7pt;height:5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" fillcolor="white [3201]" strokecolor="gray [1629]"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Colono</w:t>
                      </w:r>
                      <w:r>
                        <w:rPr>
                          <w:rFonts w:cs="Arial"/>
                          <w:b/>
                          <w:sz w:val="28"/>
                          <w:szCs w:val="28"/>
                        </w:rPr>
                        <w:t>gra</w:t>
                      </w:r>
                      <w:r w:rsidRPr="00C773C4">
                        <w:rPr>
                          <w:rFonts w:cs="Arial"/>
                          <w:b/>
                          <w:sz w:val="28"/>
                          <w:szCs w:val="28"/>
                        </w:rPr>
                        <w:t>p</w:t>
                      </w:r>
                      <w:r>
                        <w:rPr>
                          <w:rFonts w:cs="Arial"/>
                          <w:b/>
                          <w:sz w:val="28"/>
                          <w:szCs w:val="28"/>
                        </w:rPr>
                        <w:t>h</w:t>
                      </w:r>
                      <w:r w:rsidRPr="00C773C4">
                        <w:rPr>
                          <w:rFonts w:cs="Arial"/>
                          <w:b/>
                          <w:sz w:val="28"/>
                          <w:szCs w:val="28"/>
                        </w:rPr>
                        <w:t>y</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7</w:t>
                      </w:r>
                      <w:r w:rsidRPr="00C773C4">
                        <w:rPr>
                          <w:rFonts w:cs="Arial"/>
                          <w:sz w:val="28"/>
                          <w:szCs w:val="28"/>
                        </w:rPr>
                        <w:t xml:space="preserve"> (</w:t>
                      </w:r>
                      <w:r>
                        <w:rPr>
                          <w:rFonts w:cs="Arial"/>
                          <w:sz w:val="28"/>
                          <w:szCs w:val="28"/>
                        </w:rPr>
                        <w:t>0</w:t>
                      </w:r>
                      <w:r w:rsidRPr="00C773C4">
                        <w:rPr>
                          <w:rFonts w:cs="Arial"/>
                          <w:sz w:val="28"/>
                          <w:szCs w:val="28"/>
                        </w:rPr>
                        <w:t>.</w:t>
                      </w:r>
                      <w:r>
                        <w:rPr>
                          <w:rFonts w:cs="Arial"/>
                          <w:sz w:val="28"/>
                          <w:szCs w:val="28"/>
                        </w:rPr>
                        <w:t>6</w:t>
                      </w:r>
                      <w:r w:rsidRPr="00C773C4">
                        <w:rPr>
                          <w:rFonts w:cs="Arial"/>
                          <w:sz w:val="28"/>
                          <w:szCs w:val="28"/>
                        </w:rPr>
                        <w:t>%)</w:t>
                      </w:r>
                    </w:p>
                  </w:txbxContent>
                </v:textbox>
              </v:roundrect>
            </w:pict>
          </mc:Fallback>
        </mc:AlternateContent>
      </w:r>
    </w:p>
    <w:p w:rsidR="00147DCD" w:rsidRDefault="00565301" w:rsidP="00147DCD">
      <w:pPr>
        <w:jc w:val="center"/>
        <w:rPr>
          <w:rFonts w:cs="Arial"/>
          <w:sz w:val="26"/>
          <w:szCs w:val="26"/>
          <w:lang w:val="en-US"/>
        </w:rPr>
      </w:pPr>
      <w:r>
        <w:rPr>
          <w:rFonts w:cs="Arial"/>
          <w:noProof/>
          <w:sz w:val="26"/>
          <w:szCs w:val="26"/>
          <w:lang w:eastAsia="en-NZ"/>
        </w:rPr>
        <mc:AlternateContent>
          <mc:Choice Requires="wps">
            <w:drawing>
              <wp:anchor distT="0" distB="0" distL="114300" distR="114300" simplePos="0" relativeHeight="251728896" behindDoc="0" locked="0" layoutInCell="1" allowOverlap="1" wp14:anchorId="4706E0B5">
                <wp:simplePos x="0" y="0"/>
                <wp:positionH relativeFrom="column">
                  <wp:posOffset>3818255</wp:posOffset>
                </wp:positionH>
                <wp:positionV relativeFrom="paragraph">
                  <wp:posOffset>342265</wp:posOffset>
                </wp:positionV>
                <wp:extent cx="0" cy="179705"/>
                <wp:effectExtent l="23495" t="20320" r="24130" b="47625"/>
                <wp:wrapNone/>
                <wp:docPr id="20"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38100">
                          <a:solidFill>
                            <a:srgbClr val="00BABF"/>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0835F98D" id="Straight Arrow Connector 115" o:spid="_x0000_s1026" type="#_x0000_t32" style="position:absolute;margin-left:300.65pt;margin-top:26.95pt;width:0;height:14.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" strokecolor="#00babf" strokeweight="3pt">
                <v:shadow on="t" opacity="22936f" origin=",.5" offset="0,.63889mm"/>
              </v:shape>
            </w:pict>
          </mc:Fallback>
        </mc:AlternateContent>
      </w:r>
      <w:r>
        <w:rPr>
          <w:rFonts w:cs="Arial"/>
          <w:noProof/>
          <w:sz w:val="26"/>
          <w:szCs w:val="26"/>
          <w:lang w:eastAsia="en-NZ"/>
        </w:rPr>
        <mc:AlternateContent>
          <mc:Choice Requires="wps">
            <w:drawing>
              <wp:anchor distT="0" distB="0" distL="114300" distR="114300" simplePos="0" relativeHeight="251727872" behindDoc="0" locked="0" layoutInCell="1" allowOverlap="1" wp14:anchorId="5DFABE2F">
                <wp:simplePos x="0" y="0"/>
                <wp:positionH relativeFrom="column">
                  <wp:posOffset>1875155</wp:posOffset>
                </wp:positionH>
                <wp:positionV relativeFrom="paragraph">
                  <wp:posOffset>323850</wp:posOffset>
                </wp:positionV>
                <wp:extent cx="0" cy="179705"/>
                <wp:effectExtent l="23495" t="20955" r="24130" b="46990"/>
                <wp:wrapNone/>
                <wp:docPr id="19"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38100">
                          <a:solidFill>
                            <a:srgbClr val="00BABF"/>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5C54ECE4" id="Straight Arrow Connector 116" o:spid="_x0000_s1026" type="#_x0000_t32" style="position:absolute;margin-left:147.65pt;margin-top:25.5pt;width:0;height:14.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" strokecolor="#00babf" strokeweight="3pt">
                <v:shadow on="t" opacity="22936f" origin=",.5" offset="0,.63889mm"/>
              </v:shape>
            </w:pict>
          </mc:Fallback>
        </mc:AlternateContent>
      </w:r>
    </w:p>
    <w:p w:rsidR="00147DCD" w:rsidRDefault="00565301" w:rsidP="00147DCD">
      <w:pPr>
        <w:jc w:val="center"/>
        <w:rPr>
          <w:rFonts w:cs="Arial"/>
          <w:sz w:val="26"/>
          <w:szCs w:val="26"/>
          <w:lang w:val="en-US"/>
        </w:rPr>
      </w:pPr>
      <w:r>
        <w:rPr>
          <w:rFonts w:cs="Arial"/>
          <w:noProof/>
          <w:sz w:val="26"/>
          <w:szCs w:val="26"/>
          <w:lang w:eastAsia="en-NZ"/>
        </w:rPr>
        <mc:AlternateContent>
          <mc:Choice Requires="wps">
            <w:drawing>
              <wp:anchor distT="0" distB="0" distL="114300" distR="114300" simplePos="0" relativeHeight="251742208" behindDoc="0" locked="0" layoutInCell="1" allowOverlap="1" wp14:anchorId="7B77B2B5">
                <wp:simplePos x="0" y="0"/>
                <wp:positionH relativeFrom="column">
                  <wp:posOffset>972185</wp:posOffset>
                </wp:positionH>
                <wp:positionV relativeFrom="paragraph">
                  <wp:posOffset>165735</wp:posOffset>
                </wp:positionV>
                <wp:extent cx="1799590" cy="647700"/>
                <wp:effectExtent l="0" t="0" r="10160" b="19050"/>
                <wp:wrapNone/>
                <wp:docPr id="117" name="Rounded 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647700"/>
                        </a:xfrm>
                        <a:prstGeom prst="roundRect">
                          <a:avLst/>
                        </a:prstGeom>
                        <a:ln>
                          <a:solidFill>
                            <a:srgbClr val="7F7F7F"/>
                          </a:solidFill>
                        </a:ln>
                      </wps:spPr>
                      <wps:style>
                        <a:lnRef idx="2">
                          <a:schemeClr val="dk1"/>
                        </a:lnRef>
                        <a:fillRef idx="1">
                          <a:schemeClr val="lt1"/>
                        </a:fillRef>
                        <a:effectRef idx="0">
                          <a:schemeClr val="dk1"/>
                        </a:effectRef>
                        <a:fontRef idx="minor">
                          <a:schemeClr val="dk1"/>
                        </a:fontRef>
                      </wps:style>
                      <wps:txbx>
                        <w:txbxContent>
                          <w:p w:rsidR="00371B10" w:rsidRPr="00C773C4" w:rsidRDefault="00371B10" w:rsidP="00147DCD">
                            <w:pPr>
                              <w:spacing w:before="0"/>
                              <w:ind w:left="0"/>
                              <w:jc w:val="center"/>
                              <w:rPr>
                                <w:rFonts w:cs="Arial"/>
                                <w:sz w:val="28"/>
                                <w:szCs w:val="28"/>
                              </w:rPr>
                            </w:pPr>
                            <w:r w:rsidRPr="00C773C4">
                              <w:rPr>
                                <w:rFonts w:cs="Arial"/>
                                <w:b/>
                                <w:sz w:val="28"/>
                                <w:szCs w:val="28"/>
                              </w:rPr>
                              <w:t>Abnormality</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651</w:t>
                            </w:r>
                            <w:r w:rsidRPr="00C773C4">
                              <w:rPr>
                                <w:rFonts w:cs="Arial"/>
                                <w:sz w:val="28"/>
                                <w:szCs w:val="28"/>
                              </w:rPr>
                              <w:t xml:space="preserve"> (7</w:t>
                            </w:r>
                            <w:r>
                              <w:rPr>
                                <w:rFonts w:cs="Arial"/>
                                <w:sz w:val="28"/>
                                <w:szCs w:val="28"/>
                              </w:rPr>
                              <w:t>1</w:t>
                            </w:r>
                            <w:r w:rsidRPr="00C773C4">
                              <w:rPr>
                                <w:rFonts w:cs="Arial"/>
                                <w:sz w:val="28"/>
                                <w:szCs w:val="28"/>
                              </w:rPr>
                              <w:t>.</w:t>
                            </w:r>
                            <w:r>
                              <w:rPr>
                                <w:rFonts w:cs="Arial"/>
                                <w:sz w:val="28"/>
                                <w:szCs w:val="28"/>
                              </w:rPr>
                              <w:t>0</w:t>
                            </w:r>
                            <w:r w:rsidRPr="00C773C4">
                              <w:rPr>
                                <w:rFonts w:cs="Arial"/>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77B2B5" id="Rounded Rectangle 117" o:spid="_x0000_s1068" style="position:absolute;left:0;text-align:left;margin-left:76.55pt;margin-top:13.05pt;width:141.7pt;height:5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" fillcolor="white [3201]" strokecolor="#7f7f7f"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Abnormality</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651</w:t>
                      </w:r>
                      <w:r w:rsidRPr="00C773C4">
                        <w:rPr>
                          <w:rFonts w:cs="Arial"/>
                          <w:sz w:val="28"/>
                          <w:szCs w:val="28"/>
                        </w:rPr>
                        <w:t xml:space="preserve"> (7</w:t>
                      </w:r>
                      <w:r>
                        <w:rPr>
                          <w:rFonts w:cs="Arial"/>
                          <w:sz w:val="28"/>
                          <w:szCs w:val="28"/>
                        </w:rPr>
                        <w:t>1</w:t>
                      </w:r>
                      <w:r w:rsidRPr="00C773C4">
                        <w:rPr>
                          <w:rFonts w:cs="Arial"/>
                          <w:sz w:val="28"/>
                          <w:szCs w:val="28"/>
                        </w:rPr>
                        <w:t>.</w:t>
                      </w:r>
                      <w:r>
                        <w:rPr>
                          <w:rFonts w:cs="Arial"/>
                          <w:sz w:val="28"/>
                          <w:szCs w:val="28"/>
                        </w:rPr>
                        <w:t>0</w:t>
                      </w:r>
                      <w:r w:rsidRPr="00C773C4">
                        <w:rPr>
                          <w:rFonts w:cs="Arial"/>
                          <w:sz w:val="28"/>
                          <w:szCs w:val="28"/>
                        </w:rPr>
                        <w:t>%)</w:t>
                      </w:r>
                    </w:p>
                  </w:txbxContent>
                </v:textbox>
              </v:roundrect>
            </w:pict>
          </mc:Fallback>
        </mc:AlternateContent>
      </w:r>
      <w:r>
        <w:rPr>
          <w:rFonts w:cs="Arial"/>
          <w:noProof/>
          <w:sz w:val="26"/>
          <w:szCs w:val="26"/>
          <w:lang w:eastAsia="en-NZ"/>
        </w:rPr>
        <mc:AlternateContent>
          <mc:Choice Requires="wps">
            <w:drawing>
              <wp:anchor distT="0" distB="0" distL="114300" distR="114300" simplePos="0" relativeHeight="251753472" behindDoc="0" locked="0" layoutInCell="1" allowOverlap="1" wp14:anchorId="606E8C91">
                <wp:simplePos x="0" y="0"/>
                <wp:positionH relativeFrom="column">
                  <wp:posOffset>2916555</wp:posOffset>
                </wp:positionH>
                <wp:positionV relativeFrom="paragraph">
                  <wp:posOffset>165735</wp:posOffset>
                </wp:positionV>
                <wp:extent cx="1800225" cy="647700"/>
                <wp:effectExtent l="0" t="0" r="28575" b="19050"/>
                <wp:wrapNone/>
                <wp:docPr id="118" name="Rounded 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647700"/>
                        </a:xfrm>
                        <a:prstGeom prst="roundRect">
                          <a:avLst/>
                        </a:prstGeom>
                        <a:ln>
                          <a:solidFill>
                            <a:srgbClr val="7F7F7F"/>
                          </a:solidFill>
                        </a:ln>
                      </wps:spPr>
                      <wps:style>
                        <a:lnRef idx="2">
                          <a:schemeClr val="dk1"/>
                        </a:lnRef>
                        <a:fillRef idx="1">
                          <a:schemeClr val="lt1"/>
                        </a:fillRef>
                        <a:effectRef idx="0">
                          <a:schemeClr val="dk1"/>
                        </a:effectRef>
                        <a:fontRef idx="minor">
                          <a:schemeClr val="dk1"/>
                        </a:fontRef>
                      </wps:style>
                      <wps:txbx>
                        <w:txbxContent>
                          <w:p w:rsidR="00371B10" w:rsidRPr="00C773C4" w:rsidRDefault="00371B10" w:rsidP="00147DCD">
                            <w:pPr>
                              <w:spacing w:before="0"/>
                              <w:ind w:left="0"/>
                              <w:jc w:val="center"/>
                              <w:rPr>
                                <w:rFonts w:cs="Arial"/>
                                <w:sz w:val="28"/>
                                <w:szCs w:val="28"/>
                              </w:rPr>
                            </w:pPr>
                            <w:r w:rsidRPr="00C773C4">
                              <w:rPr>
                                <w:rFonts w:cs="Arial"/>
                                <w:b/>
                                <w:sz w:val="28"/>
                                <w:szCs w:val="28"/>
                              </w:rPr>
                              <w:t>Abnormality</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0</w:t>
                            </w:r>
                            <w:r w:rsidRPr="00C773C4">
                              <w:rPr>
                                <w:rFonts w:cs="Arial"/>
                                <w:sz w:val="28"/>
                                <w:szCs w:val="28"/>
                              </w:rPr>
                              <w:t xml:space="preserve"> (</w:t>
                            </w:r>
                            <w:r>
                              <w:rPr>
                                <w:rFonts w:cs="Arial"/>
                                <w:sz w:val="28"/>
                                <w:szCs w:val="28"/>
                              </w:rPr>
                              <w:t>0</w:t>
                            </w:r>
                            <w:r w:rsidRPr="00C773C4">
                              <w:rPr>
                                <w:rFonts w:cs="Arial"/>
                                <w:sz w:val="28"/>
                                <w:szCs w:val="28"/>
                              </w:rPr>
                              <w:t>.</w:t>
                            </w:r>
                            <w:r>
                              <w:rPr>
                                <w:rFonts w:cs="Arial"/>
                                <w:sz w:val="28"/>
                                <w:szCs w:val="28"/>
                              </w:rPr>
                              <w:t>0</w:t>
                            </w:r>
                            <w:r w:rsidRPr="00C773C4">
                              <w:rPr>
                                <w:rFonts w:cs="Arial"/>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E8C91" id="Rounded Rectangle 118" o:spid="_x0000_s1069" style="position:absolute;left:0;text-align:left;margin-left:229.65pt;margin-top:13.05pt;width:141.75pt;height:5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" fillcolor="white [3201]" strokecolor="#7f7f7f"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Abnormality</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0</w:t>
                      </w:r>
                      <w:r w:rsidRPr="00C773C4">
                        <w:rPr>
                          <w:rFonts w:cs="Arial"/>
                          <w:sz w:val="28"/>
                          <w:szCs w:val="28"/>
                        </w:rPr>
                        <w:t xml:space="preserve"> (</w:t>
                      </w:r>
                      <w:r>
                        <w:rPr>
                          <w:rFonts w:cs="Arial"/>
                          <w:sz w:val="28"/>
                          <w:szCs w:val="28"/>
                        </w:rPr>
                        <w:t>0</w:t>
                      </w:r>
                      <w:r w:rsidRPr="00C773C4">
                        <w:rPr>
                          <w:rFonts w:cs="Arial"/>
                          <w:sz w:val="28"/>
                          <w:szCs w:val="28"/>
                        </w:rPr>
                        <w:t>.</w:t>
                      </w:r>
                      <w:r>
                        <w:rPr>
                          <w:rFonts w:cs="Arial"/>
                          <w:sz w:val="28"/>
                          <w:szCs w:val="28"/>
                        </w:rPr>
                        <w:t>0</w:t>
                      </w:r>
                      <w:r w:rsidRPr="00C773C4">
                        <w:rPr>
                          <w:rFonts w:cs="Arial"/>
                          <w:sz w:val="28"/>
                          <w:szCs w:val="28"/>
                        </w:rPr>
                        <w:t>%)</w:t>
                      </w:r>
                    </w:p>
                  </w:txbxContent>
                </v:textbox>
              </v:roundrect>
            </w:pict>
          </mc:Fallback>
        </mc:AlternateContent>
      </w:r>
    </w:p>
    <w:p w:rsidR="00147DCD" w:rsidRDefault="00147DCD" w:rsidP="00147DCD">
      <w:pPr>
        <w:jc w:val="center"/>
        <w:rPr>
          <w:rFonts w:cs="Arial"/>
          <w:sz w:val="26"/>
          <w:szCs w:val="26"/>
          <w:lang w:val="en-US"/>
        </w:rPr>
      </w:pPr>
    </w:p>
    <w:p w:rsidR="00147DCD" w:rsidRDefault="00565301" w:rsidP="00147DCD">
      <w:pPr>
        <w:jc w:val="center"/>
        <w:rPr>
          <w:rFonts w:cs="Arial"/>
          <w:sz w:val="26"/>
          <w:szCs w:val="26"/>
          <w:lang w:val="en-US"/>
        </w:rPr>
      </w:pPr>
      <w:r>
        <w:rPr>
          <w:rFonts w:cs="Arial"/>
          <w:noProof/>
          <w:sz w:val="26"/>
          <w:szCs w:val="26"/>
          <w:lang w:eastAsia="en-NZ"/>
        </w:rPr>
        <mc:AlternateContent>
          <mc:Choice Requires="wps">
            <w:drawing>
              <wp:anchor distT="0" distB="0" distL="114300" distR="114300" simplePos="0" relativeHeight="251737088" behindDoc="0" locked="0" layoutInCell="1" allowOverlap="1" wp14:anchorId="28A8EDC6">
                <wp:simplePos x="0" y="0"/>
                <wp:positionH relativeFrom="column">
                  <wp:posOffset>2838450</wp:posOffset>
                </wp:positionH>
                <wp:positionV relativeFrom="paragraph">
                  <wp:posOffset>112395</wp:posOffset>
                </wp:positionV>
                <wp:extent cx="981075" cy="180975"/>
                <wp:effectExtent l="24765" t="26670" r="22860" b="49530"/>
                <wp:wrapNone/>
                <wp:docPr id="18"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180975"/>
                        </a:xfrm>
                        <a:prstGeom prst="straightConnector1">
                          <a:avLst/>
                        </a:prstGeom>
                        <a:noFill/>
                        <a:ln w="38100">
                          <a:solidFill>
                            <a:srgbClr val="00BABF"/>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7A91FB" id="Straight Arrow Connector 119" o:spid="_x0000_s1026" type="#_x0000_t32" style="position:absolute;margin-left:223.5pt;margin-top:8.85pt;width:77.25pt;height:14.2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" strokecolor="#00babf" strokeweight="3pt">
                <v:shadow on="t" opacity="22936f" origin=",.5" offset="0,.63889mm"/>
              </v:shape>
            </w:pict>
          </mc:Fallback>
        </mc:AlternateContent>
      </w:r>
      <w:r>
        <w:rPr>
          <w:rFonts w:cs="Arial"/>
          <w:noProof/>
          <w:sz w:val="26"/>
          <w:szCs w:val="26"/>
          <w:lang w:eastAsia="en-NZ"/>
        </w:rPr>
        <mc:AlternateContent>
          <mc:Choice Requires="wps">
            <w:drawing>
              <wp:anchor distT="0" distB="0" distL="114300" distR="114300" simplePos="0" relativeHeight="251736064" behindDoc="0" locked="0" layoutInCell="1" allowOverlap="1" wp14:anchorId="3EE78965">
                <wp:simplePos x="0" y="0"/>
                <wp:positionH relativeFrom="column">
                  <wp:posOffset>1876425</wp:posOffset>
                </wp:positionH>
                <wp:positionV relativeFrom="paragraph">
                  <wp:posOffset>112395</wp:posOffset>
                </wp:positionV>
                <wp:extent cx="962025" cy="180340"/>
                <wp:effectExtent l="24765" t="26670" r="22860" b="50165"/>
                <wp:wrapNone/>
                <wp:docPr id="13"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180340"/>
                        </a:xfrm>
                        <a:prstGeom prst="straightConnector1">
                          <a:avLst/>
                        </a:prstGeom>
                        <a:noFill/>
                        <a:ln w="38100">
                          <a:solidFill>
                            <a:srgbClr val="00BABF"/>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87E6A5" id="Straight Arrow Connector 120" o:spid="_x0000_s1026" type="#_x0000_t32" style="position:absolute;margin-left:147.75pt;margin-top:8.85pt;width:75.75pt;height:14.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" strokecolor="#00babf" strokeweight="3pt">
                <v:shadow on="t" opacity="22936f" origin=",.5" offset="0,.63889mm"/>
              </v:shape>
            </w:pict>
          </mc:Fallback>
        </mc:AlternateContent>
      </w:r>
      <w:r>
        <w:rPr>
          <w:rFonts w:cs="Arial"/>
          <w:noProof/>
          <w:sz w:val="26"/>
          <w:szCs w:val="26"/>
          <w:lang w:eastAsia="en-NZ"/>
        </w:rPr>
        <mc:AlternateContent>
          <mc:Choice Requires="wps">
            <w:drawing>
              <wp:anchor distT="0" distB="0" distL="114300" distR="114300" simplePos="0" relativeHeight="251743232" behindDoc="0" locked="0" layoutInCell="1" allowOverlap="1" wp14:anchorId="20630AF8">
                <wp:simplePos x="0" y="0"/>
                <wp:positionH relativeFrom="column">
                  <wp:posOffset>1944370</wp:posOffset>
                </wp:positionH>
                <wp:positionV relativeFrom="paragraph">
                  <wp:posOffset>304165</wp:posOffset>
                </wp:positionV>
                <wp:extent cx="1799590" cy="647700"/>
                <wp:effectExtent l="0" t="0" r="10160" b="19050"/>
                <wp:wrapNone/>
                <wp:docPr id="121" name="Rounded 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647700"/>
                        </a:xfrm>
                        <a:prstGeom prst="roundRect">
                          <a:avLst/>
                        </a:prstGeom>
                        <a:ln>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rsidR="00371B10" w:rsidRPr="00C773C4" w:rsidRDefault="00371B10" w:rsidP="00147DCD">
                            <w:pPr>
                              <w:spacing w:before="0"/>
                              <w:ind w:left="0"/>
                              <w:jc w:val="center"/>
                              <w:rPr>
                                <w:rFonts w:cs="Arial"/>
                                <w:sz w:val="28"/>
                                <w:szCs w:val="28"/>
                              </w:rPr>
                            </w:pPr>
                            <w:r w:rsidRPr="00C773C4">
                              <w:rPr>
                                <w:rFonts w:cs="Arial"/>
                                <w:b/>
                                <w:sz w:val="28"/>
                                <w:szCs w:val="28"/>
                              </w:rPr>
                              <w:t>Histopathology</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649</w:t>
                            </w:r>
                            <w:r w:rsidRPr="00C773C4">
                              <w:rPr>
                                <w:rFonts w:cs="Arial"/>
                                <w:sz w:val="28"/>
                                <w:szCs w:val="28"/>
                              </w:rPr>
                              <w:t xml:space="preserve"> (9</w:t>
                            </w:r>
                            <w:r>
                              <w:rPr>
                                <w:rFonts w:cs="Arial"/>
                                <w:sz w:val="28"/>
                                <w:szCs w:val="28"/>
                              </w:rPr>
                              <w:t>9</w:t>
                            </w:r>
                            <w:r w:rsidRPr="00C773C4">
                              <w:rPr>
                                <w:rFonts w:cs="Arial"/>
                                <w:sz w:val="28"/>
                                <w:szCs w:val="28"/>
                              </w:rPr>
                              <w:t>.</w:t>
                            </w:r>
                            <w:r>
                              <w:rPr>
                                <w:rFonts w:cs="Arial"/>
                                <w:sz w:val="28"/>
                                <w:szCs w:val="28"/>
                              </w:rPr>
                              <w:t>7</w:t>
                            </w:r>
                            <w:r w:rsidRPr="00C773C4">
                              <w:rPr>
                                <w:rFonts w:cs="Arial"/>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630AF8" id="Rounded Rectangle 121" o:spid="_x0000_s1070" style="position:absolute;left:0;text-align:left;margin-left:153.1pt;margin-top:23.95pt;width:141.7pt;height:5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" fillcolor="white [3201]" strokecolor="gray [1629]"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Histopathology</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649</w:t>
                      </w:r>
                      <w:r w:rsidRPr="00C773C4">
                        <w:rPr>
                          <w:rFonts w:cs="Arial"/>
                          <w:sz w:val="28"/>
                          <w:szCs w:val="28"/>
                        </w:rPr>
                        <w:t xml:space="preserve"> (9</w:t>
                      </w:r>
                      <w:r>
                        <w:rPr>
                          <w:rFonts w:cs="Arial"/>
                          <w:sz w:val="28"/>
                          <w:szCs w:val="28"/>
                        </w:rPr>
                        <w:t>9</w:t>
                      </w:r>
                      <w:r w:rsidRPr="00C773C4">
                        <w:rPr>
                          <w:rFonts w:cs="Arial"/>
                          <w:sz w:val="28"/>
                          <w:szCs w:val="28"/>
                        </w:rPr>
                        <w:t>.</w:t>
                      </w:r>
                      <w:r>
                        <w:rPr>
                          <w:rFonts w:cs="Arial"/>
                          <w:sz w:val="28"/>
                          <w:szCs w:val="28"/>
                        </w:rPr>
                        <w:t>7</w:t>
                      </w:r>
                      <w:r w:rsidRPr="00C773C4">
                        <w:rPr>
                          <w:rFonts w:cs="Arial"/>
                          <w:sz w:val="28"/>
                          <w:szCs w:val="28"/>
                        </w:rPr>
                        <w:t>%)</w:t>
                      </w:r>
                    </w:p>
                  </w:txbxContent>
                </v:textbox>
              </v:roundrect>
            </w:pict>
          </mc:Fallback>
        </mc:AlternateContent>
      </w:r>
    </w:p>
    <w:p w:rsidR="00147DCD" w:rsidRDefault="00147DCD" w:rsidP="00147DCD">
      <w:pPr>
        <w:jc w:val="center"/>
        <w:rPr>
          <w:rFonts w:cs="Arial"/>
          <w:sz w:val="26"/>
          <w:szCs w:val="26"/>
          <w:lang w:val="en-US"/>
        </w:rPr>
      </w:pPr>
    </w:p>
    <w:p w:rsidR="00147DCD" w:rsidRDefault="00565301" w:rsidP="00147DCD">
      <w:pPr>
        <w:jc w:val="center"/>
        <w:rPr>
          <w:rFonts w:cs="Arial"/>
          <w:sz w:val="26"/>
          <w:szCs w:val="26"/>
          <w:lang w:val="en-US"/>
        </w:rPr>
      </w:pPr>
      <w:r>
        <w:rPr>
          <w:rFonts w:cs="Arial"/>
          <w:noProof/>
          <w:sz w:val="26"/>
          <w:szCs w:val="26"/>
          <w:lang w:eastAsia="en-NZ"/>
        </w:rPr>
        <mc:AlternateContent>
          <mc:Choice Requires="wps">
            <w:drawing>
              <wp:anchor distT="0" distB="0" distL="114300" distR="114300" simplePos="0" relativeHeight="251734016" behindDoc="0" locked="0" layoutInCell="1" allowOverlap="1" wp14:anchorId="61A90A43">
                <wp:simplePos x="0" y="0"/>
                <wp:positionH relativeFrom="column">
                  <wp:posOffset>2838450</wp:posOffset>
                </wp:positionH>
                <wp:positionV relativeFrom="paragraph">
                  <wp:posOffset>269240</wp:posOffset>
                </wp:positionV>
                <wp:extent cx="1895475" cy="247650"/>
                <wp:effectExtent l="24765" t="20320" r="22860" b="46355"/>
                <wp:wrapNone/>
                <wp:docPr id="7"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247650"/>
                        </a:xfrm>
                        <a:prstGeom prst="straightConnector1">
                          <a:avLst/>
                        </a:prstGeom>
                        <a:noFill/>
                        <a:ln w="38100">
                          <a:solidFill>
                            <a:srgbClr val="00BABF"/>
                          </a:solidFill>
                          <a:prstDash val="sysDot"/>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44F18E" id="Straight Arrow Connector 122" o:spid="_x0000_s1026" type="#_x0000_t32" style="position:absolute;margin-left:223.5pt;margin-top:21.2pt;width:149.25pt;height:1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" strokecolor="#00babf" strokeweight="3pt">
                <v:stroke dashstyle="1 1"/>
                <v:shadow on="t" opacity="22936f" origin=",.5" offset="0,.63889mm"/>
              </v:shape>
            </w:pict>
          </mc:Fallback>
        </mc:AlternateContent>
      </w:r>
      <w:r>
        <w:rPr>
          <w:rFonts w:cs="Arial"/>
          <w:noProof/>
          <w:sz w:val="26"/>
          <w:szCs w:val="26"/>
          <w:lang w:eastAsia="en-NZ"/>
        </w:rPr>
        <mc:AlternateContent>
          <mc:Choice Requires="wps">
            <w:drawing>
              <wp:anchor distT="0" distB="0" distL="114300" distR="114300" simplePos="0" relativeHeight="251729920" behindDoc="0" locked="0" layoutInCell="1" allowOverlap="1" wp14:anchorId="49DE52CB">
                <wp:simplePos x="0" y="0"/>
                <wp:positionH relativeFrom="column">
                  <wp:posOffset>971550</wp:posOffset>
                </wp:positionH>
                <wp:positionV relativeFrom="paragraph">
                  <wp:posOffset>269240</wp:posOffset>
                </wp:positionV>
                <wp:extent cx="1866900" cy="247650"/>
                <wp:effectExtent l="24765" t="20320" r="22860" b="46355"/>
                <wp:wrapNone/>
                <wp:docPr id="5"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6900" cy="247650"/>
                        </a:xfrm>
                        <a:prstGeom prst="straightConnector1">
                          <a:avLst/>
                        </a:prstGeom>
                        <a:noFill/>
                        <a:ln w="38100">
                          <a:solidFill>
                            <a:srgbClr val="00BABF"/>
                          </a:solidFill>
                          <a:prstDash val="sysDot"/>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D1C390" id="Straight Arrow Connector 123" o:spid="_x0000_s1026" type="#_x0000_t32" style="position:absolute;margin-left:76.5pt;margin-top:21.2pt;width:147pt;height:19.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" strokecolor="#00babf" strokeweight="3pt">
                <v:stroke dashstyle="1 1"/>
                <v:shadow on="t" opacity="22936f" origin=",.5" offset="0,.63889mm"/>
              </v:shape>
            </w:pict>
          </mc:Fallback>
        </mc:AlternateContent>
      </w:r>
      <w:r>
        <w:rPr>
          <w:rFonts w:cs="Arial"/>
          <w:noProof/>
          <w:sz w:val="26"/>
          <w:szCs w:val="26"/>
          <w:lang w:eastAsia="en-NZ"/>
        </w:rPr>
        <mc:AlternateContent>
          <mc:Choice Requires="wps">
            <w:drawing>
              <wp:anchor distT="0" distB="0" distL="114300" distR="114300" simplePos="0" relativeHeight="251732992" behindDoc="0" locked="0" layoutInCell="1" allowOverlap="1" wp14:anchorId="385F6613">
                <wp:simplePos x="0" y="0"/>
                <wp:positionH relativeFrom="column">
                  <wp:posOffset>2838450</wp:posOffset>
                </wp:positionH>
                <wp:positionV relativeFrom="paragraph">
                  <wp:posOffset>250190</wp:posOffset>
                </wp:positionV>
                <wp:extent cx="0" cy="247650"/>
                <wp:effectExtent l="24765" t="20320" r="22860" b="46355"/>
                <wp:wrapNone/>
                <wp:docPr id="2"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38100">
                          <a:solidFill>
                            <a:srgbClr val="00BABF"/>
                          </a:solidFill>
                          <a:prstDash val="sysDot"/>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1B8FB5C4" id="Straight Arrow Connector 124" o:spid="_x0000_s1026" type="#_x0000_t32" style="position:absolute;margin-left:223.5pt;margin-top:19.7pt;width:0;height:1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" strokecolor="#00babf" strokeweight="3pt">
                <v:stroke dashstyle="1 1"/>
                <v:shadow on="t" opacity="22936f" origin=",.5" offset="0,.63889mm"/>
              </v:shape>
            </w:pict>
          </mc:Fallback>
        </mc:AlternateContent>
      </w:r>
    </w:p>
    <w:p w:rsidR="00147DCD" w:rsidRDefault="00565301" w:rsidP="00147DCD">
      <w:pPr>
        <w:jc w:val="center"/>
        <w:rPr>
          <w:rFonts w:cs="Arial"/>
          <w:sz w:val="26"/>
          <w:szCs w:val="26"/>
          <w:lang w:val="en-US"/>
        </w:rPr>
      </w:pPr>
      <w:r>
        <w:rPr>
          <w:rFonts w:cs="Arial"/>
          <w:noProof/>
          <w:sz w:val="26"/>
          <w:szCs w:val="26"/>
          <w:lang w:eastAsia="en-NZ"/>
        </w:rPr>
        <mc:AlternateContent>
          <mc:Choice Requires="wps">
            <w:drawing>
              <wp:anchor distT="0" distB="0" distL="114300" distR="114300" simplePos="0" relativeHeight="251751424" behindDoc="0" locked="0" layoutInCell="1" allowOverlap="1" wp14:anchorId="2DD8C9DE">
                <wp:simplePos x="0" y="0"/>
                <wp:positionH relativeFrom="column">
                  <wp:posOffset>3810000</wp:posOffset>
                </wp:positionH>
                <wp:positionV relativeFrom="paragraph">
                  <wp:posOffset>160655</wp:posOffset>
                </wp:positionV>
                <wp:extent cx="1799590" cy="647700"/>
                <wp:effectExtent l="0" t="0" r="10160" b="19050"/>
                <wp:wrapNone/>
                <wp:docPr id="125" name="Rounded 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647700"/>
                        </a:xfrm>
                        <a:prstGeom prst="roundRect">
                          <a:avLst/>
                        </a:prstGeom>
                        <a:ln>
                          <a:solidFill>
                            <a:srgbClr val="7F7F7F"/>
                          </a:solidFill>
                        </a:ln>
                      </wps:spPr>
                      <wps:style>
                        <a:lnRef idx="2">
                          <a:schemeClr val="dk1"/>
                        </a:lnRef>
                        <a:fillRef idx="1">
                          <a:schemeClr val="lt1"/>
                        </a:fillRef>
                        <a:effectRef idx="0">
                          <a:schemeClr val="dk1"/>
                        </a:effectRef>
                        <a:fontRef idx="minor">
                          <a:schemeClr val="dk1"/>
                        </a:fontRef>
                      </wps:style>
                      <wps:txbx>
                        <w:txbxContent>
                          <w:p w:rsidR="00371B10" w:rsidRPr="00C773C4" w:rsidRDefault="00371B10" w:rsidP="00147DCD">
                            <w:pPr>
                              <w:spacing w:before="0"/>
                              <w:ind w:left="0"/>
                              <w:jc w:val="center"/>
                              <w:rPr>
                                <w:rFonts w:cs="Arial"/>
                                <w:sz w:val="28"/>
                                <w:szCs w:val="28"/>
                              </w:rPr>
                            </w:pPr>
                            <w:r>
                              <w:rPr>
                                <w:rFonts w:cs="Arial"/>
                                <w:b/>
                                <w:sz w:val="28"/>
                                <w:szCs w:val="28"/>
                              </w:rPr>
                              <w:t>Other</w:t>
                            </w:r>
                            <w:r w:rsidRPr="0087318E">
                              <w:rPr>
                                <w:rFonts w:cs="Arial"/>
                                <w:b/>
                                <w:sz w:val="28"/>
                                <w:szCs w:val="28"/>
                                <w:vertAlign w:val="superscript"/>
                              </w:rPr>
                              <w:t>‡</w:t>
                            </w:r>
                            <w:r>
                              <w:rPr>
                                <w:rFonts w:cs="Arial"/>
                                <w:b/>
                                <w:sz w:val="28"/>
                                <w:szCs w:val="28"/>
                                <w:vertAlign w:val="superscript"/>
                              </w:rPr>
                              <w:t>¹</w:t>
                            </w:r>
                            <w:r w:rsidRPr="00C773C4">
                              <w:rPr>
                                <w:rFonts w:cs="Arial"/>
                                <w:b/>
                                <w:sz w:val="28"/>
                                <w:szCs w:val="28"/>
                              </w:rPr>
                              <w:br/>
                            </w:r>
                            <w:r w:rsidRPr="00C773C4">
                              <w:rPr>
                                <w:rFonts w:cs="Arial"/>
                                <w:sz w:val="28"/>
                                <w:szCs w:val="28"/>
                              </w:rPr>
                              <w:t xml:space="preserve">n = </w:t>
                            </w:r>
                            <w:r>
                              <w:rPr>
                                <w:rFonts w:cs="Arial"/>
                                <w:sz w:val="28"/>
                                <w:szCs w:val="28"/>
                              </w:rPr>
                              <w:t>234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8C9DE" id="Rounded Rectangle 125" o:spid="_x0000_s1071" style="position:absolute;left:0;text-align:left;margin-left:300pt;margin-top:12.65pt;width:141.7pt;height:5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" fillcolor="white [3201]" strokecolor="#7f7f7f" strokeweight="2pt">
                <v:path arrowok="t"/>
                <v:textbox inset="0,0,0,0">
                  <w:txbxContent>
                    <w:p w:rsidR="00371B10" w:rsidRPr="00C773C4" w:rsidRDefault="00371B10" w:rsidP="00147DCD">
                      <w:pPr>
                        <w:spacing w:before="0"/>
                        <w:ind w:left="0"/>
                        <w:jc w:val="center"/>
                        <w:rPr>
                          <w:rFonts w:cs="Arial"/>
                          <w:sz w:val="28"/>
                          <w:szCs w:val="28"/>
                        </w:rPr>
                      </w:pPr>
                      <w:r>
                        <w:rPr>
                          <w:rFonts w:cs="Arial"/>
                          <w:b/>
                          <w:sz w:val="28"/>
                          <w:szCs w:val="28"/>
                        </w:rPr>
                        <w:t>Other</w:t>
                      </w:r>
                      <w:r w:rsidRPr="0087318E">
                        <w:rPr>
                          <w:rFonts w:cs="Arial"/>
                          <w:b/>
                          <w:sz w:val="28"/>
                          <w:szCs w:val="28"/>
                          <w:vertAlign w:val="superscript"/>
                        </w:rPr>
                        <w:t>‡</w:t>
                      </w:r>
                      <w:r>
                        <w:rPr>
                          <w:rFonts w:cs="Arial"/>
                          <w:b/>
                          <w:sz w:val="28"/>
                          <w:szCs w:val="28"/>
                          <w:vertAlign w:val="superscript"/>
                        </w:rPr>
                        <w:t>¹</w:t>
                      </w:r>
                      <w:r w:rsidRPr="00C773C4">
                        <w:rPr>
                          <w:rFonts w:cs="Arial"/>
                          <w:b/>
                          <w:sz w:val="28"/>
                          <w:szCs w:val="28"/>
                        </w:rPr>
                        <w:br/>
                      </w:r>
                      <w:r w:rsidRPr="00C773C4">
                        <w:rPr>
                          <w:rFonts w:cs="Arial"/>
                          <w:sz w:val="28"/>
                          <w:szCs w:val="28"/>
                        </w:rPr>
                        <w:t xml:space="preserve">n = </w:t>
                      </w:r>
                      <w:r>
                        <w:rPr>
                          <w:rFonts w:cs="Arial"/>
                          <w:sz w:val="28"/>
                          <w:szCs w:val="28"/>
                        </w:rPr>
                        <w:t>234</w:t>
                      </w:r>
                    </w:p>
                  </w:txbxContent>
                </v:textbox>
              </v:roundrect>
            </w:pict>
          </mc:Fallback>
        </mc:AlternateContent>
      </w:r>
      <w:r>
        <w:rPr>
          <w:rFonts w:cs="Arial"/>
          <w:noProof/>
          <w:sz w:val="26"/>
          <w:szCs w:val="26"/>
          <w:lang w:eastAsia="en-NZ"/>
        </w:rPr>
        <mc:AlternateContent>
          <mc:Choice Requires="wps">
            <w:drawing>
              <wp:anchor distT="0" distB="0" distL="114300" distR="114300" simplePos="0" relativeHeight="251745280" behindDoc="0" locked="0" layoutInCell="1" allowOverlap="1" wp14:anchorId="5974CC07">
                <wp:simplePos x="0" y="0"/>
                <wp:positionH relativeFrom="column">
                  <wp:posOffset>1944370</wp:posOffset>
                </wp:positionH>
                <wp:positionV relativeFrom="paragraph">
                  <wp:posOffset>161290</wp:posOffset>
                </wp:positionV>
                <wp:extent cx="1800225" cy="647700"/>
                <wp:effectExtent l="0" t="0" r="28575" b="19050"/>
                <wp:wrapNone/>
                <wp:docPr id="126" name="Rounded 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6477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371B10" w:rsidRPr="00C773C4" w:rsidRDefault="00371B10" w:rsidP="00147DCD">
                            <w:pPr>
                              <w:spacing w:before="0"/>
                              <w:ind w:left="0"/>
                              <w:jc w:val="center"/>
                              <w:rPr>
                                <w:rFonts w:cs="Arial"/>
                                <w:sz w:val="28"/>
                                <w:szCs w:val="28"/>
                              </w:rPr>
                            </w:pPr>
                            <w:r w:rsidRPr="00C773C4">
                              <w:rPr>
                                <w:rFonts w:cs="Arial"/>
                                <w:b/>
                                <w:sz w:val="28"/>
                                <w:szCs w:val="28"/>
                              </w:rPr>
                              <w:t>Adenoma</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463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74CC07" id="Rounded Rectangle 126" o:spid="_x0000_s1072" style="position:absolute;left:0;text-align:left;margin-left:153.1pt;margin-top:12.7pt;width:141.75pt;height:5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" fillcolor="black [3200]" strokecolor="black [1600]"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Adenoma</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463</w:t>
                      </w:r>
                    </w:p>
                  </w:txbxContent>
                </v:textbox>
              </v:roundrect>
            </w:pict>
          </mc:Fallback>
        </mc:AlternateContent>
      </w:r>
      <w:r>
        <w:rPr>
          <w:rFonts w:cs="Arial"/>
          <w:noProof/>
          <w:sz w:val="26"/>
          <w:szCs w:val="26"/>
          <w:lang w:eastAsia="en-NZ"/>
        </w:rPr>
        <mc:AlternateContent>
          <mc:Choice Requires="wps">
            <w:drawing>
              <wp:anchor distT="0" distB="0" distL="114300" distR="114300" simplePos="0" relativeHeight="251744256" behindDoc="0" locked="0" layoutInCell="1" allowOverlap="1" wp14:anchorId="74641E10">
                <wp:simplePos x="0" y="0"/>
                <wp:positionH relativeFrom="column">
                  <wp:posOffset>76835</wp:posOffset>
                </wp:positionH>
                <wp:positionV relativeFrom="paragraph">
                  <wp:posOffset>161290</wp:posOffset>
                </wp:positionV>
                <wp:extent cx="1799590" cy="647700"/>
                <wp:effectExtent l="0" t="0" r="10160" b="19050"/>
                <wp:wrapNone/>
                <wp:docPr id="127" name="Rounded 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6477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371B10" w:rsidRPr="00C773C4" w:rsidRDefault="00371B10" w:rsidP="00147DCD">
                            <w:pPr>
                              <w:spacing w:before="0"/>
                              <w:ind w:left="0"/>
                              <w:jc w:val="center"/>
                              <w:rPr>
                                <w:rFonts w:cs="Arial"/>
                                <w:sz w:val="28"/>
                                <w:szCs w:val="28"/>
                              </w:rPr>
                            </w:pPr>
                            <w:r w:rsidRPr="00C773C4">
                              <w:rPr>
                                <w:rFonts w:cs="Arial"/>
                                <w:b/>
                                <w:sz w:val="28"/>
                                <w:szCs w:val="28"/>
                              </w:rPr>
                              <w:t>Cancer</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27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641E10" id="Rounded Rectangle 127" o:spid="_x0000_s1073" style="position:absolute;left:0;text-align:left;margin-left:6.05pt;margin-top:12.7pt;width:141.7pt;height:5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" fillcolor="black [3200]" strokecolor="black [1600]"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Cancer</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27</w:t>
                      </w:r>
                    </w:p>
                  </w:txbxContent>
                </v:textbox>
              </v:roundrect>
            </w:pict>
          </mc:Fallback>
        </mc:AlternateContent>
      </w:r>
    </w:p>
    <w:p w:rsidR="00147DCD" w:rsidRDefault="00147DCD" w:rsidP="00147DCD">
      <w:pPr>
        <w:jc w:val="center"/>
        <w:rPr>
          <w:rFonts w:cs="Arial"/>
          <w:sz w:val="26"/>
          <w:szCs w:val="26"/>
          <w:lang w:val="en-US"/>
        </w:rPr>
      </w:pPr>
    </w:p>
    <w:p w:rsidR="00147DCD" w:rsidRDefault="00147DCD" w:rsidP="00147DCD">
      <w:pPr>
        <w:jc w:val="center"/>
        <w:rPr>
          <w:rFonts w:cs="Arial"/>
          <w:sz w:val="26"/>
          <w:szCs w:val="26"/>
          <w:lang w:val="en-US"/>
        </w:rPr>
      </w:pPr>
      <w:r>
        <w:rPr>
          <w:rStyle w:val="FootnoteReference"/>
          <w:rFonts w:cs="Arial"/>
          <w:sz w:val="26"/>
          <w:szCs w:val="26"/>
          <w:lang w:val="en-US"/>
        </w:rPr>
        <w:footnoteReference w:id="34"/>
      </w:r>
      <w:r w:rsidR="00565301">
        <w:rPr>
          <w:rFonts w:cs="Arial"/>
          <w:noProof/>
          <w:sz w:val="26"/>
          <w:szCs w:val="26"/>
          <w:lang w:eastAsia="en-NZ"/>
        </w:rPr>
        <mc:AlternateContent>
          <mc:Choice Requires="wps">
            <w:drawing>
              <wp:anchor distT="0" distB="0" distL="114300" distR="114300" simplePos="0" relativeHeight="251748352" behindDoc="0" locked="0" layoutInCell="1" allowOverlap="1" wp14:anchorId="70AEE7C1">
                <wp:simplePos x="0" y="0"/>
                <wp:positionH relativeFrom="column">
                  <wp:posOffset>2199640</wp:posOffset>
                </wp:positionH>
                <wp:positionV relativeFrom="paragraph">
                  <wp:posOffset>142875</wp:posOffset>
                </wp:positionV>
                <wp:extent cx="1284605" cy="359410"/>
                <wp:effectExtent l="0" t="0" r="10795" b="2159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4605" cy="359410"/>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rsidR="00371B10" w:rsidRPr="009E7BC5" w:rsidRDefault="00371B10" w:rsidP="00147DCD">
                            <w:pPr>
                              <w:spacing w:before="0"/>
                              <w:ind w:left="0"/>
                              <w:jc w:val="center"/>
                              <w:rPr>
                                <w:rFonts w:cs="Arial"/>
                                <w:b/>
                              </w:rPr>
                            </w:pPr>
                            <w:r w:rsidRPr="009E7BC5">
                              <w:rPr>
                                <w:rFonts w:cs="Arial"/>
                                <w:b/>
                              </w:rPr>
                              <w:t>DR</w:t>
                            </w:r>
                            <w:r w:rsidRPr="00A5266E">
                              <w:rPr>
                                <w:rFonts w:cs="Arial"/>
                              </w:rPr>
                              <w:t>=</w:t>
                            </w:r>
                            <w:r>
                              <w:rPr>
                                <w:rFonts w:cs="Arial"/>
                              </w:rPr>
                              <w:t>22</w:t>
                            </w:r>
                            <w:r w:rsidRPr="00A5266E">
                              <w:rPr>
                                <w:rFonts w:cs="Arial"/>
                              </w:rPr>
                              <w:t>.</w:t>
                            </w:r>
                            <w:r>
                              <w:rPr>
                                <w:rFonts w:cs="Arial"/>
                              </w:rPr>
                              <w:t xml:space="preserve">9 per </w:t>
                            </w:r>
                            <w:r w:rsidRPr="00A5266E">
                              <w:rPr>
                                <w:rFonts w:cs="Arial"/>
                              </w:rPr>
                              <w:t>1</w:t>
                            </w:r>
                            <w:r>
                              <w:rPr>
                                <w:rFonts w:cs="Arial"/>
                              </w:rPr>
                              <w:t>,</w:t>
                            </w:r>
                            <w:r w:rsidRPr="00A5266E">
                              <w:rPr>
                                <w:rFonts w:cs="Arial"/>
                              </w:rPr>
                              <w:t>000</w:t>
                            </w:r>
                            <w:r w:rsidRPr="00A5266E">
                              <w:rPr>
                                <w:rFonts w:cs="Arial"/>
                              </w:rPr>
                              <w:br/>
                            </w:r>
                            <w:r w:rsidRPr="009E7BC5">
                              <w:rPr>
                                <w:rFonts w:cs="Arial"/>
                                <w:b/>
                              </w:rPr>
                              <w:t>PPV</w:t>
                            </w:r>
                            <w:r w:rsidRPr="00A5266E">
                              <w:rPr>
                                <w:rFonts w:cs="Arial"/>
                              </w:rPr>
                              <w:t>=</w:t>
                            </w:r>
                            <w:r>
                              <w:rPr>
                                <w:rFonts w:cs="Arial"/>
                              </w:rPr>
                              <w:t>42</w:t>
                            </w:r>
                            <w:r w:rsidRPr="00A5266E">
                              <w:rPr>
                                <w:rFonts w:cs="Arial"/>
                              </w:rPr>
                              <w:t>.</w:t>
                            </w:r>
                            <w:r>
                              <w:rPr>
                                <w:rFonts w:cs="Arial"/>
                              </w:rPr>
                              <w:t>3</w:t>
                            </w:r>
                            <w:r w:rsidRPr="00A5266E">
                              <w:rPr>
                                <w:rFonts w:cs="Aria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EE7C1" id="Text Box 128" o:spid="_x0000_s1074" type="#_x0000_t202" style="position:absolute;left:0;text-align:left;margin-left:173.2pt;margin-top:11.25pt;width:101.15pt;height:28.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" fillcolor="white [3201]" strokecolor="black [3213]" strokeweight="2pt">
                <v:path arrowok="t"/>
                <v:textbox inset="0,0,0,0">
                  <w:txbxContent>
                    <w:p w:rsidR="00371B10" w:rsidRPr="009E7BC5" w:rsidRDefault="00371B10" w:rsidP="00147DCD">
                      <w:pPr>
                        <w:spacing w:before="0"/>
                        <w:ind w:left="0"/>
                        <w:jc w:val="center"/>
                        <w:rPr>
                          <w:rFonts w:cs="Arial"/>
                          <w:b/>
                        </w:rPr>
                      </w:pPr>
                      <w:r w:rsidRPr="009E7BC5">
                        <w:rPr>
                          <w:rFonts w:cs="Arial"/>
                          <w:b/>
                        </w:rPr>
                        <w:t>DR</w:t>
                      </w:r>
                      <w:r w:rsidRPr="00A5266E">
                        <w:rPr>
                          <w:rFonts w:cs="Arial"/>
                        </w:rPr>
                        <w:t>=</w:t>
                      </w:r>
                      <w:r>
                        <w:rPr>
                          <w:rFonts w:cs="Arial"/>
                        </w:rPr>
                        <w:t>22</w:t>
                      </w:r>
                      <w:r w:rsidRPr="00A5266E">
                        <w:rPr>
                          <w:rFonts w:cs="Arial"/>
                        </w:rPr>
                        <w:t>.</w:t>
                      </w:r>
                      <w:r>
                        <w:rPr>
                          <w:rFonts w:cs="Arial"/>
                        </w:rPr>
                        <w:t xml:space="preserve">9 per </w:t>
                      </w:r>
                      <w:r w:rsidRPr="00A5266E">
                        <w:rPr>
                          <w:rFonts w:cs="Arial"/>
                        </w:rPr>
                        <w:t>1</w:t>
                      </w:r>
                      <w:r>
                        <w:rPr>
                          <w:rFonts w:cs="Arial"/>
                        </w:rPr>
                        <w:t>,</w:t>
                      </w:r>
                      <w:r w:rsidRPr="00A5266E">
                        <w:rPr>
                          <w:rFonts w:cs="Arial"/>
                        </w:rPr>
                        <w:t>000</w:t>
                      </w:r>
                      <w:r w:rsidRPr="00A5266E">
                        <w:rPr>
                          <w:rFonts w:cs="Arial"/>
                        </w:rPr>
                        <w:br/>
                      </w:r>
                      <w:r w:rsidRPr="009E7BC5">
                        <w:rPr>
                          <w:rFonts w:cs="Arial"/>
                          <w:b/>
                        </w:rPr>
                        <w:t>PPV</w:t>
                      </w:r>
                      <w:r w:rsidRPr="00A5266E">
                        <w:rPr>
                          <w:rFonts w:cs="Arial"/>
                        </w:rPr>
                        <w:t>=</w:t>
                      </w:r>
                      <w:r>
                        <w:rPr>
                          <w:rFonts w:cs="Arial"/>
                        </w:rPr>
                        <w:t>42</w:t>
                      </w:r>
                      <w:r w:rsidRPr="00A5266E">
                        <w:rPr>
                          <w:rFonts w:cs="Arial"/>
                        </w:rPr>
                        <w:t>.</w:t>
                      </w:r>
                      <w:r>
                        <w:rPr>
                          <w:rFonts w:cs="Arial"/>
                        </w:rPr>
                        <w:t>3</w:t>
                      </w:r>
                      <w:r w:rsidRPr="00A5266E">
                        <w:rPr>
                          <w:rFonts w:cs="Arial"/>
                        </w:rPr>
                        <w:t>%</w:t>
                      </w:r>
                    </w:p>
                  </w:txbxContent>
                </v:textbox>
              </v:shape>
            </w:pict>
          </mc:Fallback>
        </mc:AlternateContent>
      </w:r>
      <w:r w:rsidR="00565301">
        <w:rPr>
          <w:rFonts w:cs="Arial"/>
          <w:noProof/>
          <w:sz w:val="26"/>
          <w:szCs w:val="26"/>
          <w:lang w:eastAsia="en-NZ"/>
        </w:rPr>
        <mc:AlternateContent>
          <mc:Choice Requires="wps">
            <w:drawing>
              <wp:anchor distT="0" distB="0" distL="114300" distR="114300" simplePos="0" relativeHeight="251747328" behindDoc="0" locked="0" layoutInCell="1" allowOverlap="1" wp14:anchorId="25E4124D">
                <wp:simplePos x="0" y="0"/>
                <wp:positionH relativeFrom="column">
                  <wp:posOffset>381635</wp:posOffset>
                </wp:positionH>
                <wp:positionV relativeFrom="paragraph">
                  <wp:posOffset>141605</wp:posOffset>
                </wp:positionV>
                <wp:extent cx="1187450" cy="359410"/>
                <wp:effectExtent l="0" t="0" r="12700" b="2159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7450" cy="359410"/>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rsidR="00371B10" w:rsidRPr="009E7BC5" w:rsidRDefault="00371B10" w:rsidP="00147DCD">
                            <w:pPr>
                              <w:spacing w:before="0"/>
                              <w:ind w:left="0"/>
                              <w:jc w:val="center"/>
                              <w:rPr>
                                <w:rFonts w:cs="Arial"/>
                                <w:b/>
                              </w:rPr>
                            </w:pPr>
                            <w:r w:rsidRPr="009E7BC5">
                              <w:rPr>
                                <w:rFonts w:cs="Arial"/>
                                <w:b/>
                              </w:rPr>
                              <w:t>DR</w:t>
                            </w:r>
                            <w:r w:rsidRPr="00A5266E">
                              <w:rPr>
                                <w:rFonts w:cs="Arial"/>
                              </w:rPr>
                              <w:t>=</w:t>
                            </w:r>
                            <w:r>
                              <w:rPr>
                                <w:rFonts w:cs="Arial"/>
                              </w:rPr>
                              <w:t>1</w:t>
                            </w:r>
                            <w:r w:rsidRPr="00A5266E">
                              <w:rPr>
                                <w:rFonts w:cs="Arial"/>
                              </w:rPr>
                              <w:t>.</w:t>
                            </w:r>
                            <w:r>
                              <w:rPr>
                                <w:rFonts w:cs="Arial"/>
                              </w:rPr>
                              <w:t xml:space="preserve">3 per </w:t>
                            </w:r>
                            <w:r w:rsidRPr="00A5266E">
                              <w:rPr>
                                <w:rFonts w:cs="Arial"/>
                              </w:rPr>
                              <w:t>1</w:t>
                            </w:r>
                            <w:r>
                              <w:rPr>
                                <w:rFonts w:cs="Arial"/>
                              </w:rPr>
                              <w:t>,</w:t>
                            </w:r>
                            <w:r w:rsidRPr="00A5266E">
                              <w:rPr>
                                <w:rFonts w:cs="Arial"/>
                              </w:rPr>
                              <w:t>000</w:t>
                            </w:r>
                            <w:r w:rsidRPr="009E7BC5">
                              <w:rPr>
                                <w:rFonts w:cs="Arial"/>
                                <w:b/>
                              </w:rPr>
                              <w:br/>
                              <w:t>PPV</w:t>
                            </w:r>
                            <w:r w:rsidRPr="00A5266E">
                              <w:rPr>
                                <w:rFonts w:cs="Arial"/>
                              </w:rPr>
                              <w:t>=</w:t>
                            </w:r>
                            <w:r>
                              <w:rPr>
                                <w:rFonts w:cs="Arial"/>
                              </w:rPr>
                              <w:t>2</w:t>
                            </w:r>
                            <w:r w:rsidRPr="00A5266E">
                              <w:rPr>
                                <w:rFonts w:cs="Arial"/>
                              </w:rPr>
                              <w:t>.</w:t>
                            </w:r>
                            <w:r>
                              <w:rPr>
                                <w:rFonts w:cs="Arial"/>
                              </w:rPr>
                              <w:t>5</w:t>
                            </w:r>
                            <w:r w:rsidRPr="00A5266E">
                              <w:rPr>
                                <w:rFonts w:cs="Aria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4124D" id="Text Box 129" o:spid="_x0000_s1075" type="#_x0000_t202" style="position:absolute;left:0;text-align:left;margin-left:30.05pt;margin-top:11.15pt;width:93.5pt;height:28.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" fillcolor="white [3201]" strokecolor="black [3213]" strokeweight="2pt">
                <v:path arrowok="t"/>
                <v:textbox inset="0,0,0,0">
                  <w:txbxContent>
                    <w:p w:rsidR="00371B10" w:rsidRPr="009E7BC5" w:rsidRDefault="00371B10" w:rsidP="00147DCD">
                      <w:pPr>
                        <w:spacing w:before="0"/>
                        <w:ind w:left="0"/>
                        <w:jc w:val="center"/>
                        <w:rPr>
                          <w:rFonts w:cs="Arial"/>
                          <w:b/>
                        </w:rPr>
                      </w:pPr>
                      <w:r w:rsidRPr="009E7BC5">
                        <w:rPr>
                          <w:rFonts w:cs="Arial"/>
                          <w:b/>
                        </w:rPr>
                        <w:t>DR</w:t>
                      </w:r>
                      <w:r w:rsidRPr="00A5266E">
                        <w:rPr>
                          <w:rFonts w:cs="Arial"/>
                        </w:rPr>
                        <w:t>=</w:t>
                      </w:r>
                      <w:r>
                        <w:rPr>
                          <w:rFonts w:cs="Arial"/>
                        </w:rPr>
                        <w:t>1</w:t>
                      </w:r>
                      <w:r w:rsidRPr="00A5266E">
                        <w:rPr>
                          <w:rFonts w:cs="Arial"/>
                        </w:rPr>
                        <w:t>.</w:t>
                      </w:r>
                      <w:r>
                        <w:rPr>
                          <w:rFonts w:cs="Arial"/>
                        </w:rPr>
                        <w:t xml:space="preserve">3 per </w:t>
                      </w:r>
                      <w:r w:rsidRPr="00A5266E">
                        <w:rPr>
                          <w:rFonts w:cs="Arial"/>
                        </w:rPr>
                        <w:t>1</w:t>
                      </w:r>
                      <w:r>
                        <w:rPr>
                          <w:rFonts w:cs="Arial"/>
                        </w:rPr>
                        <w:t>,</w:t>
                      </w:r>
                      <w:r w:rsidRPr="00A5266E">
                        <w:rPr>
                          <w:rFonts w:cs="Arial"/>
                        </w:rPr>
                        <w:t>000</w:t>
                      </w:r>
                      <w:r w:rsidRPr="009E7BC5">
                        <w:rPr>
                          <w:rFonts w:cs="Arial"/>
                          <w:b/>
                        </w:rPr>
                        <w:br/>
                        <w:t>PPV</w:t>
                      </w:r>
                      <w:r w:rsidRPr="00A5266E">
                        <w:rPr>
                          <w:rFonts w:cs="Arial"/>
                        </w:rPr>
                        <w:t>=</w:t>
                      </w:r>
                      <w:r>
                        <w:rPr>
                          <w:rFonts w:cs="Arial"/>
                        </w:rPr>
                        <w:t>2</w:t>
                      </w:r>
                      <w:r w:rsidRPr="00A5266E">
                        <w:rPr>
                          <w:rFonts w:cs="Arial"/>
                        </w:rPr>
                        <w:t>.</w:t>
                      </w:r>
                      <w:r>
                        <w:rPr>
                          <w:rFonts w:cs="Arial"/>
                        </w:rPr>
                        <w:t>5</w:t>
                      </w:r>
                      <w:r w:rsidRPr="00A5266E">
                        <w:rPr>
                          <w:rFonts w:cs="Arial"/>
                        </w:rPr>
                        <w:t>%</w:t>
                      </w:r>
                    </w:p>
                  </w:txbxContent>
                </v:textbox>
              </v:shape>
            </w:pict>
          </mc:Fallback>
        </mc:AlternateContent>
      </w:r>
    </w:p>
    <w:p w:rsidR="00147DCD" w:rsidRDefault="00565301" w:rsidP="00147DCD">
      <w:pPr>
        <w:jc w:val="center"/>
        <w:rPr>
          <w:rFonts w:cs="Arial"/>
          <w:sz w:val="26"/>
          <w:szCs w:val="26"/>
          <w:lang w:val="en-US"/>
        </w:rPr>
      </w:pPr>
      <w:r>
        <w:rPr>
          <w:rFonts w:cs="Arial"/>
          <w:noProof/>
          <w:sz w:val="26"/>
          <w:szCs w:val="26"/>
          <w:lang w:eastAsia="en-NZ"/>
        </w:rPr>
        <mc:AlternateContent>
          <mc:Choice Requires="wps">
            <w:drawing>
              <wp:anchor distT="0" distB="0" distL="114300" distR="114300" simplePos="0" relativeHeight="251746304" behindDoc="0" locked="0" layoutInCell="1" allowOverlap="1" wp14:anchorId="1CE6C3C0">
                <wp:simplePos x="0" y="0"/>
                <wp:positionH relativeFrom="column">
                  <wp:posOffset>1896745</wp:posOffset>
                </wp:positionH>
                <wp:positionV relativeFrom="paragraph">
                  <wp:posOffset>325120</wp:posOffset>
                </wp:positionV>
                <wp:extent cx="1871980" cy="647700"/>
                <wp:effectExtent l="0" t="0" r="13970" b="19050"/>
                <wp:wrapNone/>
                <wp:docPr id="130" name="Rounded 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980" cy="6477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371B10" w:rsidRPr="00C773C4" w:rsidRDefault="00371B10" w:rsidP="00147DCD">
                            <w:pPr>
                              <w:spacing w:before="0"/>
                              <w:ind w:left="0"/>
                              <w:jc w:val="center"/>
                              <w:rPr>
                                <w:rFonts w:cs="Arial"/>
                                <w:sz w:val="28"/>
                                <w:szCs w:val="28"/>
                              </w:rPr>
                            </w:pPr>
                            <w:r w:rsidRPr="00C773C4">
                              <w:rPr>
                                <w:rFonts w:cs="Arial"/>
                                <w:b/>
                                <w:sz w:val="28"/>
                                <w:szCs w:val="28"/>
                              </w:rPr>
                              <w:t>Advanced Adenoma</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142 (30.7%)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E6C3C0" id="Rounded Rectangle 130" o:spid="_x0000_s1076" style="position:absolute;left:0;text-align:left;margin-left:149.35pt;margin-top:25.6pt;width:147.4pt;height:5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" fillcolor="black [3200]" strokecolor="black [1600]" strokeweight="2pt">
                <v:path arrowok="t"/>
                <v:textbox inset="0,0,0,0">
                  <w:txbxContent>
                    <w:p w:rsidR="00371B10" w:rsidRPr="00C773C4" w:rsidRDefault="00371B10" w:rsidP="00147DCD">
                      <w:pPr>
                        <w:spacing w:before="0"/>
                        <w:ind w:left="0"/>
                        <w:jc w:val="center"/>
                        <w:rPr>
                          <w:rFonts w:cs="Arial"/>
                          <w:sz w:val="28"/>
                          <w:szCs w:val="28"/>
                        </w:rPr>
                      </w:pPr>
                      <w:r w:rsidRPr="00C773C4">
                        <w:rPr>
                          <w:rFonts w:cs="Arial"/>
                          <w:b/>
                          <w:sz w:val="28"/>
                          <w:szCs w:val="28"/>
                        </w:rPr>
                        <w:t>Advanced Adenoma</w:t>
                      </w:r>
                      <w:r w:rsidRPr="0087318E">
                        <w:rPr>
                          <w:rFonts w:cs="Arial"/>
                          <w:b/>
                          <w:sz w:val="28"/>
                          <w:szCs w:val="28"/>
                          <w:vertAlign w:val="superscript"/>
                        </w:rPr>
                        <w:t>‡</w:t>
                      </w:r>
                      <w:r w:rsidRPr="00C773C4">
                        <w:rPr>
                          <w:rFonts w:cs="Arial"/>
                          <w:b/>
                          <w:sz w:val="28"/>
                          <w:szCs w:val="28"/>
                        </w:rPr>
                        <w:br/>
                      </w:r>
                      <w:r w:rsidRPr="00C773C4">
                        <w:rPr>
                          <w:rFonts w:cs="Arial"/>
                          <w:sz w:val="28"/>
                          <w:szCs w:val="28"/>
                        </w:rPr>
                        <w:t xml:space="preserve">n = </w:t>
                      </w:r>
                      <w:r>
                        <w:rPr>
                          <w:rFonts w:cs="Arial"/>
                          <w:sz w:val="28"/>
                          <w:szCs w:val="28"/>
                        </w:rPr>
                        <w:t>142 (30.7%)</w:t>
                      </w:r>
                    </w:p>
                  </w:txbxContent>
                </v:textbox>
              </v:roundrect>
            </w:pict>
          </mc:Fallback>
        </mc:AlternateContent>
      </w:r>
      <w:r>
        <w:rPr>
          <w:rFonts w:cs="Arial"/>
          <w:noProof/>
          <w:sz w:val="26"/>
          <w:szCs w:val="26"/>
          <w:lang w:eastAsia="en-NZ"/>
        </w:rPr>
        <mc:AlternateContent>
          <mc:Choice Requires="wps">
            <w:drawing>
              <wp:anchor distT="0" distB="0" distL="114300" distR="114300" simplePos="0" relativeHeight="251735040" behindDoc="0" locked="0" layoutInCell="1" allowOverlap="1" wp14:anchorId="31394517">
                <wp:simplePos x="0" y="0"/>
                <wp:positionH relativeFrom="column">
                  <wp:posOffset>2833370</wp:posOffset>
                </wp:positionH>
                <wp:positionV relativeFrom="paragraph">
                  <wp:posOffset>158115</wp:posOffset>
                </wp:positionV>
                <wp:extent cx="0" cy="144145"/>
                <wp:effectExtent l="19685" t="20955" r="27940" b="44450"/>
                <wp:wrapNone/>
                <wp:docPr id="1"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38100">
                          <a:solidFill>
                            <a:srgbClr val="00BABF"/>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5CA59EAA" id="Straight Arrow Connector 131" o:spid="_x0000_s1026" type="#_x0000_t32" style="position:absolute;margin-left:223.1pt;margin-top:12.45pt;width:0;height:1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" strokecolor="#00babf" strokeweight="3pt">
                <v:shadow on="t" opacity="22936f" origin=",.5" offset="0,.63889mm"/>
              </v:shape>
            </w:pict>
          </mc:Fallback>
        </mc:AlternateContent>
      </w:r>
    </w:p>
    <w:p w:rsidR="00147DCD" w:rsidRDefault="00147DCD" w:rsidP="00147DCD">
      <w:pPr>
        <w:jc w:val="center"/>
        <w:rPr>
          <w:rFonts w:cs="Arial"/>
          <w:sz w:val="26"/>
          <w:szCs w:val="26"/>
          <w:lang w:val="en-US"/>
        </w:rPr>
      </w:pPr>
    </w:p>
    <w:p w:rsidR="00147DCD" w:rsidRDefault="00565301" w:rsidP="00147DCD">
      <w:pPr>
        <w:jc w:val="center"/>
        <w:rPr>
          <w:rFonts w:cs="Arial"/>
          <w:sz w:val="26"/>
          <w:szCs w:val="26"/>
          <w:lang w:val="en-US"/>
        </w:rPr>
      </w:pPr>
      <w:r>
        <w:rPr>
          <w:rFonts w:cs="Arial"/>
          <w:noProof/>
          <w:sz w:val="26"/>
          <w:szCs w:val="26"/>
          <w:lang w:eastAsia="en-NZ"/>
        </w:rPr>
        <mc:AlternateContent>
          <mc:Choice Requires="wps">
            <w:drawing>
              <wp:anchor distT="0" distB="0" distL="114300" distR="114300" simplePos="0" relativeHeight="251749376" behindDoc="0" locked="0" layoutInCell="1" allowOverlap="1" wp14:anchorId="0CC1DF0F">
                <wp:simplePos x="0" y="0"/>
                <wp:positionH relativeFrom="column">
                  <wp:posOffset>2199640</wp:posOffset>
                </wp:positionH>
                <wp:positionV relativeFrom="paragraph">
                  <wp:posOffset>302260</wp:posOffset>
                </wp:positionV>
                <wp:extent cx="1285240" cy="360045"/>
                <wp:effectExtent l="0" t="0" r="10160" b="20955"/>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240" cy="360045"/>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rsidR="00371B10" w:rsidRPr="00A5266E" w:rsidRDefault="00371B10" w:rsidP="00147DCD">
                            <w:pPr>
                              <w:spacing w:before="0"/>
                              <w:ind w:left="0"/>
                              <w:jc w:val="center"/>
                              <w:rPr>
                                <w:rFonts w:cs="Arial"/>
                              </w:rPr>
                            </w:pPr>
                            <w:r w:rsidRPr="009E7BC5">
                              <w:rPr>
                                <w:rFonts w:cs="Arial"/>
                                <w:b/>
                              </w:rPr>
                              <w:t>DR</w:t>
                            </w:r>
                            <w:r w:rsidRPr="00A5266E">
                              <w:rPr>
                                <w:rFonts w:cs="Arial"/>
                              </w:rPr>
                              <w:t>=</w:t>
                            </w:r>
                            <w:r>
                              <w:rPr>
                                <w:rFonts w:cs="Arial"/>
                              </w:rPr>
                              <w:t>7</w:t>
                            </w:r>
                            <w:r w:rsidRPr="00A5266E">
                              <w:rPr>
                                <w:rFonts w:cs="Arial"/>
                              </w:rPr>
                              <w:t>.</w:t>
                            </w:r>
                            <w:r>
                              <w:rPr>
                                <w:rFonts w:cs="Arial"/>
                              </w:rPr>
                              <w:t xml:space="preserve">0 per </w:t>
                            </w:r>
                            <w:r w:rsidRPr="00A5266E">
                              <w:rPr>
                                <w:rFonts w:cs="Arial"/>
                              </w:rPr>
                              <w:t>1</w:t>
                            </w:r>
                            <w:r>
                              <w:rPr>
                                <w:rFonts w:cs="Arial"/>
                              </w:rPr>
                              <w:t>,</w:t>
                            </w:r>
                            <w:r w:rsidRPr="00A5266E">
                              <w:rPr>
                                <w:rFonts w:cs="Arial"/>
                              </w:rPr>
                              <w:t>000</w:t>
                            </w:r>
                            <w:r w:rsidRPr="00A5266E">
                              <w:rPr>
                                <w:rFonts w:cs="Arial"/>
                              </w:rPr>
                              <w:br/>
                            </w:r>
                            <w:r w:rsidRPr="009E7BC5">
                              <w:rPr>
                                <w:rFonts w:cs="Arial"/>
                                <w:b/>
                              </w:rPr>
                              <w:t>PPV</w:t>
                            </w:r>
                            <w:r w:rsidRPr="00A5266E">
                              <w:rPr>
                                <w:rFonts w:cs="Arial"/>
                              </w:rPr>
                              <w:t>=</w:t>
                            </w:r>
                            <w:r>
                              <w:rPr>
                                <w:rFonts w:cs="Arial"/>
                              </w:rPr>
                              <w:t>13</w:t>
                            </w:r>
                            <w:r w:rsidRPr="00A5266E">
                              <w:rPr>
                                <w:rFonts w:cs="Arial"/>
                              </w:rPr>
                              <w:t>.</w:t>
                            </w:r>
                            <w:r>
                              <w:rPr>
                                <w:rFonts w:cs="Arial"/>
                              </w:rPr>
                              <w:t>0</w:t>
                            </w:r>
                            <w:r w:rsidRPr="00A5266E">
                              <w:rPr>
                                <w:rFonts w:cs="Aria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1DF0F" id="Text Box 132" o:spid="_x0000_s1077" type="#_x0000_t202" style="position:absolute;left:0;text-align:left;margin-left:173.2pt;margin-top:23.8pt;width:101.2pt;height:28.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" fillcolor="white [3201]" strokecolor="black [3213]" strokeweight="2pt">
                <v:path arrowok="t"/>
                <v:textbox inset="0,0,0,0">
                  <w:txbxContent>
                    <w:p w:rsidR="00371B10" w:rsidRPr="00A5266E" w:rsidRDefault="00371B10" w:rsidP="00147DCD">
                      <w:pPr>
                        <w:spacing w:before="0"/>
                        <w:ind w:left="0"/>
                        <w:jc w:val="center"/>
                        <w:rPr>
                          <w:rFonts w:cs="Arial"/>
                        </w:rPr>
                      </w:pPr>
                      <w:r w:rsidRPr="009E7BC5">
                        <w:rPr>
                          <w:rFonts w:cs="Arial"/>
                          <w:b/>
                        </w:rPr>
                        <w:t>DR</w:t>
                      </w:r>
                      <w:r w:rsidRPr="00A5266E">
                        <w:rPr>
                          <w:rFonts w:cs="Arial"/>
                        </w:rPr>
                        <w:t>=</w:t>
                      </w:r>
                      <w:r>
                        <w:rPr>
                          <w:rFonts w:cs="Arial"/>
                        </w:rPr>
                        <w:t>7</w:t>
                      </w:r>
                      <w:r w:rsidRPr="00A5266E">
                        <w:rPr>
                          <w:rFonts w:cs="Arial"/>
                        </w:rPr>
                        <w:t>.</w:t>
                      </w:r>
                      <w:r>
                        <w:rPr>
                          <w:rFonts w:cs="Arial"/>
                        </w:rPr>
                        <w:t xml:space="preserve">0 per </w:t>
                      </w:r>
                      <w:r w:rsidRPr="00A5266E">
                        <w:rPr>
                          <w:rFonts w:cs="Arial"/>
                        </w:rPr>
                        <w:t>1</w:t>
                      </w:r>
                      <w:r>
                        <w:rPr>
                          <w:rFonts w:cs="Arial"/>
                        </w:rPr>
                        <w:t>,</w:t>
                      </w:r>
                      <w:r w:rsidRPr="00A5266E">
                        <w:rPr>
                          <w:rFonts w:cs="Arial"/>
                        </w:rPr>
                        <w:t>000</w:t>
                      </w:r>
                      <w:r w:rsidRPr="00A5266E">
                        <w:rPr>
                          <w:rFonts w:cs="Arial"/>
                        </w:rPr>
                        <w:br/>
                      </w:r>
                      <w:r w:rsidRPr="009E7BC5">
                        <w:rPr>
                          <w:rFonts w:cs="Arial"/>
                          <w:b/>
                        </w:rPr>
                        <w:t>PPV</w:t>
                      </w:r>
                      <w:r w:rsidRPr="00A5266E">
                        <w:rPr>
                          <w:rFonts w:cs="Arial"/>
                        </w:rPr>
                        <w:t>=</w:t>
                      </w:r>
                      <w:r>
                        <w:rPr>
                          <w:rFonts w:cs="Arial"/>
                        </w:rPr>
                        <w:t>13</w:t>
                      </w:r>
                      <w:r w:rsidRPr="00A5266E">
                        <w:rPr>
                          <w:rFonts w:cs="Arial"/>
                        </w:rPr>
                        <w:t>.</w:t>
                      </w:r>
                      <w:r>
                        <w:rPr>
                          <w:rFonts w:cs="Arial"/>
                        </w:rPr>
                        <w:t>0</w:t>
                      </w:r>
                      <w:r w:rsidRPr="00A5266E">
                        <w:rPr>
                          <w:rFonts w:cs="Arial"/>
                        </w:rPr>
                        <w:t>%</w:t>
                      </w:r>
                    </w:p>
                  </w:txbxContent>
                </v:textbox>
              </v:shape>
            </w:pict>
          </mc:Fallback>
        </mc:AlternateContent>
      </w:r>
    </w:p>
    <w:p w:rsidR="00147DCD" w:rsidRDefault="00147DCD" w:rsidP="00147DCD">
      <w:pPr>
        <w:jc w:val="center"/>
        <w:rPr>
          <w:rFonts w:cs="Arial"/>
          <w:sz w:val="26"/>
          <w:szCs w:val="26"/>
          <w:lang w:val="en-US"/>
        </w:rPr>
      </w:pPr>
    </w:p>
    <w:p w:rsidR="006E7917" w:rsidRPr="00147DCD" w:rsidRDefault="00565301" w:rsidP="00147DCD">
      <w:pPr>
        <w:jc w:val="center"/>
        <w:rPr>
          <w:rFonts w:cs="Arial"/>
          <w:sz w:val="26"/>
          <w:szCs w:val="26"/>
          <w:lang w:val="en-US"/>
        </w:rPr>
      </w:pPr>
      <w:r>
        <w:rPr>
          <w:rFonts w:cs="Arial"/>
          <w:noProof/>
          <w:sz w:val="26"/>
          <w:szCs w:val="26"/>
          <w:lang w:eastAsia="en-NZ"/>
        </w:rPr>
        <mc:AlternateContent>
          <mc:Choice Requires="wps">
            <w:drawing>
              <wp:anchor distT="0" distB="0" distL="114300" distR="114300" simplePos="0" relativeHeight="251754496" behindDoc="0" locked="0" layoutInCell="1" allowOverlap="1" wp14:anchorId="6FF4CB9C">
                <wp:simplePos x="0" y="0"/>
                <wp:positionH relativeFrom="column">
                  <wp:posOffset>3962400</wp:posOffset>
                </wp:positionH>
                <wp:positionV relativeFrom="paragraph">
                  <wp:posOffset>97790</wp:posOffset>
                </wp:positionV>
                <wp:extent cx="1943735" cy="539750"/>
                <wp:effectExtent l="0" t="0" r="18415" b="1270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735" cy="539750"/>
                        </a:xfrm>
                        <a:prstGeom prst="rect">
                          <a:avLst/>
                        </a:prstGeom>
                        <a:ln w="19050">
                          <a:solidFill>
                            <a:srgbClr val="00BABF"/>
                          </a:solidFill>
                          <a:prstDash val="sysDash"/>
                        </a:ln>
                      </wps:spPr>
                      <wps:style>
                        <a:lnRef idx="2">
                          <a:schemeClr val="accent5"/>
                        </a:lnRef>
                        <a:fillRef idx="1">
                          <a:schemeClr val="lt1"/>
                        </a:fillRef>
                        <a:effectRef idx="0">
                          <a:schemeClr val="accent5"/>
                        </a:effectRef>
                        <a:fontRef idx="minor">
                          <a:schemeClr val="dk1"/>
                        </a:fontRef>
                      </wps:style>
                      <wps:txbx>
                        <w:txbxContent>
                          <w:p w:rsidR="00371B10" w:rsidRPr="002D40F9" w:rsidRDefault="00371B10" w:rsidP="00147DCD">
                            <w:pPr>
                              <w:tabs>
                                <w:tab w:val="left" w:pos="3402"/>
                              </w:tabs>
                              <w:spacing w:before="0"/>
                              <w:ind w:left="0"/>
                              <w:rPr>
                                <w:rFonts w:cs="Arial"/>
                                <w:sz w:val="18"/>
                                <w:szCs w:val="18"/>
                              </w:rPr>
                            </w:pPr>
                            <w:r w:rsidRPr="00966241">
                              <w:rPr>
                                <w:rFonts w:cs="Arial"/>
                                <w:sz w:val="18"/>
                                <w:szCs w:val="18"/>
                              </w:rPr>
                              <w:br/>
                            </w:r>
                            <w:r>
                              <w:rPr>
                                <w:rFonts w:cs="Arial"/>
                                <w:b/>
                                <w:sz w:val="20"/>
                                <w:szCs w:val="18"/>
                              </w:rPr>
                              <w:t>†</w:t>
                            </w:r>
                            <w:r w:rsidRPr="00775001">
                              <w:rPr>
                                <w:rFonts w:cs="Arial"/>
                                <w:b/>
                                <w:sz w:val="20"/>
                                <w:szCs w:val="18"/>
                              </w:rPr>
                              <w:t xml:space="preserve"> </w:t>
                            </w:r>
                            <w:r>
                              <w:rPr>
                                <w:rFonts w:cs="Arial"/>
                                <w:b/>
                                <w:sz w:val="20"/>
                                <w:szCs w:val="18"/>
                              </w:rPr>
                              <w:t>:</w:t>
                            </w:r>
                            <w:r w:rsidRPr="00775001">
                              <w:rPr>
                                <w:rFonts w:cs="Arial"/>
                                <w:b/>
                                <w:sz w:val="20"/>
                                <w:szCs w:val="18"/>
                              </w:rPr>
                              <w:t xml:space="preserve"> </w:t>
                            </w:r>
                            <w:r>
                              <w:rPr>
                                <w:rFonts w:cs="Arial"/>
                                <w:sz w:val="20"/>
                                <w:szCs w:val="18"/>
                              </w:rPr>
                              <w:t>WDHB</w:t>
                            </w:r>
                            <w:r w:rsidRPr="002D40F9">
                              <w:rPr>
                                <w:rFonts w:cs="Arial"/>
                                <w:sz w:val="20"/>
                                <w:szCs w:val="18"/>
                              </w:rPr>
                              <w:br/>
                            </w:r>
                            <w:r>
                              <w:rPr>
                                <w:rFonts w:cs="Arial"/>
                                <w:b/>
                                <w:sz w:val="20"/>
                                <w:szCs w:val="18"/>
                              </w:rPr>
                              <w:t xml:space="preserve">‡ : </w:t>
                            </w:r>
                            <w:r>
                              <w:rPr>
                                <w:rFonts w:cs="Arial"/>
                                <w:sz w:val="20"/>
                                <w:szCs w:val="18"/>
                              </w:rPr>
                              <w:t>WDHB and other</w:t>
                            </w:r>
                          </w:p>
                          <w:p w:rsidR="00371B10" w:rsidRPr="00966241" w:rsidRDefault="00371B10" w:rsidP="00147DCD">
                            <w:pPr>
                              <w:tabs>
                                <w:tab w:val="left" w:pos="3402"/>
                              </w:tabs>
                              <w:spacing w:before="0"/>
                              <w:ind w:left="0"/>
                              <w:rPr>
                                <w:rFonts w:cs="Arial"/>
                                <w:sz w:val="18"/>
                                <w:szCs w:val="18"/>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4CB9C" id="Text Box 133" o:spid="_x0000_s1078" type="#_x0000_t202" style="position:absolute;left:0;text-align:left;margin-left:312pt;margin-top:7.7pt;width:153.05pt;height:4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" fillcolor="white [3201]" strokecolor="#00babf" strokeweight="1.5pt">
                <v:stroke dashstyle="3 1"/>
                <v:path arrowok="t"/>
                <v:textbox inset="1mm,1mm,1mm,1mm">
                  <w:txbxContent>
                    <w:p w:rsidR="00371B10" w:rsidRPr="002D40F9" w:rsidRDefault="00371B10" w:rsidP="00147DCD">
                      <w:pPr>
                        <w:tabs>
                          <w:tab w:val="left" w:pos="3402"/>
                        </w:tabs>
                        <w:spacing w:before="0"/>
                        <w:ind w:left="0"/>
                        <w:rPr>
                          <w:rFonts w:cs="Arial"/>
                          <w:sz w:val="18"/>
                          <w:szCs w:val="18"/>
                        </w:rPr>
                      </w:pPr>
                      <w:r w:rsidRPr="00966241">
                        <w:rPr>
                          <w:rFonts w:cs="Arial"/>
                          <w:sz w:val="18"/>
                          <w:szCs w:val="18"/>
                        </w:rPr>
                        <w:br/>
                      </w:r>
                      <w:r>
                        <w:rPr>
                          <w:rFonts w:cs="Arial"/>
                          <w:b/>
                          <w:sz w:val="20"/>
                          <w:szCs w:val="18"/>
                        </w:rPr>
                        <w:t>†</w:t>
                      </w:r>
                      <w:r w:rsidRPr="00775001">
                        <w:rPr>
                          <w:rFonts w:cs="Arial"/>
                          <w:b/>
                          <w:sz w:val="20"/>
                          <w:szCs w:val="18"/>
                        </w:rPr>
                        <w:t xml:space="preserve"> </w:t>
                      </w:r>
                      <w:r>
                        <w:rPr>
                          <w:rFonts w:cs="Arial"/>
                          <w:b/>
                          <w:sz w:val="20"/>
                          <w:szCs w:val="18"/>
                        </w:rPr>
                        <w:t>:</w:t>
                      </w:r>
                      <w:r w:rsidRPr="00775001">
                        <w:rPr>
                          <w:rFonts w:cs="Arial"/>
                          <w:b/>
                          <w:sz w:val="20"/>
                          <w:szCs w:val="18"/>
                        </w:rPr>
                        <w:t xml:space="preserve"> </w:t>
                      </w:r>
                      <w:r>
                        <w:rPr>
                          <w:rFonts w:cs="Arial"/>
                          <w:sz w:val="20"/>
                          <w:szCs w:val="18"/>
                        </w:rPr>
                        <w:t>WDHB</w:t>
                      </w:r>
                      <w:r w:rsidRPr="002D40F9">
                        <w:rPr>
                          <w:rFonts w:cs="Arial"/>
                          <w:sz w:val="20"/>
                          <w:szCs w:val="18"/>
                        </w:rPr>
                        <w:br/>
                      </w:r>
                      <w:r>
                        <w:rPr>
                          <w:rFonts w:cs="Arial"/>
                          <w:b/>
                          <w:sz w:val="20"/>
                          <w:szCs w:val="18"/>
                        </w:rPr>
                        <w:t xml:space="preserve">‡ : </w:t>
                      </w:r>
                      <w:r>
                        <w:rPr>
                          <w:rFonts w:cs="Arial"/>
                          <w:sz w:val="20"/>
                          <w:szCs w:val="18"/>
                        </w:rPr>
                        <w:t>WDHB and other</w:t>
                      </w:r>
                    </w:p>
                    <w:p w:rsidR="00371B10" w:rsidRPr="00966241" w:rsidRDefault="00371B10" w:rsidP="00147DCD">
                      <w:pPr>
                        <w:tabs>
                          <w:tab w:val="left" w:pos="3402"/>
                        </w:tabs>
                        <w:spacing w:before="0"/>
                        <w:ind w:left="0"/>
                        <w:rPr>
                          <w:rFonts w:cs="Arial"/>
                          <w:sz w:val="18"/>
                          <w:szCs w:val="18"/>
                        </w:rPr>
                      </w:pPr>
                    </w:p>
                  </w:txbxContent>
                </v:textbox>
              </v:shape>
            </w:pict>
          </mc:Fallback>
        </mc:AlternateContent>
      </w:r>
      <w:r>
        <w:rPr>
          <w:rFonts w:cs="Arial"/>
          <w:noProof/>
          <w:sz w:val="26"/>
          <w:szCs w:val="26"/>
          <w:lang w:eastAsia="en-NZ"/>
        </w:rPr>
        <mc:AlternateContent>
          <mc:Choice Requires="wps">
            <w:drawing>
              <wp:anchor distT="0" distB="0" distL="114300" distR="114300" simplePos="0" relativeHeight="251750400" behindDoc="0" locked="0" layoutInCell="1" allowOverlap="1" wp14:anchorId="65045B8E">
                <wp:simplePos x="0" y="0"/>
                <wp:positionH relativeFrom="column">
                  <wp:posOffset>0</wp:posOffset>
                </wp:positionH>
                <wp:positionV relativeFrom="paragraph">
                  <wp:posOffset>104140</wp:posOffset>
                </wp:positionV>
                <wp:extent cx="3959860" cy="539750"/>
                <wp:effectExtent l="0" t="0" r="21590" b="1270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9860" cy="539750"/>
                        </a:xfrm>
                        <a:prstGeom prst="rect">
                          <a:avLst/>
                        </a:prstGeom>
                        <a:ln w="19050">
                          <a:solidFill>
                            <a:srgbClr val="00BABF"/>
                          </a:solidFill>
                          <a:prstDash val="sysDash"/>
                        </a:ln>
                      </wps:spPr>
                      <wps:style>
                        <a:lnRef idx="2">
                          <a:schemeClr val="accent5"/>
                        </a:lnRef>
                        <a:fillRef idx="1">
                          <a:schemeClr val="lt1"/>
                        </a:fillRef>
                        <a:effectRef idx="0">
                          <a:schemeClr val="accent5"/>
                        </a:effectRef>
                        <a:fontRef idx="minor">
                          <a:schemeClr val="dk1"/>
                        </a:fontRef>
                      </wps:style>
                      <wps:txbx>
                        <w:txbxContent>
                          <w:p w:rsidR="00371B10" w:rsidRPr="00966241" w:rsidRDefault="00371B10" w:rsidP="00147DCD">
                            <w:pPr>
                              <w:tabs>
                                <w:tab w:val="left" w:pos="3402"/>
                              </w:tabs>
                              <w:spacing w:before="0"/>
                              <w:ind w:left="0"/>
                              <w:rPr>
                                <w:rFonts w:cs="Arial"/>
                                <w:sz w:val="18"/>
                                <w:szCs w:val="18"/>
                              </w:rPr>
                            </w:pPr>
                            <w:r w:rsidRPr="00966241">
                              <w:rPr>
                                <w:rFonts w:cs="Arial"/>
                                <w:sz w:val="18"/>
                                <w:szCs w:val="18"/>
                                <w:u w:val="single"/>
                              </w:rPr>
                              <w:t>Key:</w:t>
                            </w:r>
                            <w:r w:rsidRPr="00966241">
                              <w:rPr>
                                <w:rFonts w:cs="Arial"/>
                                <w:sz w:val="18"/>
                                <w:szCs w:val="18"/>
                              </w:rPr>
                              <w:br/>
                            </w:r>
                            <w:r w:rsidRPr="00775001">
                              <w:rPr>
                                <w:rFonts w:cs="Arial"/>
                                <w:b/>
                                <w:sz w:val="20"/>
                                <w:szCs w:val="18"/>
                              </w:rPr>
                              <w:t>DR = Detection Rate</w:t>
                            </w:r>
                            <w:r>
                              <w:rPr>
                                <w:rFonts w:cs="Arial"/>
                                <w:b/>
                                <w:sz w:val="20"/>
                                <w:szCs w:val="18"/>
                              </w:rPr>
                              <w:t xml:space="preserve"> </w:t>
                            </w:r>
                            <w:r w:rsidRPr="00966241">
                              <w:rPr>
                                <w:rFonts w:cs="Arial"/>
                                <w:sz w:val="18"/>
                                <w:szCs w:val="18"/>
                              </w:rPr>
                              <w:t xml:space="preserve">= n / </w:t>
                            </w:r>
                            <w:r>
                              <w:rPr>
                                <w:rFonts w:cs="Arial"/>
                                <w:sz w:val="18"/>
                                <w:szCs w:val="18"/>
                              </w:rPr>
                              <w:t>Completed kit</w:t>
                            </w:r>
                            <w:r w:rsidRPr="00966241">
                              <w:rPr>
                                <w:rFonts w:cs="Arial"/>
                                <w:sz w:val="18"/>
                                <w:szCs w:val="18"/>
                              </w:rPr>
                              <w:t xml:space="preserve"> * 1</w:t>
                            </w:r>
                            <w:r>
                              <w:rPr>
                                <w:rFonts w:cs="Arial"/>
                                <w:sz w:val="18"/>
                                <w:szCs w:val="18"/>
                              </w:rPr>
                              <w:t>,</w:t>
                            </w:r>
                            <w:r w:rsidRPr="00966241">
                              <w:rPr>
                                <w:rFonts w:cs="Arial"/>
                                <w:sz w:val="18"/>
                                <w:szCs w:val="18"/>
                              </w:rPr>
                              <w:t>000</w:t>
                            </w:r>
                            <w:r>
                              <w:rPr>
                                <w:rFonts w:cs="Arial"/>
                                <w:b/>
                                <w:sz w:val="20"/>
                                <w:szCs w:val="18"/>
                              </w:rPr>
                              <w:br/>
                            </w:r>
                            <w:r w:rsidRPr="00775001">
                              <w:rPr>
                                <w:rFonts w:cs="Arial"/>
                                <w:b/>
                                <w:sz w:val="20"/>
                                <w:szCs w:val="18"/>
                              </w:rPr>
                              <w:t>PPV = Positive Predictive Value of iFOBT</w:t>
                            </w:r>
                            <w:r>
                              <w:rPr>
                                <w:rFonts w:cs="Arial"/>
                                <w:b/>
                                <w:sz w:val="20"/>
                                <w:szCs w:val="18"/>
                              </w:rPr>
                              <w:t xml:space="preserve"> </w:t>
                            </w:r>
                            <w:r w:rsidRPr="00966241">
                              <w:rPr>
                                <w:rFonts w:cs="Arial"/>
                                <w:sz w:val="18"/>
                                <w:szCs w:val="18"/>
                              </w:rPr>
                              <w:t>= n / Positive iFOBT * 100</w:t>
                            </w:r>
                          </w:p>
                          <w:p w:rsidR="00371B10" w:rsidRPr="00966241" w:rsidRDefault="00371B10" w:rsidP="00147DCD">
                            <w:pPr>
                              <w:tabs>
                                <w:tab w:val="left" w:pos="3402"/>
                              </w:tabs>
                              <w:spacing w:before="0"/>
                              <w:ind w:left="0"/>
                              <w:rPr>
                                <w:rFonts w:cs="Arial"/>
                                <w:sz w:val="18"/>
                                <w:szCs w:val="18"/>
                              </w:rPr>
                            </w:pPr>
                            <w:r w:rsidRPr="00966241">
                              <w:rPr>
                                <w:rFonts w:cs="Arial"/>
                                <w:sz w:val="18"/>
                                <w:szCs w:val="18"/>
                              </w:rPr>
                              <w:br/>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45B8E" id="Text Box 134" o:spid="_x0000_s1079" type="#_x0000_t202" style="position:absolute;left:0;text-align:left;margin-left:0;margin-top:8.2pt;width:311.8pt;height:4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" fillcolor="white [3201]" strokecolor="#00babf" strokeweight="1.5pt">
                <v:stroke dashstyle="3 1"/>
                <v:path arrowok="t"/>
                <v:textbox inset="1mm,1mm,1mm,1mm">
                  <w:txbxContent>
                    <w:p w:rsidR="00371B10" w:rsidRPr="00966241" w:rsidRDefault="00371B10" w:rsidP="00147DCD">
                      <w:pPr>
                        <w:tabs>
                          <w:tab w:val="left" w:pos="3402"/>
                        </w:tabs>
                        <w:spacing w:before="0"/>
                        <w:ind w:left="0"/>
                        <w:rPr>
                          <w:rFonts w:cs="Arial"/>
                          <w:sz w:val="18"/>
                          <w:szCs w:val="18"/>
                        </w:rPr>
                      </w:pPr>
                      <w:r w:rsidRPr="00966241">
                        <w:rPr>
                          <w:rFonts w:cs="Arial"/>
                          <w:sz w:val="18"/>
                          <w:szCs w:val="18"/>
                          <w:u w:val="single"/>
                        </w:rPr>
                        <w:t>Key:</w:t>
                      </w:r>
                      <w:r w:rsidRPr="00966241">
                        <w:rPr>
                          <w:rFonts w:cs="Arial"/>
                          <w:sz w:val="18"/>
                          <w:szCs w:val="18"/>
                        </w:rPr>
                        <w:br/>
                      </w:r>
                      <w:r w:rsidRPr="00775001">
                        <w:rPr>
                          <w:rFonts w:cs="Arial"/>
                          <w:b/>
                          <w:sz w:val="20"/>
                          <w:szCs w:val="18"/>
                        </w:rPr>
                        <w:t>DR = Detection Rate</w:t>
                      </w:r>
                      <w:r>
                        <w:rPr>
                          <w:rFonts w:cs="Arial"/>
                          <w:b/>
                          <w:sz w:val="20"/>
                          <w:szCs w:val="18"/>
                        </w:rPr>
                        <w:t xml:space="preserve"> </w:t>
                      </w:r>
                      <w:r w:rsidRPr="00966241">
                        <w:rPr>
                          <w:rFonts w:cs="Arial"/>
                          <w:sz w:val="18"/>
                          <w:szCs w:val="18"/>
                        </w:rPr>
                        <w:t xml:space="preserve">= n / </w:t>
                      </w:r>
                      <w:r>
                        <w:rPr>
                          <w:rFonts w:cs="Arial"/>
                          <w:sz w:val="18"/>
                          <w:szCs w:val="18"/>
                        </w:rPr>
                        <w:t>Completed kit</w:t>
                      </w:r>
                      <w:r w:rsidRPr="00966241">
                        <w:rPr>
                          <w:rFonts w:cs="Arial"/>
                          <w:sz w:val="18"/>
                          <w:szCs w:val="18"/>
                        </w:rPr>
                        <w:t xml:space="preserve"> * 1</w:t>
                      </w:r>
                      <w:r>
                        <w:rPr>
                          <w:rFonts w:cs="Arial"/>
                          <w:sz w:val="18"/>
                          <w:szCs w:val="18"/>
                        </w:rPr>
                        <w:t>,</w:t>
                      </w:r>
                      <w:r w:rsidRPr="00966241">
                        <w:rPr>
                          <w:rFonts w:cs="Arial"/>
                          <w:sz w:val="18"/>
                          <w:szCs w:val="18"/>
                        </w:rPr>
                        <w:t>000</w:t>
                      </w:r>
                      <w:r>
                        <w:rPr>
                          <w:rFonts w:cs="Arial"/>
                          <w:b/>
                          <w:sz w:val="20"/>
                          <w:szCs w:val="18"/>
                        </w:rPr>
                        <w:br/>
                      </w:r>
                      <w:r w:rsidRPr="00775001">
                        <w:rPr>
                          <w:rFonts w:cs="Arial"/>
                          <w:b/>
                          <w:sz w:val="20"/>
                          <w:szCs w:val="18"/>
                        </w:rPr>
                        <w:t>PPV = Positive Predictive Value of iFOBT</w:t>
                      </w:r>
                      <w:r>
                        <w:rPr>
                          <w:rFonts w:cs="Arial"/>
                          <w:b/>
                          <w:sz w:val="20"/>
                          <w:szCs w:val="18"/>
                        </w:rPr>
                        <w:t xml:space="preserve"> </w:t>
                      </w:r>
                      <w:r w:rsidRPr="00966241">
                        <w:rPr>
                          <w:rFonts w:cs="Arial"/>
                          <w:sz w:val="18"/>
                          <w:szCs w:val="18"/>
                        </w:rPr>
                        <w:t>= n / Positive iFOBT * 100</w:t>
                      </w:r>
                    </w:p>
                    <w:p w:rsidR="00371B10" w:rsidRPr="00966241" w:rsidRDefault="00371B10" w:rsidP="00147DCD">
                      <w:pPr>
                        <w:tabs>
                          <w:tab w:val="left" w:pos="3402"/>
                        </w:tabs>
                        <w:spacing w:before="0"/>
                        <w:ind w:left="0"/>
                        <w:rPr>
                          <w:rFonts w:cs="Arial"/>
                          <w:sz w:val="18"/>
                          <w:szCs w:val="18"/>
                        </w:rPr>
                      </w:pPr>
                      <w:r w:rsidRPr="00966241">
                        <w:rPr>
                          <w:rFonts w:cs="Arial"/>
                          <w:sz w:val="18"/>
                          <w:szCs w:val="18"/>
                        </w:rPr>
                        <w:br/>
                      </w:r>
                    </w:p>
                  </w:txbxContent>
                </v:textbox>
              </v:shape>
            </w:pict>
          </mc:Fallback>
        </mc:AlternateContent>
      </w:r>
    </w:p>
    <w:p w:rsidR="006E7917" w:rsidRPr="006E7917" w:rsidRDefault="006E7917" w:rsidP="006E7917">
      <w:pPr>
        <w:sectPr w:rsidR="006E7917" w:rsidRPr="006E7917">
          <w:pgSz w:w="11909" w:h="16834" w:code="9"/>
          <w:pgMar w:top="1701" w:right="1134" w:bottom="1701" w:left="1134" w:header="567" w:footer="567" w:gutter="0"/>
          <w:cols w:space="720"/>
        </w:sectPr>
      </w:pPr>
    </w:p>
    <w:p w:rsidR="009D76B7" w:rsidRPr="00EE465A" w:rsidRDefault="009D76B7" w:rsidP="00EE465A">
      <w:pPr>
        <w:pStyle w:val="Heading3"/>
      </w:pPr>
      <w:bookmarkStart w:id="123" w:name="_Toc449107414"/>
      <w:bookmarkStart w:id="124" w:name="_Toc449107732"/>
      <w:bookmarkStart w:id="125" w:name="_Toc449556763"/>
      <w:bookmarkStart w:id="126" w:name="_Toc449560702"/>
      <w:bookmarkStart w:id="127" w:name="_Toc449613441"/>
      <w:bookmarkStart w:id="128" w:name="_Toc449614250"/>
      <w:bookmarkStart w:id="129" w:name="_Toc449645990"/>
      <w:bookmarkStart w:id="130" w:name="_Toc449699695"/>
      <w:bookmarkStart w:id="131" w:name="_Toc451512267"/>
      <w:bookmarkStart w:id="132" w:name="_Toc454204014"/>
      <w:bookmarkStart w:id="133" w:name="_Toc457842122"/>
      <w:r w:rsidRPr="00EE465A">
        <w:rPr>
          <w:rStyle w:val="Heading2Char"/>
          <w:b/>
          <w:sz w:val="24"/>
          <w:szCs w:val="24"/>
        </w:rPr>
        <w:t>Immunochemical faecal occult blood test (iFOBT) positivity</w:t>
      </w:r>
      <w:bookmarkEnd w:id="121"/>
      <w:bookmarkEnd w:id="122"/>
      <w:bookmarkEnd w:id="123"/>
      <w:bookmarkEnd w:id="124"/>
      <w:bookmarkEnd w:id="125"/>
      <w:bookmarkEnd w:id="126"/>
      <w:bookmarkEnd w:id="127"/>
      <w:bookmarkEnd w:id="128"/>
      <w:bookmarkEnd w:id="129"/>
      <w:bookmarkEnd w:id="130"/>
      <w:bookmarkEnd w:id="131"/>
      <w:bookmarkEnd w:id="132"/>
      <w:bookmarkEnd w:id="133"/>
      <w:r w:rsidRPr="00EE465A">
        <w:t xml:space="preserve"> </w:t>
      </w:r>
    </w:p>
    <w:p w:rsidR="009D76B7" w:rsidRPr="005751B7" w:rsidRDefault="009D76B7" w:rsidP="009D76B7">
      <w:pPr>
        <w:pStyle w:val="Heading4"/>
        <w:spacing w:line="360" w:lineRule="auto"/>
        <w:rPr>
          <w:rFonts w:cs="Arial"/>
          <w:b w:val="0"/>
        </w:rPr>
      </w:pPr>
      <w:bookmarkStart w:id="134" w:name="_Toc446344788"/>
      <w:r w:rsidRPr="005751B7">
        <w:rPr>
          <w:rFonts w:cs="Arial"/>
        </w:rPr>
        <w:t>Round 1</w:t>
      </w:r>
      <w:bookmarkEnd w:id="134"/>
      <w:r w:rsidR="00EE465A">
        <w:rPr>
          <w:rFonts w:cs="Arial"/>
        </w:rPr>
        <w:t xml:space="preserve"> </w:t>
      </w:r>
    </w:p>
    <w:p w:rsidR="009D76B7" w:rsidRDefault="009D76B7" w:rsidP="009D76B7">
      <w:pPr>
        <w:rPr>
          <w:rFonts w:cs="Arial"/>
        </w:rPr>
      </w:pPr>
      <w:r>
        <w:rPr>
          <w:rFonts w:cs="Arial"/>
        </w:rPr>
        <w:t>In Round 1,</w:t>
      </w:r>
      <w:r w:rsidRPr="00744428">
        <w:rPr>
          <w:rFonts w:cs="Arial"/>
        </w:rPr>
        <w:t xml:space="preserve"> </w:t>
      </w:r>
      <w:r>
        <w:rPr>
          <w:rFonts w:cs="Arial"/>
        </w:rPr>
        <w:t>7.5</w:t>
      </w:r>
      <w:r w:rsidRPr="00744428">
        <w:rPr>
          <w:rFonts w:cs="Arial"/>
        </w:rPr>
        <w:t xml:space="preserve">% </w:t>
      </w:r>
      <w:r>
        <w:rPr>
          <w:rFonts w:cs="Arial"/>
        </w:rPr>
        <w:t xml:space="preserve">of those who successfully completed a kit </w:t>
      </w:r>
      <w:r w:rsidRPr="00744428">
        <w:rPr>
          <w:rFonts w:cs="Arial"/>
        </w:rPr>
        <w:t>had a positive iFOBT result.</w:t>
      </w:r>
    </w:p>
    <w:p w:rsidR="009D76B7" w:rsidRPr="00744428" w:rsidRDefault="009D76B7" w:rsidP="009D76B7">
      <w:pPr>
        <w:rPr>
          <w:rFonts w:cs="Arial"/>
        </w:rPr>
      </w:pPr>
      <w:r w:rsidRPr="00A764FC">
        <w:rPr>
          <w:rFonts w:cs="Arial"/>
          <w:noProof/>
        </w:rPr>
        <w:t>Positivity</w:t>
      </w:r>
      <w:r w:rsidRPr="008E7724">
        <w:rPr>
          <w:rFonts w:cs="Arial"/>
        </w:rPr>
        <w:t xml:space="preserve"> increased with increasing age </w:t>
      </w:r>
      <w:r>
        <w:rPr>
          <w:rFonts w:cs="Arial"/>
        </w:rPr>
        <w:t>for both males and females.</w:t>
      </w:r>
    </w:p>
    <w:p w:rsidR="009D76B7" w:rsidRPr="00744428" w:rsidRDefault="009D76B7" w:rsidP="009D76B7">
      <w:pPr>
        <w:rPr>
          <w:rFonts w:cs="Arial"/>
        </w:rPr>
      </w:pPr>
      <w:r w:rsidRPr="00A764FC">
        <w:rPr>
          <w:rFonts w:cs="Arial"/>
          <w:noProof/>
        </w:rPr>
        <w:t>Males</w:t>
      </w:r>
      <w:r w:rsidRPr="00744428">
        <w:rPr>
          <w:rFonts w:cs="Arial"/>
        </w:rPr>
        <w:t xml:space="preserve"> </w:t>
      </w:r>
      <w:r>
        <w:rPr>
          <w:rFonts w:cs="Arial"/>
        </w:rPr>
        <w:t xml:space="preserve">of every age group </w:t>
      </w:r>
      <w:r w:rsidRPr="00744428">
        <w:rPr>
          <w:rFonts w:cs="Arial"/>
        </w:rPr>
        <w:t>were more likely to have a positive iFOBT result than females</w:t>
      </w:r>
      <w:r>
        <w:rPr>
          <w:rFonts w:cs="Arial"/>
        </w:rPr>
        <w:t>.</w:t>
      </w:r>
    </w:p>
    <w:p w:rsidR="009D76B7" w:rsidRPr="00744428" w:rsidRDefault="009D76B7" w:rsidP="009D76B7">
      <w:pPr>
        <w:rPr>
          <w:rFonts w:cs="Arial"/>
        </w:rPr>
      </w:pPr>
      <w:r w:rsidRPr="00744428">
        <w:rPr>
          <w:rFonts w:cs="Arial"/>
        </w:rPr>
        <w:t xml:space="preserve">Māori </w:t>
      </w:r>
      <w:r>
        <w:rPr>
          <w:rFonts w:cs="Arial"/>
        </w:rPr>
        <w:t xml:space="preserve">and Asians </w:t>
      </w:r>
      <w:r w:rsidRPr="00744428">
        <w:rPr>
          <w:rFonts w:cs="Arial"/>
        </w:rPr>
        <w:t xml:space="preserve">were </w:t>
      </w:r>
      <w:r>
        <w:rPr>
          <w:rFonts w:cs="Arial"/>
        </w:rPr>
        <w:t>slightly more</w:t>
      </w:r>
      <w:r w:rsidRPr="00744428">
        <w:rPr>
          <w:rFonts w:cs="Arial"/>
        </w:rPr>
        <w:t xml:space="preserve"> likely to have a positive iFOBT result than European</w:t>
      </w:r>
      <w:r>
        <w:rPr>
          <w:rFonts w:cs="Arial"/>
        </w:rPr>
        <w:t>/Other participants.</w:t>
      </w:r>
    </w:p>
    <w:p w:rsidR="009D76B7" w:rsidRDefault="009D76B7" w:rsidP="009D76B7">
      <w:pPr>
        <w:rPr>
          <w:rFonts w:cs="Arial"/>
        </w:rPr>
      </w:pPr>
      <w:r>
        <w:rPr>
          <w:rFonts w:cs="Arial"/>
        </w:rPr>
        <w:t>Female Asians, female Pacific</w:t>
      </w:r>
      <w:r w:rsidRPr="003F725F">
        <w:rPr>
          <w:rFonts w:cs="Arial"/>
        </w:rPr>
        <w:t xml:space="preserve"> </w:t>
      </w:r>
      <w:r>
        <w:rPr>
          <w:rFonts w:cs="Arial"/>
        </w:rPr>
        <w:t xml:space="preserve">and male </w:t>
      </w:r>
      <w:r w:rsidRPr="00744428">
        <w:rPr>
          <w:rFonts w:cs="Arial"/>
        </w:rPr>
        <w:t>Māori</w:t>
      </w:r>
      <w:r>
        <w:rPr>
          <w:rFonts w:cs="Arial"/>
        </w:rPr>
        <w:t xml:space="preserve"> were slightly more likely to have a </w:t>
      </w:r>
      <w:r w:rsidRPr="00744428">
        <w:rPr>
          <w:rFonts w:cs="Arial"/>
        </w:rPr>
        <w:t xml:space="preserve">positive iFOBT result than </w:t>
      </w:r>
      <w:r>
        <w:rPr>
          <w:rFonts w:cs="Arial"/>
        </w:rPr>
        <w:t xml:space="preserve">their </w:t>
      </w:r>
      <w:r w:rsidRPr="00744428">
        <w:rPr>
          <w:rFonts w:cs="Arial"/>
        </w:rPr>
        <w:t>European</w:t>
      </w:r>
      <w:r>
        <w:rPr>
          <w:rFonts w:cs="Arial"/>
        </w:rPr>
        <w:t>/Other counterparts.</w:t>
      </w:r>
    </w:p>
    <w:p w:rsidR="009D76B7" w:rsidRDefault="009D76B7" w:rsidP="009D76B7">
      <w:pPr>
        <w:rPr>
          <w:rFonts w:cs="Arial"/>
        </w:rPr>
      </w:pPr>
      <w:r w:rsidRPr="0004429B">
        <w:rPr>
          <w:rFonts w:cs="Arial"/>
        </w:rPr>
        <w:t xml:space="preserve">Positivity was highest </w:t>
      </w:r>
      <w:r>
        <w:rPr>
          <w:rFonts w:cs="Arial"/>
        </w:rPr>
        <w:t>among those from</w:t>
      </w:r>
      <w:r w:rsidRPr="0004429B">
        <w:rPr>
          <w:rFonts w:cs="Arial"/>
        </w:rPr>
        <w:t xml:space="preserve"> the most deprived quintile areas (</w:t>
      </w:r>
      <w:r w:rsidRPr="00BD2935">
        <w:rPr>
          <w:rFonts w:cs="Arial"/>
        </w:rPr>
        <w:t>NZDep Index 7</w:t>
      </w:r>
      <w:r w:rsidR="009C71ED" w:rsidRPr="00BD2935">
        <w:rPr>
          <w:rFonts w:cs="Arial"/>
        </w:rPr>
        <w:t>–</w:t>
      </w:r>
      <w:r w:rsidRPr="00BD2935">
        <w:rPr>
          <w:rFonts w:cs="Arial"/>
        </w:rPr>
        <w:t>8 and 9</w:t>
      </w:r>
      <w:r w:rsidR="009C71ED" w:rsidRPr="00BD2935">
        <w:rPr>
          <w:rFonts w:cs="Arial"/>
        </w:rPr>
        <w:t>–</w:t>
      </w:r>
      <w:r w:rsidRPr="00BD2935">
        <w:rPr>
          <w:rFonts w:cs="Arial"/>
        </w:rPr>
        <w:t>10).</w:t>
      </w:r>
      <w:r>
        <w:rPr>
          <w:rFonts w:cs="Arial"/>
        </w:rPr>
        <w:t xml:space="preserve"> </w:t>
      </w:r>
    </w:p>
    <w:p w:rsidR="009D76B7" w:rsidRPr="005751B7" w:rsidRDefault="009D76B7" w:rsidP="009D76B7">
      <w:pPr>
        <w:pStyle w:val="Heading4"/>
        <w:spacing w:line="360" w:lineRule="auto"/>
        <w:rPr>
          <w:rFonts w:cs="Arial"/>
          <w:b w:val="0"/>
        </w:rPr>
      </w:pPr>
      <w:bookmarkStart w:id="135" w:name="_Toc446344789"/>
      <w:r w:rsidRPr="005751B7">
        <w:rPr>
          <w:rFonts w:cs="Arial"/>
        </w:rPr>
        <w:t xml:space="preserve">Round </w:t>
      </w:r>
      <w:r>
        <w:rPr>
          <w:rFonts w:cs="Arial"/>
        </w:rPr>
        <w:t>2</w:t>
      </w:r>
      <w:bookmarkEnd w:id="135"/>
    </w:p>
    <w:p w:rsidR="009D76B7" w:rsidRDefault="009D76B7" w:rsidP="009D76B7">
      <w:pPr>
        <w:rPr>
          <w:rFonts w:cs="Arial"/>
        </w:rPr>
      </w:pPr>
      <w:r>
        <w:rPr>
          <w:rFonts w:cs="Arial"/>
        </w:rPr>
        <w:t>Positivity in Round 2 was 5.8</w:t>
      </w:r>
      <w:r w:rsidRPr="00744428">
        <w:rPr>
          <w:rFonts w:cs="Arial"/>
        </w:rPr>
        <w:t>%</w:t>
      </w:r>
      <w:r>
        <w:rPr>
          <w:rFonts w:cs="Arial"/>
        </w:rPr>
        <w:t>; this was lower than in Round 1 (7.5%).</w:t>
      </w:r>
      <w:r w:rsidRPr="00744428">
        <w:rPr>
          <w:rFonts w:cs="Arial"/>
        </w:rPr>
        <w:t xml:space="preserve"> </w:t>
      </w:r>
    </w:p>
    <w:p w:rsidR="009D76B7" w:rsidRPr="00B93ACE" w:rsidRDefault="009D76B7" w:rsidP="009D76B7">
      <w:pPr>
        <w:pStyle w:val="Heading4"/>
        <w:spacing w:line="360" w:lineRule="auto"/>
        <w:rPr>
          <w:rFonts w:cs="Arial"/>
          <w:b w:val="0"/>
          <w:i/>
        </w:rPr>
      </w:pPr>
      <w:bookmarkStart w:id="136" w:name="_Toc446344790"/>
      <w:r w:rsidRPr="00B93ACE">
        <w:rPr>
          <w:rFonts w:cs="Arial"/>
          <w:i/>
        </w:rPr>
        <w:t>Completed Round 1, negative iFOBT</w:t>
      </w:r>
      <w:bookmarkEnd w:id="136"/>
    </w:p>
    <w:p w:rsidR="009D76B7" w:rsidRPr="00DF4BDF" w:rsidRDefault="009D76B7" w:rsidP="009D76B7">
      <w:pPr>
        <w:rPr>
          <w:rFonts w:cs="Arial"/>
        </w:rPr>
      </w:pPr>
      <w:r w:rsidRPr="00696655">
        <w:rPr>
          <w:rFonts w:cs="Arial"/>
        </w:rPr>
        <w:t>Of the Round</w:t>
      </w:r>
      <w:r>
        <w:rPr>
          <w:rFonts w:cs="Arial"/>
        </w:rPr>
        <w:t xml:space="preserve"> </w:t>
      </w:r>
      <w:r w:rsidRPr="00696655">
        <w:rPr>
          <w:rFonts w:cs="Arial"/>
        </w:rPr>
        <w:t xml:space="preserve">2 participants who had a negative iFOBT result in Round 1 and </w:t>
      </w:r>
      <w:r w:rsidRPr="00A764FC">
        <w:rPr>
          <w:rFonts w:cs="Arial"/>
          <w:noProof/>
        </w:rPr>
        <w:t>successfully completed</w:t>
      </w:r>
      <w:r w:rsidRPr="00696655">
        <w:rPr>
          <w:rFonts w:cs="Arial"/>
        </w:rPr>
        <w:t xml:space="preserve"> a kit in the second screening round</w:t>
      </w:r>
      <w:r>
        <w:rPr>
          <w:rFonts w:cs="Arial"/>
        </w:rPr>
        <w:t xml:space="preserve">, </w:t>
      </w:r>
      <w:r w:rsidRPr="00DF4BDF">
        <w:rPr>
          <w:rFonts w:cs="Arial"/>
        </w:rPr>
        <w:t>5.4% had a positive iFOBT result.</w:t>
      </w:r>
    </w:p>
    <w:p w:rsidR="009D76B7" w:rsidRPr="0070548F" w:rsidRDefault="009D76B7" w:rsidP="009D76B7">
      <w:pPr>
        <w:rPr>
          <w:rFonts w:cs="Arial"/>
        </w:rPr>
      </w:pPr>
      <w:r w:rsidRPr="00D17839">
        <w:rPr>
          <w:rFonts w:cs="Arial"/>
        </w:rPr>
        <w:t>Positivity increased with increasing age from 55-59 years</w:t>
      </w:r>
      <w:r>
        <w:rPr>
          <w:rFonts w:cs="Arial"/>
        </w:rPr>
        <w:t>. Both female and male p</w:t>
      </w:r>
      <w:r w:rsidRPr="0070548F">
        <w:rPr>
          <w:rFonts w:cs="Arial"/>
        </w:rPr>
        <w:t>articipants aged 70</w:t>
      </w:r>
      <w:r w:rsidR="009C71ED">
        <w:rPr>
          <w:rFonts w:cs="Arial"/>
        </w:rPr>
        <w:t>–</w:t>
      </w:r>
      <w:r w:rsidRPr="0070548F">
        <w:rPr>
          <w:rFonts w:cs="Arial"/>
        </w:rPr>
        <w:t xml:space="preserve">74 years were almost twice as likely to have a positive iFOBT result as </w:t>
      </w:r>
      <w:r>
        <w:rPr>
          <w:rFonts w:cs="Arial"/>
        </w:rPr>
        <w:t>their</w:t>
      </w:r>
      <w:r w:rsidRPr="0070548F">
        <w:rPr>
          <w:rFonts w:cs="Arial"/>
        </w:rPr>
        <w:t xml:space="preserve"> 50</w:t>
      </w:r>
      <w:r w:rsidR="009C71ED">
        <w:rPr>
          <w:rFonts w:cs="Arial"/>
        </w:rPr>
        <w:t>–</w:t>
      </w:r>
      <w:r>
        <w:rPr>
          <w:rFonts w:cs="Arial"/>
        </w:rPr>
        <w:t>54 year-old counterparts.</w:t>
      </w:r>
    </w:p>
    <w:p w:rsidR="009D76B7" w:rsidRPr="0084230D" w:rsidRDefault="009D76B7" w:rsidP="009D76B7">
      <w:pPr>
        <w:rPr>
          <w:rFonts w:cs="Arial"/>
        </w:rPr>
      </w:pPr>
      <w:r w:rsidRPr="0084230D">
        <w:rPr>
          <w:rFonts w:cs="Arial"/>
        </w:rPr>
        <w:t xml:space="preserve">Males were more likely to have a positive iFOBT result than females. </w:t>
      </w:r>
    </w:p>
    <w:p w:rsidR="009D76B7" w:rsidRPr="0084230D" w:rsidRDefault="009D76B7" w:rsidP="009D76B7">
      <w:pPr>
        <w:rPr>
          <w:rFonts w:cs="Arial"/>
        </w:rPr>
      </w:pPr>
      <w:r w:rsidRPr="0084230D">
        <w:rPr>
          <w:rFonts w:cs="Arial"/>
        </w:rPr>
        <w:t>Māori were more likely to have a positive iFOBT result than European/Other</w:t>
      </w:r>
      <w:r>
        <w:rPr>
          <w:rFonts w:cs="Arial"/>
        </w:rPr>
        <w:t xml:space="preserve"> p</w:t>
      </w:r>
      <w:r w:rsidRPr="0070548F">
        <w:rPr>
          <w:rFonts w:cs="Arial"/>
        </w:rPr>
        <w:t>articipants</w:t>
      </w:r>
      <w:r w:rsidRPr="0084230D">
        <w:rPr>
          <w:rFonts w:cs="Arial"/>
        </w:rPr>
        <w:t>.</w:t>
      </w:r>
    </w:p>
    <w:p w:rsidR="009D76B7" w:rsidRPr="0084230D" w:rsidRDefault="009D76B7" w:rsidP="009D76B7">
      <w:pPr>
        <w:rPr>
          <w:rFonts w:cs="Arial"/>
        </w:rPr>
      </w:pPr>
      <w:r w:rsidRPr="0084230D">
        <w:rPr>
          <w:rFonts w:cs="Arial"/>
        </w:rPr>
        <w:t>Male Māori were almost twice as likely to have a positive iFOBT result as their European/Other counterparts.</w:t>
      </w:r>
    </w:p>
    <w:p w:rsidR="009D76B7" w:rsidRPr="00D012EF" w:rsidRDefault="009D76B7" w:rsidP="009D76B7">
      <w:pPr>
        <w:rPr>
          <w:rFonts w:cs="Arial"/>
          <w:i/>
        </w:rPr>
      </w:pPr>
      <w:r w:rsidRPr="0084230D">
        <w:rPr>
          <w:rFonts w:cs="Arial"/>
        </w:rPr>
        <w:t>Māori aged 60</w:t>
      </w:r>
      <w:r w:rsidR="009C71ED">
        <w:rPr>
          <w:rFonts w:cs="Arial"/>
        </w:rPr>
        <w:t>–</w:t>
      </w:r>
      <w:r w:rsidRPr="0084230D">
        <w:rPr>
          <w:rFonts w:cs="Arial"/>
        </w:rPr>
        <w:t>69 years were almost twice as likely to have a positive iFOBT result as their European/Other counterparts</w:t>
      </w:r>
      <w:r w:rsidRPr="00D012EF">
        <w:rPr>
          <w:rFonts w:cs="Arial"/>
          <w:i/>
        </w:rPr>
        <w:t>.</w:t>
      </w:r>
    </w:p>
    <w:p w:rsidR="009D76B7" w:rsidRPr="00BD2935" w:rsidRDefault="009D76B7" w:rsidP="009D76B7">
      <w:pPr>
        <w:rPr>
          <w:rFonts w:cs="Arial"/>
        </w:rPr>
      </w:pPr>
      <w:r>
        <w:rPr>
          <w:rFonts w:cs="Arial"/>
        </w:rPr>
        <w:t>P</w:t>
      </w:r>
      <w:r w:rsidRPr="0084230D">
        <w:rPr>
          <w:rFonts w:cs="Arial"/>
        </w:rPr>
        <w:t>eople from the most deprived quintile areas (</w:t>
      </w:r>
      <w:r w:rsidRPr="00BD2935">
        <w:rPr>
          <w:rFonts w:cs="Arial"/>
        </w:rPr>
        <w:t>NZDep Index 7</w:t>
      </w:r>
      <w:r w:rsidR="009C71ED" w:rsidRPr="00BD2935">
        <w:rPr>
          <w:rFonts w:cs="Arial"/>
        </w:rPr>
        <w:t>–</w:t>
      </w:r>
      <w:r w:rsidRPr="00BD2935">
        <w:rPr>
          <w:rFonts w:cs="Arial"/>
        </w:rPr>
        <w:t>8 and 9</w:t>
      </w:r>
      <w:r w:rsidR="009C71ED" w:rsidRPr="00BD2935">
        <w:rPr>
          <w:rFonts w:cs="Arial"/>
        </w:rPr>
        <w:t>–</w:t>
      </w:r>
      <w:r w:rsidRPr="00BD2935">
        <w:rPr>
          <w:rFonts w:cs="Arial"/>
        </w:rPr>
        <w:t>10) were more likely to have a positive iFOBT result than people from the least deprived quintile area (NZDep Index 1</w:t>
      </w:r>
      <w:r w:rsidR="009C71ED" w:rsidRPr="00BD2935">
        <w:rPr>
          <w:rFonts w:cs="Arial"/>
        </w:rPr>
        <w:t>–</w:t>
      </w:r>
      <w:r w:rsidRPr="00BD2935">
        <w:rPr>
          <w:rFonts w:cs="Arial"/>
        </w:rPr>
        <w:t>2).</w:t>
      </w:r>
    </w:p>
    <w:p w:rsidR="009D76B7" w:rsidRDefault="009D76B7" w:rsidP="009D76B7">
      <w:pPr>
        <w:rPr>
          <w:rFonts w:cs="Arial"/>
        </w:rPr>
      </w:pPr>
      <w:r w:rsidRPr="00BD2935">
        <w:rPr>
          <w:rFonts w:cs="Arial"/>
        </w:rPr>
        <w:t>Trends by age, sex, Māori ethnicity and deprivation were similar</w:t>
      </w:r>
      <w:r>
        <w:rPr>
          <w:rFonts w:cs="Arial"/>
        </w:rPr>
        <w:t xml:space="preserve"> to</w:t>
      </w:r>
      <w:r w:rsidRPr="00804192">
        <w:rPr>
          <w:rFonts w:cs="Arial"/>
        </w:rPr>
        <w:t xml:space="preserve"> those found in Round 1.</w:t>
      </w:r>
    </w:p>
    <w:p w:rsidR="009D76B7" w:rsidRPr="00B93ACE" w:rsidRDefault="009D76B7" w:rsidP="009D76B7">
      <w:pPr>
        <w:pStyle w:val="Heading4"/>
        <w:spacing w:line="360" w:lineRule="auto"/>
        <w:rPr>
          <w:rFonts w:cs="Arial"/>
          <w:b w:val="0"/>
          <w:i/>
        </w:rPr>
      </w:pPr>
      <w:bookmarkStart w:id="137" w:name="_Toc446344791"/>
      <w:r>
        <w:rPr>
          <w:rFonts w:cs="Arial"/>
          <w:i/>
        </w:rPr>
        <w:t>Did n</w:t>
      </w:r>
      <w:r w:rsidRPr="00B93ACE">
        <w:rPr>
          <w:rFonts w:cs="Arial"/>
          <w:i/>
        </w:rPr>
        <w:t>ot complete Round 1</w:t>
      </w:r>
      <w:bookmarkEnd w:id="137"/>
    </w:p>
    <w:p w:rsidR="009D76B7" w:rsidRPr="00E26361" w:rsidRDefault="009D76B7" w:rsidP="009D76B7">
      <w:pPr>
        <w:rPr>
          <w:rFonts w:cs="Arial"/>
        </w:rPr>
      </w:pPr>
      <w:r w:rsidRPr="00E26361">
        <w:rPr>
          <w:rFonts w:cs="Arial"/>
        </w:rPr>
        <w:t>Of the Round 2</w:t>
      </w:r>
      <w:r>
        <w:rPr>
          <w:rFonts w:cs="Arial"/>
        </w:rPr>
        <w:t xml:space="preserve"> </w:t>
      </w:r>
      <w:r w:rsidRPr="00E26361">
        <w:rPr>
          <w:rFonts w:cs="Arial"/>
        </w:rPr>
        <w:t xml:space="preserve">participants who </w:t>
      </w:r>
      <w:r>
        <w:rPr>
          <w:rFonts w:cs="Arial"/>
        </w:rPr>
        <w:t>did not complete</w:t>
      </w:r>
      <w:r w:rsidRPr="00E26361">
        <w:rPr>
          <w:rFonts w:cs="Arial"/>
        </w:rPr>
        <w:t xml:space="preserve"> Round 1</w:t>
      </w:r>
      <w:r w:rsidRPr="006B5417">
        <w:rPr>
          <w:rFonts w:cs="Arial"/>
        </w:rPr>
        <w:t xml:space="preserve"> </w:t>
      </w:r>
      <w:r>
        <w:rPr>
          <w:rFonts w:cs="Arial"/>
        </w:rPr>
        <w:t>but</w:t>
      </w:r>
      <w:r w:rsidRPr="00696655">
        <w:rPr>
          <w:rFonts w:cs="Arial"/>
        </w:rPr>
        <w:t xml:space="preserve"> adequately completed a kit in the second screening round</w:t>
      </w:r>
      <w:r>
        <w:rPr>
          <w:rFonts w:cs="Arial"/>
        </w:rPr>
        <w:t>,</w:t>
      </w:r>
      <w:r w:rsidRPr="00E26361">
        <w:rPr>
          <w:rFonts w:cs="Arial"/>
        </w:rPr>
        <w:t xml:space="preserve"> </w:t>
      </w:r>
      <w:r>
        <w:rPr>
          <w:rFonts w:cs="Arial"/>
        </w:rPr>
        <w:t>8.4</w:t>
      </w:r>
      <w:r w:rsidRPr="00E26361">
        <w:rPr>
          <w:rFonts w:cs="Arial"/>
        </w:rPr>
        <w:t>% had a positive iFOBT result.</w:t>
      </w:r>
    </w:p>
    <w:p w:rsidR="009D76B7" w:rsidRPr="0045296D" w:rsidRDefault="009D76B7" w:rsidP="009D76B7">
      <w:pPr>
        <w:rPr>
          <w:rFonts w:cs="Arial"/>
        </w:rPr>
      </w:pPr>
      <w:r w:rsidRPr="00A764FC">
        <w:rPr>
          <w:rFonts w:cs="Arial"/>
          <w:noProof/>
        </w:rPr>
        <w:t>Positivity</w:t>
      </w:r>
      <w:r w:rsidRPr="0045296D">
        <w:rPr>
          <w:rFonts w:cs="Arial"/>
        </w:rPr>
        <w:t xml:space="preserve"> increased with increasing age</w:t>
      </w:r>
      <w:r>
        <w:rPr>
          <w:rFonts w:cs="Arial"/>
        </w:rPr>
        <w:t>.</w:t>
      </w:r>
      <w:r w:rsidRPr="0045296D">
        <w:rPr>
          <w:rFonts w:cs="Arial"/>
        </w:rPr>
        <w:t xml:space="preserve"> </w:t>
      </w:r>
    </w:p>
    <w:p w:rsidR="009D76B7" w:rsidRPr="00E26361" w:rsidRDefault="009D76B7" w:rsidP="009D76B7">
      <w:pPr>
        <w:rPr>
          <w:rFonts w:cs="Arial"/>
        </w:rPr>
      </w:pPr>
      <w:r w:rsidRPr="00E26361">
        <w:rPr>
          <w:rFonts w:cs="Arial"/>
        </w:rPr>
        <w:t xml:space="preserve">Males were </w:t>
      </w:r>
      <w:r>
        <w:rPr>
          <w:rFonts w:cs="Arial"/>
        </w:rPr>
        <w:t>slightly</w:t>
      </w:r>
      <w:r w:rsidRPr="00E26361">
        <w:rPr>
          <w:rFonts w:cs="Arial"/>
        </w:rPr>
        <w:t xml:space="preserve"> more likely to have a positive iFOBT result than females. </w:t>
      </w:r>
    </w:p>
    <w:p w:rsidR="009D76B7" w:rsidRDefault="009D76B7" w:rsidP="009D76B7">
      <w:pPr>
        <w:rPr>
          <w:rFonts w:cs="Arial"/>
        </w:rPr>
      </w:pPr>
      <w:r>
        <w:rPr>
          <w:rFonts w:cs="Arial"/>
        </w:rPr>
        <w:t xml:space="preserve">Asian </w:t>
      </w:r>
      <w:r w:rsidRPr="00A764FC">
        <w:rPr>
          <w:rFonts w:cs="Arial"/>
          <w:noProof/>
        </w:rPr>
        <w:t>males</w:t>
      </w:r>
      <w:r>
        <w:rPr>
          <w:rFonts w:cs="Arial"/>
        </w:rPr>
        <w:t xml:space="preserve"> were almost half as likely to have a positive iFOBT result as European/Other males.</w:t>
      </w:r>
    </w:p>
    <w:p w:rsidR="009D76B7" w:rsidRPr="00BD2935" w:rsidRDefault="009D76B7" w:rsidP="009D76B7">
      <w:pPr>
        <w:rPr>
          <w:rFonts w:cs="Arial"/>
        </w:rPr>
      </w:pPr>
      <w:r>
        <w:rPr>
          <w:rFonts w:cs="Arial"/>
        </w:rPr>
        <w:t xml:space="preserve">Participants from quintile area </w:t>
      </w:r>
      <w:r w:rsidRPr="00BD2935">
        <w:rPr>
          <w:rFonts w:cs="Arial"/>
        </w:rPr>
        <w:t>NZDep Index 7</w:t>
      </w:r>
      <w:r w:rsidR="009C71ED" w:rsidRPr="00BD2935">
        <w:rPr>
          <w:rFonts w:cs="Arial"/>
        </w:rPr>
        <w:t>–</w:t>
      </w:r>
      <w:r w:rsidRPr="00BD2935">
        <w:rPr>
          <w:rFonts w:cs="Arial"/>
        </w:rPr>
        <w:t>8 were more likely to have a positive iFOBT result than those from the least deprived quintile area (NZDep Index 1</w:t>
      </w:r>
      <w:r w:rsidR="009C71ED" w:rsidRPr="00BD2935">
        <w:rPr>
          <w:rFonts w:cs="Arial"/>
        </w:rPr>
        <w:t>–</w:t>
      </w:r>
      <w:r w:rsidRPr="00BD2935">
        <w:rPr>
          <w:rFonts w:cs="Arial"/>
        </w:rPr>
        <w:t>2).</w:t>
      </w:r>
    </w:p>
    <w:p w:rsidR="009D76B7" w:rsidRPr="00BD2935" w:rsidRDefault="009D76B7" w:rsidP="009D76B7">
      <w:pPr>
        <w:rPr>
          <w:rFonts w:cs="Arial"/>
        </w:rPr>
      </w:pPr>
      <w:r w:rsidRPr="00BD2935">
        <w:rPr>
          <w:rFonts w:cs="Arial"/>
        </w:rPr>
        <w:t>Trends by age and sex were the same as those found in Round 1.</w:t>
      </w:r>
    </w:p>
    <w:p w:rsidR="009D76B7" w:rsidRPr="00BD2935" w:rsidRDefault="009D76B7" w:rsidP="009D76B7">
      <w:pPr>
        <w:pStyle w:val="Heading4"/>
        <w:spacing w:line="360" w:lineRule="auto"/>
        <w:rPr>
          <w:rFonts w:cs="Arial"/>
          <w:b w:val="0"/>
          <w:i/>
        </w:rPr>
      </w:pPr>
      <w:bookmarkStart w:id="138" w:name="_Toc446344792"/>
      <w:r w:rsidRPr="00BD2935">
        <w:rPr>
          <w:rFonts w:cs="Arial"/>
          <w:i/>
        </w:rPr>
        <w:t>Not invited in Round 1</w:t>
      </w:r>
      <w:bookmarkEnd w:id="138"/>
    </w:p>
    <w:p w:rsidR="009D76B7" w:rsidRPr="00BD2935" w:rsidRDefault="009D76B7" w:rsidP="009D76B7">
      <w:pPr>
        <w:rPr>
          <w:rFonts w:cs="Arial"/>
        </w:rPr>
      </w:pPr>
      <w:r w:rsidRPr="00BD2935">
        <w:rPr>
          <w:rFonts w:cs="Arial"/>
        </w:rPr>
        <w:t xml:space="preserve">Of the Round 2 participants who were not </w:t>
      </w:r>
      <w:r w:rsidRPr="00BD2935">
        <w:rPr>
          <w:rFonts w:cs="Arial"/>
          <w:noProof/>
        </w:rPr>
        <w:t>invited</w:t>
      </w:r>
      <w:r w:rsidRPr="00BD2935">
        <w:rPr>
          <w:rFonts w:cs="Arial"/>
        </w:rPr>
        <w:t xml:space="preserve"> in Round 1 and </w:t>
      </w:r>
      <w:r w:rsidRPr="00BD2935">
        <w:rPr>
          <w:rFonts w:cs="Arial"/>
          <w:noProof/>
        </w:rPr>
        <w:t>successfully completed</w:t>
      </w:r>
      <w:r w:rsidRPr="00BD2935">
        <w:rPr>
          <w:rFonts w:cs="Arial"/>
        </w:rPr>
        <w:t xml:space="preserve"> a kit in the second screening round, 5.2% had a positive iFOBT result. </w:t>
      </w:r>
    </w:p>
    <w:p w:rsidR="009D76B7" w:rsidRPr="00BD2935" w:rsidRDefault="009D76B7" w:rsidP="009D76B7">
      <w:pPr>
        <w:rPr>
          <w:rFonts w:cs="Arial"/>
        </w:rPr>
      </w:pPr>
      <w:r w:rsidRPr="00BD2935">
        <w:rPr>
          <w:rFonts w:cs="Arial"/>
          <w:noProof/>
        </w:rPr>
        <w:t>Positivity</w:t>
      </w:r>
      <w:r w:rsidRPr="00BD2935">
        <w:rPr>
          <w:rFonts w:cs="Arial"/>
        </w:rPr>
        <w:t xml:space="preserve"> increased with increasing age. </w:t>
      </w:r>
    </w:p>
    <w:p w:rsidR="009D76B7" w:rsidRPr="00BD2935" w:rsidRDefault="009D76B7" w:rsidP="009D76B7">
      <w:pPr>
        <w:rPr>
          <w:rFonts w:cs="Arial"/>
        </w:rPr>
      </w:pPr>
      <w:r w:rsidRPr="00BD2935">
        <w:rPr>
          <w:rFonts w:cs="Arial"/>
        </w:rPr>
        <w:t xml:space="preserve">Males were more likely to have a positive iFOBT result than females. </w:t>
      </w:r>
    </w:p>
    <w:p w:rsidR="009D76B7" w:rsidRPr="00BD2935" w:rsidRDefault="009D76B7" w:rsidP="009D76B7">
      <w:pPr>
        <w:rPr>
          <w:rFonts w:cs="Arial"/>
        </w:rPr>
      </w:pPr>
      <w:r w:rsidRPr="00BD2935">
        <w:rPr>
          <w:rFonts w:cs="Arial"/>
          <w:noProof/>
        </w:rPr>
        <w:t>Males</w:t>
      </w:r>
      <w:r w:rsidRPr="00BD2935">
        <w:rPr>
          <w:rFonts w:cs="Arial"/>
        </w:rPr>
        <w:t xml:space="preserve"> of every age group and females aged 70</w:t>
      </w:r>
      <w:r w:rsidR="009C71ED" w:rsidRPr="00BD2935">
        <w:rPr>
          <w:rFonts w:cs="Arial"/>
        </w:rPr>
        <w:t>–</w:t>
      </w:r>
      <w:r w:rsidRPr="00BD2935">
        <w:rPr>
          <w:rFonts w:cs="Arial"/>
        </w:rPr>
        <w:t xml:space="preserve">74 years were about twice as likely to have a positive iFOBT result as their </w:t>
      </w:r>
      <w:r w:rsidRPr="00BD2935">
        <w:rPr>
          <w:rFonts w:cs="Arial"/>
          <w:noProof/>
        </w:rPr>
        <w:t>50</w:t>
      </w:r>
      <w:r w:rsidR="009C71ED" w:rsidRPr="00BD2935">
        <w:rPr>
          <w:rFonts w:cs="Arial"/>
          <w:noProof/>
        </w:rPr>
        <w:t>–54-</w:t>
      </w:r>
      <w:r w:rsidRPr="00BD2935">
        <w:rPr>
          <w:rFonts w:cs="Arial"/>
          <w:noProof/>
        </w:rPr>
        <w:t>year-old</w:t>
      </w:r>
      <w:r w:rsidRPr="00BD2935">
        <w:rPr>
          <w:rFonts w:cs="Arial"/>
        </w:rPr>
        <w:t xml:space="preserve"> counterparts.</w:t>
      </w:r>
    </w:p>
    <w:p w:rsidR="009D76B7" w:rsidRPr="00BD2935" w:rsidRDefault="009D76B7" w:rsidP="009D76B7">
      <w:pPr>
        <w:rPr>
          <w:rFonts w:cs="Arial"/>
        </w:rPr>
      </w:pPr>
      <w:r w:rsidRPr="00BD2935">
        <w:rPr>
          <w:rFonts w:cs="Arial"/>
        </w:rPr>
        <w:t xml:space="preserve">Asian and Pacific </w:t>
      </w:r>
      <w:r w:rsidRPr="00BD2935">
        <w:rPr>
          <w:rFonts w:cs="Arial"/>
          <w:noProof/>
        </w:rPr>
        <w:t>females</w:t>
      </w:r>
      <w:r w:rsidRPr="00BD2935">
        <w:rPr>
          <w:rFonts w:cs="Arial"/>
        </w:rPr>
        <w:t xml:space="preserve"> were about twice as likely to have a positive iFOBT result as their European/Other counterparts.</w:t>
      </w:r>
    </w:p>
    <w:p w:rsidR="009D76B7" w:rsidRPr="00BD2935" w:rsidRDefault="009D76B7" w:rsidP="009D76B7">
      <w:pPr>
        <w:rPr>
          <w:rFonts w:cs="Arial"/>
        </w:rPr>
      </w:pPr>
      <w:r w:rsidRPr="00BD2935">
        <w:rPr>
          <w:rFonts w:cs="Arial"/>
        </w:rPr>
        <w:t>People from the second most deprived quintile area (NZDep Index 7</w:t>
      </w:r>
      <w:r w:rsidR="009C71ED" w:rsidRPr="00BD2935">
        <w:rPr>
          <w:rFonts w:cs="Arial"/>
        </w:rPr>
        <w:t>–</w:t>
      </w:r>
      <w:r w:rsidRPr="00BD2935">
        <w:rPr>
          <w:rFonts w:cs="Arial"/>
        </w:rPr>
        <w:t>8) were more likely to have a positive iFOBT result than people from the least deprived quintile area (NZDep Index 1</w:t>
      </w:r>
      <w:r w:rsidR="009C71ED" w:rsidRPr="00BD2935">
        <w:rPr>
          <w:rFonts w:cs="Arial"/>
        </w:rPr>
        <w:t>–</w:t>
      </w:r>
      <w:r w:rsidRPr="00BD2935">
        <w:rPr>
          <w:rFonts w:cs="Arial"/>
        </w:rPr>
        <w:t>2).</w:t>
      </w:r>
    </w:p>
    <w:p w:rsidR="009D76B7" w:rsidRPr="00BD2935" w:rsidRDefault="009D76B7" w:rsidP="009D76B7">
      <w:pPr>
        <w:rPr>
          <w:rFonts w:cs="Arial"/>
        </w:rPr>
      </w:pPr>
      <w:r w:rsidRPr="00BD2935">
        <w:rPr>
          <w:rFonts w:cs="Arial"/>
        </w:rPr>
        <w:t>Trends by age and sex were the same as those found in Round 1.</w:t>
      </w:r>
    </w:p>
    <w:p w:rsidR="009D76B7" w:rsidRPr="00EE465A" w:rsidRDefault="009D76B7" w:rsidP="00EE465A">
      <w:pPr>
        <w:pStyle w:val="Heading3"/>
      </w:pPr>
      <w:bookmarkStart w:id="139" w:name="_Toc446344793"/>
      <w:bookmarkStart w:id="140" w:name="_Toc448763623"/>
      <w:bookmarkStart w:id="141" w:name="_Toc449107415"/>
      <w:bookmarkStart w:id="142" w:name="_Toc449107733"/>
      <w:bookmarkStart w:id="143" w:name="_Toc449556764"/>
      <w:bookmarkStart w:id="144" w:name="_Toc449560703"/>
      <w:bookmarkStart w:id="145" w:name="_Toc449613442"/>
      <w:bookmarkStart w:id="146" w:name="_Toc449614251"/>
      <w:bookmarkStart w:id="147" w:name="_Toc449645991"/>
      <w:bookmarkStart w:id="148" w:name="_Toc449699696"/>
      <w:bookmarkStart w:id="149" w:name="_Toc451512268"/>
      <w:bookmarkStart w:id="150" w:name="_Toc454204015"/>
      <w:bookmarkStart w:id="151" w:name="_Toc457842123"/>
      <w:r w:rsidRPr="00BD2935">
        <w:rPr>
          <w:rStyle w:val="Heading2Char"/>
          <w:b/>
          <w:sz w:val="24"/>
          <w:szCs w:val="24"/>
        </w:rPr>
        <w:t>Positive Predictive Values</w:t>
      </w:r>
      <w:bookmarkEnd w:id="139"/>
      <w:bookmarkEnd w:id="140"/>
      <w:bookmarkEnd w:id="141"/>
      <w:bookmarkEnd w:id="142"/>
      <w:bookmarkEnd w:id="143"/>
      <w:bookmarkEnd w:id="144"/>
      <w:bookmarkEnd w:id="145"/>
      <w:bookmarkEnd w:id="146"/>
      <w:bookmarkEnd w:id="147"/>
      <w:bookmarkEnd w:id="148"/>
      <w:bookmarkEnd w:id="149"/>
      <w:bookmarkEnd w:id="150"/>
      <w:bookmarkEnd w:id="151"/>
      <w:r w:rsidR="00D710BC" w:rsidRPr="00BD2935">
        <w:rPr>
          <w:rStyle w:val="FootnoteReference"/>
        </w:rPr>
        <w:footnoteReference w:id="35"/>
      </w:r>
      <w:r w:rsidRPr="00EE465A">
        <w:t xml:space="preserve"> </w:t>
      </w:r>
    </w:p>
    <w:p w:rsidR="009D76B7" w:rsidRPr="005751B7" w:rsidRDefault="009D76B7" w:rsidP="009D76B7">
      <w:pPr>
        <w:pStyle w:val="Heading4"/>
        <w:spacing w:line="360" w:lineRule="auto"/>
        <w:rPr>
          <w:rFonts w:cs="Arial"/>
          <w:b w:val="0"/>
        </w:rPr>
      </w:pPr>
      <w:bookmarkStart w:id="152" w:name="_Toc446344794"/>
      <w:r w:rsidRPr="005751B7">
        <w:rPr>
          <w:rFonts w:cs="Arial"/>
        </w:rPr>
        <w:t>Round 1</w:t>
      </w:r>
      <w:bookmarkEnd w:id="152"/>
    </w:p>
    <w:p w:rsidR="009D76B7" w:rsidRDefault="009D76B7" w:rsidP="009D76B7">
      <w:pPr>
        <w:autoSpaceDE w:val="0"/>
        <w:autoSpaceDN w:val="0"/>
        <w:adjustRightInd w:val="0"/>
        <w:rPr>
          <w:rFonts w:cs="Arial"/>
        </w:rPr>
      </w:pPr>
      <w:r w:rsidRPr="00744428">
        <w:rPr>
          <w:rFonts w:cs="Arial"/>
        </w:rPr>
        <w:t>The positive predictive value</w:t>
      </w:r>
      <w:r>
        <w:rPr>
          <w:rFonts w:cs="Arial"/>
        </w:rPr>
        <w:t xml:space="preserve"> (PPV)</w:t>
      </w:r>
      <w:r w:rsidRPr="00744428">
        <w:rPr>
          <w:rFonts w:cs="Arial"/>
        </w:rPr>
        <w:t xml:space="preserve"> of a positive iFOBT for adenoma was </w:t>
      </w:r>
      <w:r>
        <w:rPr>
          <w:rFonts w:cs="Arial"/>
        </w:rPr>
        <w:t>51.5</w:t>
      </w:r>
      <w:r w:rsidRPr="00744428">
        <w:rPr>
          <w:rFonts w:cs="Arial"/>
        </w:rPr>
        <w:t xml:space="preserve">%, advanced adenoma was </w:t>
      </w:r>
      <w:r>
        <w:rPr>
          <w:rFonts w:cs="Arial"/>
        </w:rPr>
        <w:t>22.2</w:t>
      </w:r>
      <w:r w:rsidRPr="00744428">
        <w:rPr>
          <w:rFonts w:cs="Arial"/>
        </w:rPr>
        <w:t xml:space="preserve">%, and cancer was </w:t>
      </w:r>
      <w:r>
        <w:rPr>
          <w:rFonts w:cs="Arial"/>
        </w:rPr>
        <w:t>4.1%. That is, 55.6</w:t>
      </w:r>
      <w:r w:rsidRPr="00D54EF2">
        <w:rPr>
          <w:rFonts w:cs="Arial"/>
        </w:rPr>
        <w:t xml:space="preserve">% of people who </w:t>
      </w:r>
      <w:r>
        <w:rPr>
          <w:rFonts w:cs="Arial"/>
        </w:rPr>
        <w:t>had a pos</w:t>
      </w:r>
      <w:r w:rsidRPr="00D54EF2">
        <w:rPr>
          <w:rFonts w:cs="Arial"/>
        </w:rPr>
        <w:t>itive iFOBT had an adenoma or cancer</w:t>
      </w:r>
      <w:r>
        <w:rPr>
          <w:rFonts w:cs="Arial"/>
        </w:rPr>
        <w:t xml:space="preserve"> detected, and 26.3</w:t>
      </w:r>
      <w:r w:rsidRPr="00D54EF2">
        <w:rPr>
          <w:rFonts w:cs="Arial"/>
        </w:rPr>
        <w:t>% had an advanced adenoma or cancer detected</w:t>
      </w:r>
      <w:r>
        <w:rPr>
          <w:rFonts w:cs="Arial"/>
        </w:rPr>
        <w:t>.</w:t>
      </w:r>
      <w:r w:rsidRPr="00D54EF2">
        <w:rPr>
          <w:rFonts w:cs="Arial"/>
        </w:rPr>
        <w:t xml:space="preserve"> </w:t>
      </w:r>
    </w:p>
    <w:p w:rsidR="009D76B7" w:rsidRPr="00A51643" w:rsidRDefault="009D76B7" w:rsidP="009D76B7">
      <w:pPr>
        <w:rPr>
          <w:rFonts w:cs="Arial"/>
        </w:rPr>
      </w:pPr>
      <w:r w:rsidRPr="00C92849">
        <w:rPr>
          <w:rFonts w:cs="Arial"/>
        </w:rPr>
        <w:t xml:space="preserve">There were some age, sex and ethnic differences in the effectiveness of a positive iFOBT in detecting adenoma, advanced adenoma and cancer in Round 1 and Round 2, according to </w:t>
      </w:r>
      <w:r>
        <w:rPr>
          <w:rFonts w:cs="Arial"/>
        </w:rPr>
        <w:t xml:space="preserve">the </w:t>
      </w:r>
      <w:r w:rsidRPr="00C92849">
        <w:rPr>
          <w:rFonts w:cs="Arial"/>
        </w:rPr>
        <w:t>screening history of the participants.</w:t>
      </w:r>
      <w:r>
        <w:rPr>
          <w:rFonts w:cs="Arial"/>
        </w:rPr>
        <w:t xml:space="preserve"> </w:t>
      </w:r>
      <w:r w:rsidR="008346DB">
        <w:rPr>
          <w:rFonts w:cs="Arial"/>
        </w:rPr>
        <w:t>Refer the full report in Appendix 2 for further details</w:t>
      </w:r>
      <w:r>
        <w:rPr>
          <w:rFonts w:cs="Arial"/>
        </w:rPr>
        <w:t>.</w:t>
      </w:r>
    </w:p>
    <w:p w:rsidR="009D76B7" w:rsidRPr="005751B7" w:rsidRDefault="009D76B7" w:rsidP="0073502B">
      <w:pPr>
        <w:pStyle w:val="Heading4"/>
        <w:tabs>
          <w:tab w:val="left" w:pos="2595"/>
        </w:tabs>
        <w:spacing w:line="360" w:lineRule="auto"/>
        <w:rPr>
          <w:rFonts w:cs="Arial"/>
          <w:b w:val="0"/>
        </w:rPr>
      </w:pPr>
      <w:bookmarkStart w:id="153" w:name="_Toc446344795"/>
      <w:r w:rsidRPr="005751B7">
        <w:rPr>
          <w:rFonts w:cs="Arial"/>
        </w:rPr>
        <w:t>Round 2</w:t>
      </w:r>
      <w:bookmarkEnd w:id="153"/>
      <w:r w:rsidR="0073502B">
        <w:rPr>
          <w:rFonts w:cs="Arial"/>
        </w:rPr>
        <w:tab/>
      </w:r>
    </w:p>
    <w:p w:rsidR="009D76B7" w:rsidRDefault="009D76B7" w:rsidP="009D76B7">
      <w:pPr>
        <w:rPr>
          <w:rFonts w:cs="Arial"/>
        </w:rPr>
      </w:pPr>
      <w:r w:rsidRPr="00744428">
        <w:rPr>
          <w:rFonts w:cs="Arial"/>
        </w:rPr>
        <w:t xml:space="preserve">The </w:t>
      </w:r>
      <w:r>
        <w:rPr>
          <w:rFonts w:cs="Arial"/>
        </w:rPr>
        <w:t>PPV</w:t>
      </w:r>
      <w:r w:rsidRPr="00744428">
        <w:rPr>
          <w:rFonts w:cs="Arial"/>
        </w:rPr>
        <w:t xml:space="preserve"> of a positive iFOBT for adenoma was </w:t>
      </w:r>
      <w:r>
        <w:rPr>
          <w:rFonts w:cs="Arial"/>
        </w:rPr>
        <w:t>42.5</w:t>
      </w:r>
      <w:r w:rsidRPr="00744428">
        <w:rPr>
          <w:rFonts w:cs="Arial"/>
        </w:rPr>
        <w:t xml:space="preserve">%, advanced adenoma was </w:t>
      </w:r>
      <w:r>
        <w:rPr>
          <w:rFonts w:cs="Arial"/>
        </w:rPr>
        <w:t>14.7</w:t>
      </w:r>
      <w:r w:rsidRPr="00744428">
        <w:rPr>
          <w:rFonts w:cs="Arial"/>
        </w:rPr>
        <w:t xml:space="preserve">%, and cancer was </w:t>
      </w:r>
      <w:r>
        <w:rPr>
          <w:rFonts w:cs="Arial"/>
        </w:rPr>
        <w:t>2.8%. That is, 45.3</w:t>
      </w:r>
      <w:r w:rsidRPr="00D54EF2">
        <w:rPr>
          <w:rFonts w:cs="Arial"/>
        </w:rPr>
        <w:t xml:space="preserve">% of people who </w:t>
      </w:r>
      <w:r>
        <w:rPr>
          <w:rFonts w:cs="Arial"/>
        </w:rPr>
        <w:t>had a pos</w:t>
      </w:r>
      <w:r w:rsidRPr="00D54EF2">
        <w:rPr>
          <w:rFonts w:cs="Arial"/>
        </w:rPr>
        <w:t>itive iFOBT had an adenoma or cancer</w:t>
      </w:r>
      <w:r>
        <w:rPr>
          <w:rFonts w:cs="Arial"/>
        </w:rPr>
        <w:t xml:space="preserve"> detected, and 17.5</w:t>
      </w:r>
      <w:r w:rsidRPr="00D54EF2">
        <w:rPr>
          <w:rFonts w:cs="Arial"/>
        </w:rPr>
        <w:t>% had an advanced adenoma or cancer detected</w:t>
      </w:r>
      <w:r>
        <w:rPr>
          <w:rFonts w:cs="Arial"/>
        </w:rPr>
        <w:t>.</w:t>
      </w:r>
    </w:p>
    <w:p w:rsidR="009D76B7" w:rsidRPr="003D60B5" w:rsidRDefault="009D76B7" w:rsidP="009D76B7">
      <w:pPr>
        <w:pStyle w:val="Heading4"/>
        <w:spacing w:line="360" w:lineRule="auto"/>
        <w:rPr>
          <w:rFonts w:cs="Arial"/>
          <w:b w:val="0"/>
          <w:i/>
        </w:rPr>
      </w:pPr>
      <w:bookmarkStart w:id="154" w:name="_Toc446344796"/>
      <w:r w:rsidRPr="00B718F0">
        <w:rPr>
          <w:rFonts w:cs="Arial"/>
          <w:i/>
        </w:rPr>
        <w:t>Completed Round 1, negative iFOBT</w:t>
      </w:r>
      <w:bookmarkEnd w:id="154"/>
    </w:p>
    <w:p w:rsidR="009D76B7" w:rsidRPr="00A84285" w:rsidRDefault="009D76B7" w:rsidP="009D76B7">
      <w:pPr>
        <w:autoSpaceDE w:val="0"/>
        <w:autoSpaceDN w:val="0"/>
        <w:adjustRightInd w:val="0"/>
        <w:rPr>
          <w:rFonts w:cs="Arial"/>
        </w:rPr>
      </w:pPr>
      <w:r w:rsidRPr="00A84285">
        <w:rPr>
          <w:rFonts w:cs="Arial"/>
        </w:rPr>
        <w:t xml:space="preserve">The PPV of a positive iFOBT for adenoma was 42.3%, advanced adenoma was 13.0%, and cancer was 2.5%. That is, 44.7% of people who had a positive iFOBT had an adenoma or cancer detected, and 15.4% had an advanced adenoma or cancer detected. </w:t>
      </w:r>
    </w:p>
    <w:p w:rsidR="009D76B7" w:rsidRPr="003D60B5" w:rsidRDefault="009D76B7" w:rsidP="009D76B7">
      <w:pPr>
        <w:pStyle w:val="Heading4"/>
        <w:spacing w:line="360" w:lineRule="auto"/>
        <w:rPr>
          <w:rFonts w:cs="Arial"/>
          <w:b w:val="0"/>
          <w:i/>
        </w:rPr>
      </w:pPr>
      <w:bookmarkStart w:id="155" w:name="_Toc446344797"/>
      <w:r>
        <w:rPr>
          <w:rFonts w:cs="Arial"/>
          <w:i/>
        </w:rPr>
        <w:t>Did n</w:t>
      </w:r>
      <w:r w:rsidRPr="003D60B5">
        <w:rPr>
          <w:rFonts w:cs="Arial"/>
          <w:i/>
        </w:rPr>
        <w:t>ot complete Round 1</w:t>
      </w:r>
      <w:bookmarkEnd w:id="155"/>
    </w:p>
    <w:p w:rsidR="009D76B7" w:rsidRPr="00A204F4" w:rsidRDefault="009D76B7" w:rsidP="009D76B7">
      <w:pPr>
        <w:autoSpaceDE w:val="0"/>
        <w:autoSpaceDN w:val="0"/>
        <w:adjustRightInd w:val="0"/>
        <w:rPr>
          <w:rFonts w:cs="Arial"/>
        </w:rPr>
      </w:pPr>
      <w:r w:rsidRPr="00A204F4">
        <w:rPr>
          <w:rFonts w:cs="Arial"/>
        </w:rPr>
        <w:t>The PPV of a positive iFOBT for adenoma was 4</w:t>
      </w:r>
      <w:r>
        <w:rPr>
          <w:rFonts w:cs="Arial"/>
        </w:rPr>
        <w:t>3</w:t>
      </w:r>
      <w:r w:rsidRPr="00A204F4">
        <w:rPr>
          <w:rFonts w:cs="Arial"/>
        </w:rPr>
        <w:t>.</w:t>
      </w:r>
      <w:r>
        <w:rPr>
          <w:rFonts w:cs="Arial"/>
        </w:rPr>
        <w:t>8</w:t>
      </w:r>
      <w:r w:rsidRPr="00A204F4">
        <w:rPr>
          <w:rFonts w:cs="Arial"/>
        </w:rPr>
        <w:t>%, advanced adenoma was 1</w:t>
      </w:r>
      <w:r>
        <w:rPr>
          <w:rFonts w:cs="Arial"/>
        </w:rPr>
        <w:t>8</w:t>
      </w:r>
      <w:r w:rsidRPr="00A204F4">
        <w:rPr>
          <w:rFonts w:cs="Arial"/>
        </w:rPr>
        <w:t>.</w:t>
      </w:r>
      <w:r>
        <w:rPr>
          <w:rFonts w:cs="Arial"/>
        </w:rPr>
        <w:t>3</w:t>
      </w:r>
      <w:r w:rsidRPr="00A204F4">
        <w:rPr>
          <w:rFonts w:cs="Arial"/>
        </w:rPr>
        <w:t xml:space="preserve">%, and cancer was </w:t>
      </w:r>
      <w:r>
        <w:rPr>
          <w:rFonts w:cs="Arial"/>
        </w:rPr>
        <w:t>4</w:t>
      </w:r>
      <w:r w:rsidRPr="00A204F4">
        <w:rPr>
          <w:rFonts w:cs="Arial"/>
        </w:rPr>
        <w:t>.</w:t>
      </w:r>
      <w:r>
        <w:rPr>
          <w:rFonts w:cs="Arial"/>
        </w:rPr>
        <w:t>2</w:t>
      </w:r>
      <w:r w:rsidRPr="00A204F4">
        <w:rPr>
          <w:rFonts w:cs="Arial"/>
        </w:rPr>
        <w:t xml:space="preserve">%. That is, </w:t>
      </w:r>
      <w:r>
        <w:rPr>
          <w:rFonts w:cs="Arial"/>
        </w:rPr>
        <w:t>47.9</w:t>
      </w:r>
      <w:r w:rsidRPr="00A204F4">
        <w:rPr>
          <w:rFonts w:cs="Arial"/>
        </w:rPr>
        <w:t xml:space="preserve">% of people who had a positive iFOBT had an adenoma or cancer detected, and </w:t>
      </w:r>
      <w:r>
        <w:rPr>
          <w:rFonts w:cs="Arial"/>
        </w:rPr>
        <w:t>22.5</w:t>
      </w:r>
      <w:r w:rsidRPr="00A204F4">
        <w:rPr>
          <w:rFonts w:cs="Arial"/>
        </w:rPr>
        <w:t xml:space="preserve">% had an advanced adenoma or cancer detected. </w:t>
      </w:r>
    </w:p>
    <w:p w:rsidR="009D76B7" w:rsidRPr="00BD2935" w:rsidRDefault="009D76B7" w:rsidP="009D76B7">
      <w:pPr>
        <w:rPr>
          <w:rFonts w:cs="Arial"/>
        </w:rPr>
      </w:pPr>
      <w:r w:rsidRPr="003D60B5">
        <w:rPr>
          <w:rFonts w:cs="Arial"/>
        </w:rPr>
        <w:t xml:space="preserve">The PPV for participants from quintile area </w:t>
      </w:r>
      <w:r w:rsidRPr="00BD2935">
        <w:rPr>
          <w:rFonts w:cs="Arial"/>
        </w:rPr>
        <w:t>NZDep Index 7</w:t>
      </w:r>
      <w:r w:rsidR="009C71ED" w:rsidRPr="00BD2935">
        <w:rPr>
          <w:rFonts w:cs="Arial"/>
        </w:rPr>
        <w:t>–</w:t>
      </w:r>
      <w:r w:rsidRPr="00BD2935">
        <w:rPr>
          <w:rFonts w:cs="Arial"/>
        </w:rPr>
        <w:t>8 was about three times higher for advanced adenoma than for those from the least deprived quintile area (NZDep Index 1</w:t>
      </w:r>
      <w:r w:rsidR="009C71ED" w:rsidRPr="00BD2935">
        <w:rPr>
          <w:rFonts w:cs="Arial"/>
        </w:rPr>
        <w:t>–</w:t>
      </w:r>
      <w:r w:rsidRPr="00BD2935">
        <w:rPr>
          <w:rFonts w:cs="Arial"/>
        </w:rPr>
        <w:t>2).</w:t>
      </w:r>
    </w:p>
    <w:p w:rsidR="009D76B7" w:rsidRPr="003D60B5" w:rsidRDefault="009D76B7" w:rsidP="009D76B7">
      <w:pPr>
        <w:pStyle w:val="Heading4"/>
        <w:spacing w:line="360" w:lineRule="auto"/>
        <w:rPr>
          <w:rFonts w:cs="Arial"/>
          <w:b w:val="0"/>
          <w:i/>
        </w:rPr>
      </w:pPr>
      <w:bookmarkStart w:id="156" w:name="_Toc446344798"/>
      <w:r w:rsidRPr="00BD2935">
        <w:rPr>
          <w:rFonts w:cs="Arial"/>
          <w:i/>
        </w:rPr>
        <w:t>Not invited in Round 1</w:t>
      </w:r>
      <w:bookmarkEnd w:id="156"/>
    </w:p>
    <w:p w:rsidR="009D76B7" w:rsidRPr="00A204F4" w:rsidRDefault="009D76B7" w:rsidP="009D76B7">
      <w:pPr>
        <w:autoSpaceDE w:val="0"/>
        <w:autoSpaceDN w:val="0"/>
        <w:adjustRightInd w:val="0"/>
        <w:rPr>
          <w:rFonts w:cs="Arial"/>
        </w:rPr>
      </w:pPr>
      <w:r w:rsidRPr="00A204F4">
        <w:rPr>
          <w:rFonts w:cs="Arial"/>
        </w:rPr>
        <w:t xml:space="preserve">The PPV of a positive iFOBT for adenoma was 41.9%, advanced adenoma was 15.6%, and cancer was 2.4%. That is, </w:t>
      </w:r>
      <w:r>
        <w:rPr>
          <w:rFonts w:cs="Arial"/>
        </w:rPr>
        <w:t>44.4</w:t>
      </w:r>
      <w:r w:rsidRPr="00A204F4">
        <w:rPr>
          <w:rFonts w:cs="Arial"/>
        </w:rPr>
        <w:t xml:space="preserve">% of people who had a positive iFOBT had an adenoma or cancer detected, and </w:t>
      </w:r>
      <w:r>
        <w:rPr>
          <w:rFonts w:cs="Arial"/>
        </w:rPr>
        <w:t>18.0</w:t>
      </w:r>
      <w:r w:rsidRPr="00A204F4">
        <w:rPr>
          <w:rFonts w:cs="Arial"/>
        </w:rPr>
        <w:t xml:space="preserve">% had an advanced adenoma or cancer detected. </w:t>
      </w:r>
    </w:p>
    <w:p w:rsidR="009D76B7" w:rsidRDefault="009D76B7" w:rsidP="009D76B7">
      <w:pPr>
        <w:rPr>
          <w:rFonts w:cs="Arial"/>
        </w:rPr>
      </w:pPr>
      <w:r>
        <w:rPr>
          <w:rFonts w:cs="Arial"/>
        </w:rPr>
        <w:t>The PPV for the 50-54 years age group (comprising 74.2 % of those who successfully completed an iFOBT in this round) was 40.0% for adenoma, 20.0% for advanced adenoma and 1.5% for cancer. The PPVs for the same age group in Round 1 were 43.0%, 17.5% and 2.3%, respectively.</w:t>
      </w:r>
    </w:p>
    <w:p w:rsidR="009D76B7" w:rsidRDefault="009D76B7" w:rsidP="009D76B7">
      <w:pPr>
        <w:rPr>
          <w:rStyle w:val="Heading2Char"/>
        </w:rPr>
      </w:pPr>
    </w:p>
    <w:p w:rsidR="009D76B7" w:rsidRPr="00EE465A" w:rsidRDefault="009D76B7" w:rsidP="00EE465A">
      <w:pPr>
        <w:pStyle w:val="Heading3"/>
      </w:pPr>
      <w:bookmarkStart w:id="157" w:name="_Toc446344799"/>
      <w:bookmarkStart w:id="158" w:name="_Toc448763624"/>
      <w:bookmarkStart w:id="159" w:name="_Toc449107416"/>
      <w:bookmarkStart w:id="160" w:name="_Toc449107734"/>
      <w:bookmarkStart w:id="161" w:name="_Toc449556765"/>
      <w:bookmarkStart w:id="162" w:name="_Toc449560704"/>
      <w:bookmarkStart w:id="163" w:name="_Toc449613443"/>
      <w:bookmarkStart w:id="164" w:name="_Toc449614252"/>
      <w:bookmarkStart w:id="165" w:name="_Toc449645992"/>
      <w:bookmarkStart w:id="166" w:name="_Toc449699697"/>
      <w:bookmarkStart w:id="167" w:name="_Toc451512269"/>
      <w:bookmarkStart w:id="168" w:name="_Toc454204016"/>
      <w:bookmarkStart w:id="169" w:name="_Toc457842124"/>
      <w:r w:rsidRPr="00EE465A">
        <w:rPr>
          <w:rStyle w:val="Heading2Char"/>
          <w:b/>
          <w:sz w:val="24"/>
          <w:szCs w:val="24"/>
        </w:rPr>
        <w:t>Detection rates of adenoma, advanced adenoma and colorectal cancer</w:t>
      </w:r>
      <w:bookmarkEnd w:id="157"/>
      <w:bookmarkEnd w:id="158"/>
      <w:bookmarkEnd w:id="159"/>
      <w:bookmarkEnd w:id="160"/>
      <w:bookmarkEnd w:id="161"/>
      <w:bookmarkEnd w:id="162"/>
      <w:bookmarkEnd w:id="163"/>
      <w:bookmarkEnd w:id="164"/>
      <w:bookmarkEnd w:id="165"/>
      <w:bookmarkEnd w:id="166"/>
      <w:bookmarkEnd w:id="167"/>
      <w:bookmarkEnd w:id="168"/>
      <w:bookmarkEnd w:id="169"/>
      <w:r w:rsidR="00D710BC">
        <w:rPr>
          <w:rStyle w:val="FootnoteReference"/>
        </w:rPr>
        <w:footnoteReference w:id="36"/>
      </w:r>
      <w:r w:rsidRPr="00EE465A">
        <w:t xml:space="preserve"> </w:t>
      </w:r>
    </w:p>
    <w:p w:rsidR="009D76B7" w:rsidRPr="008F5717" w:rsidRDefault="009D76B7" w:rsidP="009D76B7">
      <w:pPr>
        <w:rPr>
          <w:rFonts w:cs="Arial"/>
        </w:rPr>
      </w:pPr>
      <w:r w:rsidRPr="008F5717">
        <w:rPr>
          <w:rFonts w:cs="Arial"/>
        </w:rPr>
        <w:t xml:space="preserve">Some of the participants </w:t>
      </w:r>
      <w:r>
        <w:rPr>
          <w:rFonts w:cs="Arial"/>
        </w:rPr>
        <w:t xml:space="preserve">with adenoma, advanced adenoma or cancer </w:t>
      </w:r>
      <w:r w:rsidRPr="008F5717">
        <w:rPr>
          <w:rFonts w:cs="Arial"/>
        </w:rPr>
        <w:t>would have had more than one type of pathology; only the most serious type was recorded.</w:t>
      </w:r>
    </w:p>
    <w:p w:rsidR="009D76B7" w:rsidRPr="005751B7" w:rsidRDefault="009D76B7" w:rsidP="009D76B7">
      <w:pPr>
        <w:pStyle w:val="Heading4"/>
        <w:spacing w:line="360" w:lineRule="auto"/>
        <w:rPr>
          <w:rFonts w:cs="Arial"/>
          <w:b w:val="0"/>
        </w:rPr>
      </w:pPr>
      <w:bookmarkStart w:id="170" w:name="_Toc446344800"/>
      <w:r w:rsidRPr="005751B7">
        <w:rPr>
          <w:rFonts w:cs="Arial"/>
        </w:rPr>
        <w:t>Round 1</w:t>
      </w:r>
      <w:bookmarkEnd w:id="170"/>
    </w:p>
    <w:p w:rsidR="009D76B7" w:rsidRDefault="009D76B7" w:rsidP="009D76B7">
      <w:pPr>
        <w:rPr>
          <w:rFonts w:cs="Arial"/>
        </w:rPr>
      </w:pPr>
      <w:r w:rsidRPr="00744428">
        <w:rPr>
          <w:rFonts w:cs="Arial"/>
        </w:rPr>
        <w:t>The overall detection rate</w:t>
      </w:r>
      <w:r>
        <w:rPr>
          <w:rFonts w:cs="Arial"/>
        </w:rPr>
        <w:t xml:space="preserve"> per 1,000 screened f</w:t>
      </w:r>
      <w:r w:rsidRPr="00744428">
        <w:rPr>
          <w:rFonts w:cs="Arial"/>
        </w:rPr>
        <w:t>o</w:t>
      </w:r>
      <w:r>
        <w:rPr>
          <w:rFonts w:cs="Arial"/>
        </w:rPr>
        <w:t>r</w:t>
      </w:r>
      <w:r w:rsidRPr="00744428">
        <w:rPr>
          <w:rFonts w:cs="Arial"/>
        </w:rPr>
        <w:t xml:space="preserve"> adenoma was </w:t>
      </w:r>
      <w:r>
        <w:rPr>
          <w:rFonts w:cs="Arial"/>
        </w:rPr>
        <w:t>38.8</w:t>
      </w:r>
      <w:r w:rsidRPr="00744428">
        <w:rPr>
          <w:rFonts w:cs="Arial"/>
        </w:rPr>
        <w:t xml:space="preserve">, advanced adenoma </w:t>
      </w:r>
      <w:r>
        <w:rPr>
          <w:rFonts w:cs="Arial"/>
        </w:rPr>
        <w:t>was 16.7</w:t>
      </w:r>
      <w:r w:rsidRPr="00744428">
        <w:rPr>
          <w:rFonts w:cs="Arial"/>
        </w:rPr>
        <w:t xml:space="preserve"> and cancer </w:t>
      </w:r>
      <w:r>
        <w:rPr>
          <w:rFonts w:cs="Arial"/>
        </w:rPr>
        <w:t xml:space="preserve">was 3.1. </w:t>
      </w:r>
    </w:p>
    <w:p w:rsidR="009D76B7" w:rsidRDefault="009D76B7" w:rsidP="009D76B7">
      <w:pPr>
        <w:rPr>
          <w:rFonts w:cs="Arial"/>
        </w:rPr>
      </w:pPr>
      <w:r w:rsidRPr="002625CB">
        <w:rPr>
          <w:rFonts w:cs="Arial"/>
        </w:rPr>
        <w:t>Detection rates increased with increasing age</w:t>
      </w:r>
      <w:r>
        <w:rPr>
          <w:rFonts w:cs="Arial"/>
        </w:rPr>
        <w:t xml:space="preserve"> reflecting</w:t>
      </w:r>
      <w:r w:rsidRPr="008A104B">
        <w:rPr>
          <w:rFonts w:cs="Arial"/>
        </w:rPr>
        <w:t xml:space="preserve"> the natural history of adenomas and colorectal cancer.</w:t>
      </w:r>
    </w:p>
    <w:p w:rsidR="009D76B7" w:rsidRDefault="009D76B7" w:rsidP="009D76B7">
      <w:pPr>
        <w:rPr>
          <w:rFonts w:cs="Arial"/>
        </w:rPr>
      </w:pPr>
      <w:r>
        <w:rPr>
          <w:rFonts w:cs="Arial"/>
        </w:rPr>
        <w:t>Compared to 50</w:t>
      </w:r>
      <w:r w:rsidR="009C71ED">
        <w:rPr>
          <w:rFonts w:cs="Arial"/>
        </w:rPr>
        <w:t>–54-</w:t>
      </w:r>
      <w:r w:rsidRPr="00744428">
        <w:rPr>
          <w:rFonts w:cs="Arial"/>
        </w:rPr>
        <w:t>year</w:t>
      </w:r>
      <w:r>
        <w:rPr>
          <w:rFonts w:cs="Arial"/>
        </w:rPr>
        <w:t>-</w:t>
      </w:r>
      <w:r w:rsidRPr="00744428">
        <w:rPr>
          <w:rFonts w:cs="Arial"/>
        </w:rPr>
        <w:t>old</w:t>
      </w:r>
      <w:r>
        <w:rPr>
          <w:rFonts w:cs="Arial"/>
        </w:rPr>
        <w:t xml:space="preserve"> participants, detection of a colorectal cancer was more frequent for each age group except 55</w:t>
      </w:r>
      <w:r w:rsidR="009C71ED">
        <w:rPr>
          <w:rFonts w:cs="Arial"/>
        </w:rPr>
        <w:t>–59-</w:t>
      </w:r>
      <w:r>
        <w:rPr>
          <w:rFonts w:cs="Arial"/>
        </w:rPr>
        <w:t>year-olds. Adenoma and advanced adenoma were detected more frequently with increasing age.</w:t>
      </w:r>
    </w:p>
    <w:p w:rsidR="009D76B7" w:rsidRPr="00744428" w:rsidRDefault="009D76B7" w:rsidP="009D76B7">
      <w:pPr>
        <w:rPr>
          <w:rFonts w:cs="Arial"/>
        </w:rPr>
      </w:pPr>
      <w:r>
        <w:rPr>
          <w:rFonts w:cs="Arial"/>
        </w:rPr>
        <w:t xml:space="preserve">The </w:t>
      </w:r>
      <w:r w:rsidRPr="00744428">
        <w:rPr>
          <w:rFonts w:cs="Arial"/>
        </w:rPr>
        <w:t>70</w:t>
      </w:r>
      <w:r w:rsidR="009C71ED">
        <w:rPr>
          <w:rFonts w:cs="Arial"/>
        </w:rPr>
        <w:t>–74-</w:t>
      </w:r>
      <w:r w:rsidRPr="00744428">
        <w:rPr>
          <w:rFonts w:cs="Arial"/>
        </w:rPr>
        <w:t>year</w:t>
      </w:r>
      <w:r>
        <w:rPr>
          <w:rFonts w:cs="Arial"/>
        </w:rPr>
        <w:t>-</w:t>
      </w:r>
      <w:r w:rsidRPr="00744428">
        <w:rPr>
          <w:rFonts w:cs="Arial"/>
        </w:rPr>
        <w:t xml:space="preserve">old participants were </w:t>
      </w:r>
      <w:r>
        <w:rPr>
          <w:rFonts w:cs="Arial"/>
        </w:rPr>
        <w:t>more likely to have an adenoma,</w:t>
      </w:r>
      <w:r w:rsidRPr="00744428">
        <w:rPr>
          <w:rFonts w:cs="Arial"/>
        </w:rPr>
        <w:t xml:space="preserve"> advanced adenoma </w:t>
      </w:r>
      <w:r>
        <w:rPr>
          <w:rFonts w:cs="Arial"/>
        </w:rPr>
        <w:t>or</w:t>
      </w:r>
      <w:r w:rsidRPr="00744428">
        <w:rPr>
          <w:rFonts w:cs="Arial"/>
        </w:rPr>
        <w:t xml:space="preserve"> cancer detected than 50</w:t>
      </w:r>
      <w:r w:rsidR="009C71ED">
        <w:rPr>
          <w:rFonts w:cs="Arial"/>
        </w:rPr>
        <w:t>–54-</w:t>
      </w:r>
      <w:r w:rsidRPr="00744428">
        <w:rPr>
          <w:rFonts w:cs="Arial"/>
        </w:rPr>
        <w:t>year</w:t>
      </w:r>
      <w:r>
        <w:rPr>
          <w:rFonts w:cs="Arial"/>
        </w:rPr>
        <w:t>-</w:t>
      </w:r>
      <w:r w:rsidRPr="00744428">
        <w:rPr>
          <w:rFonts w:cs="Arial"/>
        </w:rPr>
        <w:t xml:space="preserve">old participants. </w:t>
      </w:r>
    </w:p>
    <w:p w:rsidR="009D76B7" w:rsidRDefault="009D76B7" w:rsidP="009D76B7">
      <w:pPr>
        <w:rPr>
          <w:rFonts w:cs="Arial"/>
        </w:rPr>
      </w:pPr>
      <w:r w:rsidRPr="00744428">
        <w:rPr>
          <w:rFonts w:cs="Arial"/>
        </w:rPr>
        <w:t xml:space="preserve">Males were </w:t>
      </w:r>
      <w:r>
        <w:rPr>
          <w:rFonts w:cs="Arial"/>
        </w:rPr>
        <w:t>more</w:t>
      </w:r>
      <w:r w:rsidRPr="00744428">
        <w:rPr>
          <w:rFonts w:cs="Arial"/>
        </w:rPr>
        <w:t xml:space="preserve"> likely to have an adenoma</w:t>
      </w:r>
      <w:r>
        <w:rPr>
          <w:rFonts w:cs="Arial"/>
        </w:rPr>
        <w:t>,</w:t>
      </w:r>
      <w:r w:rsidRPr="00744428">
        <w:rPr>
          <w:rFonts w:cs="Arial"/>
        </w:rPr>
        <w:t xml:space="preserve"> advanced adenoma</w:t>
      </w:r>
      <w:r>
        <w:rPr>
          <w:rFonts w:cs="Arial"/>
        </w:rPr>
        <w:t xml:space="preserve"> or</w:t>
      </w:r>
      <w:r w:rsidRPr="00744428">
        <w:rPr>
          <w:rFonts w:cs="Arial"/>
        </w:rPr>
        <w:t xml:space="preserve"> cancer detected than females</w:t>
      </w:r>
      <w:r>
        <w:rPr>
          <w:rFonts w:cs="Arial"/>
        </w:rPr>
        <w:t>.</w:t>
      </w:r>
      <w:r w:rsidRPr="00744428">
        <w:rPr>
          <w:rFonts w:cs="Arial"/>
        </w:rPr>
        <w:t xml:space="preserve"> </w:t>
      </w:r>
      <w:r w:rsidRPr="001806E5">
        <w:rPr>
          <w:rFonts w:cs="Arial"/>
        </w:rPr>
        <w:t>The difference between males and females existed at every age group for adenoma and advanced adenoma, and in the 65</w:t>
      </w:r>
      <w:r w:rsidR="009C71ED">
        <w:rPr>
          <w:rFonts w:cs="Arial"/>
        </w:rPr>
        <w:t>–</w:t>
      </w:r>
      <w:r w:rsidRPr="001806E5">
        <w:rPr>
          <w:rFonts w:cs="Arial"/>
        </w:rPr>
        <w:t>69 year</w:t>
      </w:r>
      <w:r>
        <w:rPr>
          <w:rFonts w:cs="Arial"/>
        </w:rPr>
        <w:t>s</w:t>
      </w:r>
      <w:r w:rsidRPr="001806E5">
        <w:rPr>
          <w:rFonts w:cs="Arial"/>
        </w:rPr>
        <w:t xml:space="preserve"> age group for cancer.</w:t>
      </w:r>
      <w:r>
        <w:rPr>
          <w:rFonts w:cs="Arial"/>
        </w:rPr>
        <w:t xml:space="preserve"> </w:t>
      </w:r>
    </w:p>
    <w:p w:rsidR="009D76B7" w:rsidRDefault="009D76B7" w:rsidP="009D76B7">
      <w:pPr>
        <w:rPr>
          <w:rFonts w:cs="Arial"/>
        </w:rPr>
      </w:pPr>
      <w:r w:rsidRPr="001806E5">
        <w:rPr>
          <w:rFonts w:cs="Arial"/>
        </w:rPr>
        <w:t>The difference between males and females for adenoma and advanced adenoma decreased with increasing age.</w:t>
      </w:r>
      <w:r w:rsidRPr="00744428">
        <w:rPr>
          <w:rFonts w:cs="Arial"/>
        </w:rPr>
        <w:t xml:space="preserve"> </w:t>
      </w:r>
    </w:p>
    <w:p w:rsidR="009D76B7" w:rsidRDefault="009D76B7" w:rsidP="009D76B7">
      <w:pPr>
        <w:rPr>
          <w:rFonts w:cs="Arial"/>
        </w:rPr>
      </w:pPr>
      <w:r w:rsidRPr="001806E5">
        <w:rPr>
          <w:rFonts w:cs="Arial"/>
        </w:rPr>
        <w:t xml:space="preserve">Asians were </w:t>
      </w:r>
      <w:r>
        <w:rPr>
          <w:rFonts w:cs="Arial"/>
        </w:rPr>
        <w:t xml:space="preserve">about 1.5 times </w:t>
      </w:r>
      <w:r w:rsidRPr="001806E5">
        <w:rPr>
          <w:rFonts w:cs="Arial"/>
        </w:rPr>
        <w:t xml:space="preserve">less likely than European/Other to have an advanced adenoma detected. </w:t>
      </w:r>
      <w:r>
        <w:rPr>
          <w:rFonts w:cs="Arial"/>
        </w:rPr>
        <w:t xml:space="preserve">The difference was similar for each age group. </w:t>
      </w:r>
    </w:p>
    <w:p w:rsidR="009D76B7" w:rsidRDefault="009D76B7" w:rsidP="009D76B7">
      <w:pPr>
        <w:rPr>
          <w:rFonts w:cs="Arial"/>
        </w:rPr>
      </w:pPr>
      <w:r>
        <w:rPr>
          <w:rFonts w:cs="Arial"/>
        </w:rPr>
        <w:t>Asian males were less likely to have an adenoma or</w:t>
      </w:r>
      <w:r w:rsidRPr="001806E5">
        <w:rPr>
          <w:rFonts w:cs="Arial"/>
        </w:rPr>
        <w:t xml:space="preserve"> </w:t>
      </w:r>
      <w:r>
        <w:rPr>
          <w:rFonts w:cs="Arial"/>
        </w:rPr>
        <w:t xml:space="preserve">advanced adenoma detected than </w:t>
      </w:r>
      <w:r w:rsidRPr="001806E5">
        <w:rPr>
          <w:rFonts w:cs="Arial"/>
        </w:rPr>
        <w:t xml:space="preserve">European/Other </w:t>
      </w:r>
      <w:r>
        <w:rPr>
          <w:rFonts w:cs="Arial"/>
        </w:rPr>
        <w:t>males.</w:t>
      </w:r>
    </w:p>
    <w:p w:rsidR="009D76B7" w:rsidRDefault="009D76B7" w:rsidP="009D76B7">
      <w:pPr>
        <w:rPr>
          <w:rFonts w:cs="Arial"/>
        </w:rPr>
      </w:pPr>
      <w:r w:rsidRPr="001806E5">
        <w:rPr>
          <w:rFonts w:cs="Arial"/>
        </w:rPr>
        <w:t xml:space="preserve">Pacific people were less likely than European/Other to have an adenoma </w:t>
      </w:r>
      <w:r>
        <w:rPr>
          <w:rFonts w:cs="Arial"/>
        </w:rPr>
        <w:t xml:space="preserve">or </w:t>
      </w:r>
      <w:r w:rsidRPr="001806E5">
        <w:rPr>
          <w:rFonts w:cs="Arial"/>
        </w:rPr>
        <w:t xml:space="preserve">advanced adenoma detected. </w:t>
      </w:r>
    </w:p>
    <w:p w:rsidR="009D76B7" w:rsidRDefault="009D76B7" w:rsidP="009D76B7">
      <w:pPr>
        <w:rPr>
          <w:rFonts w:cs="Arial"/>
        </w:rPr>
      </w:pPr>
      <w:r>
        <w:rPr>
          <w:rFonts w:cs="Arial"/>
        </w:rPr>
        <w:t xml:space="preserve">Pacific males were over 1.5 times less likely to have an adenoma detected than </w:t>
      </w:r>
      <w:r w:rsidRPr="001806E5">
        <w:rPr>
          <w:rFonts w:cs="Arial"/>
        </w:rPr>
        <w:t>European/Other</w:t>
      </w:r>
      <w:r>
        <w:rPr>
          <w:rFonts w:cs="Arial"/>
        </w:rPr>
        <w:t xml:space="preserve"> males.</w:t>
      </w:r>
    </w:p>
    <w:p w:rsidR="009D76B7" w:rsidRPr="00744428" w:rsidRDefault="009D76B7" w:rsidP="009D76B7">
      <w:pPr>
        <w:rPr>
          <w:rFonts w:cs="Arial"/>
        </w:rPr>
      </w:pPr>
      <w:r w:rsidRPr="00744428">
        <w:rPr>
          <w:rFonts w:cs="Arial"/>
        </w:rPr>
        <w:t xml:space="preserve">Māori </w:t>
      </w:r>
      <w:r w:rsidRPr="00A764FC">
        <w:rPr>
          <w:rFonts w:cs="Arial"/>
          <w:noProof/>
        </w:rPr>
        <w:t>were</w:t>
      </w:r>
      <w:r w:rsidRPr="00744428">
        <w:rPr>
          <w:rFonts w:cs="Arial"/>
        </w:rPr>
        <w:t xml:space="preserve"> </w:t>
      </w:r>
      <w:r>
        <w:rPr>
          <w:rFonts w:cs="Arial"/>
        </w:rPr>
        <w:t>slightly</w:t>
      </w:r>
      <w:r w:rsidRPr="00744428">
        <w:rPr>
          <w:rFonts w:cs="Arial"/>
        </w:rPr>
        <w:t xml:space="preserve"> more likely to have an adenoma detected than European</w:t>
      </w:r>
      <w:r>
        <w:rPr>
          <w:rFonts w:cs="Arial"/>
        </w:rPr>
        <w:t>/Other</w:t>
      </w:r>
      <w:r w:rsidRPr="00744428">
        <w:rPr>
          <w:rFonts w:cs="Arial"/>
        </w:rPr>
        <w:t>.</w:t>
      </w:r>
    </w:p>
    <w:p w:rsidR="009D76B7" w:rsidRDefault="009D76B7" w:rsidP="009D76B7">
      <w:pPr>
        <w:rPr>
          <w:rFonts w:cs="Arial"/>
        </w:rPr>
      </w:pPr>
      <w:r w:rsidRPr="00744428">
        <w:rPr>
          <w:rFonts w:cs="Arial"/>
        </w:rPr>
        <w:t>Māori</w:t>
      </w:r>
      <w:r>
        <w:rPr>
          <w:rFonts w:cs="Arial"/>
        </w:rPr>
        <w:t xml:space="preserve"> aged 60</w:t>
      </w:r>
      <w:r w:rsidR="009C71ED">
        <w:rPr>
          <w:rFonts w:cs="Arial"/>
        </w:rPr>
        <w:t>–</w:t>
      </w:r>
      <w:r>
        <w:rPr>
          <w:rFonts w:cs="Arial"/>
        </w:rPr>
        <w:t>69 years were 1.5 times more likely to have an adenoma detected than European/Other of the same age.</w:t>
      </w:r>
    </w:p>
    <w:p w:rsidR="009D76B7" w:rsidRPr="00BD2935" w:rsidRDefault="009D76B7" w:rsidP="009D76B7">
      <w:pPr>
        <w:rPr>
          <w:rFonts w:cs="Arial"/>
        </w:rPr>
      </w:pPr>
      <w:r w:rsidRPr="001430A3">
        <w:rPr>
          <w:rFonts w:cs="Arial"/>
        </w:rPr>
        <w:t xml:space="preserve">Detection rates were highest </w:t>
      </w:r>
      <w:r>
        <w:rPr>
          <w:rFonts w:cs="Arial"/>
        </w:rPr>
        <w:t xml:space="preserve">among those from </w:t>
      </w:r>
      <w:r w:rsidRPr="001430A3">
        <w:rPr>
          <w:rFonts w:cs="Arial"/>
        </w:rPr>
        <w:t>the most deprived quintile areas</w:t>
      </w:r>
      <w:r>
        <w:rPr>
          <w:rFonts w:cs="Arial"/>
        </w:rPr>
        <w:t xml:space="preserve"> </w:t>
      </w:r>
      <w:r w:rsidRPr="00BD2935">
        <w:rPr>
          <w:rFonts w:cs="Arial"/>
        </w:rPr>
        <w:t>(NZDep 7</w:t>
      </w:r>
      <w:r w:rsidR="009C71ED" w:rsidRPr="00BD2935">
        <w:rPr>
          <w:rFonts w:cs="Arial"/>
        </w:rPr>
        <w:t>–</w:t>
      </w:r>
      <w:r w:rsidRPr="00BD2935">
        <w:rPr>
          <w:rFonts w:cs="Arial"/>
        </w:rPr>
        <w:t>8 and 9</w:t>
      </w:r>
      <w:r w:rsidR="009C71ED" w:rsidRPr="00BD2935">
        <w:rPr>
          <w:rFonts w:cs="Arial"/>
        </w:rPr>
        <w:t>–</w:t>
      </w:r>
      <w:r w:rsidRPr="00BD2935">
        <w:rPr>
          <w:rFonts w:cs="Arial"/>
        </w:rPr>
        <w:t xml:space="preserve">10). </w:t>
      </w:r>
    </w:p>
    <w:p w:rsidR="009D76B7" w:rsidRPr="005751B7" w:rsidRDefault="009D76B7" w:rsidP="009D76B7">
      <w:pPr>
        <w:pStyle w:val="Heading4"/>
        <w:spacing w:line="360" w:lineRule="auto"/>
        <w:rPr>
          <w:rFonts w:cs="Arial"/>
          <w:b w:val="0"/>
        </w:rPr>
      </w:pPr>
      <w:bookmarkStart w:id="171" w:name="_Toc446344801"/>
      <w:r w:rsidRPr="00BD2935">
        <w:rPr>
          <w:rFonts w:cs="Arial"/>
        </w:rPr>
        <w:t>Round 2</w:t>
      </w:r>
      <w:bookmarkEnd w:id="171"/>
      <w:r w:rsidRPr="005751B7">
        <w:rPr>
          <w:rFonts w:cs="Arial"/>
        </w:rPr>
        <w:t xml:space="preserve"> </w:t>
      </w:r>
    </w:p>
    <w:p w:rsidR="009D76B7" w:rsidRDefault="009D76B7" w:rsidP="009D76B7">
      <w:pPr>
        <w:rPr>
          <w:rFonts w:cs="Arial"/>
        </w:rPr>
      </w:pPr>
      <w:r w:rsidRPr="00744428">
        <w:rPr>
          <w:rFonts w:cs="Arial"/>
        </w:rPr>
        <w:t xml:space="preserve">The overall detection rate of adenoma was </w:t>
      </w:r>
      <w:r>
        <w:rPr>
          <w:rFonts w:cs="Arial"/>
        </w:rPr>
        <w:t>24.8 per 1,000</w:t>
      </w:r>
      <w:r w:rsidRPr="00744428">
        <w:rPr>
          <w:rFonts w:cs="Arial"/>
        </w:rPr>
        <w:t xml:space="preserve">, advanced adenoma </w:t>
      </w:r>
      <w:r>
        <w:rPr>
          <w:rFonts w:cs="Arial"/>
        </w:rPr>
        <w:t>was 8.6 per 1,000</w:t>
      </w:r>
      <w:r w:rsidRPr="00744428">
        <w:rPr>
          <w:rFonts w:cs="Arial"/>
        </w:rPr>
        <w:t xml:space="preserve">, and cancer </w:t>
      </w:r>
      <w:r>
        <w:rPr>
          <w:rFonts w:cs="Arial"/>
        </w:rPr>
        <w:t>was 1.6 per 1,000</w:t>
      </w:r>
      <w:r w:rsidRPr="00744428">
        <w:rPr>
          <w:rFonts w:cs="Arial"/>
        </w:rPr>
        <w:t xml:space="preserve">. </w:t>
      </w:r>
    </w:p>
    <w:p w:rsidR="009D76B7" w:rsidRPr="005751B7" w:rsidRDefault="009D76B7" w:rsidP="009D76B7">
      <w:pPr>
        <w:pStyle w:val="Heading4"/>
        <w:spacing w:line="360" w:lineRule="auto"/>
        <w:rPr>
          <w:rFonts w:cs="Arial"/>
          <w:b w:val="0"/>
          <w:i/>
        </w:rPr>
      </w:pPr>
      <w:bookmarkStart w:id="172" w:name="_Toc446344802"/>
      <w:r w:rsidRPr="005751B7">
        <w:rPr>
          <w:rFonts w:cs="Arial"/>
          <w:i/>
        </w:rPr>
        <w:t>Completed Round 1, negative iFOBT</w:t>
      </w:r>
      <w:bookmarkEnd w:id="172"/>
    </w:p>
    <w:p w:rsidR="009D76B7" w:rsidRPr="00DF4BDF" w:rsidRDefault="009D76B7" w:rsidP="009D76B7">
      <w:pPr>
        <w:rPr>
          <w:rFonts w:cs="Arial"/>
        </w:rPr>
      </w:pPr>
      <w:r w:rsidRPr="00DF4BDF">
        <w:rPr>
          <w:rFonts w:cs="Arial"/>
        </w:rPr>
        <w:t>The overall detection rate per 1,000</w:t>
      </w:r>
      <w:r>
        <w:rPr>
          <w:rFonts w:cs="Arial"/>
        </w:rPr>
        <w:t xml:space="preserve"> screened for</w:t>
      </w:r>
      <w:r w:rsidRPr="00DF4BDF">
        <w:rPr>
          <w:rFonts w:cs="Arial"/>
        </w:rPr>
        <w:t xml:space="preserve"> adenoma was 22.9</w:t>
      </w:r>
      <w:r>
        <w:rPr>
          <w:rFonts w:cs="Arial"/>
        </w:rPr>
        <w:t xml:space="preserve">, </w:t>
      </w:r>
      <w:r w:rsidRPr="00DF4BDF">
        <w:rPr>
          <w:rFonts w:cs="Arial"/>
        </w:rPr>
        <w:t xml:space="preserve">advanced adenoma was 7.0 and cancer was 1.3. </w:t>
      </w:r>
    </w:p>
    <w:p w:rsidR="009D76B7" w:rsidRPr="001017E9" w:rsidRDefault="009D76B7" w:rsidP="009D76B7">
      <w:pPr>
        <w:rPr>
          <w:rFonts w:cs="Arial"/>
        </w:rPr>
      </w:pPr>
      <w:r w:rsidRPr="001017E9">
        <w:rPr>
          <w:rFonts w:cs="Arial"/>
        </w:rPr>
        <w:t>Adenoma detection rates increased with increasing age</w:t>
      </w:r>
      <w:r>
        <w:rPr>
          <w:rFonts w:cs="Arial"/>
        </w:rPr>
        <w:t>.</w:t>
      </w:r>
    </w:p>
    <w:p w:rsidR="009D76B7" w:rsidRPr="00744187" w:rsidRDefault="009D76B7" w:rsidP="009D76B7">
      <w:pPr>
        <w:rPr>
          <w:rFonts w:cs="Arial"/>
        </w:rPr>
      </w:pPr>
      <w:r w:rsidRPr="00744187">
        <w:rPr>
          <w:rFonts w:cs="Arial"/>
        </w:rPr>
        <w:t xml:space="preserve">Males were </w:t>
      </w:r>
      <w:r>
        <w:rPr>
          <w:rFonts w:cs="Arial"/>
        </w:rPr>
        <w:t>more</w:t>
      </w:r>
      <w:r w:rsidRPr="00744187">
        <w:rPr>
          <w:rFonts w:cs="Arial"/>
        </w:rPr>
        <w:t xml:space="preserve"> likely to have an adenoma or advanced adenoma detected than females</w:t>
      </w:r>
      <w:r w:rsidRPr="00D012EF">
        <w:rPr>
          <w:rFonts w:cs="Arial"/>
          <w:i/>
        </w:rPr>
        <w:t xml:space="preserve">. </w:t>
      </w:r>
      <w:r w:rsidRPr="00744187">
        <w:rPr>
          <w:rFonts w:cs="Arial"/>
        </w:rPr>
        <w:t xml:space="preserve">The difference between males and females for adenoma </w:t>
      </w:r>
      <w:r w:rsidRPr="00A764FC">
        <w:rPr>
          <w:rFonts w:cs="Arial"/>
          <w:noProof/>
        </w:rPr>
        <w:t>generally</w:t>
      </w:r>
      <w:r w:rsidRPr="00744187">
        <w:rPr>
          <w:rFonts w:cs="Arial"/>
        </w:rPr>
        <w:t xml:space="preserve"> decreased with increasing age. </w:t>
      </w:r>
    </w:p>
    <w:p w:rsidR="009D76B7" w:rsidRPr="00D012EF" w:rsidRDefault="009D76B7" w:rsidP="009D76B7">
      <w:pPr>
        <w:rPr>
          <w:rFonts w:cs="Arial"/>
          <w:i/>
        </w:rPr>
      </w:pPr>
      <w:r w:rsidRPr="00A764FC">
        <w:rPr>
          <w:rFonts w:cs="Arial"/>
          <w:noProof/>
        </w:rPr>
        <w:t>Females</w:t>
      </w:r>
      <w:r w:rsidRPr="00744187">
        <w:rPr>
          <w:rFonts w:cs="Arial"/>
        </w:rPr>
        <w:t xml:space="preserve"> aged 70</w:t>
      </w:r>
      <w:r w:rsidR="009C71ED">
        <w:rPr>
          <w:rFonts w:cs="Arial"/>
        </w:rPr>
        <w:t>–</w:t>
      </w:r>
      <w:r w:rsidRPr="00744187">
        <w:rPr>
          <w:rFonts w:cs="Arial"/>
        </w:rPr>
        <w:t xml:space="preserve">74 years were more likely to have an adenoma </w:t>
      </w:r>
      <w:r>
        <w:rPr>
          <w:rFonts w:cs="Arial"/>
        </w:rPr>
        <w:t>or</w:t>
      </w:r>
      <w:r w:rsidRPr="00744187">
        <w:rPr>
          <w:rFonts w:cs="Arial"/>
        </w:rPr>
        <w:t xml:space="preserve"> advanced adenoma detected </w:t>
      </w:r>
      <w:r>
        <w:rPr>
          <w:rFonts w:cs="Arial"/>
        </w:rPr>
        <w:t>than</w:t>
      </w:r>
      <w:r w:rsidRPr="00744187">
        <w:rPr>
          <w:rFonts w:cs="Arial"/>
        </w:rPr>
        <w:t xml:space="preserve"> </w:t>
      </w:r>
      <w:r w:rsidRPr="00A764FC">
        <w:rPr>
          <w:rFonts w:cs="Arial"/>
          <w:noProof/>
        </w:rPr>
        <w:t>50</w:t>
      </w:r>
      <w:r w:rsidR="009C71ED">
        <w:rPr>
          <w:rFonts w:cs="Arial"/>
          <w:noProof/>
        </w:rPr>
        <w:t>–54-</w:t>
      </w:r>
      <w:r w:rsidRPr="00A764FC">
        <w:rPr>
          <w:rFonts w:cs="Arial"/>
          <w:noProof/>
        </w:rPr>
        <w:t>year-old</w:t>
      </w:r>
      <w:r w:rsidRPr="00744187">
        <w:rPr>
          <w:rFonts w:cs="Arial"/>
        </w:rPr>
        <w:t xml:space="preserve"> </w:t>
      </w:r>
      <w:r w:rsidRPr="00A764FC">
        <w:rPr>
          <w:rFonts w:cs="Arial"/>
          <w:noProof/>
        </w:rPr>
        <w:t>females</w:t>
      </w:r>
      <w:r w:rsidRPr="00D012EF">
        <w:rPr>
          <w:rFonts w:cs="Arial"/>
          <w:i/>
        </w:rPr>
        <w:t>.</w:t>
      </w:r>
    </w:p>
    <w:p w:rsidR="009D76B7" w:rsidRPr="00744187" w:rsidRDefault="009D76B7" w:rsidP="009D76B7">
      <w:pPr>
        <w:rPr>
          <w:rFonts w:cs="Arial"/>
        </w:rPr>
      </w:pPr>
      <w:r w:rsidRPr="00744187">
        <w:rPr>
          <w:rFonts w:cs="Arial"/>
        </w:rPr>
        <w:t>Males aged 70</w:t>
      </w:r>
      <w:r w:rsidR="009C71ED">
        <w:rPr>
          <w:rFonts w:cs="Arial"/>
        </w:rPr>
        <w:t>–</w:t>
      </w:r>
      <w:r w:rsidRPr="00744187">
        <w:rPr>
          <w:rFonts w:cs="Arial"/>
        </w:rPr>
        <w:t xml:space="preserve">74 years were </w:t>
      </w:r>
      <w:r>
        <w:rPr>
          <w:rFonts w:cs="Arial"/>
        </w:rPr>
        <w:t>more</w:t>
      </w:r>
      <w:r w:rsidRPr="00744187">
        <w:rPr>
          <w:rFonts w:cs="Arial"/>
        </w:rPr>
        <w:t xml:space="preserve"> likely to have an adenoma detected </w:t>
      </w:r>
      <w:r>
        <w:rPr>
          <w:rFonts w:cs="Arial"/>
        </w:rPr>
        <w:t>than</w:t>
      </w:r>
      <w:r w:rsidRPr="00744187">
        <w:rPr>
          <w:rFonts w:cs="Arial"/>
        </w:rPr>
        <w:t xml:space="preserve"> </w:t>
      </w:r>
      <w:r w:rsidRPr="00A764FC">
        <w:rPr>
          <w:rFonts w:cs="Arial"/>
          <w:noProof/>
        </w:rPr>
        <w:t>50</w:t>
      </w:r>
      <w:r w:rsidR="009C71ED">
        <w:rPr>
          <w:rFonts w:cs="Arial"/>
          <w:noProof/>
        </w:rPr>
        <w:t>–54-</w:t>
      </w:r>
      <w:r w:rsidRPr="00A764FC">
        <w:rPr>
          <w:rFonts w:cs="Arial"/>
          <w:noProof/>
        </w:rPr>
        <w:t>year-old</w:t>
      </w:r>
      <w:r w:rsidRPr="00744187">
        <w:rPr>
          <w:rFonts w:cs="Arial"/>
        </w:rPr>
        <w:t xml:space="preserve"> males.</w:t>
      </w:r>
    </w:p>
    <w:p w:rsidR="009D76B7" w:rsidRPr="00540EAD" w:rsidRDefault="009D76B7" w:rsidP="009D76B7">
      <w:pPr>
        <w:rPr>
          <w:rFonts w:cs="Arial"/>
        </w:rPr>
      </w:pPr>
      <w:r w:rsidRPr="00540EAD">
        <w:rPr>
          <w:rFonts w:cs="Arial"/>
        </w:rPr>
        <w:t xml:space="preserve">Māori </w:t>
      </w:r>
      <w:r w:rsidRPr="00A764FC">
        <w:rPr>
          <w:rFonts w:cs="Arial"/>
          <w:noProof/>
        </w:rPr>
        <w:t>were</w:t>
      </w:r>
      <w:r w:rsidRPr="00540EAD">
        <w:rPr>
          <w:rFonts w:cs="Arial"/>
        </w:rPr>
        <w:t xml:space="preserve"> </w:t>
      </w:r>
      <w:r>
        <w:rPr>
          <w:rFonts w:cs="Arial"/>
        </w:rPr>
        <w:t>more</w:t>
      </w:r>
      <w:r w:rsidRPr="00540EAD">
        <w:rPr>
          <w:rFonts w:cs="Arial"/>
        </w:rPr>
        <w:t xml:space="preserve"> likely to have an adenoma detected than European/Other</w:t>
      </w:r>
      <w:r>
        <w:rPr>
          <w:rFonts w:cs="Arial"/>
        </w:rPr>
        <w:t xml:space="preserve"> participants</w:t>
      </w:r>
      <w:r w:rsidRPr="00540EAD">
        <w:rPr>
          <w:rFonts w:cs="Arial"/>
        </w:rPr>
        <w:t>.</w:t>
      </w:r>
    </w:p>
    <w:p w:rsidR="009D76B7" w:rsidRPr="00540EAD" w:rsidRDefault="009D76B7" w:rsidP="009D76B7">
      <w:pPr>
        <w:rPr>
          <w:rFonts w:cs="Arial"/>
        </w:rPr>
      </w:pPr>
      <w:r w:rsidRPr="00540EAD">
        <w:rPr>
          <w:rFonts w:cs="Arial"/>
        </w:rPr>
        <w:t xml:space="preserve">Māori males were </w:t>
      </w:r>
      <w:r>
        <w:rPr>
          <w:rFonts w:cs="Arial"/>
        </w:rPr>
        <w:t>twice as</w:t>
      </w:r>
      <w:r w:rsidRPr="00540EAD">
        <w:rPr>
          <w:rFonts w:cs="Arial"/>
        </w:rPr>
        <w:t xml:space="preserve"> likely to have an adenoma </w:t>
      </w:r>
      <w:r w:rsidRPr="00A764FC">
        <w:rPr>
          <w:rFonts w:cs="Arial"/>
          <w:noProof/>
        </w:rPr>
        <w:t>detected</w:t>
      </w:r>
      <w:r w:rsidRPr="00540EAD">
        <w:rPr>
          <w:rFonts w:cs="Arial"/>
        </w:rPr>
        <w:t xml:space="preserve"> </w:t>
      </w:r>
      <w:r>
        <w:rPr>
          <w:rFonts w:cs="Arial"/>
        </w:rPr>
        <w:t>as</w:t>
      </w:r>
      <w:r w:rsidRPr="00540EAD">
        <w:rPr>
          <w:rFonts w:cs="Arial"/>
        </w:rPr>
        <w:t xml:space="preserve"> European/Other </w:t>
      </w:r>
      <w:r w:rsidRPr="00A764FC">
        <w:rPr>
          <w:rFonts w:cs="Arial"/>
          <w:noProof/>
        </w:rPr>
        <w:t>males</w:t>
      </w:r>
      <w:r w:rsidRPr="00540EAD">
        <w:rPr>
          <w:rFonts w:cs="Arial"/>
        </w:rPr>
        <w:t>.</w:t>
      </w:r>
    </w:p>
    <w:p w:rsidR="009D76B7" w:rsidRPr="00540EAD" w:rsidRDefault="009D76B7" w:rsidP="009D76B7">
      <w:pPr>
        <w:rPr>
          <w:rFonts w:cs="Arial"/>
        </w:rPr>
      </w:pPr>
      <w:r w:rsidRPr="00540EAD">
        <w:rPr>
          <w:rFonts w:cs="Arial"/>
        </w:rPr>
        <w:t>Pacific</w:t>
      </w:r>
      <w:r>
        <w:rPr>
          <w:rFonts w:cs="Arial"/>
        </w:rPr>
        <w:t xml:space="preserve"> people</w:t>
      </w:r>
      <w:r w:rsidRPr="00540EAD">
        <w:rPr>
          <w:rFonts w:cs="Arial"/>
        </w:rPr>
        <w:t xml:space="preserve"> aged 70</w:t>
      </w:r>
      <w:r w:rsidR="009C71ED">
        <w:rPr>
          <w:rFonts w:cs="Arial"/>
        </w:rPr>
        <w:t>–</w:t>
      </w:r>
      <w:r w:rsidRPr="00540EAD">
        <w:rPr>
          <w:rFonts w:cs="Arial"/>
        </w:rPr>
        <w:t>74 years and Māori aged 50</w:t>
      </w:r>
      <w:r w:rsidR="009C71ED">
        <w:rPr>
          <w:rFonts w:cs="Arial"/>
        </w:rPr>
        <w:t>–</w:t>
      </w:r>
      <w:r w:rsidRPr="00540EAD">
        <w:rPr>
          <w:rFonts w:cs="Arial"/>
        </w:rPr>
        <w:t xml:space="preserve">59 years were </w:t>
      </w:r>
      <w:r>
        <w:rPr>
          <w:rFonts w:cs="Arial"/>
        </w:rPr>
        <w:t>more</w:t>
      </w:r>
      <w:r w:rsidRPr="00540EAD">
        <w:rPr>
          <w:rFonts w:cs="Arial"/>
        </w:rPr>
        <w:t xml:space="preserve"> likely to have an adenoma detected than European/Other of the same ages.</w:t>
      </w:r>
    </w:p>
    <w:p w:rsidR="009D76B7" w:rsidRPr="00540EAD" w:rsidRDefault="009D76B7" w:rsidP="009D76B7">
      <w:pPr>
        <w:rPr>
          <w:rFonts w:cs="Arial"/>
        </w:rPr>
      </w:pPr>
      <w:r w:rsidRPr="00A764FC">
        <w:rPr>
          <w:rFonts w:cs="Arial"/>
          <w:noProof/>
        </w:rPr>
        <w:t>Whilst</w:t>
      </w:r>
      <w:r w:rsidRPr="00540EAD">
        <w:rPr>
          <w:rFonts w:cs="Arial"/>
        </w:rPr>
        <w:t xml:space="preserve"> </w:t>
      </w:r>
      <w:r w:rsidRPr="00BD2935">
        <w:rPr>
          <w:rFonts w:cs="Arial"/>
        </w:rPr>
        <w:t>participants from the most deprived quintile area (NZDep 9</w:t>
      </w:r>
      <w:r w:rsidR="009C71ED" w:rsidRPr="00BD2935">
        <w:rPr>
          <w:rFonts w:cs="Arial"/>
        </w:rPr>
        <w:t>–</w:t>
      </w:r>
      <w:r w:rsidRPr="00BD2935">
        <w:rPr>
          <w:rFonts w:cs="Arial"/>
        </w:rPr>
        <w:t xml:space="preserve">10) were more likely to have an adenoma or advanced adenoma detected than participants from the least deprived quintile area (NZDep Index 1-2), detection of both </w:t>
      </w:r>
      <w:r w:rsidRPr="00BD2935">
        <w:rPr>
          <w:rFonts w:cs="Arial"/>
          <w:noProof/>
        </w:rPr>
        <w:t>was similarly increased</w:t>
      </w:r>
      <w:r w:rsidRPr="00BD2935">
        <w:rPr>
          <w:rFonts w:cs="Arial"/>
        </w:rPr>
        <w:t xml:space="preserve"> for NZDep 3</w:t>
      </w:r>
      <w:r w:rsidR="009C71ED" w:rsidRPr="00BD2935">
        <w:rPr>
          <w:rFonts w:cs="Arial"/>
        </w:rPr>
        <w:t>–</w:t>
      </w:r>
      <w:r w:rsidRPr="00BD2935">
        <w:rPr>
          <w:rFonts w:cs="Arial"/>
        </w:rPr>
        <w:t xml:space="preserve">4 </w:t>
      </w:r>
      <w:r w:rsidRPr="00BD2935">
        <w:rPr>
          <w:rFonts w:cs="Arial"/>
          <w:noProof/>
        </w:rPr>
        <w:t>participants</w:t>
      </w:r>
      <w:r w:rsidRPr="00BD2935">
        <w:rPr>
          <w:rFonts w:cs="Arial"/>
        </w:rPr>
        <w:t>.</w:t>
      </w:r>
    </w:p>
    <w:p w:rsidR="009D76B7" w:rsidRDefault="009D76B7" w:rsidP="009D76B7">
      <w:pPr>
        <w:rPr>
          <w:rFonts w:cs="Arial"/>
          <w:i/>
        </w:rPr>
      </w:pPr>
      <w:r w:rsidRPr="00804192">
        <w:rPr>
          <w:rFonts w:cs="Arial"/>
        </w:rPr>
        <w:t xml:space="preserve">Trends </w:t>
      </w:r>
      <w:r>
        <w:rPr>
          <w:rFonts w:cs="Arial"/>
        </w:rPr>
        <w:t>by</w:t>
      </w:r>
      <w:r w:rsidRPr="00804192">
        <w:rPr>
          <w:rFonts w:cs="Arial"/>
        </w:rPr>
        <w:t xml:space="preserve"> age</w:t>
      </w:r>
      <w:r>
        <w:rPr>
          <w:rFonts w:cs="Arial"/>
        </w:rPr>
        <w:t>,</w:t>
      </w:r>
      <w:r w:rsidRPr="00804192">
        <w:rPr>
          <w:rFonts w:cs="Arial"/>
        </w:rPr>
        <w:t xml:space="preserve"> sex</w:t>
      </w:r>
      <w:r>
        <w:rPr>
          <w:rFonts w:cs="Arial"/>
        </w:rPr>
        <w:t xml:space="preserve"> and</w:t>
      </w:r>
      <w:r w:rsidRPr="00804192">
        <w:rPr>
          <w:rFonts w:cs="Arial"/>
        </w:rPr>
        <w:t xml:space="preserve"> </w:t>
      </w:r>
      <w:r w:rsidRPr="0084230D">
        <w:rPr>
          <w:rFonts w:cs="Arial"/>
        </w:rPr>
        <w:t xml:space="preserve">Māori </w:t>
      </w:r>
      <w:r>
        <w:rPr>
          <w:rFonts w:cs="Arial"/>
        </w:rPr>
        <w:t>ethnicity for adenoma</w:t>
      </w:r>
      <w:r w:rsidRPr="00804192">
        <w:rPr>
          <w:rFonts w:cs="Arial"/>
        </w:rPr>
        <w:t xml:space="preserve"> were </w:t>
      </w:r>
      <w:r>
        <w:rPr>
          <w:rFonts w:cs="Arial"/>
        </w:rPr>
        <w:t>similar to</w:t>
      </w:r>
      <w:r w:rsidRPr="00804192">
        <w:rPr>
          <w:rFonts w:cs="Arial"/>
        </w:rPr>
        <w:t xml:space="preserve"> those found in Round </w:t>
      </w:r>
      <w:r>
        <w:rPr>
          <w:rFonts w:cs="Arial"/>
        </w:rPr>
        <w:t>1.</w:t>
      </w:r>
    </w:p>
    <w:p w:rsidR="009D76B7" w:rsidRPr="008E6963" w:rsidRDefault="009D76B7" w:rsidP="009D76B7">
      <w:pPr>
        <w:pStyle w:val="Heading4"/>
        <w:spacing w:line="360" w:lineRule="auto"/>
        <w:rPr>
          <w:rFonts w:cs="Arial"/>
          <w:b w:val="0"/>
          <w:i/>
        </w:rPr>
      </w:pPr>
      <w:bookmarkStart w:id="173" w:name="_Toc446344803"/>
      <w:r>
        <w:rPr>
          <w:rFonts w:cs="Arial"/>
          <w:i/>
        </w:rPr>
        <w:t>Did n</w:t>
      </w:r>
      <w:r w:rsidRPr="008E6963">
        <w:rPr>
          <w:rFonts w:cs="Arial"/>
          <w:i/>
        </w:rPr>
        <w:t>ot complete Round 1</w:t>
      </w:r>
      <w:bookmarkEnd w:id="173"/>
    </w:p>
    <w:p w:rsidR="009D76B7" w:rsidRPr="008F5717" w:rsidRDefault="009D76B7" w:rsidP="009D76B7">
      <w:pPr>
        <w:rPr>
          <w:rFonts w:cs="Arial"/>
        </w:rPr>
      </w:pPr>
      <w:r w:rsidRPr="008F5717">
        <w:rPr>
          <w:rFonts w:cs="Arial"/>
        </w:rPr>
        <w:t>The overall detection rate per 1,000</w:t>
      </w:r>
      <w:r>
        <w:rPr>
          <w:rFonts w:cs="Arial"/>
        </w:rPr>
        <w:t xml:space="preserve"> screened for </w:t>
      </w:r>
      <w:r w:rsidRPr="008F5717">
        <w:rPr>
          <w:rFonts w:cs="Arial"/>
        </w:rPr>
        <w:t xml:space="preserve">adenoma was </w:t>
      </w:r>
      <w:r>
        <w:rPr>
          <w:rFonts w:cs="Arial"/>
        </w:rPr>
        <w:t>36</w:t>
      </w:r>
      <w:r w:rsidRPr="008F5717">
        <w:rPr>
          <w:rFonts w:cs="Arial"/>
        </w:rPr>
        <w:t>.</w:t>
      </w:r>
      <w:r>
        <w:rPr>
          <w:rFonts w:cs="Arial"/>
        </w:rPr>
        <w:t>7</w:t>
      </w:r>
      <w:r w:rsidRPr="008F5717">
        <w:rPr>
          <w:rFonts w:cs="Arial"/>
        </w:rPr>
        <w:t xml:space="preserve">, advanced adenoma was </w:t>
      </w:r>
      <w:r>
        <w:rPr>
          <w:rFonts w:cs="Arial"/>
        </w:rPr>
        <w:t>15</w:t>
      </w:r>
      <w:r w:rsidRPr="008F5717">
        <w:rPr>
          <w:rFonts w:cs="Arial"/>
        </w:rPr>
        <w:t>.</w:t>
      </w:r>
      <w:r>
        <w:rPr>
          <w:rFonts w:cs="Arial"/>
        </w:rPr>
        <w:t>4</w:t>
      </w:r>
      <w:r w:rsidRPr="008F5717">
        <w:rPr>
          <w:rFonts w:cs="Arial"/>
        </w:rPr>
        <w:t xml:space="preserve"> and cancer was </w:t>
      </w:r>
      <w:r>
        <w:rPr>
          <w:rFonts w:cs="Arial"/>
        </w:rPr>
        <w:t>3.5</w:t>
      </w:r>
      <w:r w:rsidRPr="008F5717">
        <w:rPr>
          <w:rFonts w:cs="Arial"/>
        </w:rPr>
        <w:t xml:space="preserve">. </w:t>
      </w:r>
    </w:p>
    <w:p w:rsidR="009D76B7" w:rsidRDefault="009D76B7" w:rsidP="009D76B7">
      <w:pPr>
        <w:rPr>
          <w:rFonts w:cs="Arial"/>
        </w:rPr>
      </w:pPr>
      <w:r>
        <w:rPr>
          <w:rFonts w:cs="Arial"/>
        </w:rPr>
        <w:t>Participants aged 70</w:t>
      </w:r>
      <w:r w:rsidR="009C71ED">
        <w:rPr>
          <w:rFonts w:cs="Arial"/>
        </w:rPr>
        <w:t>–</w:t>
      </w:r>
      <w:r>
        <w:rPr>
          <w:rFonts w:cs="Arial"/>
        </w:rPr>
        <w:t xml:space="preserve">74 years were more likely to have an adenoma or cancer detected </w:t>
      </w:r>
      <w:r w:rsidRPr="00A764FC">
        <w:rPr>
          <w:rFonts w:cs="Arial"/>
          <w:noProof/>
        </w:rPr>
        <w:t>as</w:t>
      </w:r>
      <w:r>
        <w:rPr>
          <w:rFonts w:cs="Arial"/>
        </w:rPr>
        <w:t xml:space="preserve"> those aged 50</w:t>
      </w:r>
      <w:r w:rsidR="009C71ED">
        <w:rPr>
          <w:rFonts w:cs="Arial"/>
        </w:rPr>
        <w:t>–</w:t>
      </w:r>
      <w:r>
        <w:rPr>
          <w:rFonts w:cs="Arial"/>
        </w:rPr>
        <w:t xml:space="preserve">54 years. </w:t>
      </w:r>
    </w:p>
    <w:p w:rsidR="009D76B7" w:rsidRDefault="009D76B7" w:rsidP="009D76B7">
      <w:pPr>
        <w:rPr>
          <w:rFonts w:cs="Arial"/>
        </w:rPr>
      </w:pPr>
      <w:r w:rsidRPr="00C536AF">
        <w:rPr>
          <w:rFonts w:cs="Arial"/>
        </w:rPr>
        <w:t xml:space="preserve">Males were </w:t>
      </w:r>
      <w:r>
        <w:rPr>
          <w:rFonts w:cs="Arial"/>
        </w:rPr>
        <w:t>more</w:t>
      </w:r>
      <w:r w:rsidRPr="00C536AF">
        <w:rPr>
          <w:rFonts w:cs="Arial"/>
        </w:rPr>
        <w:t xml:space="preserve"> likely to have an adenoma or advanced adenoma detected </w:t>
      </w:r>
      <w:r>
        <w:rPr>
          <w:rFonts w:cs="Arial"/>
        </w:rPr>
        <w:t xml:space="preserve">than </w:t>
      </w:r>
      <w:r w:rsidRPr="00C536AF">
        <w:rPr>
          <w:rFonts w:cs="Arial"/>
        </w:rPr>
        <w:t xml:space="preserve">females. </w:t>
      </w:r>
    </w:p>
    <w:p w:rsidR="009D76B7" w:rsidRDefault="009D76B7" w:rsidP="009D76B7">
      <w:pPr>
        <w:rPr>
          <w:rFonts w:cs="Arial"/>
        </w:rPr>
      </w:pPr>
      <w:r>
        <w:rPr>
          <w:rFonts w:cs="Arial"/>
        </w:rPr>
        <w:t>Males aged 55</w:t>
      </w:r>
      <w:r w:rsidR="009C71ED">
        <w:rPr>
          <w:rFonts w:cs="Arial"/>
        </w:rPr>
        <w:t>–</w:t>
      </w:r>
      <w:r>
        <w:rPr>
          <w:rFonts w:cs="Arial"/>
        </w:rPr>
        <w:t xml:space="preserve">59 years were more likely to have an advanced adenoma detected than </w:t>
      </w:r>
      <w:r w:rsidRPr="00A764FC">
        <w:rPr>
          <w:rFonts w:cs="Arial"/>
          <w:noProof/>
        </w:rPr>
        <w:t>females</w:t>
      </w:r>
      <w:r>
        <w:rPr>
          <w:rFonts w:cs="Arial"/>
        </w:rPr>
        <w:t xml:space="preserve"> of the same age.</w:t>
      </w:r>
    </w:p>
    <w:p w:rsidR="009D76B7" w:rsidRDefault="009D76B7" w:rsidP="009D76B7">
      <w:pPr>
        <w:rPr>
          <w:rFonts w:cs="Arial"/>
        </w:rPr>
      </w:pPr>
      <w:r>
        <w:rPr>
          <w:rFonts w:cs="Arial"/>
        </w:rPr>
        <w:t>Asians were less likely to have an adenoma detected than European/Other.</w:t>
      </w:r>
    </w:p>
    <w:p w:rsidR="009D76B7" w:rsidRDefault="009D76B7" w:rsidP="009D76B7">
      <w:pPr>
        <w:rPr>
          <w:rFonts w:cs="Arial"/>
        </w:rPr>
      </w:pPr>
      <w:r w:rsidRPr="00886D31">
        <w:rPr>
          <w:rFonts w:cs="Arial"/>
        </w:rPr>
        <w:t>Māori</w:t>
      </w:r>
      <w:r>
        <w:rPr>
          <w:rFonts w:cs="Arial"/>
        </w:rPr>
        <w:t xml:space="preserve"> males were more likely to have an adenoma detected than European/Other males.</w:t>
      </w:r>
    </w:p>
    <w:p w:rsidR="009D76B7" w:rsidRDefault="009D76B7" w:rsidP="009D76B7">
      <w:pPr>
        <w:rPr>
          <w:rFonts w:cs="Arial"/>
        </w:rPr>
      </w:pPr>
      <w:r>
        <w:rPr>
          <w:rFonts w:cs="Arial"/>
        </w:rPr>
        <w:t>Asian and Pacific participants were less likely to have an advanced adenoma detected than European/Other participants.</w:t>
      </w:r>
    </w:p>
    <w:p w:rsidR="009D76B7" w:rsidRPr="00BD2935" w:rsidRDefault="009D76B7" w:rsidP="009D76B7">
      <w:pPr>
        <w:rPr>
          <w:rFonts w:cs="Arial"/>
        </w:rPr>
      </w:pPr>
      <w:r w:rsidRPr="00A764FC">
        <w:rPr>
          <w:rFonts w:cs="Arial"/>
          <w:noProof/>
        </w:rPr>
        <w:t>Participants</w:t>
      </w:r>
      <w:r>
        <w:rPr>
          <w:rFonts w:cs="Arial"/>
        </w:rPr>
        <w:t xml:space="preserve"> from quintile area </w:t>
      </w:r>
      <w:r w:rsidRPr="00BD2935">
        <w:rPr>
          <w:rFonts w:cs="Arial"/>
        </w:rPr>
        <w:t>NZDep Index 7</w:t>
      </w:r>
      <w:r w:rsidR="009C71ED" w:rsidRPr="00BD2935">
        <w:rPr>
          <w:rFonts w:cs="Arial"/>
        </w:rPr>
        <w:t>–</w:t>
      </w:r>
      <w:r w:rsidRPr="00BD2935">
        <w:rPr>
          <w:rFonts w:cs="Arial"/>
        </w:rPr>
        <w:t>8 were more likely to have an adenoma or advanced adenoma detected than those from the least deprived quintile area (NZDep Index 1</w:t>
      </w:r>
      <w:r w:rsidR="009C71ED" w:rsidRPr="00BD2935">
        <w:rPr>
          <w:rFonts w:cs="Arial"/>
        </w:rPr>
        <w:t>–</w:t>
      </w:r>
      <w:r w:rsidRPr="00BD2935">
        <w:rPr>
          <w:rFonts w:cs="Arial"/>
        </w:rPr>
        <w:t>2).</w:t>
      </w:r>
    </w:p>
    <w:p w:rsidR="009D76B7" w:rsidRDefault="009D76B7" w:rsidP="009D76B7">
      <w:pPr>
        <w:rPr>
          <w:rFonts w:cs="Arial"/>
        </w:rPr>
      </w:pPr>
      <w:r w:rsidRPr="00BD2935">
        <w:rPr>
          <w:rFonts w:cs="Arial"/>
        </w:rPr>
        <w:t>Trends by age, sex, Asian and Māori</w:t>
      </w:r>
      <w:r>
        <w:rPr>
          <w:rFonts w:cs="Arial"/>
        </w:rPr>
        <w:t xml:space="preserve"> ethnicity for adenoma</w:t>
      </w:r>
      <w:r w:rsidRPr="00804192">
        <w:rPr>
          <w:rFonts w:cs="Arial"/>
        </w:rPr>
        <w:t xml:space="preserve"> were </w:t>
      </w:r>
      <w:r>
        <w:rPr>
          <w:rFonts w:cs="Arial"/>
        </w:rPr>
        <w:t>similar to</w:t>
      </w:r>
      <w:r w:rsidRPr="00804192">
        <w:rPr>
          <w:rFonts w:cs="Arial"/>
        </w:rPr>
        <w:t xml:space="preserve"> those found in Round 1.</w:t>
      </w:r>
    </w:p>
    <w:p w:rsidR="009D76B7" w:rsidRPr="008E6963" w:rsidRDefault="009D76B7" w:rsidP="009D76B7">
      <w:pPr>
        <w:pStyle w:val="Heading4"/>
        <w:spacing w:line="360" w:lineRule="auto"/>
        <w:rPr>
          <w:rFonts w:cs="Arial"/>
          <w:b w:val="0"/>
          <w:i/>
        </w:rPr>
      </w:pPr>
      <w:bookmarkStart w:id="174" w:name="_Toc446344804"/>
      <w:r w:rsidRPr="008E6963">
        <w:rPr>
          <w:rFonts w:cs="Arial"/>
          <w:i/>
        </w:rPr>
        <w:t>Not invited in Round 1</w:t>
      </w:r>
      <w:bookmarkEnd w:id="174"/>
    </w:p>
    <w:p w:rsidR="009D76B7" w:rsidRPr="008F5717" w:rsidRDefault="009D76B7" w:rsidP="009D76B7">
      <w:pPr>
        <w:rPr>
          <w:rFonts w:cs="Arial"/>
        </w:rPr>
      </w:pPr>
      <w:r w:rsidRPr="008F5717">
        <w:rPr>
          <w:rFonts w:cs="Arial"/>
        </w:rPr>
        <w:t>The overall detection rate per 1,000</w:t>
      </w:r>
      <w:r>
        <w:rPr>
          <w:rFonts w:cs="Arial"/>
        </w:rPr>
        <w:t xml:space="preserve"> screened for adenoma was 21.9</w:t>
      </w:r>
      <w:r w:rsidRPr="008F5717">
        <w:rPr>
          <w:rFonts w:cs="Arial"/>
        </w:rPr>
        <w:t xml:space="preserve">, advanced adenoma was 8.1 and cancer was 1.3. </w:t>
      </w:r>
    </w:p>
    <w:p w:rsidR="009D76B7" w:rsidRPr="008064C0" w:rsidRDefault="009D76B7" w:rsidP="009D76B7">
      <w:pPr>
        <w:rPr>
          <w:rFonts w:cs="Arial"/>
        </w:rPr>
      </w:pPr>
      <w:r w:rsidRPr="008064C0">
        <w:rPr>
          <w:rFonts w:cs="Arial"/>
        </w:rPr>
        <w:t xml:space="preserve">Adenoma detection </w:t>
      </w:r>
      <w:r w:rsidRPr="00A764FC">
        <w:rPr>
          <w:rFonts w:cs="Arial"/>
          <w:noProof/>
        </w:rPr>
        <w:t>rates</w:t>
      </w:r>
      <w:r w:rsidRPr="008064C0">
        <w:rPr>
          <w:rFonts w:cs="Arial"/>
        </w:rPr>
        <w:t xml:space="preserve"> increased with increasing age from 60-64 years</w:t>
      </w:r>
      <w:r>
        <w:rPr>
          <w:rFonts w:cs="Arial"/>
        </w:rPr>
        <w:t>.</w:t>
      </w:r>
    </w:p>
    <w:p w:rsidR="009D76B7" w:rsidRPr="00221529" w:rsidRDefault="009D76B7" w:rsidP="009D76B7">
      <w:pPr>
        <w:rPr>
          <w:rFonts w:cs="Arial"/>
        </w:rPr>
      </w:pPr>
      <w:r>
        <w:rPr>
          <w:rFonts w:cs="Arial"/>
        </w:rPr>
        <w:t>P</w:t>
      </w:r>
      <w:r w:rsidRPr="00221529">
        <w:rPr>
          <w:rFonts w:cs="Arial"/>
        </w:rPr>
        <w:t xml:space="preserve">articipants </w:t>
      </w:r>
      <w:r>
        <w:rPr>
          <w:rFonts w:cs="Arial"/>
        </w:rPr>
        <w:t xml:space="preserve">aged </w:t>
      </w:r>
      <w:r w:rsidRPr="00221529">
        <w:rPr>
          <w:rFonts w:cs="Arial"/>
        </w:rPr>
        <w:t>70</w:t>
      </w:r>
      <w:r w:rsidR="009C71ED">
        <w:rPr>
          <w:rFonts w:cs="Arial"/>
        </w:rPr>
        <w:t>–</w:t>
      </w:r>
      <w:r w:rsidRPr="00221529">
        <w:rPr>
          <w:rFonts w:cs="Arial"/>
        </w:rPr>
        <w:t>74 year</w:t>
      </w:r>
      <w:r>
        <w:rPr>
          <w:rFonts w:cs="Arial"/>
        </w:rPr>
        <w:t>s</w:t>
      </w:r>
      <w:r w:rsidRPr="00221529">
        <w:rPr>
          <w:rFonts w:cs="Arial"/>
        </w:rPr>
        <w:t xml:space="preserve"> were </w:t>
      </w:r>
      <w:r>
        <w:rPr>
          <w:rFonts w:cs="Arial"/>
        </w:rPr>
        <w:t>more</w:t>
      </w:r>
      <w:r w:rsidRPr="00221529">
        <w:rPr>
          <w:rFonts w:cs="Arial"/>
        </w:rPr>
        <w:t xml:space="preserve"> likely to have an adenoma </w:t>
      </w:r>
      <w:r>
        <w:rPr>
          <w:rFonts w:cs="Arial"/>
        </w:rPr>
        <w:t>or</w:t>
      </w:r>
      <w:r w:rsidRPr="00221529">
        <w:rPr>
          <w:rFonts w:cs="Arial"/>
        </w:rPr>
        <w:t xml:space="preserve"> cancer detected than </w:t>
      </w:r>
      <w:r w:rsidRPr="00A764FC">
        <w:rPr>
          <w:rFonts w:cs="Arial"/>
          <w:noProof/>
        </w:rPr>
        <w:t>50</w:t>
      </w:r>
      <w:r w:rsidR="009C71ED">
        <w:rPr>
          <w:rFonts w:cs="Arial"/>
          <w:noProof/>
        </w:rPr>
        <w:t>–54-</w:t>
      </w:r>
      <w:r w:rsidRPr="00A764FC">
        <w:rPr>
          <w:rFonts w:cs="Arial"/>
          <w:noProof/>
        </w:rPr>
        <w:t>year-old</w:t>
      </w:r>
      <w:r w:rsidRPr="00221529">
        <w:rPr>
          <w:rFonts w:cs="Arial"/>
        </w:rPr>
        <w:t xml:space="preserve"> participants.</w:t>
      </w:r>
    </w:p>
    <w:p w:rsidR="009D76B7" w:rsidRPr="00C536AF" w:rsidRDefault="009D76B7" w:rsidP="009D76B7">
      <w:pPr>
        <w:rPr>
          <w:rFonts w:cs="Arial"/>
        </w:rPr>
      </w:pPr>
      <w:r w:rsidRPr="00C536AF">
        <w:rPr>
          <w:rFonts w:cs="Arial"/>
        </w:rPr>
        <w:t xml:space="preserve">Males were </w:t>
      </w:r>
      <w:r>
        <w:rPr>
          <w:rFonts w:cs="Arial"/>
        </w:rPr>
        <w:t>more</w:t>
      </w:r>
      <w:r w:rsidRPr="00C536AF">
        <w:rPr>
          <w:rFonts w:cs="Arial"/>
        </w:rPr>
        <w:t xml:space="preserve"> likely to have an adenoma or advanced adenoma detected than females. </w:t>
      </w:r>
    </w:p>
    <w:p w:rsidR="009D76B7" w:rsidRDefault="009D76B7" w:rsidP="009D76B7">
      <w:pPr>
        <w:rPr>
          <w:rFonts w:cs="Arial"/>
        </w:rPr>
      </w:pPr>
      <w:r w:rsidRPr="00A764FC">
        <w:rPr>
          <w:rFonts w:cs="Arial"/>
          <w:noProof/>
        </w:rPr>
        <w:t>Males</w:t>
      </w:r>
      <w:r w:rsidRPr="00221529">
        <w:rPr>
          <w:rFonts w:cs="Arial"/>
        </w:rPr>
        <w:t xml:space="preserve"> </w:t>
      </w:r>
      <w:r>
        <w:rPr>
          <w:rFonts w:cs="Arial"/>
        </w:rPr>
        <w:t xml:space="preserve">in every age group were </w:t>
      </w:r>
      <w:r w:rsidRPr="00221529">
        <w:rPr>
          <w:rFonts w:cs="Arial"/>
        </w:rPr>
        <w:t xml:space="preserve">more likely to have an adenoma detected </w:t>
      </w:r>
      <w:r>
        <w:rPr>
          <w:rFonts w:cs="Arial"/>
        </w:rPr>
        <w:t>than their</w:t>
      </w:r>
      <w:r w:rsidRPr="00221529">
        <w:rPr>
          <w:rFonts w:cs="Arial"/>
        </w:rPr>
        <w:t xml:space="preserve"> </w:t>
      </w:r>
      <w:r w:rsidRPr="00A764FC">
        <w:rPr>
          <w:rFonts w:cs="Arial"/>
          <w:noProof/>
        </w:rPr>
        <w:t>50</w:t>
      </w:r>
      <w:r w:rsidR="009C71ED">
        <w:rPr>
          <w:rFonts w:cs="Arial"/>
          <w:noProof/>
        </w:rPr>
        <w:t>–54-</w:t>
      </w:r>
      <w:r w:rsidRPr="00A764FC">
        <w:rPr>
          <w:rFonts w:cs="Arial"/>
          <w:noProof/>
        </w:rPr>
        <w:t>year-old</w:t>
      </w:r>
      <w:r w:rsidRPr="00221529">
        <w:rPr>
          <w:rFonts w:cs="Arial"/>
        </w:rPr>
        <w:t xml:space="preserve"> counterparts</w:t>
      </w:r>
      <w:r>
        <w:rPr>
          <w:rFonts w:cs="Arial"/>
        </w:rPr>
        <w:t>.</w:t>
      </w:r>
    </w:p>
    <w:p w:rsidR="009D76B7" w:rsidRPr="00355933" w:rsidRDefault="009D76B7" w:rsidP="009D76B7">
      <w:pPr>
        <w:rPr>
          <w:rFonts w:cs="Arial"/>
        </w:rPr>
      </w:pPr>
      <w:r w:rsidRPr="00B1245E">
        <w:rPr>
          <w:rFonts w:cs="Arial"/>
        </w:rPr>
        <w:t>Māori aged 60</w:t>
      </w:r>
      <w:r w:rsidR="009C71ED">
        <w:rPr>
          <w:rFonts w:cs="Arial"/>
        </w:rPr>
        <w:t>–</w:t>
      </w:r>
      <w:r w:rsidRPr="00B1245E">
        <w:rPr>
          <w:rFonts w:cs="Arial"/>
        </w:rPr>
        <w:t xml:space="preserve">69 years were more likely to have an adenoma detected </w:t>
      </w:r>
      <w:r>
        <w:rPr>
          <w:rFonts w:cs="Arial"/>
        </w:rPr>
        <w:t>than</w:t>
      </w:r>
      <w:r w:rsidRPr="00B1245E">
        <w:rPr>
          <w:rFonts w:cs="Arial"/>
        </w:rPr>
        <w:t xml:space="preserve"> their European/Other counterparts. This was also found in Round 1.</w:t>
      </w:r>
    </w:p>
    <w:p w:rsidR="009D76B7" w:rsidRDefault="009D76B7" w:rsidP="009D76B7">
      <w:pPr>
        <w:rPr>
          <w:rFonts w:cs="Arial"/>
        </w:rPr>
      </w:pPr>
      <w:r w:rsidRPr="00804192">
        <w:rPr>
          <w:rFonts w:cs="Arial"/>
        </w:rPr>
        <w:t xml:space="preserve">Trends </w:t>
      </w:r>
      <w:r>
        <w:rPr>
          <w:rFonts w:cs="Arial"/>
        </w:rPr>
        <w:t>by</w:t>
      </w:r>
      <w:r w:rsidRPr="00804192">
        <w:rPr>
          <w:rFonts w:cs="Arial"/>
        </w:rPr>
        <w:t xml:space="preserve"> </w:t>
      </w:r>
      <w:r>
        <w:rPr>
          <w:rFonts w:cs="Arial"/>
        </w:rPr>
        <w:t xml:space="preserve">age and sex </w:t>
      </w:r>
      <w:r w:rsidRPr="00804192">
        <w:rPr>
          <w:rFonts w:cs="Arial"/>
        </w:rPr>
        <w:t xml:space="preserve">were </w:t>
      </w:r>
      <w:r>
        <w:rPr>
          <w:rFonts w:cs="Arial"/>
        </w:rPr>
        <w:t>similar to</w:t>
      </w:r>
      <w:r w:rsidRPr="00804192">
        <w:rPr>
          <w:rFonts w:cs="Arial"/>
        </w:rPr>
        <w:t xml:space="preserve"> those found in Round 1.</w:t>
      </w:r>
    </w:p>
    <w:p w:rsidR="009D76B7" w:rsidRDefault="009D76B7" w:rsidP="009D76B7">
      <w:pPr>
        <w:rPr>
          <w:rFonts w:cs="Arial"/>
        </w:rPr>
      </w:pPr>
      <w:r w:rsidRPr="00A764FC">
        <w:rPr>
          <w:rFonts w:cs="Arial"/>
          <w:noProof/>
        </w:rPr>
        <w:t>The BSP detection rate in Round 1 for adenoma (3.9%) is above the range (1.33</w:t>
      </w:r>
      <w:r w:rsidR="009C71ED">
        <w:rPr>
          <w:rFonts w:cs="Arial"/>
          <w:noProof/>
        </w:rPr>
        <w:t>–</w:t>
      </w:r>
      <w:r w:rsidRPr="00A764FC">
        <w:rPr>
          <w:rFonts w:cs="Arial"/>
          <w:noProof/>
        </w:rPr>
        <w:t>2.23%), and for cancer (0.3%) is towards the lower end of the range (0.18</w:t>
      </w:r>
      <w:r w:rsidR="009C71ED">
        <w:rPr>
          <w:rFonts w:cs="Arial"/>
          <w:noProof/>
        </w:rPr>
        <w:t>–</w:t>
      </w:r>
      <w:r w:rsidRPr="00A764FC">
        <w:rPr>
          <w:rFonts w:cs="Arial"/>
          <w:noProof/>
        </w:rPr>
        <w:t>0.95%) reported in the first screening round of population-based programmes that use the iFOBT (Moss et al 2010).</w:t>
      </w:r>
      <w:r>
        <w:rPr>
          <w:rFonts w:cs="Arial"/>
        </w:rPr>
        <w:t xml:space="preserve"> </w:t>
      </w:r>
    </w:p>
    <w:p w:rsidR="009D76B7" w:rsidRDefault="009D76B7" w:rsidP="009D76B7">
      <w:pPr>
        <w:rPr>
          <w:rFonts w:cs="Arial"/>
        </w:rPr>
      </w:pPr>
      <w:r w:rsidRPr="00BA0C2A">
        <w:rPr>
          <w:rFonts w:cs="Arial"/>
        </w:rPr>
        <w:t xml:space="preserve">The BSP </w:t>
      </w:r>
      <w:r>
        <w:rPr>
          <w:rFonts w:cs="Arial"/>
        </w:rPr>
        <w:t>markedly exceeds the UK minimum standard and target: having an</w:t>
      </w:r>
      <w:r w:rsidRPr="00BA0C2A">
        <w:rPr>
          <w:rFonts w:cs="Arial"/>
        </w:rPr>
        <w:t xml:space="preserve"> </w:t>
      </w:r>
      <w:r>
        <w:rPr>
          <w:rFonts w:cs="Arial"/>
        </w:rPr>
        <w:t>adenoma</w:t>
      </w:r>
      <w:r w:rsidRPr="00BA0C2A">
        <w:rPr>
          <w:rFonts w:cs="Arial"/>
        </w:rPr>
        <w:t xml:space="preserve"> detected in at least </w:t>
      </w:r>
      <w:r>
        <w:rPr>
          <w:rFonts w:cs="Arial"/>
        </w:rPr>
        <w:t>six and seven participants, respectively,</w:t>
      </w:r>
      <w:r w:rsidRPr="00BA0C2A">
        <w:rPr>
          <w:rFonts w:cs="Arial"/>
        </w:rPr>
        <w:t xml:space="preserve"> per 1,000 screened </w:t>
      </w:r>
      <w:r>
        <w:rPr>
          <w:rFonts w:cs="Arial"/>
        </w:rPr>
        <w:t xml:space="preserve">by faecal occult blood test </w:t>
      </w:r>
      <w:r w:rsidRPr="00BA0C2A">
        <w:rPr>
          <w:rFonts w:cs="Arial"/>
        </w:rPr>
        <w:t xml:space="preserve">(Chilton and Rutter 2011). </w:t>
      </w:r>
      <w:r w:rsidR="00906498" w:rsidRPr="00906498">
        <w:rPr>
          <w:rFonts w:cs="Arial"/>
        </w:rPr>
        <w:t>This is not surprising as the UK programme uses the guaiac FOBT which is less sensitive than the iFOBT</w:t>
      </w:r>
      <w:r w:rsidR="00906498">
        <w:rPr>
          <w:rFonts w:cs="Arial"/>
        </w:rPr>
        <w:t>.</w:t>
      </w:r>
    </w:p>
    <w:p w:rsidR="009D76B7" w:rsidRDefault="009D76B7" w:rsidP="009D76B7">
      <w:pPr>
        <w:rPr>
          <w:rFonts w:cs="Arial"/>
        </w:rPr>
      </w:pPr>
      <w:r w:rsidRPr="00BA0C2A">
        <w:rPr>
          <w:rFonts w:cs="Arial"/>
        </w:rPr>
        <w:t xml:space="preserve">The BSP </w:t>
      </w:r>
      <w:r>
        <w:rPr>
          <w:rFonts w:cs="Arial"/>
        </w:rPr>
        <w:t>meets the UK target</w:t>
      </w:r>
      <w:r w:rsidRPr="00BA0C2A">
        <w:rPr>
          <w:rFonts w:cs="Arial"/>
        </w:rPr>
        <w:t xml:space="preserve"> of </w:t>
      </w:r>
      <w:r>
        <w:rPr>
          <w:rFonts w:cs="Arial"/>
        </w:rPr>
        <w:t xml:space="preserve">having </w:t>
      </w:r>
      <w:r w:rsidRPr="00BA0C2A">
        <w:rPr>
          <w:rFonts w:cs="Arial"/>
        </w:rPr>
        <w:t xml:space="preserve">cancer detected in at least </w:t>
      </w:r>
      <w:r>
        <w:rPr>
          <w:rFonts w:cs="Arial"/>
        </w:rPr>
        <w:t>two</w:t>
      </w:r>
      <w:r w:rsidRPr="00BA0C2A">
        <w:rPr>
          <w:rFonts w:cs="Arial"/>
        </w:rPr>
        <w:t xml:space="preserve"> </w:t>
      </w:r>
      <w:r>
        <w:rPr>
          <w:rFonts w:cs="Arial"/>
        </w:rPr>
        <w:t xml:space="preserve">participants </w:t>
      </w:r>
      <w:r w:rsidRPr="00BA0C2A">
        <w:rPr>
          <w:rFonts w:cs="Arial"/>
        </w:rPr>
        <w:t xml:space="preserve">per 1,000 screened (Chilton and Rutter 2011). </w:t>
      </w:r>
    </w:p>
    <w:p w:rsidR="009D76B7" w:rsidRPr="00EE465A" w:rsidRDefault="00B83300" w:rsidP="00EE465A">
      <w:pPr>
        <w:pStyle w:val="Heading2"/>
      </w:pPr>
      <w:bookmarkStart w:id="175" w:name="_Toc446344805"/>
      <w:bookmarkStart w:id="176" w:name="_Toc457842125"/>
      <w:r>
        <w:rPr>
          <w:rStyle w:val="Heading2Char"/>
          <w:b/>
        </w:rPr>
        <w:t>3.5</w:t>
      </w:r>
      <w:r>
        <w:rPr>
          <w:rStyle w:val="Heading2Char"/>
          <w:b/>
        </w:rPr>
        <w:tab/>
      </w:r>
      <w:r w:rsidR="009D76B7" w:rsidRPr="00EE465A">
        <w:rPr>
          <w:rStyle w:val="Heading2Char"/>
          <w:b/>
        </w:rPr>
        <w:t>Colorectal cancer</w:t>
      </w:r>
      <w:bookmarkEnd w:id="175"/>
      <w:bookmarkEnd w:id="176"/>
    </w:p>
    <w:p w:rsidR="009D76B7" w:rsidRPr="008E6963" w:rsidRDefault="009D76B7" w:rsidP="009D76B7">
      <w:pPr>
        <w:pStyle w:val="Heading4"/>
        <w:spacing w:line="360" w:lineRule="auto"/>
        <w:rPr>
          <w:rFonts w:cs="Arial"/>
          <w:b w:val="0"/>
        </w:rPr>
      </w:pPr>
      <w:bookmarkStart w:id="177" w:name="_Toc446344806"/>
      <w:r w:rsidRPr="008E6963">
        <w:rPr>
          <w:rFonts w:cs="Arial"/>
        </w:rPr>
        <w:t>Round 1</w:t>
      </w:r>
      <w:bookmarkEnd w:id="177"/>
    </w:p>
    <w:p w:rsidR="009D76B7" w:rsidRPr="00886D31" w:rsidRDefault="009D76B7" w:rsidP="009D76B7">
      <w:pPr>
        <w:rPr>
          <w:rFonts w:cs="Arial"/>
        </w:rPr>
      </w:pPr>
      <w:r>
        <w:rPr>
          <w:rFonts w:cs="Arial"/>
        </w:rPr>
        <w:t>Two hundred and twelve</w:t>
      </w:r>
      <w:r w:rsidRPr="00744428">
        <w:rPr>
          <w:rFonts w:cs="Arial"/>
        </w:rPr>
        <w:t xml:space="preserve"> participants had cancer detected (</w:t>
      </w:r>
      <w:r>
        <w:rPr>
          <w:rFonts w:cs="Arial"/>
        </w:rPr>
        <w:t>3.1</w:t>
      </w:r>
      <w:r w:rsidRPr="00744428">
        <w:rPr>
          <w:rFonts w:cs="Arial"/>
        </w:rPr>
        <w:t xml:space="preserve"> per 1</w:t>
      </w:r>
      <w:r>
        <w:rPr>
          <w:rFonts w:cs="Arial"/>
        </w:rPr>
        <w:t>,</w:t>
      </w:r>
      <w:r w:rsidRPr="00744428">
        <w:rPr>
          <w:rFonts w:cs="Arial"/>
        </w:rPr>
        <w:t>000 screened</w:t>
      </w:r>
      <w:r>
        <w:rPr>
          <w:rFonts w:cs="Arial"/>
        </w:rPr>
        <w:t>; 174.4 per 100,000 invited</w:t>
      </w:r>
      <w:r w:rsidRPr="00744428">
        <w:rPr>
          <w:rFonts w:cs="Arial"/>
        </w:rPr>
        <w:t>)</w:t>
      </w:r>
      <w:r>
        <w:rPr>
          <w:rFonts w:cs="Arial"/>
        </w:rPr>
        <w:t xml:space="preserve"> </w:t>
      </w:r>
      <w:r w:rsidR="00061FCE">
        <w:rPr>
          <w:rFonts w:cs="Arial"/>
        </w:rPr>
        <w:t>–</w:t>
      </w:r>
      <w:r>
        <w:rPr>
          <w:rFonts w:cs="Arial"/>
        </w:rPr>
        <w:t>178</w:t>
      </w:r>
      <w:r w:rsidRPr="00744428">
        <w:rPr>
          <w:rFonts w:cs="Arial"/>
        </w:rPr>
        <w:t xml:space="preserve"> were European</w:t>
      </w:r>
      <w:r>
        <w:rPr>
          <w:rFonts w:cs="Arial"/>
        </w:rPr>
        <w:t>/Other</w:t>
      </w:r>
      <w:r w:rsidRPr="00744428">
        <w:rPr>
          <w:rFonts w:cs="Arial"/>
        </w:rPr>
        <w:t xml:space="preserve">, </w:t>
      </w:r>
      <w:r>
        <w:rPr>
          <w:rFonts w:cs="Arial"/>
        </w:rPr>
        <w:t>25</w:t>
      </w:r>
      <w:r w:rsidRPr="00744428">
        <w:rPr>
          <w:rFonts w:cs="Arial"/>
        </w:rPr>
        <w:t xml:space="preserve"> were Asian, </w:t>
      </w:r>
      <w:r>
        <w:rPr>
          <w:rFonts w:cs="Arial"/>
        </w:rPr>
        <w:t>five</w:t>
      </w:r>
      <w:r w:rsidRPr="00744428">
        <w:rPr>
          <w:rFonts w:cs="Arial"/>
        </w:rPr>
        <w:t xml:space="preserve"> </w:t>
      </w:r>
      <w:r w:rsidRPr="00886D31">
        <w:rPr>
          <w:rFonts w:cs="Arial"/>
        </w:rPr>
        <w:t>were Pacific</w:t>
      </w:r>
      <w:r>
        <w:rPr>
          <w:rFonts w:cs="Arial"/>
        </w:rPr>
        <w:t xml:space="preserve"> people</w:t>
      </w:r>
      <w:r w:rsidRPr="00886D31">
        <w:rPr>
          <w:rFonts w:cs="Arial"/>
        </w:rPr>
        <w:t xml:space="preserve"> and </w:t>
      </w:r>
      <w:r>
        <w:rPr>
          <w:rFonts w:cs="Arial"/>
        </w:rPr>
        <w:t>four</w:t>
      </w:r>
      <w:r w:rsidRPr="00886D31">
        <w:rPr>
          <w:rFonts w:cs="Arial"/>
        </w:rPr>
        <w:t xml:space="preserve"> were</w:t>
      </w:r>
      <w:r>
        <w:rPr>
          <w:rFonts w:cs="Arial"/>
        </w:rPr>
        <w:t xml:space="preserve"> </w:t>
      </w:r>
      <w:r w:rsidRPr="00886D31">
        <w:rPr>
          <w:rFonts w:cs="Arial"/>
        </w:rPr>
        <w:t>Māori.</w:t>
      </w:r>
    </w:p>
    <w:p w:rsidR="009D76B7" w:rsidRPr="00E61E69" w:rsidRDefault="009D76B7" w:rsidP="009D76B7">
      <w:pPr>
        <w:rPr>
          <w:rFonts w:cs="Arial"/>
        </w:rPr>
      </w:pPr>
      <w:r w:rsidRPr="00E61E69">
        <w:rPr>
          <w:rFonts w:cs="Arial"/>
        </w:rPr>
        <w:t xml:space="preserve">Colorectal cancer increased with increasing age. </w:t>
      </w:r>
    </w:p>
    <w:p w:rsidR="009D76B7" w:rsidRDefault="009D76B7" w:rsidP="009D76B7">
      <w:pPr>
        <w:rPr>
          <w:rFonts w:cs="Arial"/>
        </w:rPr>
      </w:pPr>
      <w:r w:rsidRPr="00E61E69">
        <w:rPr>
          <w:rFonts w:cs="Arial"/>
        </w:rPr>
        <w:t xml:space="preserve">Males were </w:t>
      </w:r>
      <w:r>
        <w:rPr>
          <w:rFonts w:cs="Arial"/>
        </w:rPr>
        <w:t>more</w:t>
      </w:r>
      <w:r w:rsidRPr="00E61E69">
        <w:rPr>
          <w:rFonts w:cs="Arial"/>
        </w:rPr>
        <w:t xml:space="preserve"> likely to have cancer </w:t>
      </w:r>
      <w:r>
        <w:rPr>
          <w:rFonts w:cs="Arial"/>
        </w:rPr>
        <w:t>than</w:t>
      </w:r>
      <w:r w:rsidRPr="00E61E69">
        <w:rPr>
          <w:rFonts w:cs="Arial"/>
        </w:rPr>
        <w:t xml:space="preserve"> females.</w:t>
      </w:r>
      <w:r>
        <w:rPr>
          <w:rFonts w:cs="Arial"/>
        </w:rPr>
        <w:t xml:space="preserve"> </w:t>
      </w:r>
    </w:p>
    <w:p w:rsidR="009D76B7" w:rsidRDefault="009D76B7" w:rsidP="009D76B7">
      <w:pPr>
        <w:rPr>
          <w:rFonts w:cs="Arial"/>
        </w:rPr>
      </w:pPr>
      <w:r>
        <w:rPr>
          <w:rFonts w:cs="Arial"/>
        </w:rPr>
        <w:t xml:space="preserve">Males </w:t>
      </w:r>
      <w:r w:rsidRPr="00744428">
        <w:rPr>
          <w:rFonts w:cs="Arial"/>
        </w:rPr>
        <w:t xml:space="preserve">aged </w:t>
      </w:r>
      <w:r w:rsidRPr="00E61E69">
        <w:rPr>
          <w:rFonts w:cs="Arial"/>
        </w:rPr>
        <w:t>60</w:t>
      </w:r>
      <w:r w:rsidR="00061FCE">
        <w:rPr>
          <w:rFonts w:cs="Arial"/>
        </w:rPr>
        <w:t>–</w:t>
      </w:r>
      <w:r w:rsidRPr="00E61E69">
        <w:rPr>
          <w:rFonts w:cs="Arial"/>
        </w:rPr>
        <w:t>64, 65</w:t>
      </w:r>
      <w:r w:rsidR="00061FCE">
        <w:rPr>
          <w:rFonts w:cs="Arial"/>
        </w:rPr>
        <w:t>–</w:t>
      </w:r>
      <w:r w:rsidRPr="00E61E69">
        <w:rPr>
          <w:rFonts w:cs="Arial"/>
        </w:rPr>
        <w:t>69 and 70</w:t>
      </w:r>
      <w:r w:rsidR="00061FCE">
        <w:rPr>
          <w:rFonts w:cs="Arial"/>
        </w:rPr>
        <w:t>–</w:t>
      </w:r>
      <w:r w:rsidRPr="00E61E69">
        <w:rPr>
          <w:rFonts w:cs="Arial"/>
        </w:rPr>
        <w:t xml:space="preserve">74 </w:t>
      </w:r>
      <w:r w:rsidRPr="00744428">
        <w:rPr>
          <w:rFonts w:cs="Arial"/>
        </w:rPr>
        <w:t>years were more likely to have cancer than</w:t>
      </w:r>
      <w:r>
        <w:rPr>
          <w:rFonts w:cs="Arial"/>
        </w:rPr>
        <w:t xml:space="preserve"> </w:t>
      </w:r>
      <w:r w:rsidRPr="00A764FC">
        <w:rPr>
          <w:rFonts w:cs="Arial"/>
          <w:noProof/>
        </w:rPr>
        <w:t>50</w:t>
      </w:r>
      <w:r w:rsidR="00061FCE">
        <w:rPr>
          <w:rFonts w:cs="Arial"/>
          <w:noProof/>
        </w:rPr>
        <w:t>–54-</w:t>
      </w:r>
      <w:r w:rsidRPr="00A764FC">
        <w:rPr>
          <w:rFonts w:cs="Arial"/>
          <w:noProof/>
        </w:rPr>
        <w:t>year-old</w:t>
      </w:r>
      <w:r>
        <w:rPr>
          <w:rFonts w:cs="Arial"/>
        </w:rPr>
        <w:t xml:space="preserve"> </w:t>
      </w:r>
      <w:r w:rsidRPr="00A764FC">
        <w:rPr>
          <w:rFonts w:cs="Arial"/>
          <w:noProof/>
        </w:rPr>
        <w:t>males</w:t>
      </w:r>
      <w:r>
        <w:rPr>
          <w:rFonts w:cs="Arial"/>
        </w:rPr>
        <w:t>.</w:t>
      </w:r>
      <w:r w:rsidRPr="001F1AFC">
        <w:rPr>
          <w:rFonts w:cs="Arial"/>
        </w:rPr>
        <w:t xml:space="preserve"> </w:t>
      </w:r>
    </w:p>
    <w:p w:rsidR="009D76B7" w:rsidRPr="00744428" w:rsidRDefault="009D76B7" w:rsidP="009D76B7">
      <w:pPr>
        <w:rPr>
          <w:rFonts w:cs="Arial"/>
        </w:rPr>
      </w:pPr>
      <w:r>
        <w:rPr>
          <w:rFonts w:cs="Arial"/>
        </w:rPr>
        <w:t xml:space="preserve">Females </w:t>
      </w:r>
      <w:r w:rsidRPr="00744428">
        <w:rPr>
          <w:rFonts w:cs="Arial"/>
        </w:rPr>
        <w:t xml:space="preserve">aged </w:t>
      </w:r>
      <w:r w:rsidRPr="00E61E69">
        <w:rPr>
          <w:rFonts w:cs="Arial"/>
        </w:rPr>
        <w:t>65</w:t>
      </w:r>
      <w:r w:rsidR="00061FCE">
        <w:rPr>
          <w:rFonts w:cs="Arial"/>
        </w:rPr>
        <w:t>–</w:t>
      </w:r>
      <w:r w:rsidRPr="00E61E69">
        <w:rPr>
          <w:rFonts w:cs="Arial"/>
        </w:rPr>
        <w:t>69 and 70</w:t>
      </w:r>
      <w:r w:rsidR="00061FCE">
        <w:rPr>
          <w:rFonts w:cs="Arial"/>
        </w:rPr>
        <w:t>–</w:t>
      </w:r>
      <w:r w:rsidRPr="00E61E69">
        <w:rPr>
          <w:rFonts w:cs="Arial"/>
        </w:rPr>
        <w:t xml:space="preserve">74 </w:t>
      </w:r>
      <w:r w:rsidRPr="00744428">
        <w:rPr>
          <w:rFonts w:cs="Arial"/>
        </w:rPr>
        <w:t>years were more likely to have cancer than</w:t>
      </w:r>
      <w:r>
        <w:rPr>
          <w:rFonts w:cs="Arial"/>
        </w:rPr>
        <w:t xml:space="preserve"> </w:t>
      </w:r>
      <w:r w:rsidRPr="00A764FC">
        <w:rPr>
          <w:rFonts w:cs="Arial"/>
          <w:noProof/>
        </w:rPr>
        <w:t>50</w:t>
      </w:r>
      <w:r w:rsidR="00061FCE">
        <w:rPr>
          <w:rFonts w:cs="Arial"/>
          <w:noProof/>
        </w:rPr>
        <w:t>–54-</w:t>
      </w:r>
      <w:r w:rsidRPr="00A764FC">
        <w:rPr>
          <w:rFonts w:cs="Arial"/>
          <w:noProof/>
        </w:rPr>
        <w:t>year-old</w:t>
      </w:r>
      <w:r>
        <w:rPr>
          <w:rFonts w:cs="Arial"/>
        </w:rPr>
        <w:t xml:space="preserve"> </w:t>
      </w:r>
      <w:r w:rsidRPr="00A764FC">
        <w:rPr>
          <w:rFonts w:cs="Arial"/>
          <w:noProof/>
        </w:rPr>
        <w:t>females</w:t>
      </w:r>
      <w:r>
        <w:rPr>
          <w:rFonts w:cs="Arial"/>
        </w:rPr>
        <w:t>.</w:t>
      </w:r>
    </w:p>
    <w:p w:rsidR="009D76B7" w:rsidRPr="00744428" w:rsidRDefault="009D76B7" w:rsidP="009D76B7">
      <w:pPr>
        <w:rPr>
          <w:rFonts w:cs="Arial"/>
        </w:rPr>
      </w:pPr>
      <w:r w:rsidRPr="00744428">
        <w:rPr>
          <w:rFonts w:cs="Arial"/>
        </w:rPr>
        <w:t xml:space="preserve">The extent of spread of </w:t>
      </w:r>
      <w:r w:rsidRPr="00A764FC">
        <w:rPr>
          <w:rFonts w:cs="Arial"/>
          <w:noProof/>
        </w:rPr>
        <w:t>a cancer</w:t>
      </w:r>
      <w:r w:rsidRPr="00744428">
        <w:rPr>
          <w:rFonts w:cs="Arial"/>
        </w:rPr>
        <w:t xml:space="preserve"> is known as its stage. There are various staging </w:t>
      </w:r>
      <w:r w:rsidRPr="00A764FC">
        <w:rPr>
          <w:rFonts w:cs="Arial"/>
          <w:noProof/>
        </w:rPr>
        <w:t>systems</w:t>
      </w:r>
      <w:r>
        <w:rPr>
          <w:rFonts w:cs="Arial"/>
        </w:rPr>
        <w:t xml:space="preserve"> and</w:t>
      </w:r>
      <w:r w:rsidRPr="00744428">
        <w:rPr>
          <w:rFonts w:cs="Arial"/>
        </w:rPr>
        <w:t xml:space="preserve"> the BSP has adopted </w:t>
      </w:r>
      <w:r>
        <w:rPr>
          <w:rFonts w:cs="Arial"/>
        </w:rPr>
        <w:t>Tumour/Node/Metastasis (</w:t>
      </w:r>
      <w:r w:rsidRPr="00744428">
        <w:rPr>
          <w:rFonts w:cs="Arial"/>
        </w:rPr>
        <w:t>TN</w:t>
      </w:r>
      <w:r>
        <w:rPr>
          <w:rFonts w:cs="Arial"/>
        </w:rPr>
        <w:t>M)</w:t>
      </w:r>
      <w:r w:rsidRPr="00744428">
        <w:rPr>
          <w:rFonts w:cs="Arial"/>
        </w:rPr>
        <w:t xml:space="preserve"> staging. The </w:t>
      </w:r>
      <w:r w:rsidRPr="00A764FC">
        <w:rPr>
          <w:rFonts w:cs="Arial"/>
          <w:noProof/>
        </w:rPr>
        <w:t>staging</w:t>
      </w:r>
      <w:r w:rsidRPr="00744428">
        <w:rPr>
          <w:rFonts w:cs="Arial"/>
        </w:rPr>
        <w:t xml:space="preserve"> ranges from Stage 1, the least advanced, to Stage 4, the most advanced.</w:t>
      </w:r>
      <w:r>
        <w:rPr>
          <w:rFonts w:cs="Arial"/>
        </w:rPr>
        <w:t xml:space="preserve"> </w:t>
      </w:r>
    </w:p>
    <w:p w:rsidR="009D76B7" w:rsidRDefault="009D76B7" w:rsidP="009D76B7">
      <w:pPr>
        <w:rPr>
          <w:rFonts w:cs="Arial"/>
        </w:rPr>
      </w:pPr>
      <w:r w:rsidRPr="00744428">
        <w:rPr>
          <w:rFonts w:cs="Arial"/>
        </w:rPr>
        <w:t xml:space="preserve">Most cancers were Stage </w:t>
      </w:r>
      <w:r>
        <w:rPr>
          <w:rFonts w:cs="Arial"/>
        </w:rPr>
        <w:t>I</w:t>
      </w:r>
      <w:r w:rsidRPr="00744428">
        <w:rPr>
          <w:rFonts w:cs="Arial"/>
        </w:rPr>
        <w:t xml:space="preserve"> (</w:t>
      </w:r>
      <w:r>
        <w:rPr>
          <w:rFonts w:cs="Arial"/>
        </w:rPr>
        <w:t>74.0</w:t>
      </w:r>
      <w:r w:rsidRPr="00744428">
        <w:rPr>
          <w:rFonts w:cs="Arial"/>
        </w:rPr>
        <w:t xml:space="preserve"> per 100,000 </w:t>
      </w:r>
      <w:r>
        <w:rPr>
          <w:rFonts w:cs="Arial"/>
        </w:rPr>
        <w:t>invited</w:t>
      </w:r>
      <w:r w:rsidRPr="00744428">
        <w:rPr>
          <w:rFonts w:cs="Arial"/>
        </w:rPr>
        <w:t xml:space="preserve">), followed by Stage </w:t>
      </w:r>
      <w:r>
        <w:rPr>
          <w:rFonts w:cs="Arial"/>
        </w:rPr>
        <w:t>II</w:t>
      </w:r>
      <w:r w:rsidRPr="00744428">
        <w:rPr>
          <w:rFonts w:cs="Arial"/>
        </w:rPr>
        <w:t xml:space="preserve"> (</w:t>
      </w:r>
      <w:r>
        <w:rPr>
          <w:rFonts w:cs="Arial"/>
        </w:rPr>
        <w:t>40.3</w:t>
      </w:r>
      <w:r w:rsidRPr="00744428">
        <w:rPr>
          <w:rFonts w:cs="Arial"/>
        </w:rPr>
        <w:t xml:space="preserve"> per 100,000 </w:t>
      </w:r>
      <w:r>
        <w:rPr>
          <w:rFonts w:cs="Arial"/>
        </w:rPr>
        <w:t>invited</w:t>
      </w:r>
      <w:r w:rsidRPr="00744428">
        <w:rPr>
          <w:rFonts w:cs="Arial"/>
        </w:rPr>
        <w:t xml:space="preserve">), Stage </w:t>
      </w:r>
      <w:r>
        <w:rPr>
          <w:rFonts w:cs="Arial"/>
        </w:rPr>
        <w:t>III</w:t>
      </w:r>
      <w:r w:rsidRPr="00744428">
        <w:rPr>
          <w:rFonts w:cs="Arial"/>
        </w:rPr>
        <w:t xml:space="preserve"> (</w:t>
      </w:r>
      <w:r>
        <w:rPr>
          <w:rFonts w:cs="Arial"/>
        </w:rPr>
        <w:t>36.2</w:t>
      </w:r>
      <w:r w:rsidRPr="00744428">
        <w:rPr>
          <w:rFonts w:cs="Arial"/>
        </w:rPr>
        <w:t xml:space="preserve"> per 100,000 </w:t>
      </w:r>
      <w:r>
        <w:rPr>
          <w:rFonts w:cs="Arial"/>
        </w:rPr>
        <w:t>invited</w:t>
      </w:r>
      <w:r w:rsidRPr="00744428">
        <w:rPr>
          <w:rFonts w:cs="Arial"/>
        </w:rPr>
        <w:t xml:space="preserve">) and Stage </w:t>
      </w:r>
      <w:r>
        <w:rPr>
          <w:rFonts w:cs="Arial"/>
        </w:rPr>
        <w:t>IV</w:t>
      </w:r>
      <w:r w:rsidRPr="00744428">
        <w:rPr>
          <w:rFonts w:cs="Arial"/>
        </w:rPr>
        <w:t xml:space="preserve"> (</w:t>
      </w:r>
      <w:r>
        <w:rPr>
          <w:rFonts w:cs="Arial"/>
        </w:rPr>
        <w:t>14.0</w:t>
      </w:r>
      <w:r w:rsidRPr="00744428">
        <w:rPr>
          <w:rFonts w:cs="Arial"/>
        </w:rPr>
        <w:t xml:space="preserve"> per 100,000 </w:t>
      </w:r>
      <w:r>
        <w:rPr>
          <w:rFonts w:cs="Arial"/>
        </w:rPr>
        <w:t>invited</w:t>
      </w:r>
      <w:r w:rsidRPr="00744428">
        <w:rPr>
          <w:rFonts w:cs="Arial"/>
        </w:rPr>
        <w:t>)</w:t>
      </w:r>
      <w:r>
        <w:rPr>
          <w:rFonts w:cs="Arial"/>
        </w:rPr>
        <w:t>.</w:t>
      </w:r>
    </w:p>
    <w:p w:rsidR="009D76B7" w:rsidRPr="004F5180" w:rsidRDefault="009D76B7" w:rsidP="009D76B7">
      <w:pPr>
        <w:rPr>
          <w:rFonts w:cs="Arial"/>
        </w:rPr>
      </w:pPr>
      <w:r>
        <w:rPr>
          <w:rFonts w:cs="Arial"/>
        </w:rPr>
        <w:t>About 42%</w:t>
      </w:r>
      <w:r w:rsidRPr="004F5180">
        <w:rPr>
          <w:rFonts w:cs="Arial"/>
        </w:rPr>
        <w:t xml:space="preserve"> (n=</w:t>
      </w:r>
      <w:r>
        <w:rPr>
          <w:rFonts w:cs="Arial"/>
        </w:rPr>
        <w:t>90</w:t>
      </w:r>
      <w:r w:rsidRPr="004F5180">
        <w:rPr>
          <w:rFonts w:cs="Arial"/>
        </w:rPr>
        <w:t xml:space="preserve">) of those participants with cancer detected had </w:t>
      </w:r>
      <w:r w:rsidRPr="00A764FC">
        <w:rPr>
          <w:rFonts w:cs="Arial"/>
          <w:noProof/>
        </w:rPr>
        <w:t>Stage</w:t>
      </w:r>
      <w:r w:rsidRPr="004F5180">
        <w:rPr>
          <w:rFonts w:cs="Arial"/>
        </w:rPr>
        <w:t xml:space="preserve"> I (</w:t>
      </w:r>
      <w:r w:rsidR="005B0A5C" w:rsidRPr="00A764FC">
        <w:rPr>
          <w:rFonts w:cs="Arial"/>
          <w:noProof/>
        </w:rPr>
        <w:t>i.e.</w:t>
      </w:r>
      <w:r w:rsidRPr="004F5180">
        <w:rPr>
          <w:rFonts w:cs="Arial"/>
        </w:rPr>
        <w:t xml:space="preserve">, confined to the bowel inner lining or muscle wall) and </w:t>
      </w:r>
      <w:r>
        <w:rPr>
          <w:rFonts w:cs="Arial"/>
        </w:rPr>
        <w:t>eight percent</w:t>
      </w:r>
      <w:r w:rsidRPr="004F5180">
        <w:rPr>
          <w:rFonts w:cs="Arial"/>
        </w:rPr>
        <w:t xml:space="preserve"> (n=</w:t>
      </w:r>
      <w:r>
        <w:rPr>
          <w:rFonts w:cs="Arial"/>
        </w:rPr>
        <w:t>17</w:t>
      </w:r>
      <w:r w:rsidRPr="004F5180">
        <w:rPr>
          <w:rFonts w:cs="Arial"/>
        </w:rPr>
        <w:t xml:space="preserve">) had </w:t>
      </w:r>
      <w:r w:rsidRPr="00A764FC">
        <w:rPr>
          <w:rFonts w:cs="Arial"/>
          <w:noProof/>
        </w:rPr>
        <w:t>Stage</w:t>
      </w:r>
      <w:r w:rsidRPr="004F5180">
        <w:rPr>
          <w:rFonts w:cs="Arial"/>
        </w:rPr>
        <w:t xml:space="preserve"> IV (</w:t>
      </w:r>
      <w:r w:rsidR="005B0A5C" w:rsidRPr="00A764FC">
        <w:rPr>
          <w:rFonts w:cs="Arial"/>
          <w:noProof/>
        </w:rPr>
        <w:t>i.e.</w:t>
      </w:r>
      <w:r w:rsidRPr="004F5180">
        <w:rPr>
          <w:rFonts w:cs="Arial"/>
        </w:rPr>
        <w:t>, spread to a distant part of the body).</w:t>
      </w:r>
    </w:p>
    <w:p w:rsidR="009D76B7" w:rsidRPr="00744428" w:rsidRDefault="009D76B7" w:rsidP="009D76B7">
      <w:pPr>
        <w:rPr>
          <w:rFonts w:cs="Arial"/>
        </w:rPr>
      </w:pPr>
      <w:r>
        <w:rPr>
          <w:rFonts w:cs="Arial"/>
        </w:rPr>
        <w:t>Twelve (5.7%) cancers were not staged.</w:t>
      </w:r>
    </w:p>
    <w:p w:rsidR="009D76B7" w:rsidRPr="008E6963" w:rsidRDefault="009D76B7" w:rsidP="009D76B7">
      <w:pPr>
        <w:pStyle w:val="Heading4"/>
        <w:spacing w:line="360" w:lineRule="auto"/>
        <w:rPr>
          <w:rFonts w:cs="Arial"/>
          <w:b w:val="0"/>
        </w:rPr>
      </w:pPr>
      <w:bookmarkStart w:id="178" w:name="_Toc446344807"/>
      <w:r w:rsidRPr="008E6963">
        <w:rPr>
          <w:rFonts w:cs="Arial"/>
        </w:rPr>
        <w:t>Round 2</w:t>
      </w:r>
      <w:bookmarkEnd w:id="178"/>
      <w:r w:rsidRPr="008E6963">
        <w:rPr>
          <w:rFonts w:cs="Arial"/>
        </w:rPr>
        <w:t xml:space="preserve"> </w:t>
      </w:r>
    </w:p>
    <w:p w:rsidR="009D76B7" w:rsidRPr="00A51643" w:rsidRDefault="009D76B7" w:rsidP="009D76B7">
      <w:pPr>
        <w:rPr>
          <w:rFonts w:cs="Arial"/>
        </w:rPr>
      </w:pPr>
      <w:r>
        <w:rPr>
          <w:rFonts w:cs="Arial"/>
        </w:rPr>
        <w:t>There were 53 cancers detected in the first year of Round 2.</w:t>
      </w:r>
    </w:p>
    <w:p w:rsidR="009D76B7" w:rsidRPr="008E6963" w:rsidRDefault="009D76B7" w:rsidP="009D76B7">
      <w:pPr>
        <w:pStyle w:val="Heading4"/>
        <w:spacing w:line="360" w:lineRule="auto"/>
        <w:rPr>
          <w:rFonts w:cs="Arial"/>
          <w:b w:val="0"/>
          <w:i/>
        </w:rPr>
      </w:pPr>
      <w:bookmarkStart w:id="179" w:name="_Toc446344808"/>
      <w:r w:rsidRPr="008E6963">
        <w:rPr>
          <w:rFonts w:cs="Arial"/>
          <w:i/>
        </w:rPr>
        <w:t>Completed Round 1, negative iFOBT</w:t>
      </w:r>
      <w:bookmarkEnd w:id="179"/>
    </w:p>
    <w:p w:rsidR="009D76B7" w:rsidRDefault="009D76B7" w:rsidP="009D76B7">
      <w:pPr>
        <w:rPr>
          <w:rFonts w:cs="Arial"/>
        </w:rPr>
      </w:pPr>
      <w:r w:rsidRPr="00DF4BDF">
        <w:rPr>
          <w:rFonts w:cs="Arial"/>
        </w:rPr>
        <w:t xml:space="preserve">Twenty-seven participants had cancer detected (1.3 per 1,000 screened; </w:t>
      </w:r>
      <w:r>
        <w:rPr>
          <w:rFonts w:cs="Arial"/>
        </w:rPr>
        <w:t>110.1</w:t>
      </w:r>
      <w:r w:rsidRPr="00DF4BDF">
        <w:rPr>
          <w:rFonts w:cs="Arial"/>
        </w:rPr>
        <w:t xml:space="preserve"> per 100,000 </w:t>
      </w:r>
      <w:r w:rsidR="00061FCE">
        <w:rPr>
          <w:rFonts w:cs="Arial"/>
        </w:rPr>
        <w:t xml:space="preserve">invited): </w:t>
      </w:r>
      <w:r>
        <w:rPr>
          <w:rFonts w:cs="Arial"/>
        </w:rPr>
        <w:t>24 were European/Other</w:t>
      </w:r>
      <w:r w:rsidRPr="00DF4BDF">
        <w:rPr>
          <w:rFonts w:cs="Arial"/>
        </w:rPr>
        <w:t xml:space="preserve">, one was </w:t>
      </w:r>
      <w:r w:rsidRPr="00A764FC">
        <w:rPr>
          <w:rFonts w:cs="Arial"/>
          <w:noProof/>
        </w:rPr>
        <w:t>Asian</w:t>
      </w:r>
      <w:r>
        <w:rPr>
          <w:rFonts w:cs="Arial"/>
        </w:rPr>
        <w:t xml:space="preserve"> and</w:t>
      </w:r>
      <w:r w:rsidRPr="00DF4BDF">
        <w:rPr>
          <w:rFonts w:cs="Arial"/>
        </w:rPr>
        <w:t xml:space="preserve"> two were Māori.</w:t>
      </w:r>
    </w:p>
    <w:p w:rsidR="009D76B7" w:rsidRPr="00DF4BDF" w:rsidRDefault="009D76B7" w:rsidP="009D76B7">
      <w:pPr>
        <w:rPr>
          <w:rFonts w:cs="Arial"/>
        </w:rPr>
      </w:pPr>
      <w:r>
        <w:rPr>
          <w:rFonts w:cs="Arial"/>
        </w:rPr>
        <w:t>Nine cancers</w:t>
      </w:r>
      <w:r w:rsidRPr="00DF4BDF">
        <w:rPr>
          <w:rFonts w:cs="Arial"/>
        </w:rPr>
        <w:t xml:space="preserve"> </w:t>
      </w:r>
      <w:r>
        <w:rPr>
          <w:rFonts w:cs="Arial"/>
        </w:rPr>
        <w:t xml:space="preserve">were </w:t>
      </w:r>
      <w:r w:rsidRPr="00DF4BDF">
        <w:rPr>
          <w:rFonts w:cs="Arial"/>
        </w:rPr>
        <w:t>Stage I (</w:t>
      </w:r>
      <w:r>
        <w:rPr>
          <w:rFonts w:cs="Arial"/>
        </w:rPr>
        <w:t>36.7</w:t>
      </w:r>
      <w:r w:rsidRPr="00DF4BDF">
        <w:rPr>
          <w:rFonts w:cs="Arial"/>
        </w:rPr>
        <w:t xml:space="preserve"> per 100,000 invited), three </w:t>
      </w:r>
      <w:r>
        <w:rPr>
          <w:rFonts w:cs="Arial"/>
        </w:rPr>
        <w:t xml:space="preserve">were </w:t>
      </w:r>
      <w:r w:rsidRPr="00DF4BDF">
        <w:rPr>
          <w:rFonts w:cs="Arial"/>
        </w:rPr>
        <w:t>Stage II (</w:t>
      </w:r>
      <w:r>
        <w:rPr>
          <w:rFonts w:cs="Arial"/>
        </w:rPr>
        <w:t>12.2</w:t>
      </w:r>
      <w:r w:rsidRPr="00DF4BDF">
        <w:rPr>
          <w:rFonts w:cs="Arial"/>
        </w:rPr>
        <w:t xml:space="preserve"> per 100,000 invited)</w:t>
      </w:r>
      <w:r>
        <w:rPr>
          <w:rFonts w:cs="Arial"/>
        </w:rPr>
        <w:t>,</w:t>
      </w:r>
      <w:r w:rsidRPr="00DF4BDF">
        <w:rPr>
          <w:rFonts w:cs="Arial"/>
        </w:rPr>
        <w:t xml:space="preserve"> nine </w:t>
      </w:r>
      <w:r>
        <w:rPr>
          <w:rFonts w:cs="Arial"/>
        </w:rPr>
        <w:t xml:space="preserve">were </w:t>
      </w:r>
      <w:r w:rsidRPr="00DF4BDF">
        <w:rPr>
          <w:rFonts w:cs="Arial"/>
        </w:rPr>
        <w:t xml:space="preserve">Stage </w:t>
      </w:r>
      <w:r>
        <w:rPr>
          <w:rFonts w:cs="Arial"/>
        </w:rPr>
        <w:t>III</w:t>
      </w:r>
      <w:r w:rsidRPr="00DF4BDF">
        <w:rPr>
          <w:rFonts w:cs="Arial"/>
        </w:rPr>
        <w:t xml:space="preserve"> (</w:t>
      </w:r>
      <w:r>
        <w:rPr>
          <w:rFonts w:cs="Arial"/>
        </w:rPr>
        <w:t>36.7</w:t>
      </w:r>
      <w:r w:rsidRPr="00DF4BDF">
        <w:rPr>
          <w:rFonts w:cs="Arial"/>
        </w:rPr>
        <w:t xml:space="preserve"> per 100,000 invited), and one </w:t>
      </w:r>
      <w:r>
        <w:rPr>
          <w:rFonts w:cs="Arial"/>
        </w:rPr>
        <w:t xml:space="preserve">was </w:t>
      </w:r>
      <w:r w:rsidRPr="00DF4BDF">
        <w:rPr>
          <w:rFonts w:cs="Arial"/>
        </w:rPr>
        <w:t>Stage IV (</w:t>
      </w:r>
      <w:r>
        <w:rPr>
          <w:rFonts w:cs="Arial"/>
        </w:rPr>
        <w:t>4.1</w:t>
      </w:r>
      <w:r w:rsidRPr="00DF4BDF">
        <w:rPr>
          <w:rFonts w:cs="Arial"/>
        </w:rPr>
        <w:t xml:space="preserve"> per 100</w:t>
      </w:r>
      <w:r>
        <w:rPr>
          <w:rFonts w:cs="Arial"/>
        </w:rPr>
        <w:t>,000 invited).</w:t>
      </w:r>
    </w:p>
    <w:p w:rsidR="009D76B7" w:rsidRPr="00DF4BDF" w:rsidRDefault="009D76B7" w:rsidP="009D76B7">
      <w:pPr>
        <w:rPr>
          <w:rFonts w:cs="Arial"/>
        </w:rPr>
      </w:pPr>
      <w:r>
        <w:rPr>
          <w:rFonts w:cs="Arial"/>
        </w:rPr>
        <w:t>Five (18.5%) cancers were not staged.</w:t>
      </w:r>
    </w:p>
    <w:p w:rsidR="009D76B7" w:rsidRPr="008E6963" w:rsidRDefault="009D76B7" w:rsidP="009D76B7">
      <w:pPr>
        <w:pStyle w:val="Heading4"/>
        <w:spacing w:line="360" w:lineRule="auto"/>
        <w:rPr>
          <w:rFonts w:cs="Arial"/>
          <w:b w:val="0"/>
          <w:i/>
        </w:rPr>
      </w:pPr>
      <w:bookmarkStart w:id="180" w:name="_Toc446344809"/>
      <w:r>
        <w:rPr>
          <w:rFonts w:cs="Arial"/>
          <w:i/>
        </w:rPr>
        <w:t>Did n</w:t>
      </w:r>
      <w:r w:rsidRPr="008E6963">
        <w:rPr>
          <w:rFonts w:cs="Arial"/>
          <w:i/>
        </w:rPr>
        <w:t>ot complete Round 1</w:t>
      </w:r>
      <w:bookmarkEnd w:id="180"/>
    </w:p>
    <w:p w:rsidR="009D76B7" w:rsidRPr="00886D31" w:rsidRDefault="009D76B7" w:rsidP="009D76B7">
      <w:pPr>
        <w:rPr>
          <w:rFonts w:cs="Arial"/>
        </w:rPr>
      </w:pPr>
      <w:r>
        <w:rPr>
          <w:rFonts w:cs="Arial"/>
        </w:rPr>
        <w:t>Seventeen</w:t>
      </w:r>
      <w:r w:rsidRPr="00744428">
        <w:rPr>
          <w:rFonts w:cs="Arial"/>
        </w:rPr>
        <w:t xml:space="preserve"> participants had cancer detected (</w:t>
      </w:r>
      <w:r>
        <w:rPr>
          <w:rFonts w:cs="Arial"/>
        </w:rPr>
        <w:t xml:space="preserve">3.5 </w:t>
      </w:r>
      <w:r w:rsidRPr="00744428">
        <w:rPr>
          <w:rFonts w:cs="Arial"/>
        </w:rPr>
        <w:t>per 1</w:t>
      </w:r>
      <w:r>
        <w:rPr>
          <w:rFonts w:cs="Arial"/>
        </w:rPr>
        <w:t>,</w:t>
      </w:r>
      <w:r w:rsidRPr="00744428">
        <w:rPr>
          <w:rFonts w:cs="Arial"/>
        </w:rPr>
        <w:t>000 screened</w:t>
      </w:r>
      <w:r>
        <w:rPr>
          <w:rFonts w:cs="Arial"/>
        </w:rPr>
        <w:t>; 81.9 per 100,000 invited</w:t>
      </w:r>
      <w:r w:rsidRPr="00744428">
        <w:rPr>
          <w:rFonts w:cs="Arial"/>
        </w:rPr>
        <w:t>)</w:t>
      </w:r>
      <w:r>
        <w:rPr>
          <w:rFonts w:cs="Arial"/>
        </w:rPr>
        <w:t xml:space="preserve">. </w:t>
      </w:r>
      <w:r w:rsidRPr="00A764FC">
        <w:rPr>
          <w:rFonts w:cs="Arial"/>
          <w:noProof/>
        </w:rPr>
        <w:t>This is</w:t>
      </w:r>
      <w:r>
        <w:rPr>
          <w:rFonts w:cs="Arial"/>
        </w:rPr>
        <w:t xml:space="preserve"> similar to the cancer detection rate found for Round 1 </w:t>
      </w:r>
      <w:r w:rsidRPr="00744428">
        <w:rPr>
          <w:rFonts w:cs="Arial"/>
        </w:rPr>
        <w:t>(</w:t>
      </w:r>
      <w:r>
        <w:rPr>
          <w:rFonts w:cs="Arial"/>
        </w:rPr>
        <w:t>3.1</w:t>
      </w:r>
      <w:r w:rsidRPr="00744428">
        <w:rPr>
          <w:rFonts w:cs="Arial"/>
        </w:rPr>
        <w:t xml:space="preserve"> per 1</w:t>
      </w:r>
      <w:r>
        <w:rPr>
          <w:rFonts w:cs="Arial"/>
        </w:rPr>
        <w:t>,</w:t>
      </w:r>
      <w:r w:rsidRPr="00744428">
        <w:rPr>
          <w:rFonts w:cs="Arial"/>
        </w:rPr>
        <w:t>000 screened</w:t>
      </w:r>
      <w:r>
        <w:rPr>
          <w:rFonts w:cs="Arial"/>
        </w:rPr>
        <w:t>). Nine</w:t>
      </w:r>
      <w:r w:rsidRPr="00744428">
        <w:rPr>
          <w:rFonts w:cs="Arial"/>
        </w:rPr>
        <w:t xml:space="preserve"> were European</w:t>
      </w:r>
      <w:r>
        <w:rPr>
          <w:rFonts w:cs="Arial"/>
        </w:rPr>
        <w:t>/Other,</w:t>
      </w:r>
      <w:r w:rsidRPr="00744428">
        <w:rPr>
          <w:rFonts w:cs="Arial"/>
        </w:rPr>
        <w:t xml:space="preserve"> </w:t>
      </w:r>
      <w:r>
        <w:rPr>
          <w:rFonts w:cs="Arial"/>
        </w:rPr>
        <w:t>two</w:t>
      </w:r>
      <w:r w:rsidRPr="00744428">
        <w:rPr>
          <w:rFonts w:cs="Arial"/>
        </w:rPr>
        <w:t xml:space="preserve"> w</w:t>
      </w:r>
      <w:r>
        <w:rPr>
          <w:rFonts w:cs="Arial"/>
        </w:rPr>
        <w:t>ere</w:t>
      </w:r>
      <w:r w:rsidRPr="00744428">
        <w:rPr>
          <w:rFonts w:cs="Arial"/>
        </w:rPr>
        <w:t xml:space="preserve"> Asian, </w:t>
      </w:r>
      <w:r>
        <w:rPr>
          <w:rFonts w:cs="Arial"/>
        </w:rPr>
        <w:t>two</w:t>
      </w:r>
      <w:r w:rsidRPr="00744428">
        <w:rPr>
          <w:rFonts w:cs="Arial"/>
        </w:rPr>
        <w:t xml:space="preserve"> </w:t>
      </w:r>
      <w:r w:rsidRPr="00886D31">
        <w:rPr>
          <w:rFonts w:cs="Arial"/>
        </w:rPr>
        <w:t>were Māori</w:t>
      </w:r>
      <w:r>
        <w:rPr>
          <w:rFonts w:cs="Arial"/>
        </w:rPr>
        <w:t xml:space="preserve"> and three</w:t>
      </w:r>
      <w:r w:rsidRPr="00886D31">
        <w:rPr>
          <w:rFonts w:cs="Arial"/>
        </w:rPr>
        <w:t xml:space="preserve"> were Pacific</w:t>
      </w:r>
      <w:r>
        <w:rPr>
          <w:rFonts w:cs="Arial"/>
        </w:rPr>
        <w:t xml:space="preserve"> people.</w:t>
      </w:r>
      <w:r>
        <w:rPr>
          <w:rStyle w:val="FootnoteReference"/>
          <w:rFonts w:cs="Arial"/>
        </w:rPr>
        <w:footnoteReference w:id="37"/>
      </w:r>
    </w:p>
    <w:p w:rsidR="009D76B7" w:rsidRPr="00744428" w:rsidRDefault="009D76B7" w:rsidP="009D76B7">
      <w:pPr>
        <w:rPr>
          <w:rFonts w:cs="Arial"/>
        </w:rPr>
      </w:pPr>
      <w:r>
        <w:rPr>
          <w:rFonts w:cs="Arial"/>
        </w:rPr>
        <w:t xml:space="preserve">There </w:t>
      </w:r>
      <w:r w:rsidRPr="00A764FC">
        <w:rPr>
          <w:rFonts w:cs="Arial"/>
          <w:noProof/>
        </w:rPr>
        <w:t>were</w:t>
      </w:r>
      <w:r>
        <w:rPr>
          <w:rFonts w:cs="Arial"/>
        </w:rPr>
        <w:t xml:space="preserve"> five</w:t>
      </w:r>
      <w:r w:rsidRPr="00744428">
        <w:rPr>
          <w:rFonts w:cs="Arial"/>
        </w:rPr>
        <w:t xml:space="preserve"> Stage </w:t>
      </w:r>
      <w:r>
        <w:rPr>
          <w:rFonts w:cs="Arial"/>
        </w:rPr>
        <w:t>I</w:t>
      </w:r>
      <w:r w:rsidRPr="00744428">
        <w:rPr>
          <w:rFonts w:cs="Arial"/>
        </w:rPr>
        <w:t xml:space="preserve"> </w:t>
      </w:r>
      <w:r>
        <w:rPr>
          <w:rFonts w:cs="Arial"/>
        </w:rPr>
        <w:t xml:space="preserve">and five Stage II cancers </w:t>
      </w:r>
      <w:r w:rsidRPr="00744428">
        <w:rPr>
          <w:rFonts w:cs="Arial"/>
        </w:rPr>
        <w:t>(</w:t>
      </w:r>
      <w:r>
        <w:rPr>
          <w:rFonts w:cs="Arial"/>
        </w:rPr>
        <w:t xml:space="preserve">24.1 </w:t>
      </w:r>
      <w:r w:rsidRPr="00744428">
        <w:rPr>
          <w:rFonts w:cs="Arial"/>
        </w:rPr>
        <w:t xml:space="preserve">per 100,000 </w:t>
      </w:r>
      <w:r>
        <w:rPr>
          <w:rFonts w:cs="Arial"/>
        </w:rPr>
        <w:t>invited</w:t>
      </w:r>
      <w:r w:rsidRPr="00744428">
        <w:rPr>
          <w:rFonts w:cs="Arial"/>
        </w:rPr>
        <w:t xml:space="preserve">), followed by </w:t>
      </w:r>
      <w:r>
        <w:rPr>
          <w:rFonts w:cs="Arial"/>
        </w:rPr>
        <w:t xml:space="preserve">four </w:t>
      </w:r>
      <w:r w:rsidRPr="00744428">
        <w:rPr>
          <w:rFonts w:cs="Arial"/>
        </w:rPr>
        <w:t xml:space="preserve">Stage </w:t>
      </w:r>
      <w:r>
        <w:rPr>
          <w:rFonts w:cs="Arial"/>
        </w:rPr>
        <w:t>III</w:t>
      </w:r>
      <w:r w:rsidRPr="00744428">
        <w:rPr>
          <w:rFonts w:cs="Arial"/>
        </w:rPr>
        <w:t xml:space="preserve"> </w:t>
      </w:r>
      <w:r>
        <w:rPr>
          <w:rFonts w:cs="Arial"/>
        </w:rPr>
        <w:t xml:space="preserve">cancers </w:t>
      </w:r>
      <w:r w:rsidRPr="00744428">
        <w:rPr>
          <w:rFonts w:cs="Arial"/>
        </w:rPr>
        <w:t>(</w:t>
      </w:r>
      <w:r>
        <w:rPr>
          <w:rFonts w:cs="Arial"/>
        </w:rPr>
        <w:t>19.3</w:t>
      </w:r>
      <w:r w:rsidRPr="00744428">
        <w:rPr>
          <w:rFonts w:cs="Arial"/>
        </w:rPr>
        <w:t xml:space="preserve"> per 100,000 </w:t>
      </w:r>
      <w:r>
        <w:rPr>
          <w:rFonts w:cs="Arial"/>
        </w:rPr>
        <w:t>invited</w:t>
      </w:r>
      <w:r w:rsidRPr="00744428">
        <w:rPr>
          <w:rFonts w:cs="Arial"/>
        </w:rPr>
        <w:t>)</w:t>
      </w:r>
      <w:r>
        <w:rPr>
          <w:rFonts w:cs="Arial"/>
        </w:rPr>
        <w:t xml:space="preserve"> and one</w:t>
      </w:r>
      <w:r w:rsidRPr="00744428">
        <w:rPr>
          <w:rFonts w:cs="Arial"/>
        </w:rPr>
        <w:t xml:space="preserve"> Stage </w:t>
      </w:r>
      <w:r>
        <w:rPr>
          <w:rFonts w:cs="Arial"/>
        </w:rPr>
        <w:t>IV</w:t>
      </w:r>
      <w:r w:rsidRPr="00744428">
        <w:rPr>
          <w:rFonts w:cs="Arial"/>
        </w:rPr>
        <w:t xml:space="preserve"> </w:t>
      </w:r>
      <w:r>
        <w:rPr>
          <w:rFonts w:cs="Arial"/>
        </w:rPr>
        <w:t xml:space="preserve">cancer </w:t>
      </w:r>
      <w:r w:rsidRPr="00744428">
        <w:rPr>
          <w:rFonts w:cs="Arial"/>
        </w:rPr>
        <w:t>(</w:t>
      </w:r>
      <w:r>
        <w:rPr>
          <w:rFonts w:cs="Arial"/>
        </w:rPr>
        <w:t xml:space="preserve">4.8 </w:t>
      </w:r>
      <w:r w:rsidRPr="00744428">
        <w:rPr>
          <w:rFonts w:cs="Arial"/>
        </w:rPr>
        <w:t xml:space="preserve">per 100,000 </w:t>
      </w:r>
      <w:r>
        <w:rPr>
          <w:rFonts w:cs="Arial"/>
        </w:rPr>
        <w:t>invited</w:t>
      </w:r>
      <w:r w:rsidRPr="00744428">
        <w:rPr>
          <w:rFonts w:cs="Arial"/>
        </w:rPr>
        <w:t>)</w:t>
      </w:r>
      <w:r>
        <w:rPr>
          <w:rFonts w:cs="Arial"/>
        </w:rPr>
        <w:t>.</w:t>
      </w:r>
    </w:p>
    <w:p w:rsidR="009D76B7" w:rsidRPr="008E6963" w:rsidRDefault="009D76B7" w:rsidP="009D76B7">
      <w:pPr>
        <w:pStyle w:val="Heading4"/>
        <w:spacing w:line="360" w:lineRule="auto"/>
        <w:rPr>
          <w:rFonts w:cs="Arial"/>
          <w:b w:val="0"/>
          <w:i/>
        </w:rPr>
      </w:pPr>
      <w:bookmarkStart w:id="181" w:name="_Toc446344810"/>
      <w:r w:rsidRPr="008E6963">
        <w:rPr>
          <w:rFonts w:cs="Arial"/>
          <w:i/>
        </w:rPr>
        <w:t>Not invited in Round 1</w:t>
      </w:r>
      <w:bookmarkEnd w:id="181"/>
    </w:p>
    <w:p w:rsidR="009D76B7" w:rsidRPr="008E6963" w:rsidRDefault="009D76B7" w:rsidP="009D76B7">
      <w:pPr>
        <w:rPr>
          <w:rFonts w:cs="Arial"/>
        </w:rPr>
      </w:pPr>
      <w:r w:rsidRPr="008E6963">
        <w:rPr>
          <w:rFonts w:cs="Arial"/>
        </w:rPr>
        <w:t>Nine par</w:t>
      </w:r>
      <w:r w:rsidR="003E00FC">
        <w:rPr>
          <w:rFonts w:cs="Arial"/>
        </w:rPr>
        <w:t>ticipants had cancer detected (1.3</w:t>
      </w:r>
      <w:r w:rsidRPr="008E6963">
        <w:rPr>
          <w:rFonts w:cs="Arial"/>
        </w:rPr>
        <w:t xml:space="preserve"> per 1,000 screened; 52.4 per 100,000 invited) </w:t>
      </w:r>
      <w:r w:rsidR="00061FCE">
        <w:rPr>
          <w:rFonts w:cs="Arial"/>
        </w:rPr>
        <w:t>–</w:t>
      </w:r>
      <w:r w:rsidRPr="008E6963">
        <w:rPr>
          <w:rFonts w:cs="Arial"/>
        </w:rPr>
        <w:t>six were European/Other</w:t>
      </w:r>
      <w:r>
        <w:rPr>
          <w:rFonts w:cs="Arial"/>
        </w:rPr>
        <w:t xml:space="preserve"> and</w:t>
      </w:r>
      <w:r w:rsidRPr="008E6963">
        <w:rPr>
          <w:rFonts w:cs="Arial"/>
        </w:rPr>
        <w:t xml:space="preserve"> three were Asian.</w:t>
      </w:r>
    </w:p>
    <w:p w:rsidR="009D76B7" w:rsidRDefault="009D76B7" w:rsidP="009D76B7">
      <w:pPr>
        <w:rPr>
          <w:rFonts w:cs="Arial"/>
        </w:rPr>
      </w:pPr>
      <w:r>
        <w:rPr>
          <w:rFonts w:cs="Arial"/>
        </w:rPr>
        <w:t>Five of the nine cancers were detected in the 50</w:t>
      </w:r>
      <w:r w:rsidR="00061FCE">
        <w:rPr>
          <w:rFonts w:cs="Arial"/>
        </w:rPr>
        <w:t>–</w:t>
      </w:r>
      <w:r>
        <w:rPr>
          <w:rFonts w:cs="Arial"/>
        </w:rPr>
        <w:t>59 years age group.</w:t>
      </w:r>
    </w:p>
    <w:p w:rsidR="009D76B7" w:rsidRPr="008E6963" w:rsidRDefault="009D76B7" w:rsidP="009D76B7">
      <w:pPr>
        <w:rPr>
          <w:rFonts w:cs="Arial"/>
        </w:rPr>
      </w:pPr>
      <w:r w:rsidRPr="008E6963">
        <w:rPr>
          <w:rFonts w:cs="Arial"/>
        </w:rPr>
        <w:t>There were six Stage I (34.9 per 100,000 invited), one Stage II (5.8 per 100,000 invited) and two Stage IV cancers (11.6 per 100,000 invited).</w:t>
      </w:r>
    </w:p>
    <w:p w:rsidR="009D76B7" w:rsidRPr="00B848A3" w:rsidRDefault="00B83300" w:rsidP="009D76B7">
      <w:pPr>
        <w:pStyle w:val="Heading2"/>
        <w:spacing w:line="480" w:lineRule="auto"/>
        <w:rPr>
          <w:rFonts w:cs="Arial"/>
          <w:szCs w:val="24"/>
        </w:rPr>
      </w:pPr>
      <w:bookmarkStart w:id="182" w:name="_Toc446344811"/>
      <w:bookmarkStart w:id="183" w:name="_Toc457842126"/>
      <w:r>
        <w:rPr>
          <w:rFonts w:cs="Arial"/>
          <w:szCs w:val="24"/>
        </w:rPr>
        <w:t>3.6</w:t>
      </w:r>
      <w:r>
        <w:rPr>
          <w:rFonts w:cs="Arial"/>
          <w:szCs w:val="24"/>
        </w:rPr>
        <w:tab/>
      </w:r>
      <w:r w:rsidR="009D76B7" w:rsidRPr="00B848A3">
        <w:rPr>
          <w:rFonts w:cs="Arial"/>
          <w:szCs w:val="24"/>
        </w:rPr>
        <w:t>Colonoscopy completion</w:t>
      </w:r>
      <w:bookmarkEnd w:id="182"/>
      <w:bookmarkEnd w:id="183"/>
    </w:p>
    <w:p w:rsidR="009D76B7" w:rsidRPr="00744428" w:rsidRDefault="009D76B7" w:rsidP="009D76B7">
      <w:pPr>
        <w:rPr>
          <w:rFonts w:cs="Arial"/>
        </w:rPr>
      </w:pPr>
      <w:r>
        <w:rPr>
          <w:rFonts w:cs="Arial"/>
        </w:rPr>
        <w:t>C</w:t>
      </w:r>
      <w:r w:rsidRPr="00CC0895">
        <w:rPr>
          <w:rFonts w:cs="Arial"/>
        </w:rPr>
        <w:t xml:space="preserve">olonoscopy was </w:t>
      </w:r>
      <w:r>
        <w:rPr>
          <w:rFonts w:cs="Arial"/>
        </w:rPr>
        <w:t>in</w:t>
      </w:r>
      <w:r w:rsidRPr="00CC0895">
        <w:rPr>
          <w:rFonts w:cs="Arial"/>
        </w:rPr>
        <w:t>complete</w:t>
      </w:r>
      <w:r>
        <w:rPr>
          <w:rStyle w:val="FootnoteReference"/>
          <w:rFonts w:cs="Arial"/>
        </w:rPr>
        <w:footnoteReference w:id="38"/>
      </w:r>
      <w:r w:rsidRPr="00CC0895">
        <w:rPr>
          <w:rFonts w:cs="Arial"/>
        </w:rPr>
        <w:t xml:space="preserve"> in </w:t>
      </w:r>
      <w:r>
        <w:rPr>
          <w:rFonts w:cs="Arial"/>
        </w:rPr>
        <w:t>less than one percent</w:t>
      </w:r>
      <w:r w:rsidRPr="00CC0895">
        <w:rPr>
          <w:rFonts w:cs="Arial"/>
        </w:rPr>
        <w:t xml:space="preserve"> of cases</w:t>
      </w:r>
      <w:r>
        <w:rPr>
          <w:rFonts w:cs="Arial"/>
        </w:rPr>
        <w:t xml:space="preserve"> </w:t>
      </w:r>
      <w:r w:rsidRPr="00595844">
        <w:rPr>
          <w:rFonts w:cs="Arial"/>
        </w:rPr>
        <w:t>in both rounds</w:t>
      </w:r>
      <w:r w:rsidRPr="00CC0895">
        <w:rPr>
          <w:rFonts w:cs="Arial"/>
        </w:rPr>
        <w:t xml:space="preserve">. </w:t>
      </w:r>
    </w:p>
    <w:p w:rsidR="009D76B7" w:rsidRPr="00B848A3" w:rsidRDefault="00B83300" w:rsidP="009D76B7">
      <w:pPr>
        <w:pStyle w:val="Heading2"/>
        <w:spacing w:line="480" w:lineRule="auto"/>
        <w:rPr>
          <w:rFonts w:cs="Arial"/>
          <w:szCs w:val="24"/>
        </w:rPr>
      </w:pPr>
      <w:bookmarkStart w:id="184" w:name="_Toc446344812"/>
      <w:bookmarkStart w:id="185" w:name="_Toc457842127"/>
      <w:r>
        <w:rPr>
          <w:rFonts w:cs="Arial"/>
          <w:szCs w:val="24"/>
        </w:rPr>
        <w:t>3.7</w:t>
      </w:r>
      <w:r>
        <w:rPr>
          <w:rFonts w:cs="Arial"/>
          <w:szCs w:val="24"/>
        </w:rPr>
        <w:tab/>
      </w:r>
      <w:r w:rsidR="009D76B7" w:rsidRPr="00B848A3">
        <w:rPr>
          <w:rFonts w:cs="Arial"/>
          <w:szCs w:val="24"/>
        </w:rPr>
        <w:t>Adverse events</w:t>
      </w:r>
      <w:bookmarkEnd w:id="184"/>
      <w:bookmarkEnd w:id="185"/>
    </w:p>
    <w:p w:rsidR="009D76B7" w:rsidRDefault="009D76B7" w:rsidP="009D76B7">
      <w:pPr>
        <w:rPr>
          <w:rFonts w:cs="Arial"/>
        </w:rPr>
      </w:pPr>
      <w:r>
        <w:rPr>
          <w:rFonts w:cs="Arial"/>
        </w:rPr>
        <w:t>About one percent of colonoscopies in both rounds resulted in</w:t>
      </w:r>
      <w:r w:rsidRPr="00744428">
        <w:rPr>
          <w:rFonts w:cs="Arial"/>
        </w:rPr>
        <w:t xml:space="preserve"> readmission</w:t>
      </w:r>
      <w:r>
        <w:rPr>
          <w:rFonts w:cs="Arial"/>
        </w:rPr>
        <w:t>, comprising 49 in Round 1 and 15 in the first year of Round 2. Ninety-two percent</w:t>
      </w:r>
      <w:r w:rsidRPr="007E4D54">
        <w:rPr>
          <w:rFonts w:cs="Arial"/>
        </w:rPr>
        <w:t xml:space="preserve"> of readmissions occur</w:t>
      </w:r>
      <w:r>
        <w:rPr>
          <w:rFonts w:cs="Arial"/>
        </w:rPr>
        <w:t>red</w:t>
      </w:r>
      <w:r w:rsidRPr="007E4D54">
        <w:rPr>
          <w:rFonts w:cs="Arial"/>
        </w:rPr>
        <w:t xml:space="preserve"> in participants whose colonoscopy included tissue removal</w:t>
      </w:r>
      <w:r>
        <w:rPr>
          <w:rFonts w:cs="Arial"/>
        </w:rPr>
        <w:t>.</w:t>
      </w:r>
      <w:r>
        <w:rPr>
          <w:rStyle w:val="FootnoteReference"/>
          <w:rFonts w:cs="Arial"/>
        </w:rPr>
        <w:footnoteReference w:id="39"/>
      </w:r>
    </w:p>
    <w:p w:rsidR="009D76B7" w:rsidRDefault="009D76B7" w:rsidP="009D76B7">
      <w:pPr>
        <w:rPr>
          <w:rFonts w:cs="Arial"/>
        </w:rPr>
      </w:pPr>
      <w:r>
        <w:rPr>
          <w:rFonts w:cs="Arial"/>
        </w:rPr>
        <w:t>In Round 1, t</w:t>
      </w:r>
      <w:r w:rsidRPr="00744428">
        <w:rPr>
          <w:rFonts w:cs="Arial"/>
        </w:rPr>
        <w:t xml:space="preserve">he most common cause </w:t>
      </w:r>
      <w:r>
        <w:rPr>
          <w:rFonts w:cs="Arial"/>
        </w:rPr>
        <w:t>for</w:t>
      </w:r>
      <w:r w:rsidRPr="00744428">
        <w:rPr>
          <w:rFonts w:cs="Arial"/>
        </w:rPr>
        <w:t xml:space="preserve"> readmission w</w:t>
      </w:r>
      <w:r>
        <w:rPr>
          <w:rFonts w:cs="Arial"/>
        </w:rPr>
        <w:t>as</w:t>
      </w:r>
      <w:r w:rsidRPr="00744428">
        <w:rPr>
          <w:rFonts w:cs="Arial"/>
        </w:rPr>
        <w:t xml:space="preserve"> bleeding</w:t>
      </w:r>
      <w:r>
        <w:rPr>
          <w:rFonts w:cs="Arial"/>
        </w:rPr>
        <w:t>.</w:t>
      </w:r>
      <w:r w:rsidRPr="00523E4A">
        <w:rPr>
          <w:rFonts w:cs="Arial"/>
        </w:rPr>
        <w:t xml:space="preserve"> </w:t>
      </w:r>
      <w:r>
        <w:rPr>
          <w:rFonts w:cs="Arial"/>
        </w:rPr>
        <w:t>T</w:t>
      </w:r>
      <w:r w:rsidRPr="00744428">
        <w:rPr>
          <w:rFonts w:cs="Arial"/>
        </w:rPr>
        <w:t xml:space="preserve">he bleeding rate was </w:t>
      </w:r>
      <w:r>
        <w:rPr>
          <w:rFonts w:cs="Arial"/>
        </w:rPr>
        <w:t>7.9</w:t>
      </w:r>
      <w:r w:rsidRPr="00744428">
        <w:rPr>
          <w:rFonts w:cs="Arial"/>
        </w:rPr>
        <w:t xml:space="preserve"> per 1,000 </w:t>
      </w:r>
      <w:r>
        <w:rPr>
          <w:rFonts w:cs="Arial"/>
        </w:rPr>
        <w:t>colonoscopies with tissue removal (6.0 per 1,000 total completed colonoscopies).</w:t>
      </w:r>
    </w:p>
    <w:p w:rsidR="009D76B7" w:rsidRDefault="009D76B7" w:rsidP="009D76B7">
      <w:pPr>
        <w:rPr>
          <w:rFonts w:cs="Arial"/>
        </w:rPr>
      </w:pPr>
      <w:r w:rsidRPr="00744428">
        <w:rPr>
          <w:rFonts w:cs="Arial"/>
        </w:rPr>
        <w:t xml:space="preserve">The perforation rate was </w:t>
      </w:r>
      <w:r>
        <w:rPr>
          <w:rFonts w:cs="Arial"/>
        </w:rPr>
        <w:t>1.2</w:t>
      </w:r>
      <w:r w:rsidRPr="00744428">
        <w:rPr>
          <w:rFonts w:cs="Arial"/>
        </w:rPr>
        <w:t xml:space="preserve"> per 1,000 </w:t>
      </w:r>
      <w:r>
        <w:rPr>
          <w:rFonts w:cs="Arial"/>
        </w:rPr>
        <w:t>colonoscopies</w:t>
      </w:r>
      <w:r w:rsidRPr="00744428">
        <w:rPr>
          <w:rFonts w:cs="Arial"/>
        </w:rPr>
        <w:t xml:space="preserve"> </w:t>
      </w:r>
      <w:r>
        <w:rPr>
          <w:rFonts w:cs="Arial"/>
        </w:rPr>
        <w:t xml:space="preserve">with tissue removal </w:t>
      </w:r>
      <w:r w:rsidRPr="00744428">
        <w:rPr>
          <w:rFonts w:cs="Arial"/>
        </w:rPr>
        <w:t xml:space="preserve">and </w:t>
      </w:r>
      <w:r>
        <w:rPr>
          <w:rFonts w:cs="Arial"/>
        </w:rPr>
        <w:t xml:space="preserve">0.9 per 1,000 colonoscopies without tissue removal (1.1 per 1,000 total completed colonoscopies). </w:t>
      </w:r>
    </w:p>
    <w:p w:rsidR="009D76B7" w:rsidRDefault="009D76B7" w:rsidP="009D76B7">
      <w:pPr>
        <w:rPr>
          <w:rFonts w:cs="Arial"/>
        </w:rPr>
      </w:pPr>
      <w:r w:rsidRPr="00744428">
        <w:rPr>
          <w:rFonts w:cs="Arial"/>
        </w:rPr>
        <w:t xml:space="preserve">The rate for all other complications was </w:t>
      </w:r>
      <w:r>
        <w:rPr>
          <w:rFonts w:cs="Arial"/>
        </w:rPr>
        <w:t>3.8</w:t>
      </w:r>
      <w:r w:rsidRPr="00744428">
        <w:rPr>
          <w:rFonts w:cs="Arial"/>
        </w:rPr>
        <w:t xml:space="preserve"> per 1,000 </w:t>
      </w:r>
      <w:r>
        <w:rPr>
          <w:rFonts w:cs="Arial"/>
        </w:rPr>
        <w:t xml:space="preserve">total completed colonoscopies. </w:t>
      </w:r>
    </w:p>
    <w:p w:rsidR="009D76B7" w:rsidRDefault="009D76B7" w:rsidP="009D76B7">
      <w:pPr>
        <w:rPr>
          <w:rFonts w:cs="Arial"/>
        </w:rPr>
      </w:pPr>
      <w:r>
        <w:rPr>
          <w:rFonts w:cs="Arial"/>
        </w:rPr>
        <w:t>In Round 2, t</w:t>
      </w:r>
      <w:r w:rsidRPr="00744428">
        <w:rPr>
          <w:rFonts w:cs="Arial"/>
        </w:rPr>
        <w:t>he most common cause</w:t>
      </w:r>
      <w:r>
        <w:rPr>
          <w:rFonts w:cs="Arial"/>
        </w:rPr>
        <w:t>s</w:t>
      </w:r>
      <w:r w:rsidRPr="00744428">
        <w:rPr>
          <w:rFonts w:cs="Arial"/>
        </w:rPr>
        <w:t xml:space="preserve"> </w:t>
      </w:r>
      <w:r>
        <w:rPr>
          <w:rFonts w:cs="Arial"/>
        </w:rPr>
        <w:t>for</w:t>
      </w:r>
      <w:r w:rsidRPr="00744428">
        <w:rPr>
          <w:rFonts w:cs="Arial"/>
        </w:rPr>
        <w:t xml:space="preserve"> readmission w</w:t>
      </w:r>
      <w:r>
        <w:rPr>
          <w:rFonts w:cs="Arial"/>
        </w:rPr>
        <w:t>ere</w:t>
      </w:r>
      <w:r w:rsidRPr="00744428">
        <w:rPr>
          <w:rFonts w:cs="Arial"/>
        </w:rPr>
        <w:t xml:space="preserve"> </w:t>
      </w:r>
      <w:r>
        <w:rPr>
          <w:rFonts w:cs="Arial"/>
        </w:rPr>
        <w:t xml:space="preserve">reasons other than perforation or </w:t>
      </w:r>
      <w:r w:rsidRPr="00744428">
        <w:rPr>
          <w:rFonts w:cs="Arial"/>
        </w:rPr>
        <w:t>bleeding</w:t>
      </w:r>
      <w:r>
        <w:rPr>
          <w:rFonts w:cs="Arial"/>
        </w:rPr>
        <w:t xml:space="preserve">. </w:t>
      </w:r>
      <w:r w:rsidRPr="00744428">
        <w:rPr>
          <w:rFonts w:cs="Arial"/>
        </w:rPr>
        <w:t xml:space="preserve">The rate </w:t>
      </w:r>
      <w:r w:rsidRPr="00A764FC">
        <w:rPr>
          <w:rFonts w:cs="Arial"/>
          <w:noProof/>
        </w:rPr>
        <w:t>for</w:t>
      </w:r>
      <w:r w:rsidRPr="00744428">
        <w:rPr>
          <w:rFonts w:cs="Arial"/>
        </w:rPr>
        <w:t xml:space="preserve"> all other complications was </w:t>
      </w:r>
      <w:r>
        <w:rPr>
          <w:rFonts w:cs="Arial"/>
        </w:rPr>
        <w:t>5.2</w:t>
      </w:r>
      <w:r w:rsidRPr="00744428">
        <w:rPr>
          <w:rFonts w:cs="Arial"/>
        </w:rPr>
        <w:t xml:space="preserve"> per 1,000 </w:t>
      </w:r>
      <w:r>
        <w:rPr>
          <w:rFonts w:cs="Arial"/>
        </w:rPr>
        <w:t>total completed colonoscopies.</w:t>
      </w:r>
    </w:p>
    <w:p w:rsidR="009D76B7" w:rsidRDefault="009D76B7" w:rsidP="009D76B7">
      <w:pPr>
        <w:rPr>
          <w:rFonts w:cs="Arial"/>
        </w:rPr>
      </w:pPr>
      <w:r>
        <w:rPr>
          <w:rFonts w:cs="Arial"/>
        </w:rPr>
        <w:t>T</w:t>
      </w:r>
      <w:r w:rsidRPr="00744428">
        <w:rPr>
          <w:rFonts w:cs="Arial"/>
        </w:rPr>
        <w:t xml:space="preserve">he bleeding rate was </w:t>
      </w:r>
      <w:r>
        <w:rPr>
          <w:rFonts w:cs="Arial"/>
        </w:rPr>
        <w:t>5.3</w:t>
      </w:r>
      <w:r w:rsidRPr="00744428">
        <w:rPr>
          <w:rFonts w:cs="Arial"/>
        </w:rPr>
        <w:t xml:space="preserve"> per 1,000 </w:t>
      </w:r>
      <w:r>
        <w:rPr>
          <w:rFonts w:cs="Arial"/>
        </w:rPr>
        <w:t>colonoscopies with tissue removal (3.9 per 1,000 total completed colonoscopies)</w:t>
      </w:r>
      <w:r w:rsidRPr="00744428">
        <w:rPr>
          <w:rFonts w:cs="Arial"/>
        </w:rPr>
        <w:t>.</w:t>
      </w:r>
    </w:p>
    <w:p w:rsidR="009D76B7" w:rsidRDefault="009D76B7" w:rsidP="009D76B7">
      <w:pPr>
        <w:rPr>
          <w:rFonts w:cs="Arial"/>
        </w:rPr>
      </w:pPr>
      <w:r w:rsidRPr="00744428">
        <w:rPr>
          <w:rFonts w:cs="Arial"/>
        </w:rPr>
        <w:t xml:space="preserve">The perforation rate was </w:t>
      </w:r>
      <w:r>
        <w:rPr>
          <w:rFonts w:cs="Arial"/>
        </w:rPr>
        <w:t>0.9</w:t>
      </w:r>
      <w:r w:rsidRPr="00744428">
        <w:rPr>
          <w:rFonts w:cs="Arial"/>
        </w:rPr>
        <w:t xml:space="preserve"> per 1,000 </w:t>
      </w:r>
      <w:r>
        <w:rPr>
          <w:rFonts w:cs="Arial"/>
        </w:rPr>
        <w:t>colonoscopies</w:t>
      </w:r>
      <w:r w:rsidRPr="00744428">
        <w:rPr>
          <w:rFonts w:cs="Arial"/>
        </w:rPr>
        <w:t xml:space="preserve"> </w:t>
      </w:r>
      <w:r>
        <w:rPr>
          <w:rFonts w:cs="Arial"/>
        </w:rPr>
        <w:t xml:space="preserve">with tissue removal (0.6 per 1,000 total completed colonoscopies). </w:t>
      </w:r>
    </w:p>
    <w:p w:rsidR="009D76B7" w:rsidRDefault="009D76B7" w:rsidP="009D76B7">
      <w:pPr>
        <w:rPr>
          <w:rFonts w:cs="Arial"/>
        </w:rPr>
      </w:pPr>
      <w:r>
        <w:rPr>
          <w:rFonts w:cs="Arial"/>
        </w:rPr>
        <w:t>There was no significant difference between the bleeding and perforation rates from colonoscopies with tissue removal between the two rounds.</w:t>
      </w:r>
    </w:p>
    <w:p w:rsidR="009D76B7" w:rsidRDefault="009D76B7" w:rsidP="009D76B7">
      <w:pPr>
        <w:rPr>
          <w:rFonts w:cs="Arial"/>
        </w:rPr>
      </w:pPr>
      <w:r>
        <w:rPr>
          <w:rFonts w:cs="Arial"/>
        </w:rPr>
        <w:t xml:space="preserve">Different definitions for adverse events, particularly for bleeding and </w:t>
      </w:r>
      <w:r w:rsidRPr="00CA2C07">
        <w:rPr>
          <w:rFonts w:cs="Arial"/>
          <w:noProof/>
        </w:rPr>
        <w:t>follow up</w:t>
      </w:r>
      <w:r>
        <w:rPr>
          <w:rFonts w:cs="Arial"/>
        </w:rPr>
        <w:t xml:space="preserve"> periods, make direct comparisons with other reported data difficult. </w:t>
      </w:r>
    </w:p>
    <w:p w:rsidR="009D76B7" w:rsidRDefault="009D76B7" w:rsidP="009D76B7">
      <w:pPr>
        <w:rPr>
          <w:rFonts w:cs="Arial"/>
        </w:rPr>
      </w:pPr>
      <w:r>
        <w:rPr>
          <w:rFonts w:cs="Arial"/>
        </w:rPr>
        <w:t>Although the BSP slightly exceeded the UK standard for perforation (less than one in 1,000 colonoscopies) in Round 1, it met the UK standard for perforation of</w:t>
      </w:r>
      <w:r w:rsidRPr="007239BA">
        <w:rPr>
          <w:rFonts w:cs="Arial"/>
        </w:rPr>
        <w:t xml:space="preserve"> </w:t>
      </w:r>
      <w:r>
        <w:rPr>
          <w:rFonts w:cs="Arial"/>
        </w:rPr>
        <w:t xml:space="preserve">less than one in 500 colonoscopies involving polypectomy. Both standards </w:t>
      </w:r>
      <w:r w:rsidRPr="00CA2C07">
        <w:rPr>
          <w:rFonts w:cs="Arial"/>
          <w:noProof/>
        </w:rPr>
        <w:t>were met</w:t>
      </w:r>
      <w:r>
        <w:rPr>
          <w:rFonts w:cs="Arial"/>
        </w:rPr>
        <w:t xml:space="preserve"> in Round 2. The BSP also </w:t>
      </w:r>
      <w:r w:rsidRPr="00CA2C07">
        <w:rPr>
          <w:rFonts w:cs="Arial"/>
          <w:noProof/>
        </w:rPr>
        <w:t>met</w:t>
      </w:r>
      <w:r>
        <w:rPr>
          <w:rFonts w:cs="Arial"/>
        </w:rPr>
        <w:t xml:space="preserve"> the UK standard of having bleeding</w:t>
      </w:r>
      <w:r w:rsidRPr="00142374">
        <w:rPr>
          <w:rFonts w:cs="Arial"/>
        </w:rPr>
        <w:t xml:space="preserve"> </w:t>
      </w:r>
      <w:r>
        <w:rPr>
          <w:rFonts w:cs="Arial"/>
        </w:rPr>
        <w:t xml:space="preserve">in less than one in 100 colonoscopies involving polypectomy (Chilton and Rutter 2011). </w:t>
      </w:r>
    </w:p>
    <w:p w:rsidR="009D76B7" w:rsidRPr="00F72955" w:rsidRDefault="00B83300" w:rsidP="00EE465A">
      <w:pPr>
        <w:pStyle w:val="Heading2"/>
        <w:rPr>
          <w:b w:val="0"/>
        </w:rPr>
      </w:pPr>
      <w:bookmarkStart w:id="186" w:name="_Toc446344813"/>
      <w:bookmarkStart w:id="187" w:name="_Toc457842128"/>
      <w:r>
        <w:t>3.8</w:t>
      </w:r>
      <w:r>
        <w:tab/>
      </w:r>
      <w:r w:rsidR="009D76B7" w:rsidRPr="00EE465A">
        <w:t>Conclusion</w:t>
      </w:r>
      <w:bookmarkEnd w:id="186"/>
      <w:bookmarkEnd w:id="187"/>
    </w:p>
    <w:p w:rsidR="009D76B7" w:rsidRDefault="009D76B7" w:rsidP="009D76B7">
      <w:pPr>
        <w:rPr>
          <w:rFonts w:cs="Arial"/>
          <w:lang w:val="en-US" w:eastAsia="ja-JP"/>
        </w:rPr>
      </w:pPr>
      <w:r>
        <w:rPr>
          <w:rFonts w:cs="Arial"/>
          <w:lang w:val="en-US" w:eastAsia="ja-JP"/>
        </w:rPr>
        <w:t>The results provide information for predicting participation in prevalence and incidence rounds of a national bowel cancer screening programme and for targeting resources to increase iFOBT uptake where it is low.</w:t>
      </w:r>
    </w:p>
    <w:p w:rsidR="009D76B7" w:rsidRPr="00744428" w:rsidRDefault="009D76B7" w:rsidP="009D76B7">
      <w:pPr>
        <w:rPr>
          <w:rFonts w:cs="Arial"/>
        </w:rPr>
      </w:pPr>
      <w:r>
        <w:rPr>
          <w:rFonts w:cs="Arial"/>
        </w:rPr>
        <w:t xml:space="preserve">The Ministry of Health’s uptake target was 60% by the end of the four-year BSP. The target </w:t>
      </w:r>
      <w:r w:rsidRPr="00CA2C07">
        <w:rPr>
          <w:rFonts w:cs="Arial"/>
          <w:noProof/>
        </w:rPr>
        <w:t>was met</w:t>
      </w:r>
      <w:r>
        <w:rPr>
          <w:rFonts w:cs="Arial"/>
        </w:rPr>
        <w:t xml:space="preserve"> in Round 1 for E</w:t>
      </w:r>
      <w:r w:rsidRPr="006074D1">
        <w:rPr>
          <w:rFonts w:cs="Arial"/>
        </w:rPr>
        <w:t>uropean/Other females</w:t>
      </w:r>
      <w:r>
        <w:rPr>
          <w:rFonts w:cs="Arial"/>
        </w:rPr>
        <w:t xml:space="preserve"> over 55 years </w:t>
      </w:r>
      <w:r w:rsidRPr="006074D1">
        <w:rPr>
          <w:rFonts w:cs="Arial"/>
        </w:rPr>
        <w:t xml:space="preserve">and </w:t>
      </w:r>
      <w:r>
        <w:rPr>
          <w:rFonts w:cs="Arial"/>
        </w:rPr>
        <w:t>E</w:t>
      </w:r>
      <w:r w:rsidRPr="006074D1">
        <w:rPr>
          <w:rFonts w:cs="Arial"/>
        </w:rPr>
        <w:t xml:space="preserve">uropean/Other males </w:t>
      </w:r>
      <w:r>
        <w:rPr>
          <w:rFonts w:cs="Arial"/>
        </w:rPr>
        <w:t xml:space="preserve">over 60 years, Asian females and males </w:t>
      </w:r>
      <w:r w:rsidRPr="006074D1">
        <w:rPr>
          <w:rFonts w:cs="Arial"/>
        </w:rPr>
        <w:t xml:space="preserve">aged </w:t>
      </w:r>
      <w:r>
        <w:rPr>
          <w:rFonts w:cs="Arial"/>
        </w:rPr>
        <w:t>70</w:t>
      </w:r>
      <w:r w:rsidR="00061FCE">
        <w:rPr>
          <w:rFonts w:cs="Arial"/>
        </w:rPr>
        <w:t>–</w:t>
      </w:r>
      <w:r>
        <w:rPr>
          <w:rFonts w:cs="Arial"/>
        </w:rPr>
        <w:t>74</w:t>
      </w:r>
      <w:r w:rsidRPr="006074D1">
        <w:rPr>
          <w:rFonts w:cs="Arial"/>
        </w:rPr>
        <w:t xml:space="preserve"> years, and </w:t>
      </w:r>
      <w:r>
        <w:rPr>
          <w:rFonts w:cs="Arial"/>
        </w:rPr>
        <w:t>M</w:t>
      </w:r>
      <w:r w:rsidRPr="00160871">
        <w:rPr>
          <w:rFonts w:cs="Arial"/>
        </w:rPr>
        <w:t>āori</w:t>
      </w:r>
      <w:r>
        <w:rPr>
          <w:rFonts w:cs="Arial"/>
        </w:rPr>
        <w:t xml:space="preserve"> females </w:t>
      </w:r>
      <w:r w:rsidRPr="006074D1">
        <w:rPr>
          <w:rFonts w:cs="Arial"/>
        </w:rPr>
        <w:t xml:space="preserve">aged </w:t>
      </w:r>
      <w:r>
        <w:rPr>
          <w:rFonts w:cs="Arial"/>
        </w:rPr>
        <w:t>70</w:t>
      </w:r>
      <w:r w:rsidR="00061FCE">
        <w:rPr>
          <w:rFonts w:cs="Arial"/>
        </w:rPr>
        <w:t>–</w:t>
      </w:r>
      <w:r>
        <w:rPr>
          <w:rFonts w:cs="Arial"/>
        </w:rPr>
        <w:t>74 years and M</w:t>
      </w:r>
      <w:r w:rsidRPr="00160871">
        <w:rPr>
          <w:rFonts w:cs="Arial"/>
        </w:rPr>
        <w:t>āori</w:t>
      </w:r>
      <w:r>
        <w:rPr>
          <w:rFonts w:cs="Arial"/>
        </w:rPr>
        <w:t xml:space="preserve"> males over 65 years</w:t>
      </w:r>
      <w:r w:rsidRPr="006074D1">
        <w:rPr>
          <w:rFonts w:cs="Arial"/>
        </w:rPr>
        <w:t>.</w:t>
      </w:r>
      <w:r>
        <w:rPr>
          <w:rFonts w:cs="Arial"/>
        </w:rPr>
        <w:t xml:space="preserve"> Participation for all age and ethnic groups for both females and males was above 60% among those who completed incidence screening in Round 2.</w:t>
      </w:r>
    </w:p>
    <w:p w:rsidR="009D76B7" w:rsidRPr="00744428" w:rsidRDefault="009D76B7" w:rsidP="009D76B7">
      <w:pPr>
        <w:rPr>
          <w:rFonts w:cs="Arial"/>
        </w:rPr>
      </w:pPr>
      <w:r w:rsidRPr="00160871">
        <w:rPr>
          <w:rFonts w:cs="Arial"/>
        </w:rPr>
        <w:t>Participation was highest among European/Other, followed by Asians</w:t>
      </w:r>
      <w:r>
        <w:rPr>
          <w:rFonts w:cs="Arial"/>
        </w:rPr>
        <w:t>,</w:t>
      </w:r>
      <w:r w:rsidRPr="00160871">
        <w:rPr>
          <w:rFonts w:cs="Arial"/>
        </w:rPr>
        <w:t xml:space="preserve"> Māori </w:t>
      </w:r>
      <w:r>
        <w:rPr>
          <w:rFonts w:cs="Arial"/>
        </w:rPr>
        <w:t xml:space="preserve">and </w:t>
      </w:r>
      <w:r w:rsidRPr="00160871">
        <w:rPr>
          <w:rFonts w:cs="Arial"/>
        </w:rPr>
        <w:t xml:space="preserve">Pacific </w:t>
      </w:r>
      <w:r>
        <w:rPr>
          <w:rFonts w:cs="Arial"/>
        </w:rPr>
        <w:t xml:space="preserve">people. The pattern was the same in both rounds. Although Pacific participation was significantly </w:t>
      </w:r>
      <w:r w:rsidRPr="00CA2C07">
        <w:rPr>
          <w:rFonts w:cs="Arial"/>
          <w:noProof/>
        </w:rPr>
        <w:t>higher</w:t>
      </w:r>
      <w:r>
        <w:rPr>
          <w:rFonts w:cs="Arial"/>
        </w:rPr>
        <w:t xml:space="preserve"> in Round 2, the participation of European/Other and Asians significantly </w:t>
      </w:r>
      <w:r w:rsidRPr="00DB7112">
        <w:rPr>
          <w:rFonts w:cs="Arial"/>
        </w:rPr>
        <w:t>decreased</w:t>
      </w:r>
      <w:r>
        <w:rPr>
          <w:rFonts w:cs="Arial"/>
        </w:rPr>
        <w:t xml:space="preserve"> in Round 2. For </w:t>
      </w:r>
      <w:r w:rsidRPr="00160871">
        <w:rPr>
          <w:rFonts w:cs="Arial"/>
        </w:rPr>
        <w:t>Māori</w:t>
      </w:r>
      <w:r>
        <w:rPr>
          <w:rFonts w:cs="Arial"/>
        </w:rPr>
        <w:t>, it was similar in both rounds.</w:t>
      </w:r>
    </w:p>
    <w:p w:rsidR="009D76B7" w:rsidRDefault="009D76B7" w:rsidP="009D76B7">
      <w:pPr>
        <w:rPr>
          <w:rFonts w:cs="Arial"/>
          <w:lang w:val="en-US" w:eastAsia="ja-JP"/>
        </w:rPr>
      </w:pPr>
      <w:r w:rsidRPr="008A6530">
        <w:rPr>
          <w:rFonts w:cs="Arial"/>
          <w:lang w:val="en-US" w:eastAsia="ja-JP"/>
        </w:rPr>
        <w:t>Participation in Round 2 was</w:t>
      </w:r>
      <w:r>
        <w:rPr>
          <w:rFonts w:cs="Arial"/>
          <w:lang w:val="en-US" w:eastAsia="ja-JP"/>
        </w:rPr>
        <w:t xml:space="preserve"> statistically significantly </w:t>
      </w:r>
      <w:r w:rsidRPr="008A6530">
        <w:rPr>
          <w:rFonts w:cs="Arial"/>
          <w:lang w:val="en-US" w:eastAsia="ja-JP"/>
        </w:rPr>
        <w:t>lower than in Round</w:t>
      </w:r>
      <w:r>
        <w:rPr>
          <w:rFonts w:cs="Arial"/>
          <w:lang w:val="en-US" w:eastAsia="ja-JP"/>
        </w:rPr>
        <w:t xml:space="preserve"> </w:t>
      </w:r>
      <w:r w:rsidRPr="008A6530">
        <w:rPr>
          <w:rFonts w:cs="Arial"/>
          <w:lang w:val="en-US" w:eastAsia="ja-JP"/>
        </w:rPr>
        <w:t>1. Within Round 2 participation varied depending on the screening history of the invited population.</w:t>
      </w:r>
      <w:r>
        <w:rPr>
          <w:rFonts w:cs="Arial"/>
          <w:lang w:val="en-US" w:eastAsia="ja-JP"/>
        </w:rPr>
        <w:t xml:space="preserve"> Those who had previously participated had a high level of participation in marked contrast to those who had previously not responded or not </w:t>
      </w:r>
      <w:r w:rsidRPr="00CA2C07">
        <w:rPr>
          <w:rFonts w:cs="Arial"/>
          <w:noProof/>
          <w:lang w:val="en-US" w:eastAsia="ja-JP"/>
        </w:rPr>
        <w:t>successfully completed</w:t>
      </w:r>
      <w:r>
        <w:rPr>
          <w:rFonts w:cs="Arial"/>
          <w:lang w:val="en-US" w:eastAsia="ja-JP"/>
        </w:rPr>
        <w:t xml:space="preserve"> the test kit (82.4% </w:t>
      </w:r>
      <w:r w:rsidRPr="00CA2C07">
        <w:rPr>
          <w:rFonts w:cs="Arial"/>
          <w:noProof/>
          <w:lang w:val="en-US" w:eastAsia="ja-JP"/>
        </w:rPr>
        <w:t>v</w:t>
      </w:r>
      <w:r w:rsidR="00FF2CF0">
        <w:rPr>
          <w:rFonts w:cs="Arial"/>
          <w:noProof/>
          <w:lang w:val="en-US" w:eastAsia="ja-JP"/>
        </w:rPr>
        <w:t>ersu</w:t>
      </w:r>
      <w:r w:rsidRPr="00CA2C07">
        <w:rPr>
          <w:rFonts w:cs="Arial"/>
          <w:noProof/>
          <w:lang w:val="en-US" w:eastAsia="ja-JP"/>
        </w:rPr>
        <w:t>s</w:t>
      </w:r>
      <w:r>
        <w:rPr>
          <w:rFonts w:cs="Arial"/>
          <w:lang w:val="en-US" w:eastAsia="ja-JP"/>
        </w:rPr>
        <w:t xml:space="preserve"> 23.5%).</w:t>
      </w:r>
    </w:p>
    <w:p w:rsidR="009D76B7" w:rsidRDefault="00125223" w:rsidP="009D76B7">
      <w:pPr>
        <w:rPr>
          <w:rFonts w:cs="Arial"/>
          <w:lang w:val="en-US" w:eastAsia="ja-JP"/>
        </w:rPr>
      </w:pPr>
      <w:r w:rsidRPr="005656D3">
        <w:rPr>
          <w:rFonts w:cs="Arial"/>
          <w:noProof/>
        </w:rPr>
        <w:t xml:space="preserve">Of concern is the statistically significant decrease in first time participation, from the first round to the second. </w:t>
      </w:r>
      <w:r w:rsidR="009D76B7" w:rsidRPr="004E2F65">
        <w:rPr>
          <w:rFonts w:cs="Arial"/>
        </w:rPr>
        <w:t xml:space="preserve"> </w:t>
      </w:r>
      <w:r w:rsidR="009D76B7" w:rsidRPr="00CA2C07">
        <w:rPr>
          <w:rFonts w:cs="Arial"/>
          <w:noProof/>
        </w:rPr>
        <w:t>This highlights</w:t>
      </w:r>
      <w:r w:rsidR="009D76B7" w:rsidRPr="004E2F65">
        <w:rPr>
          <w:rFonts w:cs="Arial"/>
        </w:rPr>
        <w:t xml:space="preserve"> the challenge of maintaining </w:t>
      </w:r>
      <w:r w:rsidR="009D76B7">
        <w:rPr>
          <w:rFonts w:cs="Arial"/>
          <w:lang w:val="en-US" w:eastAsia="ja-JP"/>
        </w:rPr>
        <w:t>a satisfactory level of iFOBT</w:t>
      </w:r>
      <w:r w:rsidR="009D76B7" w:rsidRPr="004E2F65">
        <w:rPr>
          <w:rFonts w:cs="Arial"/>
        </w:rPr>
        <w:t xml:space="preserve"> uptake over time</w:t>
      </w:r>
      <w:r w:rsidR="009D76B7">
        <w:rPr>
          <w:rFonts w:cs="Arial"/>
        </w:rPr>
        <w:t>.</w:t>
      </w:r>
    </w:p>
    <w:p w:rsidR="009D76B7" w:rsidRDefault="009D76B7" w:rsidP="009D76B7">
      <w:pPr>
        <w:rPr>
          <w:rFonts w:cs="Arial"/>
          <w:lang w:val="en-US" w:eastAsia="ja-JP"/>
        </w:rPr>
      </w:pPr>
      <w:r>
        <w:rPr>
          <w:rFonts w:cs="Arial"/>
          <w:lang w:val="en-US" w:eastAsia="ja-JP"/>
        </w:rPr>
        <w:t xml:space="preserve">Excluding the group who participated in incidence screening, the low uptake groups were the same in both rounds: younger age groups, males, the more deprived, </w:t>
      </w:r>
      <w:r w:rsidRPr="0033154C">
        <w:rPr>
          <w:rFonts w:cs="Arial"/>
        </w:rPr>
        <w:t>Māori</w:t>
      </w:r>
      <w:r>
        <w:rPr>
          <w:rFonts w:cs="Arial"/>
        </w:rPr>
        <w:t xml:space="preserve"> and Pacific people</w:t>
      </w:r>
      <w:r>
        <w:rPr>
          <w:rFonts w:cs="Arial"/>
          <w:lang w:val="en-US" w:eastAsia="ja-JP"/>
        </w:rPr>
        <w:t xml:space="preserve">. </w:t>
      </w:r>
    </w:p>
    <w:p w:rsidR="009D76B7" w:rsidRDefault="009D76B7" w:rsidP="009D76B7">
      <w:pPr>
        <w:rPr>
          <w:rFonts w:cs="Arial"/>
          <w:lang w:val="en-US" w:eastAsia="ja-JP"/>
        </w:rPr>
      </w:pPr>
      <w:r>
        <w:rPr>
          <w:rFonts w:cs="Arial"/>
        </w:rPr>
        <w:t xml:space="preserve">Overall, </w:t>
      </w:r>
      <w:r w:rsidRPr="00CA2C07">
        <w:rPr>
          <w:rFonts w:cs="Arial"/>
          <w:noProof/>
        </w:rPr>
        <w:t>males</w:t>
      </w:r>
      <w:r>
        <w:rPr>
          <w:rFonts w:cs="Arial"/>
        </w:rPr>
        <w:t xml:space="preserve"> participated slightly less than females. </w:t>
      </w:r>
      <w:r w:rsidRPr="008A6530">
        <w:rPr>
          <w:rFonts w:cs="Arial"/>
        </w:rPr>
        <w:t xml:space="preserve">The </w:t>
      </w:r>
      <w:r>
        <w:rPr>
          <w:rFonts w:cs="Arial"/>
          <w:lang w:val="en-US" w:eastAsia="ja-JP"/>
        </w:rPr>
        <w:t>statistically</w:t>
      </w:r>
      <w:r>
        <w:rPr>
          <w:rFonts w:cs="Arial"/>
        </w:rPr>
        <w:t xml:space="preserve"> significantly </w:t>
      </w:r>
      <w:r w:rsidRPr="008A6530">
        <w:rPr>
          <w:rFonts w:cs="Arial"/>
        </w:rPr>
        <w:t xml:space="preserve">lower participation of Māori </w:t>
      </w:r>
      <w:r w:rsidRPr="00CA2C07">
        <w:rPr>
          <w:rFonts w:cs="Arial"/>
          <w:noProof/>
        </w:rPr>
        <w:t>females</w:t>
      </w:r>
      <w:r w:rsidRPr="008A6530">
        <w:rPr>
          <w:rFonts w:cs="Arial"/>
        </w:rPr>
        <w:t xml:space="preserve"> compared to Māori </w:t>
      </w:r>
      <w:r w:rsidRPr="00CA2C07">
        <w:rPr>
          <w:rFonts w:cs="Arial"/>
          <w:noProof/>
        </w:rPr>
        <w:t>males</w:t>
      </w:r>
      <w:r w:rsidRPr="008A6530">
        <w:rPr>
          <w:rFonts w:cs="Arial"/>
        </w:rPr>
        <w:t xml:space="preserve"> in Round 1</w:t>
      </w:r>
      <w:r>
        <w:rPr>
          <w:rFonts w:cs="Arial"/>
        </w:rPr>
        <w:t>,</w:t>
      </w:r>
      <w:r w:rsidRPr="008A6530">
        <w:rPr>
          <w:rFonts w:cs="Arial"/>
        </w:rPr>
        <w:t xml:space="preserve"> </w:t>
      </w:r>
      <w:r>
        <w:rPr>
          <w:rFonts w:cs="Arial"/>
        </w:rPr>
        <w:t xml:space="preserve">and the absence of a sex difference in </w:t>
      </w:r>
      <w:r w:rsidRPr="00CA2C07">
        <w:rPr>
          <w:rFonts w:cs="Arial"/>
          <w:noProof/>
        </w:rPr>
        <w:t>participation</w:t>
      </w:r>
      <w:r>
        <w:rPr>
          <w:rFonts w:cs="Arial"/>
        </w:rPr>
        <w:t xml:space="preserve"> in both rounds for Asians and Pacific people, and </w:t>
      </w:r>
      <w:r w:rsidRPr="008A6530">
        <w:rPr>
          <w:rFonts w:cs="Arial"/>
        </w:rPr>
        <w:t>Māori</w:t>
      </w:r>
      <w:r>
        <w:rPr>
          <w:rFonts w:cs="Arial"/>
        </w:rPr>
        <w:t xml:space="preserve"> in Round 2 were all</w:t>
      </w:r>
      <w:r w:rsidRPr="008A6530">
        <w:rPr>
          <w:rFonts w:cs="Arial"/>
        </w:rPr>
        <w:t xml:space="preserve"> </w:t>
      </w:r>
      <w:r>
        <w:rPr>
          <w:rFonts w:cs="Arial"/>
        </w:rPr>
        <w:t>unexpected. F</w:t>
      </w:r>
      <w:r w:rsidRPr="008A6530">
        <w:rPr>
          <w:rFonts w:cs="Arial"/>
        </w:rPr>
        <w:t xml:space="preserve">emales are </w:t>
      </w:r>
      <w:r w:rsidRPr="00CA2C07">
        <w:rPr>
          <w:rFonts w:cs="Arial"/>
          <w:noProof/>
        </w:rPr>
        <w:t>generally</w:t>
      </w:r>
      <w:r w:rsidRPr="008A6530">
        <w:rPr>
          <w:rFonts w:cs="Arial"/>
        </w:rPr>
        <w:t xml:space="preserve"> better informed than males about the benefits of screening as they </w:t>
      </w:r>
      <w:r w:rsidRPr="00CA2C07">
        <w:rPr>
          <w:rFonts w:cs="Arial"/>
          <w:noProof/>
        </w:rPr>
        <w:t>are targeted</w:t>
      </w:r>
      <w:r w:rsidRPr="008A6530">
        <w:rPr>
          <w:rFonts w:cs="Arial"/>
        </w:rPr>
        <w:t xml:space="preserve"> by the </w:t>
      </w:r>
      <w:r>
        <w:rPr>
          <w:rFonts w:cs="Arial"/>
        </w:rPr>
        <w:t xml:space="preserve">national </w:t>
      </w:r>
      <w:r w:rsidRPr="008A6530">
        <w:rPr>
          <w:rFonts w:cs="Arial"/>
        </w:rPr>
        <w:t>cervical and breast cancer screening programmes</w:t>
      </w:r>
      <w:r>
        <w:rPr>
          <w:rFonts w:cs="Arial"/>
        </w:rPr>
        <w:t xml:space="preserve">. </w:t>
      </w:r>
    </w:p>
    <w:p w:rsidR="009D76B7" w:rsidRPr="000660BB" w:rsidRDefault="009D76B7" w:rsidP="009D76B7">
      <w:pPr>
        <w:rPr>
          <w:rFonts w:cs="Arial"/>
          <w:highlight w:val="yellow"/>
        </w:rPr>
      </w:pPr>
      <w:r w:rsidRPr="00744428">
        <w:rPr>
          <w:rFonts w:cs="Arial"/>
        </w:rPr>
        <w:t xml:space="preserve">Males were </w:t>
      </w:r>
      <w:r>
        <w:rPr>
          <w:rFonts w:cs="Arial"/>
        </w:rPr>
        <w:t>more</w:t>
      </w:r>
      <w:r w:rsidRPr="00744428">
        <w:rPr>
          <w:rFonts w:cs="Arial"/>
        </w:rPr>
        <w:t xml:space="preserve"> likely to have an adenoma</w:t>
      </w:r>
      <w:r>
        <w:rPr>
          <w:rFonts w:cs="Arial"/>
        </w:rPr>
        <w:t>,</w:t>
      </w:r>
      <w:r w:rsidRPr="00744428">
        <w:rPr>
          <w:rFonts w:cs="Arial"/>
        </w:rPr>
        <w:t xml:space="preserve"> advanced adenoma</w:t>
      </w:r>
      <w:r>
        <w:rPr>
          <w:rFonts w:cs="Arial"/>
        </w:rPr>
        <w:t xml:space="preserve"> or</w:t>
      </w:r>
      <w:r w:rsidRPr="00744428">
        <w:rPr>
          <w:rFonts w:cs="Arial"/>
        </w:rPr>
        <w:t xml:space="preserve"> cancer detected than females</w:t>
      </w:r>
      <w:r>
        <w:rPr>
          <w:rFonts w:cs="Arial"/>
        </w:rPr>
        <w:t xml:space="preserve"> in Round 1. They were also more likely to have an adenoma or advanced adenoma detected in incidence screening than females. </w:t>
      </w:r>
    </w:p>
    <w:p w:rsidR="009D76B7" w:rsidRDefault="009D76B7" w:rsidP="009D76B7">
      <w:pPr>
        <w:rPr>
          <w:rFonts w:cs="Arial"/>
        </w:rPr>
      </w:pPr>
      <w:r>
        <w:rPr>
          <w:rFonts w:cs="Arial"/>
        </w:rPr>
        <w:t>Irrespective of age, sex or ethnicity, a</w:t>
      </w:r>
      <w:r w:rsidRPr="00744428">
        <w:rPr>
          <w:rFonts w:cs="Arial"/>
        </w:rPr>
        <w:t>denoma</w:t>
      </w:r>
      <w:r>
        <w:rPr>
          <w:rFonts w:cs="Arial"/>
        </w:rPr>
        <w:t>,</w:t>
      </w:r>
      <w:r w:rsidRPr="00744428">
        <w:rPr>
          <w:rFonts w:cs="Arial"/>
        </w:rPr>
        <w:t xml:space="preserve"> advanced adenoma</w:t>
      </w:r>
      <w:r>
        <w:rPr>
          <w:rFonts w:cs="Arial"/>
        </w:rPr>
        <w:t xml:space="preserve"> and</w:t>
      </w:r>
      <w:r w:rsidRPr="00744428">
        <w:rPr>
          <w:rFonts w:cs="Arial"/>
        </w:rPr>
        <w:t xml:space="preserve"> cancer</w:t>
      </w:r>
      <w:r>
        <w:rPr>
          <w:rFonts w:cs="Arial"/>
        </w:rPr>
        <w:t xml:space="preserve"> increased with increasing deprivation in Round 1 and in one or both of the two most deprived quintile areas in Round 2.</w:t>
      </w:r>
    </w:p>
    <w:p w:rsidR="009D76B7" w:rsidRDefault="009D76B7" w:rsidP="009D76B7">
      <w:pPr>
        <w:rPr>
          <w:rFonts w:cs="Arial"/>
        </w:rPr>
      </w:pPr>
      <w:r>
        <w:rPr>
          <w:rFonts w:cs="Arial"/>
        </w:rPr>
        <w:t xml:space="preserve">Positivity, PPVs and detection rates for adenoma and colorectal cancer were all lower in Round 2 than in Round 1. This is not unexpected as 62.8% of participants who successfully completed an iFOBT kit in Round 2 had been previously screened. </w:t>
      </w:r>
    </w:p>
    <w:p w:rsidR="009D76B7" w:rsidRPr="00EE465A" w:rsidRDefault="009D76B7" w:rsidP="009D76B7">
      <w:pPr>
        <w:rPr>
          <w:rFonts w:cs="Arial"/>
        </w:rPr>
      </w:pPr>
      <w:r>
        <w:rPr>
          <w:rFonts w:cs="Arial"/>
        </w:rPr>
        <w:t xml:space="preserve">The detection rates </w:t>
      </w:r>
      <w:r w:rsidRPr="00EE465A">
        <w:rPr>
          <w:rFonts w:cs="Arial"/>
        </w:rPr>
        <w:t xml:space="preserve">and PPVs in the Round 2 group who did not complete Round 1 are similar to those in Round 1, highlighting the importance of continuing to invite non-responders and those who do not successfully complete </w:t>
      </w:r>
      <w:r>
        <w:rPr>
          <w:rFonts w:cs="Arial"/>
        </w:rPr>
        <w:t>a test kit.</w:t>
      </w:r>
    </w:p>
    <w:p w:rsidR="009D76B7" w:rsidRDefault="009D76B7" w:rsidP="009D76B7">
      <w:pPr>
        <w:rPr>
          <w:rFonts w:cs="Arial"/>
          <w:highlight w:val="yellow"/>
        </w:rPr>
      </w:pPr>
      <w:r>
        <w:rPr>
          <w:rFonts w:cs="Arial"/>
        </w:rPr>
        <w:t xml:space="preserve">Controlling for age, sex and deprivation, there is evidence that </w:t>
      </w:r>
      <w:r w:rsidRPr="0033154C">
        <w:rPr>
          <w:rFonts w:cs="Arial"/>
        </w:rPr>
        <w:t>Māori</w:t>
      </w:r>
      <w:r>
        <w:rPr>
          <w:rFonts w:cs="Arial"/>
        </w:rPr>
        <w:t xml:space="preserve"> have more neoplasia</w:t>
      </w:r>
      <w:r>
        <w:rPr>
          <w:rStyle w:val="FootnoteReference"/>
          <w:rFonts w:cs="Arial"/>
        </w:rPr>
        <w:footnoteReference w:id="40"/>
      </w:r>
      <w:r>
        <w:rPr>
          <w:rFonts w:cs="Arial"/>
        </w:rPr>
        <w:t xml:space="preserve"> than European/Other participants. </w:t>
      </w:r>
      <w:r w:rsidRPr="0033154C">
        <w:rPr>
          <w:rFonts w:cs="Arial"/>
        </w:rPr>
        <w:t xml:space="preserve">Māori were more likely to have a positive iFOBT result </w:t>
      </w:r>
      <w:r>
        <w:rPr>
          <w:rFonts w:cs="Arial"/>
        </w:rPr>
        <w:t xml:space="preserve">and adenoma detected </w:t>
      </w:r>
      <w:r w:rsidRPr="0033154C">
        <w:rPr>
          <w:rFonts w:cs="Arial"/>
        </w:rPr>
        <w:t>than European</w:t>
      </w:r>
      <w:r>
        <w:rPr>
          <w:rFonts w:cs="Arial"/>
        </w:rPr>
        <w:t xml:space="preserve">/Other in both prevalence and incidence screening rounds. </w:t>
      </w:r>
      <w:r w:rsidRPr="0033154C">
        <w:rPr>
          <w:rFonts w:cs="Arial"/>
        </w:rPr>
        <w:t>Māori</w:t>
      </w:r>
      <w:r>
        <w:rPr>
          <w:rFonts w:cs="Arial"/>
        </w:rPr>
        <w:t xml:space="preserve"> aged 60</w:t>
      </w:r>
      <w:r w:rsidR="00FF2CF0">
        <w:rPr>
          <w:rFonts w:cs="Arial"/>
        </w:rPr>
        <w:t>–</w:t>
      </w:r>
      <w:r>
        <w:rPr>
          <w:rFonts w:cs="Arial"/>
        </w:rPr>
        <w:t>69 years were more likely to have an adenoma detected in prevalence screening</w:t>
      </w:r>
      <w:r>
        <w:rPr>
          <w:rStyle w:val="FootnoteReference"/>
          <w:rFonts w:cs="Arial"/>
        </w:rPr>
        <w:footnoteReference w:id="41"/>
      </w:r>
      <w:r>
        <w:rPr>
          <w:rFonts w:cs="Arial"/>
        </w:rPr>
        <w:t xml:space="preserve"> than their European/Other counterparts, irrespective of sex and deprivation. </w:t>
      </w:r>
    </w:p>
    <w:p w:rsidR="009D76B7" w:rsidRDefault="009D76B7" w:rsidP="009D76B7">
      <w:pPr>
        <w:rPr>
          <w:rFonts w:cs="Arial"/>
        </w:rPr>
      </w:pPr>
      <w:r>
        <w:rPr>
          <w:rFonts w:cs="Arial"/>
        </w:rPr>
        <w:t>The stage distribution of screen-detected cancers is an important indicator of a screening programme’s performance. In incidence screening, the proportion in Stage I is expected to rise and to fall in Stage IV, as cancer is detected earlier. For the first year of Round 2, the number of incident cancers was small and there was no clear decreasing pattern as a third of cancers were Stage III. However, not all cancers were staged.</w:t>
      </w:r>
      <w:r>
        <w:rPr>
          <w:rStyle w:val="FootnoteReference"/>
          <w:rFonts w:cs="Arial"/>
        </w:rPr>
        <w:footnoteReference w:id="42"/>
      </w:r>
      <w:r>
        <w:rPr>
          <w:rFonts w:cs="Arial"/>
        </w:rPr>
        <w:t xml:space="preserve"> </w:t>
      </w:r>
    </w:p>
    <w:p w:rsidR="009D76B7" w:rsidRDefault="009D76B7" w:rsidP="009D76B7">
      <w:pPr>
        <w:rPr>
          <w:rFonts w:cs="Arial"/>
          <w:lang w:val="en-US" w:eastAsia="ja-JP"/>
        </w:rPr>
      </w:pPr>
      <w:r>
        <w:rPr>
          <w:rFonts w:cs="Arial"/>
          <w:lang w:val="en-US" w:eastAsia="ja-JP"/>
        </w:rPr>
        <w:t>Non-completion of colonoscopy and post-colonoscopy readmissions were low as was CT colonography uptake as an alternative to colonoscopy.</w:t>
      </w:r>
    </w:p>
    <w:p w:rsidR="009D76B7" w:rsidRDefault="009D76B7" w:rsidP="009D76B7">
      <w:pPr>
        <w:rPr>
          <w:rFonts w:cs="Arial"/>
          <w:lang w:val="en-US" w:eastAsia="ja-JP"/>
        </w:rPr>
      </w:pPr>
      <w:r>
        <w:rPr>
          <w:rFonts w:cs="Arial"/>
          <w:lang w:val="en-US" w:eastAsia="ja-JP"/>
        </w:rPr>
        <w:t>The occurrence of interval cancers</w:t>
      </w:r>
      <w:r>
        <w:rPr>
          <w:rStyle w:val="FootnoteReference"/>
          <w:rFonts w:cs="Arial"/>
          <w:lang w:val="en-US" w:eastAsia="ja-JP"/>
        </w:rPr>
        <w:footnoteReference w:id="43"/>
      </w:r>
      <w:r>
        <w:rPr>
          <w:rFonts w:cs="Arial"/>
          <w:lang w:val="en-US" w:eastAsia="ja-JP"/>
        </w:rPr>
        <w:t xml:space="preserve"> gives an estimate of the iFOBT’s sensitivity</w:t>
      </w:r>
      <w:r>
        <w:rPr>
          <w:rStyle w:val="FootnoteReference"/>
          <w:rFonts w:cs="Arial"/>
          <w:lang w:val="en-US" w:eastAsia="ja-JP"/>
        </w:rPr>
        <w:footnoteReference w:id="44"/>
      </w:r>
      <w:r>
        <w:rPr>
          <w:rFonts w:cs="Arial"/>
          <w:lang w:val="en-US" w:eastAsia="ja-JP"/>
        </w:rPr>
        <w:t xml:space="preserve"> in the first round. Sensitivity was not calculated as data were available only for the first year of Round 2. </w:t>
      </w:r>
      <w:r w:rsidR="00CE4FB5">
        <w:rPr>
          <w:rFonts w:cs="Arial"/>
          <w:lang w:val="en-US" w:eastAsia="ja-JP"/>
        </w:rPr>
        <w:t>It is recommended that sensitivity and specificity</w:t>
      </w:r>
      <w:r w:rsidR="003E00FC">
        <w:rPr>
          <w:rStyle w:val="FootnoteReference"/>
          <w:rFonts w:cs="Arial"/>
          <w:lang w:val="en-US" w:eastAsia="ja-JP"/>
        </w:rPr>
        <w:footnoteReference w:id="45"/>
      </w:r>
      <w:r w:rsidR="00CE4FB5">
        <w:rPr>
          <w:rFonts w:cs="Arial"/>
          <w:lang w:val="en-US" w:eastAsia="ja-JP"/>
        </w:rPr>
        <w:t xml:space="preserve"> are estimated after at least six months has passed since the end of Round 2 invitations.</w:t>
      </w:r>
    </w:p>
    <w:p w:rsidR="009D76B7" w:rsidRDefault="009D76B7" w:rsidP="009D76B7">
      <w:pPr>
        <w:rPr>
          <w:lang w:val="en-US" w:eastAsia="ja-JP"/>
        </w:rPr>
      </w:pPr>
      <w:r>
        <w:rPr>
          <w:rFonts w:cs="Arial"/>
          <w:lang w:val="en-US" w:eastAsia="ja-JP"/>
        </w:rPr>
        <w:t>If a national bowel cancer screening programme is implemented it will be important to closely monitor uptake (particularly in the low uptake groups), positivity, PPVs and detection rates, and adverse events. In the short term staging distribution of screen-detected cancers can be used to monitor effectiveness until sufficient data exist to evaluate the programme’s impact on colorectal cancer incidence and mortality.</w:t>
      </w:r>
    </w:p>
    <w:p w:rsidR="00F2473C" w:rsidRDefault="00F2473C" w:rsidP="00F2473C"/>
    <w:p w:rsidR="00EE465A" w:rsidRDefault="00EE465A" w:rsidP="00F2473C">
      <w:pPr>
        <w:sectPr w:rsidR="00EE465A">
          <w:pgSz w:w="11909" w:h="16834" w:code="9"/>
          <w:pgMar w:top="1701" w:right="1134" w:bottom="1701" w:left="1134" w:header="567" w:footer="567" w:gutter="0"/>
          <w:cols w:space="720"/>
        </w:sectPr>
      </w:pPr>
    </w:p>
    <w:p w:rsidR="00F2473C" w:rsidRPr="001F56FC" w:rsidRDefault="00F2473C" w:rsidP="00F2473C">
      <w:pPr>
        <w:pStyle w:val="Heading1"/>
      </w:pPr>
      <w:bookmarkStart w:id="188" w:name="_Toc448760515"/>
      <w:bookmarkStart w:id="189" w:name="_Toc457842129"/>
      <w:r>
        <w:t>4.</w:t>
      </w:r>
      <w:r>
        <w:tab/>
        <w:t>Economic efficiency</w:t>
      </w:r>
      <w:bookmarkEnd w:id="188"/>
      <w:bookmarkEnd w:id="189"/>
      <w:r>
        <w:t xml:space="preserve"> </w:t>
      </w:r>
    </w:p>
    <w:p w:rsidR="00F2473C" w:rsidRDefault="00F2473C" w:rsidP="00F2473C">
      <w:pPr>
        <w:pBdr>
          <w:top w:val="single" w:sz="4" w:space="1" w:color="auto"/>
          <w:left w:val="single" w:sz="4" w:space="4" w:color="auto"/>
          <w:bottom w:val="single" w:sz="4" w:space="1" w:color="auto"/>
          <w:right w:val="single" w:sz="4" w:space="4" w:color="auto"/>
        </w:pBdr>
        <w:rPr>
          <w:b/>
        </w:rPr>
      </w:pPr>
      <w:r>
        <w:rPr>
          <w:b/>
        </w:rPr>
        <w:t xml:space="preserve">Evaluation aim addressed in this section </w:t>
      </w:r>
    </w:p>
    <w:p w:rsidR="00D31409" w:rsidRDefault="00F2473C" w:rsidP="00F2473C">
      <w:pPr>
        <w:pBdr>
          <w:top w:val="single" w:sz="4" w:space="1" w:color="auto"/>
          <w:left w:val="single" w:sz="4" w:space="4" w:color="auto"/>
          <w:bottom w:val="single" w:sz="4" w:space="1" w:color="auto"/>
          <w:right w:val="single" w:sz="4" w:space="4" w:color="auto"/>
        </w:pBdr>
      </w:pPr>
      <w:r w:rsidRPr="00B256E0">
        <w:rPr>
          <w:b/>
        </w:rPr>
        <w:t xml:space="preserve">Economic efficiency: </w:t>
      </w:r>
      <w:r w:rsidRPr="00C95C03">
        <w:t>Can a national bowel screening programme be delivered in an economically efficient manner?</w:t>
      </w:r>
    </w:p>
    <w:p w:rsidR="000E0E57" w:rsidRDefault="000E0E57" w:rsidP="000E0E57">
      <w:pPr>
        <w:pStyle w:val="Heading2"/>
      </w:pPr>
      <w:bookmarkStart w:id="190" w:name="_Toc457842130"/>
      <w:r>
        <w:t>4.1</w:t>
      </w:r>
      <w:r>
        <w:tab/>
        <w:t>Two aspects of economic efficiency</w:t>
      </w:r>
      <w:bookmarkEnd w:id="190"/>
      <w:r>
        <w:t xml:space="preserve"> </w:t>
      </w:r>
    </w:p>
    <w:p w:rsidR="00EA3BEB" w:rsidRDefault="00F36573" w:rsidP="000E0E57">
      <w:r>
        <w:t>T</w:t>
      </w:r>
      <w:r w:rsidR="00EA3BEB" w:rsidRPr="00E4695E">
        <w:t>wo aspects of economic efficiency</w:t>
      </w:r>
      <w:r>
        <w:t xml:space="preserve"> were considered</w:t>
      </w:r>
      <w:r w:rsidR="00EA3BEB" w:rsidRPr="00E4695E">
        <w:t xml:space="preserve">.  The first aspect is whether the programme of screening as implemented in the New Zealand pilot is cost effective.  The second </w:t>
      </w:r>
      <w:r w:rsidR="00B75465" w:rsidRPr="00E4695E">
        <w:t>is</w:t>
      </w:r>
      <w:r w:rsidR="00EA3BEB" w:rsidRPr="00E4695E">
        <w:t xml:space="preserve"> the absolute cost and resources implied by a national implementation of the programme, and particularly the requirement to provide colonoscopies for both scree</w:t>
      </w:r>
      <w:r>
        <w:t>ning and ongoing surveillance.</w:t>
      </w:r>
    </w:p>
    <w:p w:rsidR="00D44A9B" w:rsidRPr="009300E1" w:rsidRDefault="00D44A9B" w:rsidP="00D44A9B">
      <w:pPr>
        <w:pStyle w:val="Heading2"/>
      </w:pPr>
      <w:bookmarkStart w:id="191" w:name="_Toc457842131"/>
      <w:r>
        <w:t>4.3</w:t>
      </w:r>
      <w:r>
        <w:tab/>
      </w:r>
      <w:r w:rsidRPr="000E0E57">
        <w:t>Summary of cost of screening results</w:t>
      </w:r>
      <w:bookmarkEnd w:id="191"/>
    </w:p>
    <w:p w:rsidR="00D44A9B" w:rsidRDefault="00F36573" w:rsidP="00D44A9B">
      <w:r>
        <w:t>The first component is</w:t>
      </w:r>
      <w:r w:rsidR="00D44A9B">
        <w:t xml:space="preserve"> an analysis of the costs of the BSP as implemented </w:t>
      </w:r>
      <w:r w:rsidR="009613BD">
        <w:t xml:space="preserve">by </w:t>
      </w:r>
      <w:r w:rsidR="00D44A9B">
        <w:t>WDHB.  In undertaking this costing analysis, we sought</w:t>
      </w:r>
      <w:r w:rsidR="009613BD">
        <w:t xml:space="preserve"> to</w:t>
      </w:r>
      <w:r w:rsidR="00D44A9B">
        <w:t>:</w:t>
      </w:r>
    </w:p>
    <w:p w:rsidR="00D44A9B" w:rsidRDefault="00D44A9B" w:rsidP="00D44A9B">
      <w:pPr>
        <w:numPr>
          <w:ilvl w:val="0"/>
          <w:numId w:val="7"/>
        </w:numPr>
        <w:autoSpaceDE w:val="0"/>
        <w:autoSpaceDN w:val="0"/>
        <w:adjustRightInd w:val="0"/>
        <w:spacing w:before="120"/>
        <w:ind w:left="1134" w:hanging="425"/>
        <w:rPr>
          <w:lang w:eastAsia="ar-SA"/>
        </w:rPr>
      </w:pPr>
      <w:r>
        <w:rPr>
          <w:lang w:eastAsia="ar-SA"/>
        </w:rPr>
        <w:t>develop understanding of the nature and quantum of costs associated with the design, implementation and operation of the pilot to date;</w:t>
      </w:r>
    </w:p>
    <w:p w:rsidR="00D44A9B" w:rsidRDefault="00D44A9B" w:rsidP="00D44A9B">
      <w:pPr>
        <w:numPr>
          <w:ilvl w:val="0"/>
          <w:numId w:val="7"/>
        </w:numPr>
        <w:autoSpaceDE w:val="0"/>
        <w:autoSpaceDN w:val="0"/>
        <w:adjustRightInd w:val="0"/>
        <w:spacing w:before="120"/>
        <w:ind w:left="1134" w:hanging="425"/>
        <w:rPr>
          <w:lang w:eastAsia="ar-SA"/>
        </w:rPr>
      </w:pPr>
      <w:r>
        <w:rPr>
          <w:lang w:eastAsia="ar-SA"/>
        </w:rPr>
        <w:t>estimate the total cost of the BSP for two full screening rounds (years 1</w:t>
      </w:r>
      <w:r w:rsidR="009613BD">
        <w:rPr>
          <w:lang w:eastAsia="ar-SA"/>
        </w:rPr>
        <w:t>–</w:t>
      </w:r>
      <w:r>
        <w:rPr>
          <w:lang w:eastAsia="ar-SA"/>
        </w:rPr>
        <w:t xml:space="preserve">4); and </w:t>
      </w:r>
    </w:p>
    <w:p w:rsidR="00D44A9B" w:rsidRDefault="00D44A9B" w:rsidP="00D44A9B">
      <w:pPr>
        <w:numPr>
          <w:ilvl w:val="0"/>
          <w:numId w:val="7"/>
        </w:numPr>
        <w:autoSpaceDE w:val="0"/>
        <w:autoSpaceDN w:val="0"/>
        <w:adjustRightInd w:val="0"/>
        <w:spacing w:before="120"/>
        <w:ind w:left="1134" w:hanging="425"/>
      </w:pPr>
      <w:r>
        <w:rPr>
          <w:lang w:eastAsia="ar-SA"/>
        </w:rPr>
        <w:t>use the</w:t>
      </w:r>
      <w:r>
        <w:t xml:space="preserve"> results to extrapolate high level estimates of</w:t>
      </w:r>
      <w:r w:rsidR="009613BD">
        <w:t xml:space="preserve"> the</w:t>
      </w:r>
      <w:r>
        <w:t>:</w:t>
      </w:r>
    </w:p>
    <w:p w:rsidR="00D44A9B" w:rsidRDefault="00D44A9B" w:rsidP="00D44A9B">
      <w:pPr>
        <w:numPr>
          <w:ilvl w:val="0"/>
          <w:numId w:val="21"/>
        </w:numPr>
        <w:autoSpaceDE w:val="0"/>
        <w:autoSpaceDN w:val="0"/>
        <w:adjustRightInd w:val="0"/>
        <w:spacing w:before="120"/>
        <w:rPr>
          <w:lang w:eastAsia="ar-SA"/>
        </w:rPr>
      </w:pPr>
      <w:r>
        <w:rPr>
          <w:lang w:eastAsia="ar-SA"/>
        </w:rPr>
        <w:t xml:space="preserve">ongoing cost of running a bowel screening programme in WDHB; and </w:t>
      </w:r>
    </w:p>
    <w:p w:rsidR="00D44A9B" w:rsidRDefault="00D44A9B" w:rsidP="00D44A9B">
      <w:pPr>
        <w:numPr>
          <w:ilvl w:val="0"/>
          <w:numId w:val="21"/>
        </w:numPr>
        <w:autoSpaceDE w:val="0"/>
        <w:autoSpaceDN w:val="0"/>
        <w:adjustRightInd w:val="0"/>
        <w:spacing w:before="120"/>
        <w:rPr>
          <w:lang w:eastAsia="ar-SA"/>
        </w:rPr>
      </w:pPr>
      <w:r>
        <w:rPr>
          <w:lang w:eastAsia="ar-SA"/>
        </w:rPr>
        <w:t>potential ‘steady state’ cost of operating a bowel screening programme on a national basis.</w:t>
      </w:r>
    </w:p>
    <w:p w:rsidR="00D44A9B" w:rsidRDefault="00D44A9B" w:rsidP="00D44A9B">
      <w:r w:rsidRPr="004B72F1">
        <w:t>It is also important to note that the nature of a pilot is that it is continually developing and improving its activity.  This means that results calculated over the lifetime of the pilot so far are to some extent based upon a moving target, and it is expected that epidemiological and cost results, in particular, will continue to evolve as the pilot continues.</w:t>
      </w:r>
    </w:p>
    <w:p w:rsidR="00D44A9B" w:rsidRDefault="00D44A9B" w:rsidP="00D44A9B">
      <w:r w:rsidRPr="004B72F1">
        <w:t>The model developed to support our analysis involves three key analytical steps. Step one uses data relating to costs incurred over two sample periods (July to December 2012 and January to June 2013) to assess the cost of developing and running the pilot during the first two years.  In step two, these costs are used to estimate the total cost of developing and running the pil</w:t>
      </w:r>
      <w:r w:rsidR="00F36573">
        <w:t>ot for the full four years. S</w:t>
      </w:r>
      <w:r w:rsidRPr="004B72F1">
        <w:t>tep three</w:t>
      </w:r>
      <w:r w:rsidR="00F36573">
        <w:t xml:space="preserve"> </w:t>
      </w:r>
      <w:r w:rsidRPr="004B72F1">
        <w:t>estimate</w:t>
      </w:r>
      <w:r w:rsidR="00F36573">
        <w:t>s</w:t>
      </w:r>
      <w:r w:rsidRPr="004B72F1">
        <w:t xml:space="preserve"> the direct costs of running a national screening prog</w:t>
      </w:r>
      <w:r w:rsidR="00F36573">
        <w:t>ramme in a ‘steady state’. E</w:t>
      </w:r>
      <w:r w:rsidRPr="004B72F1">
        <w:t>stimates do not include development/start-up costs such as workforce development or capital purchases</w:t>
      </w:r>
      <w:r>
        <w:t>.</w:t>
      </w:r>
    </w:p>
    <w:p w:rsidR="00D44A9B" w:rsidRPr="004B72F1" w:rsidRDefault="00D44A9B" w:rsidP="00D44A9B">
      <w:pPr>
        <w:pStyle w:val="Heading3"/>
      </w:pPr>
      <w:r>
        <w:t>Cost of screening in the pilot</w:t>
      </w:r>
    </w:p>
    <w:p w:rsidR="00D44A9B" w:rsidRDefault="00D44A9B" w:rsidP="00D44A9B">
      <w:r>
        <w:t xml:space="preserve">The pilot screening pathway has four stages, as shown in </w:t>
      </w:r>
      <w:r w:rsidR="00F70465">
        <w:t>F</w:t>
      </w:r>
      <w:r>
        <w:t xml:space="preserve">igure </w:t>
      </w:r>
      <w:r w:rsidR="00F70465">
        <w:t xml:space="preserve">5 </w:t>
      </w:r>
      <w:r>
        <w:t>below.</w:t>
      </w:r>
    </w:p>
    <w:p w:rsidR="00D44A9B" w:rsidRPr="004B72F1" w:rsidRDefault="00D44A9B" w:rsidP="00381C3F">
      <w:pPr>
        <w:pStyle w:val="Figure"/>
      </w:pPr>
      <w:r w:rsidRPr="004B72F1">
        <w:t>Figure</w:t>
      </w:r>
      <w:r>
        <w:t xml:space="preserve"> </w:t>
      </w:r>
      <w:r w:rsidR="00F70465">
        <w:t>5</w:t>
      </w:r>
      <w:r w:rsidRPr="004B72F1">
        <w:t>: Four high-level stages of the screening pathway</w:t>
      </w:r>
    </w:p>
    <w:p w:rsidR="00D44A9B" w:rsidRDefault="00D44A9B" w:rsidP="00A41957">
      <w:pPr>
        <w:keepNext/>
      </w:pPr>
      <w:r w:rsidRPr="006229E7">
        <w:rPr>
          <w:noProof/>
          <w:lang w:eastAsia="en-NZ"/>
        </w:rPr>
        <w:drawing>
          <wp:inline distT="0" distB="0" distL="0" distR="0">
            <wp:extent cx="5109210" cy="1077029"/>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09210" cy="1077029"/>
                    </a:xfrm>
                    <a:prstGeom prst="rect">
                      <a:avLst/>
                    </a:prstGeom>
                    <a:noFill/>
                    <a:ln>
                      <a:noFill/>
                    </a:ln>
                  </pic:spPr>
                </pic:pic>
              </a:graphicData>
            </a:graphic>
          </wp:inline>
        </w:drawing>
      </w:r>
      <w:r>
        <w:t xml:space="preserve"> </w:t>
      </w:r>
    </w:p>
    <w:p w:rsidR="00D44A9B" w:rsidRDefault="00D44A9B" w:rsidP="00D44A9B">
      <w:r>
        <w:t>Stage three, conducting colonoscopies, absorbs the greatest proportion of resource</w:t>
      </w:r>
      <w:r w:rsidR="009613BD">
        <w:t>s</w:t>
      </w:r>
      <w:r>
        <w:t xml:space="preserve">: </w:t>
      </w:r>
      <w:r w:rsidR="0039411E" w:rsidRPr="0039411E">
        <w:rPr>
          <w:highlight w:val="black"/>
        </w:rPr>
        <w:t>XX</w:t>
      </w:r>
      <w:r w:rsidR="0039411E">
        <w:t xml:space="preserve"> S9(2)(i)</w:t>
      </w:r>
      <w:r>
        <w:t xml:space="preserve">% of the annual operating cost of the pilot (note that this cost includes overheads assigned to this stage of the pathway, as well as the direct costs of conducting colonoscopies). </w:t>
      </w:r>
    </w:p>
    <w:p w:rsidR="00D44A9B" w:rsidRDefault="00D44A9B" w:rsidP="00D44A9B">
      <w:r>
        <w:t>The unit cost for particular ‘process outcomes’ have been developed by dividing the annual operating cost for each stage by a key process outcome measure. These unit costs are estimated as follows:</w:t>
      </w:r>
    </w:p>
    <w:p w:rsidR="00D44A9B" w:rsidRDefault="00D44A9B" w:rsidP="00D44A9B">
      <w:pPr>
        <w:numPr>
          <w:ilvl w:val="0"/>
          <w:numId w:val="7"/>
        </w:numPr>
        <w:autoSpaceDE w:val="0"/>
        <w:autoSpaceDN w:val="0"/>
        <w:adjustRightInd w:val="0"/>
        <w:spacing w:before="120"/>
        <w:ind w:left="1134" w:hanging="425"/>
        <w:rPr>
          <w:lang w:eastAsia="ar-SA"/>
        </w:rPr>
      </w:pPr>
      <w:r>
        <w:rPr>
          <w:lang w:eastAsia="ar-SA"/>
        </w:rPr>
        <w:t xml:space="preserve">Average cost </w:t>
      </w:r>
      <w:r w:rsidR="009613BD">
        <w:rPr>
          <w:lang w:eastAsia="ar-SA"/>
        </w:rPr>
        <w:t>of</w:t>
      </w:r>
      <w:r>
        <w:rPr>
          <w:lang w:eastAsia="ar-SA"/>
        </w:rPr>
        <w:t xml:space="preserve"> returning a sample to the laboratory </w:t>
      </w:r>
      <w:r w:rsidR="009613BD">
        <w:rPr>
          <w:lang w:eastAsia="ar-SA"/>
        </w:rPr>
        <w:t>–</w:t>
      </w:r>
      <w:r w:rsidR="0039411E">
        <w:rPr>
          <w:lang w:eastAsia="ar-SA"/>
        </w:rPr>
        <w:t xml:space="preserve"> $</w:t>
      </w:r>
      <w:r w:rsidR="0039411E" w:rsidRPr="0039411E">
        <w:rPr>
          <w:highlight w:val="black"/>
          <w:lang w:eastAsia="ar-SA"/>
        </w:rPr>
        <w:t>XX</w:t>
      </w:r>
      <w:r w:rsidR="0039411E" w:rsidRPr="0039411E">
        <w:t xml:space="preserve"> </w:t>
      </w:r>
      <w:r w:rsidR="0039411E">
        <w:t>S9(2)(i)</w:t>
      </w:r>
      <w:r w:rsidR="0039411E">
        <w:rPr>
          <w:lang w:eastAsia="ar-SA"/>
        </w:rPr>
        <w:t xml:space="preserve"> per person, of which $</w:t>
      </w:r>
      <w:r w:rsidR="0039411E" w:rsidRPr="0039411E">
        <w:rPr>
          <w:highlight w:val="black"/>
          <w:lang w:eastAsia="ar-SA"/>
        </w:rPr>
        <w:t>XX</w:t>
      </w:r>
      <w:r w:rsidR="0039411E">
        <w:rPr>
          <w:lang w:eastAsia="ar-SA"/>
        </w:rPr>
        <w:t xml:space="preserve"> </w:t>
      </w:r>
      <w:r w:rsidR="0039411E">
        <w:t>S9(2)(i)</w:t>
      </w:r>
      <w:r>
        <w:rPr>
          <w:lang w:eastAsia="ar-SA"/>
        </w:rPr>
        <w:t xml:space="preserve"> per person relates to promotion, outreach and</w:t>
      </w:r>
      <w:r w:rsidR="0039411E">
        <w:rPr>
          <w:lang w:eastAsia="ar-SA"/>
        </w:rPr>
        <w:t xml:space="preserve"> targeted support efforts and $</w:t>
      </w:r>
      <w:r w:rsidR="0039411E" w:rsidRPr="0039411E">
        <w:rPr>
          <w:highlight w:val="black"/>
          <w:lang w:eastAsia="ar-SA"/>
        </w:rPr>
        <w:t>XX</w:t>
      </w:r>
      <w:r w:rsidR="0039411E" w:rsidRPr="0039411E">
        <w:t xml:space="preserve"> </w:t>
      </w:r>
      <w:r w:rsidR="0039411E">
        <w:t>S9(2)(i)</w:t>
      </w:r>
      <w:r>
        <w:rPr>
          <w:lang w:eastAsia="ar-SA"/>
        </w:rPr>
        <w:t xml:space="preserve"> per person to mail-outs and sample collection activities;</w:t>
      </w:r>
    </w:p>
    <w:p w:rsidR="00D44A9B" w:rsidRDefault="00D44A9B" w:rsidP="00D44A9B">
      <w:pPr>
        <w:numPr>
          <w:ilvl w:val="0"/>
          <w:numId w:val="7"/>
        </w:numPr>
        <w:autoSpaceDE w:val="0"/>
        <w:autoSpaceDN w:val="0"/>
        <w:adjustRightInd w:val="0"/>
        <w:spacing w:before="120"/>
        <w:ind w:left="1134" w:hanging="425"/>
        <w:rPr>
          <w:lang w:eastAsia="ar-SA"/>
        </w:rPr>
      </w:pPr>
      <w:r>
        <w:rPr>
          <w:lang w:eastAsia="ar-SA"/>
        </w:rPr>
        <w:t xml:space="preserve">Laboratory testing of iFOBT kits (including notification of results) </w:t>
      </w:r>
      <w:r w:rsidR="009613BD">
        <w:rPr>
          <w:lang w:eastAsia="ar-SA"/>
        </w:rPr>
        <w:t>–</w:t>
      </w:r>
      <w:r>
        <w:rPr>
          <w:lang w:eastAsia="ar-SA"/>
        </w:rPr>
        <w:t xml:space="preserve"> $</w:t>
      </w:r>
      <w:r w:rsidR="0039411E" w:rsidRPr="0039411E">
        <w:rPr>
          <w:highlight w:val="black"/>
          <w:lang w:eastAsia="ar-SA"/>
        </w:rPr>
        <w:t>XX</w:t>
      </w:r>
      <w:r w:rsidR="0039411E">
        <w:rPr>
          <w:lang w:eastAsia="ar-SA"/>
        </w:rPr>
        <w:t xml:space="preserve"> </w:t>
      </w:r>
      <w:r w:rsidR="0039411E">
        <w:t>S9(2)(i)</w:t>
      </w:r>
      <w:r>
        <w:rPr>
          <w:lang w:eastAsia="ar-SA"/>
        </w:rPr>
        <w:t xml:space="preserve"> per sample;</w:t>
      </w:r>
    </w:p>
    <w:p w:rsidR="00D44A9B" w:rsidRDefault="00D44A9B" w:rsidP="00D44A9B">
      <w:pPr>
        <w:numPr>
          <w:ilvl w:val="0"/>
          <w:numId w:val="7"/>
        </w:numPr>
        <w:autoSpaceDE w:val="0"/>
        <w:autoSpaceDN w:val="0"/>
        <w:adjustRightInd w:val="0"/>
        <w:spacing w:before="120"/>
        <w:ind w:left="1134" w:hanging="425"/>
        <w:rPr>
          <w:lang w:eastAsia="ar-SA"/>
        </w:rPr>
      </w:pPr>
      <w:r>
        <w:rPr>
          <w:lang w:eastAsia="ar-SA"/>
        </w:rPr>
        <w:t xml:space="preserve">Average cost of colonoscopy </w:t>
      </w:r>
      <w:r w:rsidR="009613BD">
        <w:rPr>
          <w:lang w:eastAsia="ar-SA"/>
        </w:rPr>
        <w:t>–</w:t>
      </w:r>
      <w:r w:rsidR="0039411E">
        <w:rPr>
          <w:lang w:eastAsia="ar-SA"/>
        </w:rPr>
        <w:t xml:space="preserve"> $</w:t>
      </w:r>
      <w:r w:rsidR="0039411E" w:rsidRPr="0039411E">
        <w:rPr>
          <w:highlight w:val="black"/>
          <w:lang w:eastAsia="ar-SA"/>
        </w:rPr>
        <w:t>XXXXX</w:t>
      </w:r>
      <w:r w:rsidR="0039411E">
        <w:rPr>
          <w:lang w:eastAsia="ar-SA"/>
        </w:rPr>
        <w:t xml:space="preserve"> </w:t>
      </w:r>
      <w:r w:rsidR="0039411E">
        <w:t>S9(2)(i)</w:t>
      </w:r>
      <w:r>
        <w:rPr>
          <w:lang w:eastAsia="ar-SA"/>
        </w:rPr>
        <w:t xml:space="preserve"> per person;</w:t>
      </w:r>
    </w:p>
    <w:p w:rsidR="00D44A9B" w:rsidRDefault="00D44A9B" w:rsidP="00D44A9B">
      <w:pPr>
        <w:numPr>
          <w:ilvl w:val="0"/>
          <w:numId w:val="7"/>
        </w:numPr>
        <w:autoSpaceDE w:val="0"/>
        <w:autoSpaceDN w:val="0"/>
        <w:adjustRightInd w:val="0"/>
        <w:spacing w:before="120"/>
        <w:ind w:left="1134" w:hanging="425"/>
      </w:pPr>
      <w:r>
        <w:rPr>
          <w:lang w:eastAsia="ar-SA"/>
        </w:rPr>
        <w:t>Average cost of histology</w:t>
      </w:r>
      <w:r>
        <w:t xml:space="preserve"> tests following colonoscopy </w:t>
      </w:r>
      <w:r w:rsidR="009613BD">
        <w:t>–</w:t>
      </w:r>
      <w:r w:rsidR="0039411E">
        <w:t xml:space="preserve"> $</w:t>
      </w:r>
      <w:r w:rsidR="0039411E" w:rsidRPr="0039411E">
        <w:rPr>
          <w:highlight w:val="black"/>
        </w:rPr>
        <w:t>XXX</w:t>
      </w:r>
      <w:r w:rsidR="0039411E">
        <w:t xml:space="preserve"> S9(2)(i)</w:t>
      </w:r>
      <w:r>
        <w:t xml:space="preserve"> per person.</w:t>
      </w:r>
    </w:p>
    <w:p w:rsidR="00D44A9B" w:rsidRDefault="00F36573" w:rsidP="00D44A9B">
      <w:r>
        <w:t>T</w:t>
      </w:r>
      <w:r w:rsidR="00D44A9B">
        <w:t xml:space="preserve">he operating costs for stages one and two </w:t>
      </w:r>
      <w:r>
        <w:t xml:space="preserve">were combined </w:t>
      </w:r>
      <w:r w:rsidR="00D44A9B">
        <w:t>and divided by the number of people returning a kit for testing to derive a cost pe</w:t>
      </w:r>
      <w:r w:rsidR="0039411E">
        <w:t>r participant screened of $</w:t>
      </w:r>
      <w:r w:rsidR="0039411E" w:rsidRPr="0039411E">
        <w:rPr>
          <w:highlight w:val="black"/>
        </w:rPr>
        <w:t>XXXXX</w:t>
      </w:r>
      <w:r w:rsidR="0039411E">
        <w:t xml:space="preserve"> S9(2)(i)</w:t>
      </w:r>
      <w:r w:rsidR="00D44A9B">
        <w:t xml:space="preserve">. In addition, we derived a cost per participant receiving investigation of $1,268.76 by combining operating costs for stages 3 and 4 and dividing by the number of colonoscopies conducted (acknowledging that most of these participants go on to have histology). </w:t>
      </w:r>
    </w:p>
    <w:p w:rsidR="00D44A9B" w:rsidRDefault="00D44A9B" w:rsidP="00D44A9B">
      <w:r>
        <w:t>Across Rounds 1 and 2, the average operating cost (excluding development costs) for key screening outcom</w:t>
      </w:r>
      <w:r w:rsidR="009613BD">
        <w:t>es varied in the following ways</w:t>
      </w:r>
      <w:r>
        <w:t>:</w:t>
      </w:r>
    </w:p>
    <w:p w:rsidR="00D44A9B" w:rsidRDefault="00D44A9B" w:rsidP="00D44A9B">
      <w:pPr>
        <w:numPr>
          <w:ilvl w:val="0"/>
          <w:numId w:val="7"/>
        </w:numPr>
        <w:autoSpaceDE w:val="0"/>
        <w:autoSpaceDN w:val="0"/>
        <w:adjustRightInd w:val="0"/>
        <w:spacing w:before="120"/>
        <w:ind w:left="1134" w:hanging="425"/>
        <w:rPr>
          <w:lang w:eastAsia="ar-SA"/>
        </w:rPr>
      </w:pPr>
      <w:r>
        <w:rPr>
          <w:lang w:eastAsia="ar-SA"/>
        </w:rPr>
        <w:t>$82,100 per person with a cancer detected in Round 1 and $100,600 in Round 2;</w:t>
      </w:r>
    </w:p>
    <w:p w:rsidR="00D44A9B" w:rsidRDefault="00D44A9B" w:rsidP="00D44A9B">
      <w:pPr>
        <w:numPr>
          <w:ilvl w:val="0"/>
          <w:numId w:val="7"/>
        </w:numPr>
        <w:autoSpaceDE w:val="0"/>
        <w:autoSpaceDN w:val="0"/>
        <w:adjustRightInd w:val="0"/>
        <w:spacing w:before="120"/>
        <w:ind w:left="1134" w:hanging="425"/>
        <w:rPr>
          <w:lang w:eastAsia="ar-SA"/>
        </w:rPr>
      </w:pPr>
      <w:r>
        <w:rPr>
          <w:lang w:eastAsia="ar-SA"/>
        </w:rPr>
        <w:t>$5,600 per person with a lesion detected (adenomas and cancers) in Round 1 and $5,400 in Round 2.</w:t>
      </w:r>
    </w:p>
    <w:p w:rsidR="00D44A9B" w:rsidRDefault="00D44A9B" w:rsidP="00D44A9B">
      <w:r>
        <w:t xml:space="preserve">Note that screening for colorectal cancer includes removing premalignant lesions (adenomas) during the colonoscopy. These adenomas thus never present as cancers, meaning that the incidence of colorectal cancer declines with screening. For this reason, it is important to present the cost of screening per lesion (adenoma and cancer) detected as well as per cancer.  </w:t>
      </w:r>
      <w:r w:rsidRPr="00535D44">
        <w:t>T</w:t>
      </w:r>
      <w:r w:rsidR="0033684E">
        <w:t>hese costs exclude cost of survei</w:t>
      </w:r>
      <w:r w:rsidRPr="00535D44">
        <w:t xml:space="preserve">llence, </w:t>
      </w:r>
      <w:r w:rsidR="009613BD">
        <w:t>for example</w:t>
      </w:r>
      <w:r w:rsidRPr="00535D44">
        <w:t xml:space="preserve"> the cost of follow up colonoscopies </w:t>
      </w:r>
      <w:r w:rsidR="0033684E">
        <w:t xml:space="preserve">for </w:t>
      </w:r>
      <w:r w:rsidRPr="00535D44">
        <w:t>those at increased risk of bowel cancer.</w:t>
      </w:r>
    </w:p>
    <w:p w:rsidR="00020A02" w:rsidRDefault="00020A02" w:rsidP="00020A02">
      <w:r>
        <w:t xml:space="preserve">The cost per person with a cancer or lesion detected will decrease if participation increases. This reduction is due to some costs, such as promotion, being fixed regardless of the number of people participating. </w:t>
      </w:r>
      <w:r w:rsidR="00F36573">
        <w:t>A</w:t>
      </w:r>
      <w:r>
        <w:t xml:space="preserve"> 6% increase in partipation </w:t>
      </w:r>
      <w:r w:rsidR="00F36573">
        <w:t>is estimated to</w:t>
      </w:r>
      <w:r>
        <w:t xml:space="preserve"> result in a 3.5% increase in total cost, </w:t>
      </w:r>
      <w:r w:rsidR="009613BD">
        <w:t>that is</w:t>
      </w:r>
      <w:r>
        <w:t xml:space="preserve"> the additional participants cost about half the average cost of participants in the base case scenario. </w:t>
      </w:r>
    </w:p>
    <w:p w:rsidR="00D44A9B" w:rsidRPr="004B72F1" w:rsidRDefault="00D44A9B" w:rsidP="00D44A9B">
      <w:pPr>
        <w:pStyle w:val="Heading3"/>
      </w:pPr>
      <w:r>
        <w:t>Estimated costs of a national screening programme</w:t>
      </w:r>
    </w:p>
    <w:p w:rsidR="00D44A9B" w:rsidRDefault="00D44A9B" w:rsidP="00D44A9B">
      <w:r>
        <w:t xml:space="preserve">In estimating the costs of a national bowel screening programme, </w:t>
      </w:r>
      <w:r w:rsidR="00F36573">
        <w:t>this analysis</w:t>
      </w:r>
      <w:r>
        <w:t xml:space="preserve"> only considered the direct costs of a nat</w:t>
      </w:r>
      <w:r w:rsidR="009613BD">
        <w:t>ional screening programme in a ‘steady state’</w:t>
      </w:r>
      <w:r>
        <w:t xml:space="preserve">. </w:t>
      </w:r>
      <w:r w:rsidR="00F36573">
        <w:t>E</w:t>
      </w:r>
      <w:r>
        <w:t>stimates do not include development/start-up costs such as workforce development or capital purchases. Ministry of Health oversight and governance costs</w:t>
      </w:r>
      <w:r w:rsidR="00F36573">
        <w:t xml:space="preserve"> are not included</w:t>
      </w:r>
      <w:r>
        <w:t xml:space="preserve">. </w:t>
      </w:r>
    </w:p>
    <w:p w:rsidR="00D44A9B" w:rsidRPr="00B75465" w:rsidRDefault="00F36573" w:rsidP="00D44A9B">
      <w:r>
        <w:t xml:space="preserve">There are </w:t>
      </w:r>
      <w:r w:rsidR="00D44A9B">
        <w:t xml:space="preserve">a number of assumptions, including that the pilot model design is replicated and that all key parameters remain the same. </w:t>
      </w:r>
      <w:r>
        <w:t>It is</w:t>
      </w:r>
      <w:r w:rsidR="00D44A9B">
        <w:t xml:space="preserve"> assumed that the current models for laboratory services, the coordination centre and the IT register are scaled up to manage the increased volumes required for a national programme. </w:t>
      </w:r>
      <w:r>
        <w:t>It is a</w:t>
      </w:r>
      <w:r w:rsidR="00D44A9B">
        <w:t xml:space="preserve">lso assumed that colonoscopy services will be provided by salaried and contracted colonoscopists, in the same proportion as services provided </w:t>
      </w:r>
      <w:r w:rsidR="00D44A9B" w:rsidRPr="00B75465">
        <w:t xml:space="preserve">to the pilot in the second half of year two (July to December 2013). </w:t>
      </w:r>
    </w:p>
    <w:p w:rsidR="00CD5232" w:rsidRDefault="00D44A9B" w:rsidP="00D44A9B">
      <w:r w:rsidRPr="00B75465">
        <w:t xml:space="preserve">The annual operating cost of a national screening programme in steady state, excluding development costs and Ministry of Health oversight is estimated at $39.073 million.  This is 7.8 times higher than our estimate of the annual operating cost of $5.010 million for the pilot in Year 4.  </w:t>
      </w:r>
      <w:r w:rsidR="00F70465">
        <w:t>F</w:t>
      </w:r>
      <w:r w:rsidR="00CD5232">
        <w:t xml:space="preserve">igure </w:t>
      </w:r>
      <w:r w:rsidR="00F70465">
        <w:t xml:space="preserve">6 </w:t>
      </w:r>
      <w:r w:rsidR="00CD5232">
        <w:t xml:space="preserve">shows the estimates for the variable and fixed components of the screening programme for the four regions across New Zealand. </w:t>
      </w:r>
    </w:p>
    <w:p w:rsidR="00F36573" w:rsidRPr="00F36573" w:rsidRDefault="00F36573" w:rsidP="00381C3F">
      <w:pPr>
        <w:pStyle w:val="Figure"/>
      </w:pPr>
      <w:r w:rsidRPr="00F36573">
        <w:t xml:space="preserve">Figure </w:t>
      </w:r>
      <w:r w:rsidR="00F70465">
        <w:t>6</w:t>
      </w:r>
      <w:r w:rsidRPr="00F36573">
        <w:t>: Regional breakdown of screening programme costs</w:t>
      </w:r>
    </w:p>
    <w:p w:rsidR="00D44A9B" w:rsidRPr="00B75465" w:rsidRDefault="00CD5232" w:rsidP="00D44A9B">
      <w:r>
        <w:rPr>
          <w:noProof/>
          <w:lang w:eastAsia="en-NZ"/>
        </w:rPr>
        <w:drawing>
          <wp:inline distT="0" distB="0" distL="0" distR="0">
            <wp:extent cx="5041900" cy="297497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1900" cy="2974975"/>
                    </a:xfrm>
                    <a:prstGeom prst="rect">
                      <a:avLst/>
                    </a:prstGeom>
                    <a:noFill/>
                  </pic:spPr>
                </pic:pic>
              </a:graphicData>
            </a:graphic>
          </wp:inline>
        </w:drawing>
      </w:r>
      <w:r w:rsidR="00D44A9B" w:rsidRPr="00B75465">
        <w:t xml:space="preserve"> </w:t>
      </w:r>
    </w:p>
    <w:p w:rsidR="00D44A9B" w:rsidRDefault="00D44A9B" w:rsidP="00D44A9B">
      <w:r w:rsidRPr="00B75465">
        <w:t>The results of sensitivity tes</w:t>
      </w:r>
      <w:r>
        <w:t>ting undertaken suggest a plausible range for the annual operating cost of a national screening programme in steady state as being between $26.531 million and  $50.623 million (with the base case estimate at $39.073 million).</w:t>
      </w:r>
    </w:p>
    <w:p w:rsidR="00EA3BEB" w:rsidRPr="006A50B2" w:rsidRDefault="000E0E57" w:rsidP="000E0E57">
      <w:pPr>
        <w:pStyle w:val="Heading2"/>
      </w:pPr>
      <w:bookmarkStart w:id="192" w:name="_Toc457842132"/>
      <w:r>
        <w:t>4.2</w:t>
      </w:r>
      <w:r>
        <w:tab/>
      </w:r>
      <w:r w:rsidR="00EA3BEB">
        <w:t>Sources of data and assumptions</w:t>
      </w:r>
      <w:bookmarkEnd w:id="192"/>
    </w:p>
    <w:p w:rsidR="00EA3BEB" w:rsidRDefault="00EA3BEB" w:rsidP="00EA3BEB">
      <w:r>
        <w:t>The information for our analysis comes from the following sources:</w:t>
      </w:r>
    </w:p>
    <w:p w:rsidR="00EA3BEB" w:rsidRPr="00570813" w:rsidRDefault="00EA3BEB" w:rsidP="006179C7">
      <w:pPr>
        <w:numPr>
          <w:ilvl w:val="0"/>
          <w:numId w:val="7"/>
        </w:numPr>
        <w:autoSpaceDE w:val="0"/>
        <w:autoSpaceDN w:val="0"/>
        <w:adjustRightInd w:val="0"/>
        <w:spacing w:before="120"/>
        <w:ind w:left="1134" w:hanging="425"/>
      </w:pPr>
      <w:r w:rsidRPr="00570813">
        <w:t>Existing burden of bowel cancer – Natural history model (M</w:t>
      </w:r>
      <w:r>
        <w:t>o</w:t>
      </w:r>
      <w:r w:rsidRPr="00570813">
        <w:t>DCONZ</w:t>
      </w:r>
      <w:r>
        <w:t xml:space="preserve"> microsimulation</w:t>
      </w:r>
      <w:r w:rsidRPr="00570813">
        <w:t>)</w:t>
      </w:r>
    </w:p>
    <w:p w:rsidR="00EA3BEB" w:rsidRPr="00570813" w:rsidRDefault="00EA3BEB" w:rsidP="006179C7">
      <w:pPr>
        <w:numPr>
          <w:ilvl w:val="0"/>
          <w:numId w:val="7"/>
        </w:numPr>
        <w:autoSpaceDE w:val="0"/>
        <w:autoSpaceDN w:val="0"/>
        <w:adjustRightInd w:val="0"/>
        <w:spacing w:before="120"/>
        <w:ind w:left="1134" w:hanging="425"/>
        <w:rPr>
          <w:lang w:eastAsia="ar-SA"/>
        </w:rPr>
      </w:pPr>
      <w:r w:rsidRPr="00570813">
        <w:rPr>
          <w:lang w:eastAsia="ar-SA"/>
        </w:rPr>
        <w:t>Eligible population, e.g. what age group is invited to screening (</w:t>
      </w:r>
      <w:r w:rsidR="009613BD">
        <w:rPr>
          <w:lang w:eastAsia="ar-SA"/>
        </w:rPr>
        <w:t>p</w:t>
      </w:r>
      <w:r w:rsidRPr="00570813">
        <w:rPr>
          <w:lang w:eastAsia="ar-SA"/>
        </w:rPr>
        <w:t xml:space="preserve">ilot </w:t>
      </w:r>
      <w:r w:rsidR="008346DB">
        <w:rPr>
          <w:lang w:eastAsia="ar-SA"/>
        </w:rPr>
        <w:t>and the</w:t>
      </w:r>
      <w:r w:rsidRPr="00570813">
        <w:rPr>
          <w:lang w:eastAsia="ar-SA"/>
        </w:rPr>
        <w:t xml:space="preserve"> M</w:t>
      </w:r>
      <w:r w:rsidR="009613BD">
        <w:rPr>
          <w:lang w:eastAsia="ar-SA"/>
        </w:rPr>
        <w:t>inistry</w:t>
      </w:r>
      <w:r w:rsidRPr="00570813">
        <w:rPr>
          <w:lang w:eastAsia="ar-SA"/>
        </w:rPr>
        <w:t>)</w:t>
      </w:r>
    </w:p>
    <w:p w:rsidR="00EA3BEB" w:rsidRPr="00570813" w:rsidRDefault="00EA3BEB" w:rsidP="006179C7">
      <w:pPr>
        <w:numPr>
          <w:ilvl w:val="0"/>
          <w:numId w:val="7"/>
        </w:numPr>
        <w:autoSpaceDE w:val="0"/>
        <w:autoSpaceDN w:val="0"/>
        <w:adjustRightInd w:val="0"/>
        <w:spacing w:before="120"/>
        <w:ind w:left="1134" w:hanging="425"/>
        <w:rPr>
          <w:lang w:eastAsia="ar-SA"/>
        </w:rPr>
      </w:pPr>
      <w:r w:rsidRPr="00570813">
        <w:rPr>
          <w:lang w:eastAsia="ar-SA"/>
        </w:rPr>
        <w:t>Participation rate</w:t>
      </w:r>
      <w:r>
        <w:rPr>
          <w:lang w:eastAsia="ar-SA"/>
        </w:rPr>
        <w:t>s</w:t>
      </w:r>
      <w:r w:rsidRPr="00570813">
        <w:rPr>
          <w:lang w:eastAsia="ar-SA"/>
        </w:rPr>
        <w:t xml:space="preserve"> (</w:t>
      </w:r>
      <w:r w:rsidR="001D6D78">
        <w:rPr>
          <w:lang w:eastAsia="ar-SA"/>
        </w:rPr>
        <w:t>p</w:t>
      </w:r>
      <w:r w:rsidRPr="00570813">
        <w:rPr>
          <w:lang w:eastAsia="ar-SA"/>
        </w:rPr>
        <w:t>ilot)</w:t>
      </w:r>
    </w:p>
    <w:p w:rsidR="00EA3BEB" w:rsidRPr="00570813" w:rsidRDefault="00EA3BEB" w:rsidP="006179C7">
      <w:pPr>
        <w:numPr>
          <w:ilvl w:val="0"/>
          <w:numId w:val="7"/>
        </w:numPr>
        <w:autoSpaceDE w:val="0"/>
        <w:autoSpaceDN w:val="0"/>
        <w:adjustRightInd w:val="0"/>
        <w:spacing w:before="120"/>
        <w:ind w:left="1134" w:hanging="425"/>
      </w:pPr>
      <w:r w:rsidRPr="00570813">
        <w:rPr>
          <w:lang w:eastAsia="ar-SA"/>
        </w:rPr>
        <w:t>Performance</w:t>
      </w:r>
      <w:r w:rsidRPr="00570813">
        <w:t xml:space="preserve"> of </w:t>
      </w:r>
      <w:r w:rsidR="000F11FA">
        <w:t>iFOBT</w:t>
      </w:r>
      <w:r w:rsidRPr="00570813">
        <w:t xml:space="preserve"> in detecting adenomas and cancers </w:t>
      </w:r>
    </w:p>
    <w:p w:rsidR="00EA3BEB" w:rsidRPr="00570813" w:rsidRDefault="00EA3BEB" w:rsidP="001D6D78">
      <w:pPr>
        <w:numPr>
          <w:ilvl w:val="2"/>
          <w:numId w:val="18"/>
        </w:numPr>
        <w:tabs>
          <w:tab w:val="clear" w:pos="2160"/>
          <w:tab w:val="num" w:pos="1701"/>
        </w:tabs>
        <w:spacing w:before="60"/>
        <w:ind w:left="1560" w:hanging="426"/>
      </w:pPr>
      <w:r w:rsidRPr="00570813">
        <w:t>Sensitivity and specificity (</w:t>
      </w:r>
      <w:r w:rsidR="001D6D78">
        <w:t>i</w:t>
      </w:r>
      <w:r w:rsidRPr="00570813">
        <w:t>nternational studies)</w:t>
      </w:r>
    </w:p>
    <w:p w:rsidR="00EA3BEB" w:rsidRPr="00570813" w:rsidRDefault="00EA3BEB" w:rsidP="001D6D78">
      <w:pPr>
        <w:numPr>
          <w:ilvl w:val="2"/>
          <w:numId w:val="18"/>
        </w:numPr>
        <w:tabs>
          <w:tab w:val="clear" w:pos="2160"/>
          <w:tab w:val="num" w:pos="1701"/>
        </w:tabs>
        <w:spacing w:before="60"/>
        <w:ind w:left="1560" w:hanging="426"/>
      </w:pPr>
      <w:r w:rsidRPr="00570813">
        <w:t>Different cut-off values (</w:t>
      </w:r>
      <w:r w:rsidR="001D6D78">
        <w:t>p</w:t>
      </w:r>
      <w:r w:rsidRPr="00570813">
        <w:t>ilot)</w:t>
      </w:r>
    </w:p>
    <w:p w:rsidR="00EA3BEB" w:rsidRPr="00570813" w:rsidRDefault="00EA3BEB" w:rsidP="006179C7">
      <w:pPr>
        <w:numPr>
          <w:ilvl w:val="0"/>
          <w:numId w:val="7"/>
        </w:numPr>
        <w:autoSpaceDE w:val="0"/>
        <w:autoSpaceDN w:val="0"/>
        <w:adjustRightInd w:val="0"/>
        <w:spacing w:before="120"/>
        <w:ind w:left="1134" w:hanging="425"/>
        <w:rPr>
          <w:lang w:eastAsia="ar-SA"/>
        </w:rPr>
      </w:pPr>
      <w:r w:rsidRPr="00570813">
        <w:rPr>
          <w:lang w:eastAsia="ar-SA"/>
        </w:rPr>
        <w:t>Colonoscopy outcomes</w:t>
      </w:r>
    </w:p>
    <w:p w:rsidR="00EA3BEB" w:rsidRPr="00570813" w:rsidRDefault="00EA3BEB" w:rsidP="001D6D78">
      <w:pPr>
        <w:numPr>
          <w:ilvl w:val="2"/>
          <w:numId w:val="18"/>
        </w:numPr>
        <w:tabs>
          <w:tab w:val="clear" w:pos="2160"/>
          <w:tab w:val="num" w:pos="1560"/>
        </w:tabs>
        <w:spacing w:before="60"/>
        <w:ind w:left="1560" w:hanging="426"/>
      </w:pPr>
      <w:r w:rsidRPr="00570813">
        <w:t>Attendance (</w:t>
      </w:r>
      <w:r w:rsidR="001D6D78">
        <w:t>p</w:t>
      </w:r>
      <w:r w:rsidRPr="00570813">
        <w:t>ilot)</w:t>
      </w:r>
    </w:p>
    <w:p w:rsidR="00EA3BEB" w:rsidRPr="00570813" w:rsidRDefault="00EA3BEB" w:rsidP="001D6D78">
      <w:pPr>
        <w:numPr>
          <w:ilvl w:val="2"/>
          <w:numId w:val="18"/>
        </w:numPr>
        <w:tabs>
          <w:tab w:val="clear" w:pos="2160"/>
          <w:tab w:val="num" w:pos="1560"/>
        </w:tabs>
        <w:spacing w:before="60"/>
        <w:ind w:left="1560" w:hanging="426"/>
      </w:pPr>
      <w:r w:rsidRPr="00570813">
        <w:t>Adverse events (</w:t>
      </w:r>
      <w:r w:rsidR="001D6D78">
        <w:t>i</w:t>
      </w:r>
      <w:r w:rsidRPr="00570813">
        <w:t>nternational studies</w:t>
      </w:r>
      <w:r>
        <w:t xml:space="preserve"> and pilot</w:t>
      </w:r>
      <w:r w:rsidRPr="00570813">
        <w:t>)</w:t>
      </w:r>
    </w:p>
    <w:p w:rsidR="00EA3BEB" w:rsidRPr="00570813" w:rsidRDefault="00EA3BEB" w:rsidP="001D6D78">
      <w:pPr>
        <w:numPr>
          <w:ilvl w:val="2"/>
          <w:numId w:val="18"/>
        </w:numPr>
        <w:tabs>
          <w:tab w:val="clear" w:pos="2160"/>
          <w:tab w:val="num" w:pos="1560"/>
        </w:tabs>
        <w:spacing w:before="60"/>
        <w:ind w:left="1560" w:hanging="426"/>
      </w:pPr>
      <w:r w:rsidRPr="00570813">
        <w:t>Sensitivity (</w:t>
      </w:r>
      <w:r w:rsidR="001D6D78">
        <w:t>i</w:t>
      </w:r>
      <w:r w:rsidRPr="00570813">
        <w:t>nternational studies)</w:t>
      </w:r>
    </w:p>
    <w:p w:rsidR="00EA3BEB" w:rsidRPr="00570813" w:rsidRDefault="00EA3BEB" w:rsidP="006179C7">
      <w:pPr>
        <w:numPr>
          <w:ilvl w:val="0"/>
          <w:numId w:val="7"/>
        </w:numPr>
        <w:autoSpaceDE w:val="0"/>
        <w:autoSpaceDN w:val="0"/>
        <w:adjustRightInd w:val="0"/>
        <w:spacing w:before="120"/>
        <w:ind w:left="1134" w:hanging="425"/>
        <w:rPr>
          <w:lang w:eastAsia="ar-SA"/>
        </w:rPr>
      </w:pPr>
      <w:r w:rsidRPr="00570813">
        <w:rPr>
          <w:lang w:eastAsia="ar-SA"/>
        </w:rPr>
        <w:t>Treatment and follow up</w:t>
      </w:r>
    </w:p>
    <w:p w:rsidR="00EA3BEB" w:rsidRPr="00570813" w:rsidRDefault="00EA3BEB" w:rsidP="001D6D78">
      <w:pPr>
        <w:numPr>
          <w:ilvl w:val="2"/>
          <w:numId w:val="18"/>
        </w:numPr>
        <w:tabs>
          <w:tab w:val="clear" w:pos="2160"/>
          <w:tab w:val="num" w:pos="1560"/>
        </w:tabs>
        <w:spacing w:before="60"/>
        <w:ind w:left="1560" w:hanging="426"/>
      </w:pPr>
      <w:r>
        <w:t>Health outcomes (Mo</w:t>
      </w:r>
      <w:r w:rsidRPr="00570813">
        <w:t>DCONZ</w:t>
      </w:r>
      <w:r>
        <w:t xml:space="preserve"> microsimulation</w:t>
      </w:r>
      <w:r w:rsidRPr="00570813">
        <w:t>)</w:t>
      </w:r>
    </w:p>
    <w:p w:rsidR="00EA3BEB" w:rsidRPr="00570813" w:rsidRDefault="00EA3BEB" w:rsidP="001D6D78">
      <w:pPr>
        <w:numPr>
          <w:ilvl w:val="2"/>
          <w:numId w:val="18"/>
        </w:numPr>
        <w:tabs>
          <w:tab w:val="clear" w:pos="2160"/>
          <w:tab w:val="num" w:pos="1560"/>
        </w:tabs>
        <w:spacing w:before="60"/>
        <w:ind w:left="1560" w:hanging="426"/>
      </w:pPr>
      <w:r w:rsidRPr="00570813">
        <w:t>Cost impact (NZ cost data sets</w:t>
      </w:r>
      <w:r>
        <w:t>, analysed by BODE3 research team</w:t>
      </w:r>
      <w:r w:rsidRPr="00570813">
        <w:t>)</w:t>
      </w:r>
      <w:r w:rsidR="000E0E57">
        <w:t>.</w:t>
      </w:r>
    </w:p>
    <w:p w:rsidR="00F3091D" w:rsidRDefault="00F70465" w:rsidP="006B1E87">
      <w:r>
        <w:t>T</w:t>
      </w:r>
      <w:r w:rsidR="00EA3BEB">
        <w:t xml:space="preserve">able </w:t>
      </w:r>
      <w:r>
        <w:t>7</w:t>
      </w:r>
      <w:r w:rsidR="00EA3BEB">
        <w:t xml:space="preserve"> summarises the values and ranges of the key parameters used in </w:t>
      </w:r>
      <w:r w:rsidR="00F36573">
        <w:t>the</w:t>
      </w:r>
      <w:r w:rsidR="00EA3BEB">
        <w:t xml:space="preserve"> analysis.</w:t>
      </w:r>
    </w:p>
    <w:p w:rsidR="006B1E87" w:rsidRPr="00381C3F" w:rsidRDefault="00F36573" w:rsidP="00381C3F">
      <w:pPr>
        <w:pStyle w:val="Tableheading"/>
        <w:keepNext/>
      </w:pPr>
      <w:r w:rsidRPr="00F36573">
        <w:t xml:space="preserve">Table </w:t>
      </w:r>
      <w:r w:rsidR="00F70465">
        <w:t>7</w:t>
      </w:r>
      <w:r w:rsidR="006518FE">
        <w:t>: Cost-</w:t>
      </w:r>
      <w:r w:rsidRPr="00F36573">
        <w:t>effectiveness assumptions</w:t>
      </w:r>
    </w:p>
    <w:tbl>
      <w:tblPr>
        <w:tblStyle w:val="TableSapereGrid"/>
        <w:tblpPr w:leftFromText="180" w:rightFromText="180" w:vertAnchor="text" w:tblpY="1"/>
        <w:tblOverlap w:val="never"/>
        <w:tblW w:w="9555" w:type="dxa"/>
        <w:tblCellMar>
          <w:top w:w="57" w:type="dxa"/>
          <w:left w:w="57" w:type="dxa"/>
          <w:bottom w:w="57" w:type="dxa"/>
          <w:right w:w="57" w:type="dxa"/>
        </w:tblCellMar>
        <w:tblLook w:val="04A0" w:firstRow="1" w:lastRow="0" w:firstColumn="1" w:lastColumn="0" w:noHBand="0" w:noVBand="1"/>
      </w:tblPr>
      <w:tblGrid>
        <w:gridCol w:w="5586"/>
        <w:gridCol w:w="3969"/>
      </w:tblGrid>
      <w:tr w:rsidR="006B1E87" w:rsidRPr="006B1E87">
        <w:trPr>
          <w:cnfStyle w:val="100000000000" w:firstRow="1" w:lastRow="0" w:firstColumn="0" w:lastColumn="0" w:oddVBand="0" w:evenVBand="0" w:oddHBand="0" w:evenHBand="0" w:firstRowFirstColumn="0" w:firstRowLastColumn="0" w:lastRowFirstColumn="0" w:lastRowLastColumn="0"/>
          <w:trHeight w:val="315"/>
        </w:trPr>
        <w:tc>
          <w:tcPr>
            <w:tcW w:w="5586" w:type="dxa"/>
            <w:tcBorders>
              <w:bottom w:val="single" w:sz="4" w:space="0" w:color="7B5E05"/>
            </w:tcBorders>
            <w:noWrap/>
          </w:tcPr>
          <w:p w:rsidR="006B1E87" w:rsidRPr="006B1E87" w:rsidRDefault="006B1E87" w:rsidP="006B1E87">
            <w:pPr>
              <w:keepNext/>
              <w:spacing w:before="0"/>
              <w:jc w:val="both"/>
              <w:rPr>
                <w:rFonts w:cs="Arial"/>
                <w:b/>
                <w:color w:val="FFFFFF" w:themeColor="background1"/>
                <w:sz w:val="18"/>
                <w:szCs w:val="18"/>
              </w:rPr>
            </w:pPr>
            <w:r w:rsidRPr="006B1E87">
              <w:rPr>
                <w:rFonts w:cs="Arial"/>
                <w:b/>
                <w:color w:val="FFFFFF" w:themeColor="background1"/>
                <w:sz w:val="18"/>
                <w:szCs w:val="18"/>
              </w:rPr>
              <w:t>Parameter</w:t>
            </w:r>
          </w:p>
        </w:tc>
        <w:tc>
          <w:tcPr>
            <w:tcW w:w="3969" w:type="dxa"/>
            <w:tcBorders>
              <w:bottom w:val="single" w:sz="4" w:space="0" w:color="7B5E05"/>
            </w:tcBorders>
            <w:noWrap/>
          </w:tcPr>
          <w:p w:rsidR="006B1E87" w:rsidRPr="006B1E87" w:rsidRDefault="006B1E87" w:rsidP="006B1E87">
            <w:pPr>
              <w:keepNext/>
              <w:spacing w:before="0"/>
              <w:jc w:val="right"/>
              <w:rPr>
                <w:rFonts w:cs="Arial"/>
                <w:b/>
                <w:color w:val="FFFFFF" w:themeColor="background1"/>
                <w:sz w:val="18"/>
                <w:szCs w:val="18"/>
              </w:rPr>
            </w:pPr>
            <w:r w:rsidRPr="006B1E87">
              <w:rPr>
                <w:rFonts w:cs="Arial"/>
                <w:b/>
                <w:color w:val="FFFFFF" w:themeColor="background1"/>
                <w:sz w:val="18"/>
                <w:szCs w:val="18"/>
              </w:rPr>
              <w:t>Mean (95% CI)</w:t>
            </w:r>
          </w:p>
        </w:tc>
      </w:tr>
      <w:tr w:rsidR="006B1E87" w:rsidRPr="006B1E87">
        <w:trPr>
          <w:trHeight w:val="315"/>
        </w:trPr>
        <w:tc>
          <w:tcPr>
            <w:tcW w:w="5586" w:type="dxa"/>
            <w:noWrap/>
          </w:tcPr>
          <w:p w:rsidR="006B1E87" w:rsidRPr="006B1E87" w:rsidRDefault="006B1E87" w:rsidP="006B1E87">
            <w:pPr>
              <w:keepNext/>
              <w:spacing w:before="0"/>
              <w:ind w:left="142"/>
              <w:jc w:val="both"/>
              <w:rPr>
                <w:rFonts w:cs="Arial"/>
                <w:b/>
                <w:sz w:val="18"/>
                <w:szCs w:val="18"/>
              </w:rPr>
            </w:pPr>
            <w:r w:rsidRPr="006B1E87">
              <w:rPr>
                <w:rFonts w:cs="Arial"/>
                <w:b/>
                <w:sz w:val="18"/>
                <w:szCs w:val="18"/>
              </w:rPr>
              <w:t>Screening</w:t>
            </w:r>
          </w:p>
        </w:tc>
        <w:tc>
          <w:tcPr>
            <w:tcW w:w="3969" w:type="dxa"/>
            <w:noWrap/>
          </w:tcPr>
          <w:p w:rsidR="006B1E87" w:rsidRPr="006B1E87" w:rsidRDefault="006B1E87" w:rsidP="006B1E87">
            <w:pPr>
              <w:keepNext/>
              <w:spacing w:before="0"/>
              <w:jc w:val="right"/>
              <w:rPr>
                <w:rFonts w:cs="Arial"/>
                <w:sz w:val="18"/>
                <w:szCs w:val="18"/>
              </w:rPr>
            </w:pPr>
          </w:p>
        </w:tc>
      </w:tr>
      <w:tr w:rsidR="006B1E87" w:rsidRPr="006B1E87">
        <w:trPr>
          <w:trHeight w:val="315"/>
        </w:trPr>
        <w:tc>
          <w:tcPr>
            <w:tcW w:w="5586" w:type="dxa"/>
            <w:noWrap/>
          </w:tcPr>
          <w:p w:rsidR="006B1E87" w:rsidRPr="006B1E87" w:rsidRDefault="006B1E87" w:rsidP="006B1E87">
            <w:pPr>
              <w:keepNext/>
              <w:spacing w:before="0"/>
              <w:ind w:left="142"/>
              <w:rPr>
                <w:rFonts w:cs="Arial"/>
                <w:sz w:val="18"/>
                <w:szCs w:val="18"/>
              </w:rPr>
            </w:pPr>
            <w:r w:rsidRPr="006B1E87">
              <w:rPr>
                <w:rFonts w:cs="Arial"/>
                <w:sz w:val="18"/>
                <w:szCs w:val="18"/>
              </w:rPr>
              <w:t xml:space="preserve">Proportion invited </w:t>
            </w:r>
          </w:p>
        </w:tc>
        <w:tc>
          <w:tcPr>
            <w:tcW w:w="3969" w:type="dxa"/>
            <w:noWrap/>
          </w:tcPr>
          <w:p w:rsidR="006B1E87" w:rsidRPr="006B1E87" w:rsidRDefault="006B1E87" w:rsidP="001D6D78">
            <w:pPr>
              <w:keepNext/>
              <w:spacing w:before="0"/>
              <w:jc w:val="right"/>
              <w:rPr>
                <w:rFonts w:cs="Arial"/>
                <w:sz w:val="18"/>
                <w:szCs w:val="18"/>
              </w:rPr>
            </w:pPr>
            <w:r w:rsidRPr="006B1E87">
              <w:rPr>
                <w:rFonts w:cs="Arial"/>
                <w:sz w:val="18"/>
                <w:szCs w:val="18"/>
              </w:rPr>
              <w:t>96% (94</w:t>
            </w:r>
            <w:r w:rsidR="001D6D78">
              <w:rPr>
                <w:rFonts w:cs="Arial"/>
                <w:sz w:val="18"/>
                <w:szCs w:val="18"/>
              </w:rPr>
              <w:t>–</w:t>
            </w:r>
            <w:r w:rsidRPr="006B1E87">
              <w:rPr>
                <w:rFonts w:cs="Arial"/>
                <w:sz w:val="18"/>
                <w:szCs w:val="18"/>
              </w:rPr>
              <w:t>98%)</w:t>
            </w:r>
          </w:p>
        </w:tc>
      </w:tr>
      <w:tr w:rsidR="006B1E87" w:rsidRPr="006B1E87">
        <w:trPr>
          <w:trHeight w:val="315"/>
        </w:trPr>
        <w:tc>
          <w:tcPr>
            <w:tcW w:w="5586" w:type="dxa"/>
            <w:noWrap/>
          </w:tcPr>
          <w:p w:rsidR="006B1E87" w:rsidRPr="006B1E87" w:rsidRDefault="006B1E87" w:rsidP="001D6D78">
            <w:pPr>
              <w:keepNext/>
              <w:spacing w:before="0"/>
              <w:ind w:left="142"/>
              <w:rPr>
                <w:rFonts w:cs="Arial"/>
                <w:sz w:val="18"/>
                <w:szCs w:val="18"/>
              </w:rPr>
            </w:pPr>
            <w:r w:rsidRPr="006B1E87">
              <w:rPr>
                <w:rFonts w:cs="Arial"/>
                <w:sz w:val="18"/>
                <w:szCs w:val="18"/>
              </w:rPr>
              <w:t xml:space="preserve">iFOBT </w:t>
            </w:r>
            <w:r w:rsidR="001D6D78">
              <w:rPr>
                <w:rFonts w:cs="Arial"/>
                <w:sz w:val="18"/>
                <w:szCs w:val="18"/>
              </w:rPr>
              <w:t>p</w:t>
            </w:r>
            <w:r w:rsidRPr="006B1E87">
              <w:rPr>
                <w:rFonts w:cs="Arial"/>
                <w:sz w:val="18"/>
                <w:szCs w:val="18"/>
              </w:rPr>
              <w:t>articipation, new to screening</w:t>
            </w:r>
          </w:p>
        </w:tc>
        <w:tc>
          <w:tcPr>
            <w:tcW w:w="3969" w:type="dxa"/>
            <w:noWrap/>
          </w:tcPr>
          <w:p w:rsidR="006B1E87" w:rsidRPr="006B1E87" w:rsidRDefault="00026D7C" w:rsidP="006B1E87">
            <w:pPr>
              <w:keepNext/>
              <w:spacing w:before="0"/>
              <w:jc w:val="right"/>
              <w:rPr>
                <w:rFonts w:cs="Arial"/>
                <w:sz w:val="18"/>
                <w:szCs w:val="18"/>
              </w:rPr>
            </w:pPr>
            <w:r>
              <w:rPr>
                <w:rFonts w:cs="Arial"/>
                <w:sz w:val="18"/>
                <w:szCs w:val="18"/>
              </w:rPr>
              <w:t xml:space="preserve">Age dependent range: </w:t>
            </w:r>
            <w:r w:rsidR="006B1E87" w:rsidRPr="006B1E87">
              <w:rPr>
                <w:rFonts w:cs="Arial"/>
                <w:sz w:val="18"/>
                <w:szCs w:val="18"/>
              </w:rPr>
              <w:t>43% to 70%</w:t>
            </w:r>
          </w:p>
        </w:tc>
      </w:tr>
      <w:tr w:rsidR="006B1E87" w:rsidRPr="006B1E87">
        <w:trPr>
          <w:trHeight w:val="315"/>
        </w:trPr>
        <w:tc>
          <w:tcPr>
            <w:tcW w:w="5586" w:type="dxa"/>
            <w:noWrap/>
          </w:tcPr>
          <w:p w:rsidR="006B1E87" w:rsidRPr="006B1E87" w:rsidRDefault="006B1E87" w:rsidP="001D6D78">
            <w:pPr>
              <w:keepNext/>
              <w:spacing w:before="0"/>
              <w:ind w:left="142"/>
              <w:rPr>
                <w:rFonts w:cs="Arial"/>
                <w:sz w:val="18"/>
                <w:szCs w:val="18"/>
              </w:rPr>
            </w:pPr>
            <w:r w:rsidRPr="006B1E87">
              <w:rPr>
                <w:rFonts w:cs="Arial"/>
                <w:sz w:val="18"/>
                <w:szCs w:val="18"/>
              </w:rPr>
              <w:t xml:space="preserve">iFOBT </w:t>
            </w:r>
            <w:r w:rsidR="001D6D78">
              <w:rPr>
                <w:rFonts w:cs="Arial"/>
                <w:sz w:val="18"/>
                <w:szCs w:val="18"/>
              </w:rPr>
              <w:t>p</w:t>
            </w:r>
            <w:r w:rsidRPr="006B1E87">
              <w:rPr>
                <w:rFonts w:cs="Arial"/>
                <w:sz w:val="18"/>
                <w:szCs w:val="18"/>
              </w:rPr>
              <w:t>articipation, participated in previous round</w:t>
            </w:r>
          </w:p>
        </w:tc>
        <w:tc>
          <w:tcPr>
            <w:tcW w:w="3969" w:type="dxa"/>
            <w:noWrap/>
          </w:tcPr>
          <w:p w:rsidR="006B1E87" w:rsidRPr="006B1E87" w:rsidRDefault="00026D7C" w:rsidP="006B1E87">
            <w:pPr>
              <w:keepNext/>
              <w:spacing w:before="0"/>
              <w:jc w:val="right"/>
              <w:rPr>
                <w:rFonts w:cs="Arial"/>
                <w:sz w:val="18"/>
                <w:szCs w:val="18"/>
              </w:rPr>
            </w:pPr>
            <w:r>
              <w:rPr>
                <w:rFonts w:cs="Arial"/>
                <w:sz w:val="18"/>
                <w:szCs w:val="18"/>
              </w:rPr>
              <w:t xml:space="preserve">Age dependent range: </w:t>
            </w:r>
            <w:r w:rsidR="006B1E87" w:rsidRPr="006B1E87">
              <w:rPr>
                <w:rFonts w:cs="Arial"/>
                <w:sz w:val="18"/>
                <w:szCs w:val="18"/>
              </w:rPr>
              <w:t>65% to 95%</w:t>
            </w:r>
          </w:p>
        </w:tc>
      </w:tr>
      <w:tr w:rsidR="006B1E87" w:rsidRPr="006B1E87">
        <w:trPr>
          <w:trHeight w:val="315"/>
        </w:trPr>
        <w:tc>
          <w:tcPr>
            <w:tcW w:w="5586" w:type="dxa"/>
            <w:noWrap/>
          </w:tcPr>
          <w:p w:rsidR="006B1E87" w:rsidRPr="006B1E87" w:rsidRDefault="006B1E87" w:rsidP="001D6D78">
            <w:pPr>
              <w:keepNext/>
              <w:spacing w:before="0"/>
              <w:ind w:left="142"/>
              <w:rPr>
                <w:rFonts w:cs="Arial"/>
                <w:sz w:val="18"/>
                <w:szCs w:val="18"/>
              </w:rPr>
            </w:pPr>
            <w:r w:rsidRPr="006B1E87">
              <w:rPr>
                <w:rFonts w:cs="Arial"/>
                <w:sz w:val="18"/>
                <w:szCs w:val="18"/>
              </w:rPr>
              <w:t xml:space="preserve">iFOBT </w:t>
            </w:r>
            <w:r w:rsidR="001D6D78">
              <w:rPr>
                <w:rFonts w:cs="Arial"/>
                <w:sz w:val="18"/>
                <w:szCs w:val="18"/>
              </w:rPr>
              <w:t>p</w:t>
            </w:r>
            <w:r w:rsidRPr="006B1E87">
              <w:rPr>
                <w:rFonts w:cs="Arial"/>
                <w:sz w:val="18"/>
                <w:szCs w:val="18"/>
              </w:rPr>
              <w:t>articipation, did not participate in previous round</w:t>
            </w:r>
          </w:p>
        </w:tc>
        <w:tc>
          <w:tcPr>
            <w:tcW w:w="3969" w:type="dxa"/>
            <w:noWrap/>
          </w:tcPr>
          <w:p w:rsidR="006B1E87" w:rsidRPr="006B1E87" w:rsidRDefault="00026D7C" w:rsidP="006B1E87">
            <w:pPr>
              <w:keepNext/>
              <w:spacing w:before="0"/>
              <w:jc w:val="right"/>
              <w:rPr>
                <w:rFonts w:cs="Arial"/>
                <w:sz w:val="18"/>
                <w:szCs w:val="18"/>
              </w:rPr>
            </w:pPr>
            <w:r>
              <w:rPr>
                <w:rFonts w:cs="Arial"/>
                <w:sz w:val="18"/>
                <w:szCs w:val="18"/>
              </w:rPr>
              <w:t xml:space="preserve">Age dependent range: </w:t>
            </w:r>
            <w:r w:rsidR="006B1E87" w:rsidRPr="006B1E87">
              <w:rPr>
                <w:rFonts w:cs="Arial"/>
                <w:sz w:val="18"/>
                <w:szCs w:val="18"/>
              </w:rPr>
              <w:t>18% to 30%</w:t>
            </w:r>
          </w:p>
        </w:tc>
      </w:tr>
      <w:tr w:rsidR="006B1E87" w:rsidRPr="006B1E87">
        <w:trPr>
          <w:trHeight w:val="315"/>
        </w:trPr>
        <w:tc>
          <w:tcPr>
            <w:tcW w:w="5586" w:type="dxa"/>
            <w:noWrap/>
          </w:tcPr>
          <w:p w:rsidR="006B1E87" w:rsidRPr="006B1E87" w:rsidRDefault="006B1E87" w:rsidP="001D6D78">
            <w:pPr>
              <w:keepNext/>
              <w:spacing w:before="0"/>
              <w:ind w:left="142"/>
              <w:rPr>
                <w:rFonts w:cs="Arial"/>
                <w:sz w:val="18"/>
                <w:szCs w:val="18"/>
              </w:rPr>
            </w:pPr>
            <w:r w:rsidRPr="006B1E87">
              <w:rPr>
                <w:rFonts w:cs="Arial"/>
                <w:sz w:val="18"/>
                <w:szCs w:val="18"/>
              </w:rPr>
              <w:t xml:space="preserve">iFOBT sensitivity </w:t>
            </w:r>
            <w:r w:rsidR="001D6D78">
              <w:rPr>
                <w:rFonts w:cs="Arial"/>
                <w:sz w:val="18"/>
                <w:szCs w:val="18"/>
              </w:rPr>
              <w:t>a</w:t>
            </w:r>
            <w:r w:rsidRPr="006B1E87">
              <w:rPr>
                <w:rFonts w:cs="Arial"/>
                <w:sz w:val="18"/>
                <w:szCs w:val="18"/>
              </w:rPr>
              <w:t>denoma &lt; 10mm</w:t>
            </w:r>
          </w:p>
        </w:tc>
        <w:tc>
          <w:tcPr>
            <w:tcW w:w="3969" w:type="dxa"/>
            <w:noWrap/>
          </w:tcPr>
          <w:p w:rsidR="006B1E87" w:rsidRPr="006B1E87" w:rsidRDefault="006B1E87" w:rsidP="001D6D78">
            <w:pPr>
              <w:keepNext/>
              <w:spacing w:before="0"/>
              <w:jc w:val="right"/>
              <w:rPr>
                <w:rFonts w:cs="Arial"/>
                <w:sz w:val="18"/>
                <w:szCs w:val="18"/>
              </w:rPr>
            </w:pPr>
            <w:r w:rsidRPr="006B1E87">
              <w:rPr>
                <w:rFonts w:cs="Arial"/>
                <w:sz w:val="18"/>
                <w:szCs w:val="18"/>
              </w:rPr>
              <w:t xml:space="preserve">7.7% </w:t>
            </w:r>
            <w:r w:rsidRPr="006B1E87">
              <w:rPr>
                <w:rFonts w:cs="Arial"/>
                <w:color w:val="000000"/>
                <w:sz w:val="18"/>
                <w:szCs w:val="18"/>
              </w:rPr>
              <w:t>(7.1</w:t>
            </w:r>
            <w:r w:rsidR="001D6D78">
              <w:rPr>
                <w:rFonts w:cs="Arial"/>
                <w:color w:val="000000"/>
                <w:sz w:val="18"/>
                <w:szCs w:val="18"/>
              </w:rPr>
              <w:t>–</w:t>
            </w:r>
            <w:r w:rsidRPr="006B1E87">
              <w:rPr>
                <w:rFonts w:cs="Arial"/>
                <w:color w:val="000000"/>
                <w:sz w:val="18"/>
                <w:szCs w:val="18"/>
              </w:rPr>
              <w:t>8.4%)</w:t>
            </w:r>
          </w:p>
        </w:tc>
      </w:tr>
      <w:tr w:rsidR="006B1E87" w:rsidRPr="006B1E87">
        <w:trPr>
          <w:trHeight w:val="315"/>
        </w:trPr>
        <w:tc>
          <w:tcPr>
            <w:tcW w:w="5586" w:type="dxa"/>
            <w:noWrap/>
          </w:tcPr>
          <w:p w:rsidR="006B1E87" w:rsidRPr="006B1E87" w:rsidRDefault="006B1E87" w:rsidP="001D6D78">
            <w:pPr>
              <w:keepNext/>
              <w:spacing w:before="0"/>
              <w:ind w:left="142"/>
              <w:rPr>
                <w:rFonts w:cs="Arial"/>
                <w:sz w:val="18"/>
                <w:szCs w:val="18"/>
              </w:rPr>
            </w:pPr>
            <w:r w:rsidRPr="006B1E87">
              <w:rPr>
                <w:rFonts w:cs="Arial"/>
                <w:sz w:val="18"/>
                <w:szCs w:val="18"/>
              </w:rPr>
              <w:t xml:space="preserve">iFOBT sensitivity </w:t>
            </w:r>
            <w:r w:rsidR="001D6D78">
              <w:rPr>
                <w:rFonts w:cs="Arial"/>
                <w:sz w:val="18"/>
                <w:szCs w:val="18"/>
              </w:rPr>
              <w:t>a</w:t>
            </w:r>
            <w:r w:rsidRPr="006B1E87">
              <w:rPr>
                <w:rFonts w:cs="Arial"/>
                <w:sz w:val="18"/>
                <w:szCs w:val="18"/>
              </w:rPr>
              <w:t>denoma ≥ 10mm</w:t>
            </w:r>
          </w:p>
        </w:tc>
        <w:tc>
          <w:tcPr>
            <w:tcW w:w="3969" w:type="dxa"/>
            <w:noWrap/>
          </w:tcPr>
          <w:p w:rsidR="006B1E87" w:rsidRPr="006B1E87" w:rsidRDefault="006B1E87" w:rsidP="001D6D78">
            <w:pPr>
              <w:keepNext/>
              <w:spacing w:before="0"/>
              <w:jc w:val="right"/>
              <w:rPr>
                <w:rFonts w:cs="Arial"/>
                <w:sz w:val="18"/>
                <w:szCs w:val="18"/>
              </w:rPr>
            </w:pPr>
            <w:r w:rsidRPr="006B1E87">
              <w:rPr>
                <w:rFonts w:cs="Arial"/>
                <w:sz w:val="18"/>
                <w:szCs w:val="18"/>
              </w:rPr>
              <w:t xml:space="preserve">25.2% </w:t>
            </w:r>
            <w:r w:rsidRPr="006B1E87">
              <w:rPr>
                <w:rFonts w:cs="Arial"/>
                <w:color w:val="000000"/>
                <w:sz w:val="18"/>
                <w:szCs w:val="18"/>
              </w:rPr>
              <w:t>(22.2</w:t>
            </w:r>
            <w:r w:rsidR="001D6D78">
              <w:rPr>
                <w:rFonts w:cs="Arial"/>
                <w:color w:val="000000"/>
                <w:sz w:val="18"/>
                <w:szCs w:val="18"/>
              </w:rPr>
              <w:t>–</w:t>
            </w:r>
            <w:r w:rsidRPr="006B1E87">
              <w:rPr>
                <w:rFonts w:cs="Arial"/>
                <w:color w:val="000000"/>
                <w:sz w:val="18"/>
                <w:szCs w:val="18"/>
              </w:rPr>
              <w:t>28.2%)</w:t>
            </w:r>
          </w:p>
        </w:tc>
      </w:tr>
      <w:tr w:rsidR="006B1E87" w:rsidRPr="006B1E87">
        <w:trPr>
          <w:trHeight w:val="315"/>
        </w:trPr>
        <w:tc>
          <w:tcPr>
            <w:tcW w:w="5586" w:type="dxa"/>
            <w:noWrap/>
          </w:tcPr>
          <w:p w:rsidR="006B1E87" w:rsidRPr="006B1E87" w:rsidRDefault="006B1E87" w:rsidP="001D6D78">
            <w:pPr>
              <w:keepNext/>
              <w:spacing w:before="0"/>
              <w:ind w:left="142"/>
              <w:rPr>
                <w:rFonts w:cs="Arial"/>
                <w:sz w:val="18"/>
                <w:szCs w:val="18"/>
              </w:rPr>
            </w:pPr>
            <w:r w:rsidRPr="006B1E87">
              <w:rPr>
                <w:rFonts w:cs="Arial"/>
                <w:sz w:val="18"/>
                <w:szCs w:val="18"/>
              </w:rPr>
              <w:t xml:space="preserve">iFOBT </w:t>
            </w:r>
            <w:r w:rsidR="001D6D78" w:rsidRPr="001D6D78">
              <w:rPr>
                <w:rFonts w:cs="Arial"/>
                <w:sz w:val="18"/>
                <w:szCs w:val="18"/>
              </w:rPr>
              <w:t>s</w:t>
            </w:r>
            <w:r w:rsidRPr="001D6D78">
              <w:rPr>
                <w:rFonts w:cs="Arial"/>
                <w:sz w:val="18"/>
                <w:szCs w:val="18"/>
              </w:rPr>
              <w:t xml:space="preserve">ensitivity </w:t>
            </w:r>
            <w:r w:rsidR="001D6D78" w:rsidRPr="001D6D78">
              <w:rPr>
                <w:rFonts w:cs="Arial"/>
                <w:sz w:val="18"/>
                <w:szCs w:val="18"/>
              </w:rPr>
              <w:t>S</w:t>
            </w:r>
            <w:r w:rsidRPr="001D6D78">
              <w:rPr>
                <w:rFonts w:cs="Arial"/>
                <w:sz w:val="18"/>
                <w:szCs w:val="18"/>
              </w:rPr>
              <w:t xml:space="preserve">tage </w:t>
            </w:r>
            <w:r w:rsidR="001D6D78" w:rsidRPr="001D6D78">
              <w:rPr>
                <w:rFonts w:cs="Arial"/>
                <w:sz w:val="18"/>
                <w:szCs w:val="18"/>
              </w:rPr>
              <w:t xml:space="preserve">I </w:t>
            </w:r>
            <w:r w:rsidRPr="001D6D78">
              <w:rPr>
                <w:rFonts w:cs="Arial"/>
                <w:sz w:val="18"/>
                <w:szCs w:val="18"/>
              </w:rPr>
              <w:t>&amp;</w:t>
            </w:r>
            <w:r w:rsidR="001D6D78">
              <w:rPr>
                <w:rFonts w:cs="Arial"/>
                <w:sz w:val="18"/>
                <w:szCs w:val="18"/>
              </w:rPr>
              <w:t xml:space="preserve"> II</w:t>
            </w:r>
            <w:r w:rsidRPr="006B1E87">
              <w:rPr>
                <w:rFonts w:cs="Arial"/>
                <w:sz w:val="18"/>
                <w:szCs w:val="18"/>
              </w:rPr>
              <w:t xml:space="preserve"> cancer</w:t>
            </w:r>
          </w:p>
        </w:tc>
        <w:tc>
          <w:tcPr>
            <w:tcW w:w="3969" w:type="dxa"/>
            <w:noWrap/>
          </w:tcPr>
          <w:p w:rsidR="006B1E87" w:rsidRPr="006B1E87" w:rsidRDefault="006B1E87" w:rsidP="001D6D78">
            <w:pPr>
              <w:keepNext/>
              <w:spacing w:before="0"/>
              <w:jc w:val="right"/>
              <w:rPr>
                <w:rFonts w:cs="Arial"/>
                <w:sz w:val="18"/>
                <w:szCs w:val="18"/>
              </w:rPr>
            </w:pPr>
            <w:r w:rsidRPr="006B1E87">
              <w:rPr>
                <w:rFonts w:cs="Arial"/>
                <w:sz w:val="18"/>
                <w:szCs w:val="18"/>
              </w:rPr>
              <w:t xml:space="preserve">59.7% </w:t>
            </w:r>
            <w:r w:rsidRPr="006B1E87">
              <w:rPr>
                <w:rFonts w:cs="Arial"/>
                <w:color w:val="000000"/>
                <w:sz w:val="18"/>
                <w:szCs w:val="18"/>
              </w:rPr>
              <w:t>(27</w:t>
            </w:r>
            <w:r w:rsidR="001D6D78">
              <w:rPr>
                <w:rFonts w:cs="Arial"/>
                <w:color w:val="000000"/>
                <w:sz w:val="18"/>
                <w:szCs w:val="18"/>
              </w:rPr>
              <w:t>–</w:t>
            </w:r>
            <w:r w:rsidRPr="006B1E87">
              <w:rPr>
                <w:rFonts w:cs="Arial"/>
                <w:color w:val="000000"/>
                <w:sz w:val="18"/>
                <w:szCs w:val="18"/>
              </w:rPr>
              <w:t>92.5%)</w:t>
            </w:r>
          </w:p>
        </w:tc>
      </w:tr>
      <w:tr w:rsidR="006B1E87" w:rsidRPr="006B1E87">
        <w:trPr>
          <w:trHeight w:val="315"/>
        </w:trPr>
        <w:tc>
          <w:tcPr>
            <w:tcW w:w="5586" w:type="dxa"/>
            <w:noWrap/>
          </w:tcPr>
          <w:p w:rsidR="006B1E87" w:rsidRPr="006B1E87" w:rsidRDefault="006B1E87" w:rsidP="001D6D78">
            <w:pPr>
              <w:keepNext/>
              <w:spacing w:before="0"/>
              <w:ind w:left="142"/>
              <w:rPr>
                <w:rFonts w:cs="Arial"/>
                <w:sz w:val="18"/>
                <w:szCs w:val="18"/>
              </w:rPr>
            </w:pPr>
            <w:r w:rsidRPr="006B1E87">
              <w:rPr>
                <w:rFonts w:cs="Arial"/>
                <w:sz w:val="18"/>
                <w:szCs w:val="18"/>
              </w:rPr>
              <w:t xml:space="preserve">iFOBT </w:t>
            </w:r>
            <w:r w:rsidR="001D6D78" w:rsidRPr="001D6D78">
              <w:rPr>
                <w:rFonts w:cs="Arial"/>
                <w:sz w:val="18"/>
                <w:szCs w:val="18"/>
              </w:rPr>
              <w:t>s</w:t>
            </w:r>
            <w:r w:rsidRPr="001D6D78">
              <w:rPr>
                <w:rFonts w:cs="Arial"/>
                <w:sz w:val="18"/>
                <w:szCs w:val="18"/>
              </w:rPr>
              <w:t xml:space="preserve">ensitivity </w:t>
            </w:r>
            <w:r w:rsidR="001D6D78" w:rsidRPr="001D6D78">
              <w:rPr>
                <w:rFonts w:cs="Arial"/>
                <w:sz w:val="18"/>
                <w:szCs w:val="18"/>
              </w:rPr>
              <w:t>S</w:t>
            </w:r>
            <w:r w:rsidRPr="001D6D78">
              <w:rPr>
                <w:rFonts w:cs="Arial"/>
                <w:sz w:val="18"/>
                <w:szCs w:val="18"/>
              </w:rPr>
              <w:t xml:space="preserve">tage </w:t>
            </w:r>
            <w:r w:rsidR="001D6D78" w:rsidRPr="001D6D78">
              <w:rPr>
                <w:rFonts w:cs="Arial"/>
                <w:sz w:val="18"/>
                <w:szCs w:val="18"/>
              </w:rPr>
              <w:t xml:space="preserve">III </w:t>
            </w:r>
            <w:r w:rsidRPr="001D6D78">
              <w:rPr>
                <w:rFonts w:cs="Arial"/>
                <w:sz w:val="18"/>
                <w:szCs w:val="18"/>
              </w:rPr>
              <w:t>&amp;</w:t>
            </w:r>
            <w:r w:rsidR="001D6D78">
              <w:rPr>
                <w:rFonts w:cs="Arial"/>
                <w:sz w:val="18"/>
                <w:szCs w:val="18"/>
              </w:rPr>
              <w:t xml:space="preserve"> IV</w:t>
            </w:r>
            <w:r w:rsidRPr="006B1E87">
              <w:rPr>
                <w:rFonts w:cs="Arial"/>
                <w:sz w:val="18"/>
                <w:szCs w:val="18"/>
              </w:rPr>
              <w:t xml:space="preserve"> cancer</w:t>
            </w:r>
          </w:p>
        </w:tc>
        <w:tc>
          <w:tcPr>
            <w:tcW w:w="3969" w:type="dxa"/>
            <w:noWrap/>
          </w:tcPr>
          <w:p w:rsidR="006B1E87" w:rsidRPr="006B1E87" w:rsidRDefault="006B1E87" w:rsidP="001D6D78">
            <w:pPr>
              <w:keepNext/>
              <w:spacing w:before="0"/>
              <w:jc w:val="right"/>
              <w:rPr>
                <w:rFonts w:cs="Arial"/>
                <w:sz w:val="18"/>
                <w:szCs w:val="18"/>
              </w:rPr>
            </w:pPr>
            <w:r w:rsidRPr="006B1E87">
              <w:rPr>
                <w:rFonts w:cs="Arial"/>
                <w:sz w:val="18"/>
                <w:szCs w:val="18"/>
              </w:rPr>
              <w:t xml:space="preserve">85.9% </w:t>
            </w:r>
            <w:r w:rsidRPr="006B1E87">
              <w:rPr>
                <w:rFonts w:cs="Arial"/>
                <w:color w:val="000000"/>
                <w:sz w:val="18"/>
                <w:szCs w:val="18"/>
              </w:rPr>
              <w:t>(67.4</w:t>
            </w:r>
            <w:r w:rsidR="001D6D78">
              <w:rPr>
                <w:rFonts w:cs="Arial"/>
                <w:color w:val="000000"/>
                <w:sz w:val="18"/>
                <w:szCs w:val="18"/>
              </w:rPr>
              <w:t>–</w:t>
            </w:r>
            <w:r w:rsidRPr="006B1E87">
              <w:rPr>
                <w:rFonts w:cs="Arial"/>
                <w:color w:val="000000"/>
                <w:sz w:val="18"/>
                <w:szCs w:val="18"/>
              </w:rPr>
              <w:t>100%)</w:t>
            </w:r>
          </w:p>
        </w:tc>
      </w:tr>
      <w:tr w:rsidR="006B1E87" w:rsidRPr="006B1E87">
        <w:trPr>
          <w:trHeight w:val="315"/>
        </w:trPr>
        <w:tc>
          <w:tcPr>
            <w:tcW w:w="5586" w:type="dxa"/>
            <w:noWrap/>
          </w:tcPr>
          <w:p w:rsidR="006B1E87" w:rsidRPr="006B1E87" w:rsidRDefault="006B1E87" w:rsidP="001D6D78">
            <w:pPr>
              <w:keepNext/>
              <w:spacing w:before="0"/>
              <w:ind w:left="142"/>
              <w:rPr>
                <w:rFonts w:cs="Arial"/>
                <w:sz w:val="18"/>
                <w:szCs w:val="18"/>
              </w:rPr>
            </w:pPr>
            <w:r w:rsidRPr="006B1E87">
              <w:rPr>
                <w:rFonts w:cs="Arial"/>
                <w:sz w:val="18"/>
                <w:szCs w:val="18"/>
              </w:rPr>
              <w:t xml:space="preserve">iFOBT </w:t>
            </w:r>
            <w:r w:rsidR="001D6D78">
              <w:rPr>
                <w:rFonts w:cs="Arial"/>
                <w:sz w:val="18"/>
                <w:szCs w:val="18"/>
              </w:rPr>
              <w:t>s</w:t>
            </w:r>
            <w:r w:rsidRPr="006B1E87">
              <w:rPr>
                <w:rFonts w:cs="Arial"/>
                <w:sz w:val="18"/>
                <w:szCs w:val="18"/>
              </w:rPr>
              <w:t>pecificity</w:t>
            </w:r>
          </w:p>
        </w:tc>
        <w:tc>
          <w:tcPr>
            <w:tcW w:w="3969" w:type="dxa"/>
            <w:noWrap/>
          </w:tcPr>
          <w:p w:rsidR="006B1E87" w:rsidRPr="006B1E87" w:rsidRDefault="006B1E87" w:rsidP="001D6D78">
            <w:pPr>
              <w:keepNext/>
              <w:spacing w:before="0"/>
              <w:jc w:val="right"/>
              <w:rPr>
                <w:rFonts w:cs="Arial"/>
                <w:sz w:val="18"/>
                <w:szCs w:val="18"/>
              </w:rPr>
            </w:pPr>
            <w:r w:rsidRPr="006B1E87">
              <w:rPr>
                <w:rFonts w:cs="Arial"/>
                <w:sz w:val="18"/>
                <w:szCs w:val="18"/>
              </w:rPr>
              <w:t xml:space="preserve">94.7% </w:t>
            </w:r>
            <w:r w:rsidRPr="006B1E87">
              <w:rPr>
                <w:rFonts w:cs="Arial"/>
                <w:color w:val="000000"/>
                <w:sz w:val="18"/>
                <w:szCs w:val="18"/>
              </w:rPr>
              <w:t>(94.4</w:t>
            </w:r>
            <w:r w:rsidR="001D6D78">
              <w:rPr>
                <w:rFonts w:cs="Arial"/>
                <w:color w:val="000000"/>
                <w:sz w:val="18"/>
                <w:szCs w:val="18"/>
              </w:rPr>
              <w:t>–</w:t>
            </w:r>
            <w:r w:rsidRPr="006B1E87">
              <w:rPr>
                <w:rFonts w:cs="Arial"/>
                <w:color w:val="000000"/>
                <w:sz w:val="18"/>
                <w:szCs w:val="18"/>
              </w:rPr>
              <w:t>95%)</w:t>
            </w:r>
          </w:p>
        </w:tc>
      </w:tr>
      <w:tr w:rsidR="006B1E87" w:rsidRPr="006B1E87">
        <w:trPr>
          <w:trHeight w:val="315"/>
        </w:trPr>
        <w:tc>
          <w:tcPr>
            <w:tcW w:w="5586" w:type="dxa"/>
            <w:noWrap/>
          </w:tcPr>
          <w:p w:rsidR="006B1E87" w:rsidRPr="006B1E87" w:rsidRDefault="006B1E87" w:rsidP="006B1E87">
            <w:pPr>
              <w:keepNext/>
              <w:spacing w:before="0"/>
              <w:ind w:left="142"/>
              <w:rPr>
                <w:rFonts w:cs="Arial"/>
                <w:sz w:val="18"/>
                <w:szCs w:val="18"/>
              </w:rPr>
            </w:pPr>
            <w:r w:rsidRPr="006B1E87">
              <w:rPr>
                <w:rFonts w:cs="Arial"/>
                <w:sz w:val="18"/>
                <w:szCs w:val="18"/>
              </w:rPr>
              <w:t>Rate of successful colonoscopy</w:t>
            </w:r>
          </w:p>
        </w:tc>
        <w:tc>
          <w:tcPr>
            <w:tcW w:w="3969" w:type="dxa"/>
            <w:noWrap/>
          </w:tcPr>
          <w:p w:rsidR="006B1E87" w:rsidRPr="006B1E87" w:rsidRDefault="006B1E87" w:rsidP="001D6D78">
            <w:pPr>
              <w:keepNext/>
              <w:spacing w:before="0"/>
              <w:jc w:val="right"/>
              <w:rPr>
                <w:rFonts w:cs="Arial"/>
                <w:sz w:val="18"/>
                <w:szCs w:val="18"/>
              </w:rPr>
            </w:pPr>
            <w:r w:rsidRPr="006B1E87">
              <w:rPr>
                <w:rFonts w:cs="Arial"/>
                <w:sz w:val="18"/>
                <w:szCs w:val="18"/>
              </w:rPr>
              <w:t>92.5% (90</w:t>
            </w:r>
            <w:r w:rsidR="001D6D78">
              <w:rPr>
                <w:rFonts w:cs="Arial"/>
                <w:sz w:val="18"/>
                <w:szCs w:val="18"/>
              </w:rPr>
              <w:t>–</w:t>
            </w:r>
            <w:r w:rsidRPr="006B1E87">
              <w:rPr>
                <w:rFonts w:cs="Arial"/>
                <w:sz w:val="18"/>
                <w:szCs w:val="18"/>
              </w:rPr>
              <w:t>95%)</w:t>
            </w:r>
          </w:p>
        </w:tc>
      </w:tr>
      <w:tr w:rsidR="006B1E87" w:rsidRPr="006B1E87">
        <w:trPr>
          <w:trHeight w:val="315"/>
        </w:trPr>
        <w:tc>
          <w:tcPr>
            <w:tcW w:w="5586" w:type="dxa"/>
            <w:noWrap/>
          </w:tcPr>
          <w:p w:rsidR="006B1E87" w:rsidRPr="006B1E87" w:rsidRDefault="006B1E87" w:rsidP="006B1E87">
            <w:pPr>
              <w:keepNext/>
              <w:spacing w:before="0"/>
              <w:ind w:left="142"/>
              <w:rPr>
                <w:rFonts w:cs="Arial"/>
                <w:sz w:val="18"/>
                <w:szCs w:val="18"/>
              </w:rPr>
            </w:pPr>
            <w:r w:rsidRPr="006B1E87">
              <w:rPr>
                <w:rFonts w:cs="Arial"/>
                <w:sz w:val="18"/>
                <w:szCs w:val="18"/>
              </w:rPr>
              <w:t>Colonoscopy specificity</w:t>
            </w:r>
          </w:p>
        </w:tc>
        <w:tc>
          <w:tcPr>
            <w:tcW w:w="3969" w:type="dxa"/>
            <w:noWrap/>
          </w:tcPr>
          <w:p w:rsidR="006B1E87" w:rsidRPr="006B1E87" w:rsidRDefault="006B1E87" w:rsidP="006B1E87">
            <w:pPr>
              <w:keepNext/>
              <w:spacing w:before="0"/>
              <w:jc w:val="right"/>
              <w:rPr>
                <w:rFonts w:cs="Arial"/>
                <w:sz w:val="18"/>
                <w:szCs w:val="18"/>
              </w:rPr>
            </w:pPr>
            <w:r w:rsidRPr="006B1E87">
              <w:rPr>
                <w:rFonts w:cs="Arial"/>
                <w:sz w:val="18"/>
                <w:szCs w:val="18"/>
              </w:rPr>
              <w:t xml:space="preserve">100% </w:t>
            </w:r>
          </w:p>
        </w:tc>
      </w:tr>
      <w:tr w:rsidR="006B1E87" w:rsidRPr="006B1E87">
        <w:trPr>
          <w:trHeight w:val="315"/>
        </w:trPr>
        <w:tc>
          <w:tcPr>
            <w:tcW w:w="5586" w:type="dxa"/>
            <w:noWrap/>
          </w:tcPr>
          <w:p w:rsidR="006B1E87" w:rsidRPr="006B1E87" w:rsidRDefault="006B1E87" w:rsidP="001D6D78">
            <w:pPr>
              <w:keepNext/>
              <w:spacing w:before="0"/>
              <w:ind w:left="142"/>
              <w:rPr>
                <w:rFonts w:cs="Arial"/>
                <w:sz w:val="18"/>
                <w:szCs w:val="18"/>
              </w:rPr>
            </w:pPr>
            <w:r w:rsidRPr="006B1E87">
              <w:rPr>
                <w:rFonts w:cs="Arial"/>
                <w:sz w:val="18"/>
                <w:szCs w:val="18"/>
              </w:rPr>
              <w:t xml:space="preserve">Colonoscopy sensitivity: </w:t>
            </w:r>
            <w:r w:rsidR="001D6D78">
              <w:rPr>
                <w:rFonts w:cs="Arial"/>
                <w:sz w:val="18"/>
                <w:szCs w:val="18"/>
              </w:rPr>
              <w:t>a</w:t>
            </w:r>
            <w:r w:rsidRPr="006B1E87">
              <w:rPr>
                <w:rFonts w:cs="Arial"/>
                <w:sz w:val="18"/>
                <w:szCs w:val="18"/>
              </w:rPr>
              <w:t>denoma &lt;10mm</w:t>
            </w:r>
          </w:p>
        </w:tc>
        <w:tc>
          <w:tcPr>
            <w:tcW w:w="3969" w:type="dxa"/>
            <w:noWrap/>
          </w:tcPr>
          <w:p w:rsidR="006B1E87" w:rsidRPr="006B1E87" w:rsidRDefault="006B1E87" w:rsidP="001D6D78">
            <w:pPr>
              <w:keepNext/>
              <w:spacing w:before="0"/>
              <w:jc w:val="right"/>
              <w:rPr>
                <w:rFonts w:cs="Arial"/>
                <w:sz w:val="18"/>
                <w:szCs w:val="18"/>
              </w:rPr>
            </w:pPr>
            <w:r w:rsidRPr="006B1E87">
              <w:rPr>
                <w:rFonts w:cs="Arial"/>
                <w:sz w:val="18"/>
                <w:szCs w:val="18"/>
              </w:rPr>
              <w:t>76% (72</w:t>
            </w:r>
            <w:r w:rsidR="001D6D78">
              <w:rPr>
                <w:rFonts w:cs="Arial"/>
                <w:sz w:val="18"/>
                <w:szCs w:val="18"/>
              </w:rPr>
              <w:t>–</w:t>
            </w:r>
            <w:r w:rsidRPr="006B1E87">
              <w:rPr>
                <w:rFonts w:cs="Arial"/>
                <w:sz w:val="18"/>
                <w:szCs w:val="18"/>
              </w:rPr>
              <w:t>81%)</w:t>
            </w:r>
          </w:p>
        </w:tc>
      </w:tr>
      <w:tr w:rsidR="006B1E87" w:rsidRPr="006B1E87">
        <w:trPr>
          <w:trHeight w:val="315"/>
        </w:trPr>
        <w:tc>
          <w:tcPr>
            <w:tcW w:w="5586" w:type="dxa"/>
            <w:noWrap/>
          </w:tcPr>
          <w:p w:rsidR="006B1E87" w:rsidRPr="006B1E87" w:rsidRDefault="006B1E87" w:rsidP="001D6D78">
            <w:pPr>
              <w:keepNext/>
              <w:spacing w:before="0"/>
              <w:ind w:left="142"/>
              <w:rPr>
                <w:rFonts w:cs="Arial"/>
                <w:sz w:val="18"/>
                <w:szCs w:val="18"/>
              </w:rPr>
            </w:pPr>
            <w:r w:rsidRPr="006B1E87">
              <w:rPr>
                <w:rFonts w:cs="Arial"/>
                <w:sz w:val="18"/>
                <w:szCs w:val="18"/>
              </w:rPr>
              <w:t xml:space="preserve">Colonoscopy sensitivity: </w:t>
            </w:r>
            <w:r w:rsidR="001D6D78">
              <w:rPr>
                <w:rFonts w:cs="Arial"/>
                <w:sz w:val="18"/>
                <w:szCs w:val="18"/>
              </w:rPr>
              <w:t>a</w:t>
            </w:r>
            <w:r w:rsidRPr="006B1E87">
              <w:rPr>
                <w:rFonts w:cs="Arial"/>
                <w:sz w:val="18"/>
                <w:szCs w:val="18"/>
              </w:rPr>
              <w:t>denoma ≥ 10mm</w:t>
            </w:r>
          </w:p>
        </w:tc>
        <w:tc>
          <w:tcPr>
            <w:tcW w:w="3969" w:type="dxa"/>
            <w:noWrap/>
          </w:tcPr>
          <w:p w:rsidR="006B1E87" w:rsidRPr="006B1E87" w:rsidRDefault="006B1E87" w:rsidP="001D6D78">
            <w:pPr>
              <w:keepNext/>
              <w:spacing w:before="0"/>
              <w:jc w:val="right"/>
              <w:rPr>
                <w:rFonts w:cs="Arial"/>
                <w:sz w:val="18"/>
                <w:szCs w:val="18"/>
              </w:rPr>
            </w:pPr>
            <w:r w:rsidRPr="006B1E87">
              <w:rPr>
                <w:rFonts w:cs="Arial"/>
                <w:sz w:val="18"/>
                <w:szCs w:val="18"/>
              </w:rPr>
              <w:t>98% (92</w:t>
            </w:r>
            <w:r w:rsidR="001D6D78">
              <w:rPr>
                <w:rFonts w:cs="Arial"/>
                <w:sz w:val="18"/>
                <w:szCs w:val="18"/>
              </w:rPr>
              <w:t>–</w:t>
            </w:r>
            <w:r w:rsidRPr="006B1E87">
              <w:rPr>
                <w:rFonts w:cs="Arial"/>
                <w:sz w:val="18"/>
                <w:szCs w:val="18"/>
              </w:rPr>
              <w:t>99%)</w:t>
            </w:r>
          </w:p>
        </w:tc>
      </w:tr>
      <w:tr w:rsidR="006B1E87" w:rsidRPr="006B1E87">
        <w:trPr>
          <w:trHeight w:val="315"/>
        </w:trPr>
        <w:tc>
          <w:tcPr>
            <w:tcW w:w="5586" w:type="dxa"/>
            <w:noWrap/>
          </w:tcPr>
          <w:p w:rsidR="006B1E87" w:rsidRPr="006B1E87" w:rsidRDefault="001D6D78" w:rsidP="001D6D78">
            <w:pPr>
              <w:keepNext/>
              <w:spacing w:before="0"/>
              <w:ind w:left="142"/>
              <w:rPr>
                <w:rFonts w:cs="Arial"/>
                <w:sz w:val="18"/>
                <w:szCs w:val="18"/>
              </w:rPr>
            </w:pPr>
            <w:r>
              <w:rPr>
                <w:rFonts w:cs="Arial"/>
                <w:sz w:val="18"/>
                <w:szCs w:val="18"/>
              </w:rPr>
              <w:t>Colonoscopy sensitivity: c</w:t>
            </w:r>
            <w:r w:rsidR="006B1E87" w:rsidRPr="006B1E87">
              <w:rPr>
                <w:rFonts w:cs="Arial"/>
                <w:sz w:val="18"/>
                <w:szCs w:val="18"/>
              </w:rPr>
              <w:t>ancer</w:t>
            </w:r>
          </w:p>
        </w:tc>
        <w:tc>
          <w:tcPr>
            <w:tcW w:w="3969" w:type="dxa"/>
            <w:noWrap/>
          </w:tcPr>
          <w:p w:rsidR="006B1E87" w:rsidRPr="006B1E87" w:rsidRDefault="006B1E87" w:rsidP="001D6D78">
            <w:pPr>
              <w:keepNext/>
              <w:spacing w:before="0"/>
              <w:jc w:val="right"/>
              <w:rPr>
                <w:rFonts w:cs="Arial"/>
                <w:sz w:val="18"/>
                <w:szCs w:val="18"/>
              </w:rPr>
            </w:pPr>
            <w:r w:rsidRPr="006B1E87">
              <w:rPr>
                <w:rFonts w:cs="Arial"/>
                <w:sz w:val="18"/>
                <w:szCs w:val="18"/>
              </w:rPr>
              <w:t>98% (92</w:t>
            </w:r>
            <w:r w:rsidR="001D6D78">
              <w:rPr>
                <w:rFonts w:cs="Arial"/>
                <w:sz w:val="18"/>
                <w:szCs w:val="18"/>
              </w:rPr>
              <w:t>–</w:t>
            </w:r>
            <w:r w:rsidRPr="006B1E87">
              <w:rPr>
                <w:rFonts w:cs="Arial"/>
                <w:sz w:val="18"/>
                <w:szCs w:val="18"/>
              </w:rPr>
              <w:t>99%)</w:t>
            </w:r>
          </w:p>
        </w:tc>
      </w:tr>
      <w:tr w:rsidR="006B1E87" w:rsidRPr="006B1E87">
        <w:trPr>
          <w:trHeight w:val="315"/>
        </w:trPr>
        <w:tc>
          <w:tcPr>
            <w:tcW w:w="5586" w:type="dxa"/>
            <w:noWrap/>
          </w:tcPr>
          <w:p w:rsidR="006B1E87" w:rsidRPr="006B1E87" w:rsidRDefault="006B1E87" w:rsidP="001D6D78">
            <w:pPr>
              <w:keepNext/>
              <w:spacing w:before="0"/>
              <w:ind w:left="142"/>
              <w:rPr>
                <w:rFonts w:cs="Arial"/>
                <w:sz w:val="18"/>
                <w:szCs w:val="18"/>
              </w:rPr>
            </w:pPr>
            <w:r w:rsidRPr="006B1E87">
              <w:rPr>
                <w:rFonts w:cs="Arial"/>
                <w:sz w:val="18"/>
                <w:szCs w:val="18"/>
              </w:rPr>
              <w:t xml:space="preserve">Colonoscopy: </w:t>
            </w:r>
            <w:r w:rsidR="001D6D78">
              <w:rPr>
                <w:rFonts w:cs="Arial"/>
                <w:sz w:val="18"/>
                <w:szCs w:val="18"/>
              </w:rPr>
              <w:t>p</w:t>
            </w:r>
            <w:r w:rsidRPr="006B1E87">
              <w:rPr>
                <w:rFonts w:cs="Arial"/>
                <w:sz w:val="18"/>
                <w:szCs w:val="18"/>
              </w:rPr>
              <w:t>robability of complication resulting in re-admission</w:t>
            </w:r>
          </w:p>
        </w:tc>
        <w:tc>
          <w:tcPr>
            <w:tcW w:w="3969" w:type="dxa"/>
            <w:noWrap/>
          </w:tcPr>
          <w:p w:rsidR="006B1E87" w:rsidRPr="006B1E87" w:rsidRDefault="006B1E87" w:rsidP="001D6D78">
            <w:pPr>
              <w:keepNext/>
              <w:spacing w:before="0"/>
              <w:jc w:val="right"/>
              <w:rPr>
                <w:rFonts w:cs="Arial"/>
                <w:sz w:val="18"/>
                <w:szCs w:val="18"/>
              </w:rPr>
            </w:pPr>
            <w:r w:rsidRPr="006B1E87">
              <w:rPr>
                <w:rFonts w:cs="Arial"/>
                <w:sz w:val="18"/>
                <w:szCs w:val="18"/>
              </w:rPr>
              <w:t>1% (0.9</w:t>
            </w:r>
            <w:r w:rsidR="001D6D78">
              <w:rPr>
                <w:rFonts w:cs="Arial"/>
                <w:sz w:val="18"/>
                <w:szCs w:val="18"/>
              </w:rPr>
              <w:t>–</w:t>
            </w:r>
            <w:r w:rsidRPr="006B1E87">
              <w:rPr>
                <w:rFonts w:cs="Arial"/>
                <w:sz w:val="18"/>
                <w:szCs w:val="18"/>
              </w:rPr>
              <w:t xml:space="preserve">1.1%) </w:t>
            </w:r>
          </w:p>
        </w:tc>
      </w:tr>
      <w:tr w:rsidR="006B1E87" w:rsidRPr="006B1E87">
        <w:trPr>
          <w:trHeight w:val="315"/>
        </w:trPr>
        <w:tc>
          <w:tcPr>
            <w:tcW w:w="5586" w:type="dxa"/>
            <w:noWrap/>
          </w:tcPr>
          <w:p w:rsidR="006B1E87" w:rsidRPr="006B1E87" w:rsidRDefault="006B1E87" w:rsidP="006B1E87">
            <w:pPr>
              <w:pStyle w:val="UnnumtextBodytext"/>
              <w:keepNext/>
              <w:spacing w:after="0" w:line="240" w:lineRule="auto"/>
              <w:rPr>
                <w:rFonts w:ascii="Arial" w:hAnsi="Arial" w:cs="Arial"/>
                <w:b/>
                <w:sz w:val="18"/>
                <w:szCs w:val="18"/>
              </w:rPr>
            </w:pPr>
          </w:p>
        </w:tc>
        <w:tc>
          <w:tcPr>
            <w:tcW w:w="3969" w:type="dxa"/>
            <w:noWrap/>
          </w:tcPr>
          <w:p w:rsidR="006B1E87" w:rsidRPr="006B1E87" w:rsidRDefault="006B1E87" w:rsidP="006B1E87">
            <w:pPr>
              <w:pStyle w:val="UnnumtextBodytext"/>
              <w:keepNext/>
              <w:spacing w:after="0" w:line="240" w:lineRule="auto"/>
              <w:jc w:val="right"/>
              <w:rPr>
                <w:rFonts w:ascii="Arial" w:hAnsi="Arial" w:cs="Arial"/>
                <w:sz w:val="18"/>
                <w:szCs w:val="18"/>
              </w:rPr>
            </w:pPr>
          </w:p>
        </w:tc>
      </w:tr>
      <w:tr w:rsidR="006B1E87" w:rsidRPr="006B1E87">
        <w:trPr>
          <w:trHeight w:val="315"/>
        </w:trPr>
        <w:tc>
          <w:tcPr>
            <w:tcW w:w="5586" w:type="dxa"/>
            <w:noWrap/>
          </w:tcPr>
          <w:p w:rsidR="006B1E87" w:rsidRPr="006B1E87" w:rsidRDefault="006B1E87" w:rsidP="006B1E87">
            <w:pPr>
              <w:pStyle w:val="UnnumtextBodytext"/>
              <w:keepNext/>
              <w:spacing w:after="0" w:line="240" w:lineRule="auto"/>
              <w:rPr>
                <w:rFonts w:ascii="Arial" w:hAnsi="Arial" w:cs="Arial"/>
                <w:b/>
                <w:sz w:val="18"/>
                <w:szCs w:val="18"/>
              </w:rPr>
            </w:pPr>
            <w:r w:rsidRPr="006B1E87">
              <w:rPr>
                <w:rFonts w:ascii="Arial" w:hAnsi="Arial" w:cs="Arial"/>
                <w:b/>
                <w:sz w:val="18"/>
                <w:szCs w:val="18"/>
              </w:rPr>
              <w:t>Quality of life</w:t>
            </w:r>
          </w:p>
        </w:tc>
        <w:tc>
          <w:tcPr>
            <w:tcW w:w="3969" w:type="dxa"/>
            <w:noWrap/>
          </w:tcPr>
          <w:p w:rsidR="006B1E87" w:rsidRPr="006B1E87" w:rsidRDefault="006B1E87" w:rsidP="006B1E87">
            <w:pPr>
              <w:pStyle w:val="UnnumtextBodytext"/>
              <w:keepNext/>
              <w:spacing w:after="0" w:line="240" w:lineRule="auto"/>
              <w:jc w:val="right"/>
              <w:rPr>
                <w:rFonts w:ascii="Arial" w:hAnsi="Arial" w:cs="Arial"/>
                <w:sz w:val="18"/>
                <w:szCs w:val="18"/>
              </w:rPr>
            </w:pPr>
          </w:p>
        </w:tc>
      </w:tr>
      <w:tr w:rsidR="006B1E87" w:rsidRPr="006B1E87">
        <w:trPr>
          <w:trHeight w:val="315"/>
        </w:trPr>
        <w:tc>
          <w:tcPr>
            <w:tcW w:w="5586" w:type="dxa"/>
            <w:noWrap/>
          </w:tcPr>
          <w:p w:rsidR="006B1E87" w:rsidRPr="006B1E87" w:rsidRDefault="006B1E87" w:rsidP="006B1E87">
            <w:pPr>
              <w:pStyle w:val="UnnumtextBodytext"/>
              <w:keepNext/>
              <w:spacing w:after="0" w:line="240" w:lineRule="auto"/>
              <w:rPr>
                <w:rFonts w:ascii="Arial" w:hAnsi="Arial" w:cs="Arial"/>
                <w:sz w:val="18"/>
                <w:szCs w:val="18"/>
              </w:rPr>
            </w:pPr>
            <w:r w:rsidRPr="006B1E87">
              <w:rPr>
                <w:rFonts w:ascii="Arial" w:hAnsi="Arial" w:cs="Arial"/>
                <w:sz w:val="18"/>
                <w:szCs w:val="18"/>
              </w:rPr>
              <w:t>No diagnoses bowel cancer</w:t>
            </w:r>
          </w:p>
        </w:tc>
        <w:tc>
          <w:tcPr>
            <w:tcW w:w="3969" w:type="dxa"/>
            <w:noWrap/>
          </w:tcPr>
          <w:p w:rsidR="006B1E87" w:rsidRPr="006B1E87" w:rsidRDefault="006B1E87" w:rsidP="00D44A9B">
            <w:pPr>
              <w:pStyle w:val="UnnumtextBodytext"/>
              <w:keepNext/>
              <w:spacing w:after="0" w:line="240" w:lineRule="auto"/>
              <w:jc w:val="right"/>
              <w:rPr>
                <w:rFonts w:ascii="Arial" w:hAnsi="Arial" w:cs="Arial"/>
                <w:sz w:val="18"/>
                <w:szCs w:val="18"/>
              </w:rPr>
            </w:pPr>
            <w:r w:rsidRPr="006B1E87">
              <w:rPr>
                <w:rFonts w:ascii="Arial" w:hAnsi="Arial" w:cs="Arial"/>
                <w:sz w:val="18"/>
                <w:szCs w:val="18"/>
              </w:rPr>
              <w:t>0.</w:t>
            </w:r>
            <w:r w:rsidR="00D44A9B">
              <w:rPr>
                <w:rFonts w:ascii="Arial" w:hAnsi="Arial" w:cs="Arial"/>
                <w:sz w:val="18"/>
                <w:szCs w:val="18"/>
              </w:rPr>
              <w:t>792</w:t>
            </w:r>
            <w:r w:rsidRPr="006B1E87">
              <w:rPr>
                <w:rFonts w:ascii="Arial" w:hAnsi="Arial" w:cs="Arial"/>
                <w:sz w:val="18"/>
                <w:szCs w:val="18"/>
              </w:rPr>
              <w:t xml:space="preserve"> (0.</w:t>
            </w:r>
            <w:r w:rsidR="00D44A9B">
              <w:rPr>
                <w:rFonts w:ascii="Arial" w:hAnsi="Arial" w:cs="Arial"/>
                <w:sz w:val="18"/>
                <w:szCs w:val="18"/>
              </w:rPr>
              <w:t>713</w:t>
            </w:r>
            <w:r w:rsidR="001D6D78">
              <w:rPr>
                <w:rFonts w:ascii="Arial" w:hAnsi="Arial" w:cs="Arial"/>
                <w:sz w:val="18"/>
                <w:szCs w:val="18"/>
              </w:rPr>
              <w:t>–</w:t>
            </w:r>
            <w:r w:rsidRPr="006B1E87">
              <w:rPr>
                <w:rFonts w:ascii="Arial" w:hAnsi="Arial" w:cs="Arial"/>
                <w:sz w:val="18"/>
                <w:szCs w:val="18"/>
              </w:rPr>
              <w:t>0.</w:t>
            </w:r>
            <w:r w:rsidR="00D44A9B">
              <w:rPr>
                <w:rFonts w:ascii="Arial" w:hAnsi="Arial" w:cs="Arial"/>
                <w:sz w:val="18"/>
                <w:szCs w:val="18"/>
              </w:rPr>
              <w:t>870</w:t>
            </w:r>
            <w:r w:rsidRPr="006B1E87">
              <w:rPr>
                <w:rFonts w:ascii="Arial" w:hAnsi="Arial" w:cs="Arial"/>
                <w:sz w:val="18"/>
                <w:szCs w:val="18"/>
              </w:rPr>
              <w:t>)</w:t>
            </w:r>
          </w:p>
        </w:tc>
      </w:tr>
      <w:tr w:rsidR="006B1E87" w:rsidRPr="006B1E87">
        <w:trPr>
          <w:trHeight w:val="315"/>
        </w:trPr>
        <w:tc>
          <w:tcPr>
            <w:tcW w:w="5586" w:type="dxa"/>
            <w:noWrap/>
          </w:tcPr>
          <w:p w:rsidR="006B1E87" w:rsidRPr="006B1E87" w:rsidRDefault="006B1E87" w:rsidP="006B1E87">
            <w:pPr>
              <w:pStyle w:val="UnnumtextBodytext"/>
              <w:keepNext/>
              <w:spacing w:after="0" w:line="240" w:lineRule="auto"/>
              <w:rPr>
                <w:rFonts w:ascii="Arial" w:hAnsi="Arial" w:cs="Arial"/>
                <w:sz w:val="18"/>
                <w:szCs w:val="18"/>
              </w:rPr>
            </w:pPr>
            <w:r w:rsidRPr="006B1E87">
              <w:rPr>
                <w:rFonts w:ascii="Arial" w:hAnsi="Arial" w:cs="Arial"/>
                <w:sz w:val="18"/>
                <w:szCs w:val="18"/>
              </w:rPr>
              <w:t>Initial phase (first year following diagnosis)</w:t>
            </w:r>
          </w:p>
        </w:tc>
        <w:tc>
          <w:tcPr>
            <w:tcW w:w="3969" w:type="dxa"/>
            <w:noWrap/>
          </w:tcPr>
          <w:p w:rsidR="006B1E87" w:rsidRPr="006B1E87" w:rsidRDefault="006B1E87" w:rsidP="006B1E87">
            <w:pPr>
              <w:pStyle w:val="UnnumtextBodytext"/>
              <w:keepNext/>
              <w:spacing w:after="0" w:line="240" w:lineRule="auto"/>
              <w:jc w:val="right"/>
              <w:rPr>
                <w:rFonts w:ascii="Arial" w:hAnsi="Arial" w:cs="Arial"/>
                <w:sz w:val="18"/>
                <w:szCs w:val="18"/>
              </w:rPr>
            </w:pPr>
          </w:p>
        </w:tc>
      </w:tr>
      <w:tr w:rsidR="006B1E87" w:rsidRPr="006B1E87">
        <w:trPr>
          <w:trHeight w:val="315"/>
        </w:trPr>
        <w:tc>
          <w:tcPr>
            <w:tcW w:w="5586" w:type="dxa"/>
            <w:noWrap/>
          </w:tcPr>
          <w:p w:rsidR="006B1E87" w:rsidRPr="001D6D78" w:rsidRDefault="006B1E87" w:rsidP="001D6D78">
            <w:pPr>
              <w:pStyle w:val="NumtextIndent1"/>
              <w:keepNext/>
              <w:spacing w:after="0" w:line="240" w:lineRule="auto"/>
              <w:rPr>
                <w:rFonts w:ascii="Arial" w:hAnsi="Arial" w:cs="Arial"/>
                <w:sz w:val="18"/>
                <w:szCs w:val="18"/>
              </w:rPr>
            </w:pPr>
            <w:r w:rsidRPr="001D6D78">
              <w:rPr>
                <w:rFonts w:ascii="Arial" w:hAnsi="Arial" w:cs="Arial"/>
                <w:sz w:val="18"/>
                <w:szCs w:val="18"/>
              </w:rPr>
              <w:t xml:space="preserve">Stage I </w:t>
            </w:r>
          </w:p>
        </w:tc>
        <w:tc>
          <w:tcPr>
            <w:tcW w:w="3969" w:type="dxa"/>
            <w:noWrap/>
          </w:tcPr>
          <w:p w:rsidR="006B1E87" w:rsidRPr="006B1E87" w:rsidRDefault="001D6D78" w:rsidP="006B1E87">
            <w:pPr>
              <w:pStyle w:val="UnnumtextBodytext"/>
              <w:keepNext/>
              <w:spacing w:after="0" w:line="240" w:lineRule="auto"/>
              <w:jc w:val="right"/>
              <w:rPr>
                <w:rFonts w:ascii="Arial" w:hAnsi="Arial" w:cs="Arial"/>
                <w:sz w:val="18"/>
                <w:szCs w:val="18"/>
              </w:rPr>
            </w:pPr>
            <w:r>
              <w:rPr>
                <w:rFonts w:ascii="Arial" w:hAnsi="Arial" w:cs="Arial"/>
                <w:sz w:val="18"/>
                <w:szCs w:val="18"/>
              </w:rPr>
              <w:t>0.74 (0.69–</w:t>
            </w:r>
            <w:r w:rsidR="006B1E87" w:rsidRPr="006B1E87">
              <w:rPr>
                <w:rFonts w:ascii="Arial" w:hAnsi="Arial" w:cs="Arial"/>
                <w:sz w:val="18"/>
                <w:szCs w:val="18"/>
              </w:rPr>
              <w:t>0.78)</w:t>
            </w:r>
          </w:p>
        </w:tc>
      </w:tr>
      <w:tr w:rsidR="006B1E87" w:rsidRPr="006B1E87">
        <w:trPr>
          <w:trHeight w:val="315"/>
        </w:trPr>
        <w:tc>
          <w:tcPr>
            <w:tcW w:w="5586" w:type="dxa"/>
            <w:noWrap/>
          </w:tcPr>
          <w:p w:rsidR="006B1E87" w:rsidRPr="001D6D78" w:rsidRDefault="006B1E87" w:rsidP="006B1E87">
            <w:pPr>
              <w:pStyle w:val="NumtextIndent1"/>
              <w:keepNext/>
              <w:spacing w:after="0" w:line="240" w:lineRule="auto"/>
              <w:rPr>
                <w:rFonts w:ascii="Arial" w:hAnsi="Arial" w:cs="Arial"/>
                <w:sz w:val="18"/>
                <w:szCs w:val="18"/>
              </w:rPr>
            </w:pPr>
            <w:r w:rsidRPr="001D6D78">
              <w:rPr>
                <w:rFonts w:ascii="Arial" w:hAnsi="Arial" w:cs="Arial"/>
                <w:sz w:val="18"/>
                <w:szCs w:val="18"/>
              </w:rPr>
              <w:t xml:space="preserve">Stage II </w:t>
            </w:r>
          </w:p>
        </w:tc>
        <w:tc>
          <w:tcPr>
            <w:tcW w:w="3969" w:type="dxa"/>
            <w:noWrap/>
          </w:tcPr>
          <w:p w:rsidR="006B1E87" w:rsidRPr="006B1E87" w:rsidRDefault="001D6D78" w:rsidP="006B1E87">
            <w:pPr>
              <w:pStyle w:val="UnnumtextBodytext"/>
              <w:keepNext/>
              <w:spacing w:after="0" w:line="240" w:lineRule="auto"/>
              <w:jc w:val="right"/>
              <w:rPr>
                <w:rFonts w:ascii="Arial" w:hAnsi="Arial" w:cs="Arial"/>
                <w:sz w:val="18"/>
                <w:szCs w:val="18"/>
              </w:rPr>
            </w:pPr>
            <w:r>
              <w:rPr>
                <w:rFonts w:ascii="Arial" w:hAnsi="Arial" w:cs="Arial"/>
                <w:sz w:val="18"/>
                <w:szCs w:val="18"/>
              </w:rPr>
              <w:t>0.70 (0.65–</w:t>
            </w:r>
            <w:r w:rsidR="006B1E87" w:rsidRPr="006B1E87">
              <w:rPr>
                <w:rFonts w:ascii="Arial" w:hAnsi="Arial" w:cs="Arial"/>
                <w:sz w:val="18"/>
                <w:szCs w:val="18"/>
              </w:rPr>
              <w:t>0.75)</w:t>
            </w:r>
          </w:p>
        </w:tc>
      </w:tr>
      <w:tr w:rsidR="006B1E87" w:rsidRPr="006B1E87">
        <w:trPr>
          <w:trHeight w:val="315"/>
        </w:trPr>
        <w:tc>
          <w:tcPr>
            <w:tcW w:w="5586" w:type="dxa"/>
            <w:noWrap/>
          </w:tcPr>
          <w:p w:rsidR="006B1E87" w:rsidRPr="001D6D78" w:rsidRDefault="006B1E87" w:rsidP="006B1E87">
            <w:pPr>
              <w:pStyle w:val="NumtextIndent1"/>
              <w:keepNext/>
              <w:spacing w:after="0" w:line="240" w:lineRule="auto"/>
              <w:rPr>
                <w:rFonts w:ascii="Arial" w:hAnsi="Arial" w:cs="Arial"/>
                <w:sz w:val="18"/>
                <w:szCs w:val="18"/>
              </w:rPr>
            </w:pPr>
            <w:r w:rsidRPr="001D6D78">
              <w:rPr>
                <w:rFonts w:ascii="Arial" w:hAnsi="Arial" w:cs="Arial"/>
                <w:sz w:val="18"/>
                <w:szCs w:val="18"/>
              </w:rPr>
              <w:t xml:space="preserve">Stage III </w:t>
            </w:r>
          </w:p>
        </w:tc>
        <w:tc>
          <w:tcPr>
            <w:tcW w:w="3969" w:type="dxa"/>
            <w:noWrap/>
          </w:tcPr>
          <w:p w:rsidR="006B1E87" w:rsidRPr="006B1E87" w:rsidRDefault="001D6D78" w:rsidP="006B1E87">
            <w:pPr>
              <w:pStyle w:val="UnnumtextBodytext"/>
              <w:keepNext/>
              <w:spacing w:after="0" w:line="240" w:lineRule="auto"/>
              <w:jc w:val="right"/>
              <w:rPr>
                <w:rFonts w:ascii="Arial" w:hAnsi="Arial" w:cs="Arial"/>
                <w:sz w:val="18"/>
                <w:szCs w:val="18"/>
              </w:rPr>
            </w:pPr>
            <w:r>
              <w:rPr>
                <w:rFonts w:ascii="Arial" w:hAnsi="Arial" w:cs="Arial"/>
                <w:sz w:val="18"/>
                <w:szCs w:val="18"/>
              </w:rPr>
              <w:t>0.50 (0.44–</w:t>
            </w:r>
            <w:r w:rsidR="006B1E87" w:rsidRPr="006B1E87">
              <w:rPr>
                <w:rFonts w:ascii="Arial" w:hAnsi="Arial" w:cs="Arial"/>
                <w:sz w:val="18"/>
                <w:szCs w:val="18"/>
              </w:rPr>
              <w:t>0.56)</w:t>
            </w:r>
          </w:p>
        </w:tc>
      </w:tr>
      <w:tr w:rsidR="006B1E87" w:rsidRPr="006B1E87">
        <w:trPr>
          <w:trHeight w:val="315"/>
        </w:trPr>
        <w:tc>
          <w:tcPr>
            <w:tcW w:w="5586" w:type="dxa"/>
            <w:noWrap/>
          </w:tcPr>
          <w:p w:rsidR="006B1E87" w:rsidRPr="001D6D78" w:rsidRDefault="006B1E87" w:rsidP="006B1E87">
            <w:pPr>
              <w:pStyle w:val="NumtextIndent1"/>
              <w:keepNext/>
              <w:spacing w:after="0" w:line="240" w:lineRule="auto"/>
              <w:rPr>
                <w:rFonts w:ascii="Arial" w:hAnsi="Arial" w:cs="Arial"/>
                <w:sz w:val="18"/>
                <w:szCs w:val="18"/>
              </w:rPr>
            </w:pPr>
            <w:r w:rsidRPr="001D6D78">
              <w:rPr>
                <w:rFonts w:ascii="Arial" w:hAnsi="Arial" w:cs="Arial"/>
                <w:sz w:val="18"/>
                <w:szCs w:val="18"/>
              </w:rPr>
              <w:t xml:space="preserve">Stage IV </w:t>
            </w:r>
          </w:p>
        </w:tc>
        <w:tc>
          <w:tcPr>
            <w:tcW w:w="3969" w:type="dxa"/>
            <w:noWrap/>
          </w:tcPr>
          <w:p w:rsidR="006B1E87" w:rsidRPr="006B1E87" w:rsidRDefault="006B1E87" w:rsidP="001D6D78">
            <w:pPr>
              <w:pStyle w:val="UnnumtextBodytext"/>
              <w:keepNext/>
              <w:spacing w:after="0" w:line="240" w:lineRule="auto"/>
              <w:jc w:val="right"/>
              <w:rPr>
                <w:rFonts w:ascii="Arial" w:hAnsi="Arial" w:cs="Arial"/>
                <w:sz w:val="18"/>
                <w:szCs w:val="18"/>
              </w:rPr>
            </w:pPr>
            <w:r w:rsidRPr="006B1E87">
              <w:rPr>
                <w:rFonts w:ascii="Arial" w:hAnsi="Arial" w:cs="Arial"/>
                <w:sz w:val="18"/>
                <w:szCs w:val="18"/>
              </w:rPr>
              <w:t>0.25 (0.20</w:t>
            </w:r>
            <w:r w:rsidR="001D6D78">
              <w:rPr>
                <w:rFonts w:ascii="Arial" w:hAnsi="Arial" w:cs="Arial"/>
                <w:sz w:val="18"/>
                <w:szCs w:val="18"/>
              </w:rPr>
              <w:t>–</w:t>
            </w:r>
            <w:r w:rsidRPr="006B1E87">
              <w:rPr>
                <w:rFonts w:ascii="Arial" w:hAnsi="Arial" w:cs="Arial"/>
                <w:sz w:val="18"/>
                <w:szCs w:val="18"/>
              </w:rPr>
              <w:t>0.31)</w:t>
            </w:r>
          </w:p>
        </w:tc>
      </w:tr>
      <w:tr w:rsidR="006B1E87" w:rsidRPr="006B1E87">
        <w:trPr>
          <w:trHeight w:val="315"/>
        </w:trPr>
        <w:tc>
          <w:tcPr>
            <w:tcW w:w="5586" w:type="dxa"/>
            <w:noWrap/>
          </w:tcPr>
          <w:p w:rsidR="006B1E87" w:rsidRPr="006B1E87" w:rsidRDefault="006B1E87" w:rsidP="006B1E87">
            <w:pPr>
              <w:pStyle w:val="UnnumtextBodytext"/>
              <w:keepNext/>
              <w:spacing w:after="0" w:line="240" w:lineRule="auto"/>
              <w:rPr>
                <w:rFonts w:ascii="Arial" w:hAnsi="Arial" w:cs="Arial"/>
                <w:sz w:val="18"/>
                <w:szCs w:val="18"/>
              </w:rPr>
            </w:pPr>
            <w:r w:rsidRPr="006B1E87">
              <w:rPr>
                <w:rFonts w:ascii="Arial" w:hAnsi="Arial" w:cs="Arial"/>
                <w:sz w:val="18"/>
                <w:szCs w:val="18"/>
              </w:rPr>
              <w:t>Continuing care phase</w:t>
            </w:r>
          </w:p>
        </w:tc>
        <w:tc>
          <w:tcPr>
            <w:tcW w:w="3969" w:type="dxa"/>
            <w:noWrap/>
          </w:tcPr>
          <w:p w:rsidR="006B1E87" w:rsidRPr="006B1E87" w:rsidRDefault="00D44A9B" w:rsidP="006B1E87">
            <w:pPr>
              <w:pStyle w:val="UnnumtextBodytext"/>
              <w:keepNext/>
              <w:spacing w:after="0" w:line="240" w:lineRule="auto"/>
              <w:jc w:val="right"/>
              <w:rPr>
                <w:rFonts w:ascii="Arial" w:hAnsi="Arial" w:cs="Arial"/>
                <w:sz w:val="18"/>
                <w:szCs w:val="18"/>
              </w:rPr>
            </w:pPr>
            <w:r w:rsidRPr="006B1E87">
              <w:rPr>
                <w:rFonts w:ascii="Arial" w:hAnsi="Arial" w:cs="Arial"/>
                <w:sz w:val="18"/>
                <w:szCs w:val="18"/>
              </w:rPr>
              <w:t>0.</w:t>
            </w:r>
            <w:r>
              <w:rPr>
                <w:rFonts w:ascii="Arial" w:hAnsi="Arial" w:cs="Arial"/>
                <w:sz w:val="18"/>
                <w:szCs w:val="18"/>
              </w:rPr>
              <w:t>792</w:t>
            </w:r>
            <w:r w:rsidRPr="006B1E87">
              <w:rPr>
                <w:rFonts w:ascii="Arial" w:hAnsi="Arial" w:cs="Arial"/>
                <w:sz w:val="18"/>
                <w:szCs w:val="18"/>
              </w:rPr>
              <w:t xml:space="preserve"> (0.</w:t>
            </w:r>
            <w:r>
              <w:rPr>
                <w:rFonts w:ascii="Arial" w:hAnsi="Arial" w:cs="Arial"/>
                <w:sz w:val="18"/>
                <w:szCs w:val="18"/>
              </w:rPr>
              <w:t>713</w:t>
            </w:r>
            <w:r w:rsidR="001D6D78">
              <w:rPr>
                <w:rFonts w:ascii="Arial" w:hAnsi="Arial" w:cs="Arial"/>
                <w:sz w:val="18"/>
                <w:szCs w:val="18"/>
              </w:rPr>
              <w:t>–</w:t>
            </w:r>
            <w:r w:rsidRPr="006B1E87">
              <w:rPr>
                <w:rFonts w:ascii="Arial" w:hAnsi="Arial" w:cs="Arial"/>
                <w:sz w:val="18"/>
                <w:szCs w:val="18"/>
              </w:rPr>
              <w:t>0.</w:t>
            </w:r>
            <w:r>
              <w:rPr>
                <w:rFonts w:ascii="Arial" w:hAnsi="Arial" w:cs="Arial"/>
                <w:sz w:val="18"/>
                <w:szCs w:val="18"/>
              </w:rPr>
              <w:t>870</w:t>
            </w:r>
            <w:r w:rsidRPr="006B1E87">
              <w:rPr>
                <w:rFonts w:ascii="Arial" w:hAnsi="Arial" w:cs="Arial"/>
                <w:sz w:val="18"/>
                <w:szCs w:val="18"/>
              </w:rPr>
              <w:t>)</w:t>
            </w:r>
          </w:p>
        </w:tc>
      </w:tr>
      <w:tr w:rsidR="006B1E87" w:rsidRPr="006B1E87">
        <w:trPr>
          <w:trHeight w:val="315"/>
        </w:trPr>
        <w:tc>
          <w:tcPr>
            <w:tcW w:w="5586" w:type="dxa"/>
            <w:noWrap/>
          </w:tcPr>
          <w:p w:rsidR="006B1E87" w:rsidRPr="006B1E87" w:rsidRDefault="006B1E87" w:rsidP="006B1E87">
            <w:pPr>
              <w:pStyle w:val="UnnumtextBodytext"/>
              <w:keepNext/>
              <w:spacing w:after="0" w:line="240" w:lineRule="auto"/>
              <w:rPr>
                <w:rFonts w:ascii="Arial" w:hAnsi="Arial" w:cs="Arial"/>
                <w:sz w:val="18"/>
                <w:szCs w:val="18"/>
              </w:rPr>
            </w:pPr>
            <w:r w:rsidRPr="006B1E87">
              <w:rPr>
                <w:rFonts w:ascii="Arial" w:hAnsi="Arial" w:cs="Arial"/>
                <w:sz w:val="18"/>
                <w:szCs w:val="18"/>
              </w:rPr>
              <w:t>Terminal phase – cancer (last year of life)</w:t>
            </w:r>
          </w:p>
        </w:tc>
        <w:tc>
          <w:tcPr>
            <w:tcW w:w="3969" w:type="dxa"/>
            <w:noWrap/>
          </w:tcPr>
          <w:p w:rsidR="006B1E87" w:rsidRPr="006B1E87" w:rsidRDefault="006B1E87" w:rsidP="001D6D78">
            <w:pPr>
              <w:pStyle w:val="UnnumtextBodytext"/>
              <w:keepNext/>
              <w:spacing w:after="0" w:line="240" w:lineRule="auto"/>
              <w:jc w:val="right"/>
              <w:rPr>
                <w:rFonts w:ascii="Arial" w:hAnsi="Arial" w:cs="Arial"/>
                <w:sz w:val="18"/>
                <w:szCs w:val="18"/>
              </w:rPr>
            </w:pPr>
            <w:r w:rsidRPr="006B1E87">
              <w:rPr>
                <w:rFonts w:ascii="Arial" w:hAnsi="Arial" w:cs="Arial"/>
                <w:sz w:val="18"/>
                <w:szCs w:val="18"/>
              </w:rPr>
              <w:t>0.25 (0.20</w:t>
            </w:r>
            <w:r w:rsidR="001D6D78">
              <w:rPr>
                <w:rFonts w:ascii="Arial" w:hAnsi="Arial" w:cs="Arial"/>
                <w:sz w:val="18"/>
                <w:szCs w:val="18"/>
              </w:rPr>
              <w:t>–</w:t>
            </w:r>
            <w:r w:rsidRPr="006B1E87">
              <w:rPr>
                <w:rFonts w:ascii="Arial" w:hAnsi="Arial" w:cs="Arial"/>
                <w:sz w:val="18"/>
                <w:szCs w:val="18"/>
              </w:rPr>
              <w:t>0.31)</w:t>
            </w:r>
          </w:p>
        </w:tc>
      </w:tr>
      <w:tr w:rsidR="006B1E87" w:rsidRPr="006B1E87">
        <w:trPr>
          <w:trHeight w:val="315"/>
        </w:trPr>
        <w:tc>
          <w:tcPr>
            <w:tcW w:w="5586" w:type="dxa"/>
            <w:noWrap/>
          </w:tcPr>
          <w:p w:rsidR="006B1E87" w:rsidRPr="006B1E87" w:rsidRDefault="006B1E87" w:rsidP="006B1E87">
            <w:pPr>
              <w:pStyle w:val="Table-bodytext"/>
              <w:keepNext/>
              <w:spacing w:after="0" w:line="240" w:lineRule="auto"/>
              <w:rPr>
                <w:rFonts w:ascii="Arial" w:hAnsi="Arial" w:cs="Arial"/>
                <w:b/>
                <w:sz w:val="18"/>
                <w:szCs w:val="18"/>
              </w:rPr>
            </w:pPr>
          </w:p>
        </w:tc>
        <w:tc>
          <w:tcPr>
            <w:tcW w:w="3969" w:type="dxa"/>
            <w:noWrap/>
          </w:tcPr>
          <w:p w:rsidR="006B1E87" w:rsidRPr="006B1E87" w:rsidRDefault="006B1E87" w:rsidP="006B1E87">
            <w:pPr>
              <w:keepNext/>
              <w:spacing w:before="0"/>
              <w:jc w:val="right"/>
              <w:rPr>
                <w:rFonts w:cs="Arial"/>
                <w:sz w:val="18"/>
                <w:szCs w:val="18"/>
              </w:rPr>
            </w:pPr>
          </w:p>
        </w:tc>
      </w:tr>
      <w:tr w:rsidR="006B1E87" w:rsidRPr="006B1E87">
        <w:trPr>
          <w:trHeight w:val="315"/>
        </w:trPr>
        <w:tc>
          <w:tcPr>
            <w:tcW w:w="5586" w:type="dxa"/>
            <w:noWrap/>
          </w:tcPr>
          <w:p w:rsidR="006B1E87" w:rsidRPr="006B1E87" w:rsidRDefault="006B1E87" w:rsidP="006B1E87">
            <w:pPr>
              <w:pStyle w:val="Table-bodytext"/>
              <w:keepNext/>
              <w:spacing w:after="0" w:line="240" w:lineRule="auto"/>
              <w:rPr>
                <w:rFonts w:ascii="Arial" w:hAnsi="Arial" w:cs="Arial"/>
                <w:b/>
                <w:sz w:val="18"/>
                <w:szCs w:val="18"/>
              </w:rPr>
            </w:pPr>
            <w:r w:rsidRPr="006B1E87">
              <w:rPr>
                <w:rFonts w:ascii="Arial" w:hAnsi="Arial" w:cs="Arial"/>
                <w:b/>
                <w:sz w:val="18"/>
                <w:szCs w:val="18"/>
              </w:rPr>
              <w:t>Cost of treating cancer  (unweighted average by stage)</w:t>
            </w:r>
          </w:p>
        </w:tc>
        <w:tc>
          <w:tcPr>
            <w:tcW w:w="3969" w:type="dxa"/>
            <w:noWrap/>
          </w:tcPr>
          <w:p w:rsidR="006B1E87" w:rsidRPr="006B1E87" w:rsidRDefault="006B1E87" w:rsidP="006B1E87">
            <w:pPr>
              <w:keepNext/>
              <w:spacing w:before="0"/>
              <w:jc w:val="right"/>
              <w:rPr>
                <w:rFonts w:cs="Arial"/>
                <w:sz w:val="18"/>
                <w:szCs w:val="18"/>
              </w:rPr>
            </w:pPr>
          </w:p>
        </w:tc>
      </w:tr>
      <w:tr w:rsidR="006B1E87" w:rsidRPr="006B1E87">
        <w:trPr>
          <w:trHeight w:val="315"/>
        </w:trPr>
        <w:tc>
          <w:tcPr>
            <w:tcW w:w="5586" w:type="dxa"/>
            <w:noWrap/>
          </w:tcPr>
          <w:p w:rsidR="006B1E87" w:rsidRPr="006B1E87" w:rsidRDefault="006B1E87" w:rsidP="006B1E87">
            <w:pPr>
              <w:pStyle w:val="Table-bodytext"/>
              <w:keepNext/>
              <w:spacing w:after="0" w:line="240" w:lineRule="auto"/>
              <w:rPr>
                <w:rFonts w:ascii="Arial" w:hAnsi="Arial" w:cs="Arial"/>
                <w:sz w:val="18"/>
                <w:szCs w:val="18"/>
              </w:rPr>
            </w:pPr>
            <w:r w:rsidRPr="006B1E87">
              <w:rPr>
                <w:rFonts w:ascii="Arial" w:hAnsi="Arial" w:cs="Arial"/>
                <w:sz w:val="18"/>
                <w:szCs w:val="18"/>
              </w:rPr>
              <w:t>Treatment cost: Stage I</w:t>
            </w:r>
          </w:p>
        </w:tc>
        <w:tc>
          <w:tcPr>
            <w:tcW w:w="3969" w:type="dxa"/>
            <w:noWrap/>
          </w:tcPr>
          <w:p w:rsidR="006B1E87" w:rsidRPr="006B1E87" w:rsidRDefault="006B1E87" w:rsidP="006B1E87">
            <w:pPr>
              <w:keepNext/>
              <w:spacing w:before="0"/>
              <w:jc w:val="right"/>
              <w:rPr>
                <w:rFonts w:cs="Arial"/>
                <w:sz w:val="18"/>
                <w:szCs w:val="18"/>
              </w:rPr>
            </w:pPr>
            <w:r w:rsidRPr="006B1E87">
              <w:rPr>
                <w:rFonts w:cs="Arial"/>
                <w:sz w:val="18"/>
                <w:szCs w:val="18"/>
              </w:rPr>
              <w:t>$44,849</w:t>
            </w:r>
          </w:p>
        </w:tc>
      </w:tr>
      <w:tr w:rsidR="006B1E87" w:rsidRPr="006B1E87">
        <w:trPr>
          <w:trHeight w:val="315"/>
        </w:trPr>
        <w:tc>
          <w:tcPr>
            <w:tcW w:w="5586" w:type="dxa"/>
            <w:noWrap/>
          </w:tcPr>
          <w:p w:rsidR="006B1E87" w:rsidRPr="006B1E87" w:rsidRDefault="006B1E87" w:rsidP="006B1E87">
            <w:pPr>
              <w:pStyle w:val="Table-bodytext"/>
              <w:keepNext/>
              <w:spacing w:after="0" w:line="240" w:lineRule="auto"/>
              <w:rPr>
                <w:rFonts w:ascii="Arial" w:hAnsi="Arial" w:cs="Arial"/>
                <w:sz w:val="18"/>
                <w:szCs w:val="18"/>
              </w:rPr>
            </w:pPr>
            <w:r w:rsidRPr="006B1E87">
              <w:rPr>
                <w:rFonts w:ascii="Arial" w:hAnsi="Arial" w:cs="Arial"/>
                <w:sz w:val="18"/>
                <w:szCs w:val="18"/>
              </w:rPr>
              <w:t>Treatment cost: Stage II</w:t>
            </w:r>
          </w:p>
        </w:tc>
        <w:tc>
          <w:tcPr>
            <w:tcW w:w="3969" w:type="dxa"/>
            <w:noWrap/>
          </w:tcPr>
          <w:p w:rsidR="006B1E87" w:rsidRPr="006B1E87" w:rsidRDefault="006B1E87" w:rsidP="006B1E87">
            <w:pPr>
              <w:keepNext/>
              <w:spacing w:before="0"/>
              <w:jc w:val="right"/>
              <w:rPr>
                <w:rFonts w:cs="Arial"/>
                <w:sz w:val="18"/>
                <w:szCs w:val="18"/>
              </w:rPr>
            </w:pPr>
            <w:r w:rsidRPr="006B1E87">
              <w:rPr>
                <w:rFonts w:cs="Arial"/>
                <w:sz w:val="18"/>
                <w:szCs w:val="18"/>
              </w:rPr>
              <w:t>$68,917</w:t>
            </w:r>
          </w:p>
        </w:tc>
      </w:tr>
      <w:tr w:rsidR="006B1E87" w:rsidRPr="006B1E87">
        <w:trPr>
          <w:trHeight w:val="315"/>
        </w:trPr>
        <w:tc>
          <w:tcPr>
            <w:tcW w:w="5586" w:type="dxa"/>
            <w:noWrap/>
          </w:tcPr>
          <w:p w:rsidR="006B1E87" w:rsidRPr="006B1E87" w:rsidRDefault="006B1E87" w:rsidP="006B1E87">
            <w:pPr>
              <w:pStyle w:val="Table-bodytext"/>
              <w:keepNext/>
              <w:spacing w:after="0" w:line="240" w:lineRule="auto"/>
              <w:rPr>
                <w:rFonts w:ascii="Arial" w:hAnsi="Arial" w:cs="Arial"/>
                <w:sz w:val="18"/>
                <w:szCs w:val="18"/>
              </w:rPr>
            </w:pPr>
            <w:r w:rsidRPr="006B1E87">
              <w:rPr>
                <w:rFonts w:ascii="Arial" w:hAnsi="Arial" w:cs="Arial"/>
                <w:sz w:val="18"/>
                <w:szCs w:val="18"/>
              </w:rPr>
              <w:t>Treatment cost: Stage III</w:t>
            </w:r>
          </w:p>
        </w:tc>
        <w:tc>
          <w:tcPr>
            <w:tcW w:w="3969" w:type="dxa"/>
            <w:noWrap/>
          </w:tcPr>
          <w:p w:rsidR="006B1E87" w:rsidRPr="006B1E87" w:rsidRDefault="006B1E87" w:rsidP="006B1E87">
            <w:pPr>
              <w:keepNext/>
              <w:spacing w:before="0"/>
              <w:jc w:val="right"/>
              <w:rPr>
                <w:rFonts w:cs="Arial"/>
                <w:sz w:val="18"/>
                <w:szCs w:val="18"/>
              </w:rPr>
            </w:pPr>
            <w:r w:rsidRPr="006B1E87">
              <w:rPr>
                <w:rFonts w:cs="Arial"/>
                <w:sz w:val="18"/>
                <w:szCs w:val="18"/>
              </w:rPr>
              <w:t>$86,759</w:t>
            </w:r>
          </w:p>
        </w:tc>
      </w:tr>
      <w:tr w:rsidR="006B1E87" w:rsidRPr="006B1E87">
        <w:trPr>
          <w:trHeight w:val="315"/>
        </w:trPr>
        <w:tc>
          <w:tcPr>
            <w:tcW w:w="5586" w:type="dxa"/>
            <w:noWrap/>
          </w:tcPr>
          <w:p w:rsidR="006B1E87" w:rsidRPr="006B1E87" w:rsidRDefault="006B1E87" w:rsidP="006B1E87">
            <w:pPr>
              <w:pStyle w:val="Table-bodytext"/>
              <w:keepNext/>
              <w:spacing w:after="0" w:line="240" w:lineRule="auto"/>
              <w:rPr>
                <w:rFonts w:ascii="Arial" w:hAnsi="Arial" w:cs="Arial"/>
                <w:sz w:val="18"/>
                <w:szCs w:val="18"/>
              </w:rPr>
            </w:pPr>
            <w:r w:rsidRPr="006B1E87">
              <w:rPr>
                <w:rFonts w:ascii="Arial" w:hAnsi="Arial" w:cs="Arial"/>
                <w:sz w:val="18"/>
                <w:szCs w:val="18"/>
              </w:rPr>
              <w:t>Treatment cost: Stage IV</w:t>
            </w:r>
          </w:p>
        </w:tc>
        <w:tc>
          <w:tcPr>
            <w:tcW w:w="3969" w:type="dxa"/>
            <w:noWrap/>
          </w:tcPr>
          <w:p w:rsidR="006B1E87" w:rsidRPr="006B1E87" w:rsidRDefault="006B1E87" w:rsidP="006B1E87">
            <w:pPr>
              <w:keepNext/>
              <w:spacing w:before="0"/>
              <w:jc w:val="right"/>
              <w:rPr>
                <w:rFonts w:cs="Arial"/>
                <w:sz w:val="18"/>
                <w:szCs w:val="18"/>
              </w:rPr>
            </w:pPr>
            <w:r w:rsidRPr="006B1E87">
              <w:rPr>
                <w:rFonts w:cs="Arial"/>
                <w:sz w:val="18"/>
                <w:szCs w:val="18"/>
              </w:rPr>
              <w:t>$54,054</w:t>
            </w:r>
          </w:p>
        </w:tc>
      </w:tr>
      <w:tr w:rsidR="006B1E87" w:rsidRPr="006B1E87">
        <w:trPr>
          <w:trHeight w:val="315"/>
        </w:trPr>
        <w:tc>
          <w:tcPr>
            <w:tcW w:w="5586" w:type="dxa"/>
            <w:noWrap/>
          </w:tcPr>
          <w:p w:rsidR="006B1E87" w:rsidRPr="006B1E87" w:rsidRDefault="006B1E87" w:rsidP="006B1E87">
            <w:pPr>
              <w:keepNext/>
              <w:spacing w:before="0"/>
              <w:rPr>
                <w:rFonts w:cs="Arial"/>
                <w:b/>
                <w:sz w:val="18"/>
                <w:szCs w:val="18"/>
              </w:rPr>
            </w:pPr>
          </w:p>
        </w:tc>
        <w:tc>
          <w:tcPr>
            <w:tcW w:w="3969" w:type="dxa"/>
            <w:noWrap/>
          </w:tcPr>
          <w:p w:rsidR="006B1E87" w:rsidRPr="006B1E87" w:rsidRDefault="006B1E87" w:rsidP="006B1E87">
            <w:pPr>
              <w:keepNext/>
              <w:spacing w:before="0"/>
              <w:jc w:val="right"/>
              <w:rPr>
                <w:rFonts w:cs="Arial"/>
                <w:sz w:val="18"/>
                <w:szCs w:val="18"/>
              </w:rPr>
            </w:pPr>
          </w:p>
        </w:tc>
      </w:tr>
      <w:tr w:rsidR="006B1E87" w:rsidRPr="006B1E87">
        <w:trPr>
          <w:trHeight w:val="315"/>
        </w:trPr>
        <w:tc>
          <w:tcPr>
            <w:tcW w:w="5586" w:type="dxa"/>
            <w:noWrap/>
          </w:tcPr>
          <w:p w:rsidR="006B1E87" w:rsidRPr="006B1E87" w:rsidRDefault="006B1E87" w:rsidP="00A35571">
            <w:pPr>
              <w:keepNext/>
              <w:spacing w:before="0"/>
              <w:ind w:left="0"/>
              <w:rPr>
                <w:rFonts w:cs="Arial"/>
                <w:b/>
                <w:sz w:val="18"/>
                <w:szCs w:val="18"/>
              </w:rPr>
            </w:pPr>
            <w:r w:rsidRPr="006B1E87">
              <w:rPr>
                <w:rFonts w:cs="Arial"/>
                <w:b/>
                <w:sz w:val="18"/>
                <w:szCs w:val="18"/>
              </w:rPr>
              <w:t>Cost of screening</w:t>
            </w:r>
          </w:p>
        </w:tc>
        <w:tc>
          <w:tcPr>
            <w:tcW w:w="3969" w:type="dxa"/>
            <w:noWrap/>
          </w:tcPr>
          <w:p w:rsidR="006B1E87" w:rsidRPr="006B1E87" w:rsidRDefault="006B1E87" w:rsidP="006B1E87">
            <w:pPr>
              <w:keepNext/>
              <w:spacing w:before="0"/>
              <w:jc w:val="right"/>
              <w:rPr>
                <w:rFonts w:cs="Arial"/>
                <w:sz w:val="18"/>
                <w:szCs w:val="18"/>
              </w:rPr>
            </w:pPr>
          </w:p>
        </w:tc>
      </w:tr>
      <w:tr w:rsidR="006B1E87" w:rsidRPr="006B1E87">
        <w:trPr>
          <w:trHeight w:val="315"/>
        </w:trPr>
        <w:tc>
          <w:tcPr>
            <w:tcW w:w="5586" w:type="dxa"/>
            <w:noWrap/>
          </w:tcPr>
          <w:p w:rsidR="006B1E87" w:rsidRPr="006B1E87" w:rsidRDefault="001D6D78" w:rsidP="00A35571">
            <w:pPr>
              <w:keepNext/>
              <w:spacing w:before="0"/>
              <w:ind w:left="0"/>
              <w:rPr>
                <w:rFonts w:cs="Arial"/>
                <w:sz w:val="18"/>
                <w:szCs w:val="18"/>
              </w:rPr>
            </w:pPr>
            <w:r>
              <w:rPr>
                <w:rFonts w:cs="Arial"/>
                <w:sz w:val="18"/>
                <w:szCs w:val="18"/>
              </w:rPr>
              <w:t>Eligible to receive a mail-</w:t>
            </w:r>
            <w:r w:rsidR="006B1E87" w:rsidRPr="006B1E87">
              <w:rPr>
                <w:rFonts w:cs="Arial"/>
                <w:sz w:val="18"/>
                <w:szCs w:val="18"/>
              </w:rPr>
              <w:t>out</w:t>
            </w:r>
          </w:p>
        </w:tc>
        <w:tc>
          <w:tcPr>
            <w:tcW w:w="3969" w:type="dxa"/>
            <w:noWrap/>
          </w:tcPr>
          <w:p w:rsidR="006B1E87" w:rsidRPr="006B1E87" w:rsidRDefault="006B1E87" w:rsidP="006501AF">
            <w:pPr>
              <w:keepNext/>
              <w:spacing w:before="0"/>
              <w:jc w:val="right"/>
              <w:rPr>
                <w:rFonts w:cs="Arial"/>
                <w:sz w:val="18"/>
                <w:szCs w:val="18"/>
              </w:rPr>
            </w:pPr>
            <w:r w:rsidRPr="006B1E87">
              <w:rPr>
                <w:rFonts w:cs="Arial"/>
                <w:sz w:val="18"/>
                <w:szCs w:val="18"/>
              </w:rPr>
              <w:t>$</w:t>
            </w:r>
            <w:r w:rsidR="006501AF" w:rsidRPr="006501AF">
              <w:rPr>
                <w:rFonts w:cs="Arial"/>
                <w:sz w:val="18"/>
                <w:szCs w:val="18"/>
                <w:highlight w:val="black"/>
              </w:rPr>
              <w:t>XXXXX XXXXXXXXXXXX</w:t>
            </w:r>
            <w:r w:rsidR="006501AF">
              <w:t xml:space="preserve"> S9(2)(i)</w:t>
            </w:r>
          </w:p>
        </w:tc>
      </w:tr>
      <w:tr w:rsidR="006B1E87" w:rsidRPr="006B1E87">
        <w:trPr>
          <w:trHeight w:val="315"/>
        </w:trPr>
        <w:tc>
          <w:tcPr>
            <w:tcW w:w="5586" w:type="dxa"/>
            <w:noWrap/>
          </w:tcPr>
          <w:p w:rsidR="006B1E87" w:rsidRPr="006B1E87" w:rsidRDefault="006B1E87" w:rsidP="001D6D78">
            <w:pPr>
              <w:keepNext/>
              <w:spacing w:before="0"/>
              <w:ind w:left="0"/>
              <w:rPr>
                <w:rFonts w:cs="Arial"/>
                <w:sz w:val="18"/>
                <w:szCs w:val="18"/>
              </w:rPr>
            </w:pPr>
            <w:r w:rsidRPr="006B1E87">
              <w:rPr>
                <w:rFonts w:cs="Arial"/>
                <w:sz w:val="18"/>
                <w:szCs w:val="18"/>
              </w:rPr>
              <w:t>Return iFOBT</w:t>
            </w:r>
            <w:r w:rsidR="001D6D78">
              <w:rPr>
                <w:rFonts w:cs="Arial"/>
                <w:sz w:val="18"/>
                <w:szCs w:val="18"/>
              </w:rPr>
              <w:t xml:space="preserve"> –</w:t>
            </w:r>
            <w:r w:rsidRPr="006B1E87">
              <w:rPr>
                <w:rFonts w:cs="Arial"/>
                <w:sz w:val="18"/>
                <w:szCs w:val="18"/>
              </w:rPr>
              <w:t xml:space="preserve"> negative results</w:t>
            </w:r>
          </w:p>
        </w:tc>
        <w:tc>
          <w:tcPr>
            <w:tcW w:w="3969" w:type="dxa"/>
            <w:noWrap/>
          </w:tcPr>
          <w:p w:rsidR="006B1E87" w:rsidRPr="006B1E87" w:rsidRDefault="006501AF" w:rsidP="006B1E87">
            <w:pPr>
              <w:keepNext/>
              <w:spacing w:before="0"/>
              <w:jc w:val="right"/>
              <w:rPr>
                <w:rFonts w:cs="Arial"/>
                <w:sz w:val="18"/>
                <w:szCs w:val="18"/>
              </w:rPr>
            </w:pPr>
            <w:r w:rsidRPr="006B1E87">
              <w:rPr>
                <w:rFonts w:cs="Arial"/>
                <w:sz w:val="18"/>
                <w:szCs w:val="18"/>
              </w:rPr>
              <w:t>$</w:t>
            </w:r>
            <w:r w:rsidRPr="006501AF">
              <w:rPr>
                <w:rFonts w:cs="Arial"/>
                <w:sz w:val="18"/>
                <w:szCs w:val="18"/>
                <w:highlight w:val="black"/>
              </w:rPr>
              <w:t>XXXXX XXXXXXXXXXXX</w:t>
            </w:r>
            <w:r>
              <w:t xml:space="preserve"> S9(2)(i)</w:t>
            </w:r>
          </w:p>
        </w:tc>
      </w:tr>
      <w:tr w:rsidR="006B1E87" w:rsidRPr="006B1E87">
        <w:trPr>
          <w:trHeight w:val="315"/>
        </w:trPr>
        <w:tc>
          <w:tcPr>
            <w:tcW w:w="5586" w:type="dxa"/>
            <w:noWrap/>
          </w:tcPr>
          <w:p w:rsidR="006B1E87" w:rsidRPr="006B1E87" w:rsidRDefault="006B1E87" w:rsidP="001D6D78">
            <w:pPr>
              <w:keepNext/>
              <w:spacing w:before="0"/>
              <w:ind w:left="0"/>
              <w:rPr>
                <w:rFonts w:cs="Arial"/>
                <w:sz w:val="18"/>
                <w:szCs w:val="18"/>
              </w:rPr>
            </w:pPr>
            <w:r w:rsidRPr="006B1E87">
              <w:rPr>
                <w:rFonts w:cs="Arial"/>
                <w:sz w:val="18"/>
                <w:szCs w:val="18"/>
              </w:rPr>
              <w:t xml:space="preserve">Return iFOBT </w:t>
            </w:r>
            <w:r w:rsidR="001D6D78">
              <w:rPr>
                <w:rFonts w:cs="Arial"/>
                <w:sz w:val="18"/>
                <w:szCs w:val="18"/>
              </w:rPr>
              <w:t>–</w:t>
            </w:r>
            <w:r w:rsidRPr="006B1E87">
              <w:rPr>
                <w:rFonts w:cs="Arial"/>
                <w:sz w:val="18"/>
                <w:szCs w:val="18"/>
              </w:rPr>
              <w:t xml:space="preserve"> positive results</w:t>
            </w:r>
          </w:p>
        </w:tc>
        <w:tc>
          <w:tcPr>
            <w:tcW w:w="3969" w:type="dxa"/>
            <w:noWrap/>
          </w:tcPr>
          <w:p w:rsidR="006B1E87" w:rsidRPr="006B1E87" w:rsidRDefault="006501AF" w:rsidP="006B1E87">
            <w:pPr>
              <w:keepNext/>
              <w:spacing w:before="0"/>
              <w:jc w:val="right"/>
              <w:rPr>
                <w:rFonts w:cs="Arial"/>
                <w:sz w:val="18"/>
                <w:szCs w:val="18"/>
              </w:rPr>
            </w:pPr>
            <w:r w:rsidRPr="006B1E87">
              <w:rPr>
                <w:rFonts w:cs="Arial"/>
                <w:sz w:val="18"/>
                <w:szCs w:val="18"/>
              </w:rPr>
              <w:t>$</w:t>
            </w:r>
            <w:r w:rsidRPr="006501AF">
              <w:rPr>
                <w:rFonts w:cs="Arial"/>
                <w:sz w:val="18"/>
                <w:szCs w:val="18"/>
                <w:highlight w:val="black"/>
              </w:rPr>
              <w:t>XXXXX XXXXXXXXXXXX</w:t>
            </w:r>
            <w:r>
              <w:t xml:space="preserve"> S9(2)(i)</w:t>
            </w:r>
          </w:p>
        </w:tc>
      </w:tr>
      <w:tr w:rsidR="006B1E87" w:rsidRPr="006B1E87">
        <w:trPr>
          <w:trHeight w:val="315"/>
        </w:trPr>
        <w:tc>
          <w:tcPr>
            <w:tcW w:w="5586" w:type="dxa"/>
            <w:noWrap/>
          </w:tcPr>
          <w:p w:rsidR="006B1E87" w:rsidRPr="006B1E87" w:rsidRDefault="006B1E87" w:rsidP="00A35571">
            <w:pPr>
              <w:keepNext/>
              <w:spacing w:before="0"/>
              <w:ind w:left="0"/>
              <w:rPr>
                <w:rFonts w:cs="Arial"/>
                <w:sz w:val="18"/>
                <w:szCs w:val="18"/>
              </w:rPr>
            </w:pPr>
            <w:r w:rsidRPr="006B1E87">
              <w:rPr>
                <w:rFonts w:cs="Arial"/>
                <w:sz w:val="18"/>
                <w:szCs w:val="18"/>
              </w:rPr>
              <w:t>Colonoscopy – mode weighted average</w:t>
            </w:r>
          </w:p>
        </w:tc>
        <w:tc>
          <w:tcPr>
            <w:tcW w:w="3969" w:type="dxa"/>
            <w:noWrap/>
          </w:tcPr>
          <w:p w:rsidR="006B1E87" w:rsidRPr="006B1E87" w:rsidRDefault="006B1E87" w:rsidP="001D6D78">
            <w:pPr>
              <w:keepNext/>
              <w:spacing w:before="0"/>
              <w:jc w:val="right"/>
              <w:rPr>
                <w:rFonts w:cs="Arial"/>
                <w:sz w:val="18"/>
                <w:szCs w:val="18"/>
              </w:rPr>
            </w:pPr>
            <w:r w:rsidRPr="006B1E87">
              <w:rPr>
                <w:rFonts w:cs="Arial"/>
                <w:sz w:val="18"/>
                <w:szCs w:val="18"/>
              </w:rPr>
              <w:t xml:space="preserve">$754.92 ($639.12 </w:t>
            </w:r>
            <w:r w:rsidR="001D6D78">
              <w:rPr>
                <w:rFonts w:cs="Arial"/>
                <w:sz w:val="18"/>
                <w:szCs w:val="18"/>
              </w:rPr>
              <w:t>–</w:t>
            </w:r>
            <w:r w:rsidRPr="006B1E87">
              <w:rPr>
                <w:rFonts w:cs="Arial"/>
                <w:sz w:val="18"/>
                <w:szCs w:val="18"/>
              </w:rPr>
              <w:t xml:space="preserve"> $813.08)</w:t>
            </w:r>
          </w:p>
        </w:tc>
      </w:tr>
      <w:tr w:rsidR="006B1E87" w:rsidRPr="006B1E87">
        <w:trPr>
          <w:trHeight w:val="315"/>
        </w:trPr>
        <w:tc>
          <w:tcPr>
            <w:tcW w:w="5586" w:type="dxa"/>
            <w:noWrap/>
          </w:tcPr>
          <w:p w:rsidR="006B1E87" w:rsidRPr="006B1E87" w:rsidRDefault="006B1E87" w:rsidP="00A35571">
            <w:pPr>
              <w:keepNext/>
              <w:spacing w:before="0"/>
              <w:ind w:left="0"/>
              <w:rPr>
                <w:rFonts w:cs="Arial"/>
                <w:sz w:val="18"/>
                <w:szCs w:val="18"/>
              </w:rPr>
            </w:pPr>
            <w:r w:rsidRPr="006B1E87">
              <w:rPr>
                <w:rFonts w:cs="Arial"/>
                <w:sz w:val="18"/>
                <w:szCs w:val="18"/>
              </w:rPr>
              <w:t xml:space="preserve">Histology of samples collected at colonoscopy </w:t>
            </w:r>
          </w:p>
        </w:tc>
        <w:tc>
          <w:tcPr>
            <w:tcW w:w="3969" w:type="dxa"/>
            <w:noWrap/>
          </w:tcPr>
          <w:p w:rsidR="006B1E87" w:rsidRPr="006B1E87" w:rsidRDefault="006B1E87" w:rsidP="001D6D78">
            <w:pPr>
              <w:keepNext/>
              <w:spacing w:before="0"/>
              <w:jc w:val="right"/>
              <w:rPr>
                <w:rFonts w:cs="Arial"/>
                <w:sz w:val="18"/>
                <w:szCs w:val="18"/>
              </w:rPr>
            </w:pPr>
            <w:r w:rsidRPr="006B1E87">
              <w:rPr>
                <w:rFonts w:cs="Arial"/>
                <w:sz w:val="18"/>
                <w:szCs w:val="18"/>
              </w:rPr>
              <w:t xml:space="preserve">$937.14 ($793.38 </w:t>
            </w:r>
            <w:r w:rsidR="001D6D78">
              <w:rPr>
                <w:rFonts w:cs="Arial"/>
                <w:sz w:val="18"/>
                <w:szCs w:val="18"/>
              </w:rPr>
              <w:t xml:space="preserve">– </w:t>
            </w:r>
            <w:r w:rsidRPr="006B1E87">
              <w:rPr>
                <w:rFonts w:cs="Arial"/>
                <w:sz w:val="18"/>
                <w:szCs w:val="18"/>
              </w:rPr>
              <w:t>$1009.34)</w:t>
            </w:r>
          </w:p>
        </w:tc>
      </w:tr>
      <w:tr w:rsidR="006B1E87" w:rsidRPr="006B1E87">
        <w:trPr>
          <w:trHeight w:val="315"/>
        </w:trPr>
        <w:tc>
          <w:tcPr>
            <w:tcW w:w="5586" w:type="dxa"/>
            <w:noWrap/>
          </w:tcPr>
          <w:p w:rsidR="006B1E87" w:rsidRPr="006B1E87" w:rsidRDefault="006B1E87" w:rsidP="006B1E87">
            <w:pPr>
              <w:pStyle w:val="Table-bodytext"/>
              <w:keepNext/>
              <w:spacing w:after="0" w:line="240" w:lineRule="auto"/>
              <w:rPr>
                <w:rFonts w:ascii="Arial" w:hAnsi="Arial" w:cs="Arial"/>
                <w:sz w:val="18"/>
                <w:szCs w:val="18"/>
              </w:rPr>
            </w:pPr>
            <w:r w:rsidRPr="006B1E87">
              <w:rPr>
                <w:rFonts w:ascii="Arial" w:hAnsi="Arial" w:cs="Arial"/>
                <w:sz w:val="18"/>
                <w:szCs w:val="18"/>
              </w:rPr>
              <w:t>Re-admission following colonoscopy</w:t>
            </w:r>
          </w:p>
        </w:tc>
        <w:tc>
          <w:tcPr>
            <w:tcW w:w="3969" w:type="dxa"/>
            <w:noWrap/>
          </w:tcPr>
          <w:p w:rsidR="006B1E87" w:rsidRPr="006B1E87" w:rsidRDefault="006B1E87" w:rsidP="001D6D78">
            <w:pPr>
              <w:pStyle w:val="Table-bodytext"/>
              <w:keepNext/>
              <w:spacing w:after="0" w:line="240" w:lineRule="auto"/>
              <w:jc w:val="right"/>
              <w:rPr>
                <w:rFonts w:ascii="Arial" w:hAnsi="Arial" w:cs="Arial"/>
                <w:sz w:val="18"/>
                <w:szCs w:val="18"/>
              </w:rPr>
            </w:pPr>
            <w:r w:rsidRPr="006B1E87">
              <w:rPr>
                <w:rFonts w:ascii="Arial" w:hAnsi="Arial" w:cs="Arial"/>
                <w:sz w:val="18"/>
                <w:szCs w:val="18"/>
              </w:rPr>
              <w:t xml:space="preserve">$5,172 ($4,655 </w:t>
            </w:r>
            <w:r w:rsidR="001D6D78">
              <w:rPr>
                <w:rFonts w:ascii="Arial" w:hAnsi="Arial" w:cs="Arial"/>
                <w:sz w:val="18"/>
                <w:szCs w:val="18"/>
              </w:rPr>
              <w:t>–</w:t>
            </w:r>
            <w:r w:rsidRPr="006B1E87">
              <w:rPr>
                <w:rFonts w:ascii="Arial" w:hAnsi="Arial" w:cs="Arial"/>
                <w:sz w:val="18"/>
                <w:szCs w:val="18"/>
              </w:rPr>
              <w:t xml:space="preserve"> $5,689)</w:t>
            </w:r>
          </w:p>
        </w:tc>
      </w:tr>
    </w:tbl>
    <w:p w:rsidR="00EA3BEB" w:rsidRPr="00A6142D" w:rsidRDefault="000E0E57" w:rsidP="000E0E57">
      <w:pPr>
        <w:pStyle w:val="Heading2"/>
      </w:pPr>
      <w:bookmarkStart w:id="193" w:name="_Toc457842133"/>
      <w:r>
        <w:t>4.4</w:t>
      </w:r>
      <w:r>
        <w:tab/>
      </w:r>
      <w:r w:rsidR="00026D7C">
        <w:t>Summary of cost-</w:t>
      </w:r>
      <w:r w:rsidR="00EA3BEB">
        <w:t>effectiveness results: total population</w:t>
      </w:r>
      <w:bookmarkEnd w:id="193"/>
    </w:p>
    <w:p w:rsidR="00CD5232" w:rsidRDefault="00CD5232" w:rsidP="00CD5232">
      <w:r>
        <w:t>If bowel cancer screening was rolled out nationally in New Zealand in the same way that it was undertaken in the pilot, it is estimated to dominate no screening</w:t>
      </w:r>
      <w:r w:rsidR="00026D7C">
        <w:t xml:space="preserve"> –</w:t>
      </w:r>
      <w:r>
        <w:t xml:space="preserve"> be cost saving with  QALY gains. The comparison of the outcomes for screening and no screening is presented in </w:t>
      </w:r>
      <w:r w:rsidR="00F70465">
        <w:t>T</w:t>
      </w:r>
      <w:r>
        <w:t xml:space="preserve">able </w:t>
      </w:r>
      <w:r w:rsidR="00F70465">
        <w:t>8</w:t>
      </w:r>
      <w:r>
        <w:t xml:space="preserve">. </w:t>
      </w:r>
    </w:p>
    <w:p w:rsidR="00CD5232" w:rsidRDefault="00F36573" w:rsidP="00CD5232">
      <w:r>
        <w:t>The</w:t>
      </w:r>
      <w:r w:rsidR="00CD5232">
        <w:t xml:space="preserve"> best estimate of the cost per QALY for this scenario is </w:t>
      </w:r>
      <w:r w:rsidR="00026D7C">
        <w:t>–</w:t>
      </w:r>
      <w:r w:rsidR="00CD5232">
        <w:t>$1,344</w:t>
      </w:r>
      <w:r w:rsidR="00026D7C">
        <w:t xml:space="preserve"> – be</w:t>
      </w:r>
      <w:r w:rsidR="00CD5232">
        <w:t xml:space="preserve"> cost saving with health benefits. Since the interpretation of a negative cost per QALY is ambiguous, for interpretation, </w:t>
      </w:r>
      <w:r>
        <w:t xml:space="preserve">this is presented </w:t>
      </w:r>
      <w:r w:rsidR="00CD5232">
        <w:t>as a dominant result, which is preferable to any other state w</w:t>
      </w:r>
      <w:r>
        <w:t>hich has a p</w:t>
      </w:r>
      <w:r w:rsidR="00CD5232">
        <w:t>os</w:t>
      </w:r>
      <w:r>
        <w:t>i</w:t>
      </w:r>
      <w:r w:rsidR="00CD5232">
        <w:t>tive cost per QALY.</w:t>
      </w:r>
    </w:p>
    <w:p w:rsidR="00CD5232" w:rsidRDefault="00CD5232" w:rsidP="00CD5232">
      <w:r>
        <w:t xml:space="preserve">There is some uncertainty in the result: the cost per QALY </w:t>
      </w:r>
      <w:r w:rsidR="00F36573">
        <w:t>is estimated t</w:t>
      </w:r>
      <w:r>
        <w:t xml:space="preserve">o fall in the range of </w:t>
      </w:r>
      <w:r w:rsidR="00026D7C">
        <w:t>–</w:t>
      </w:r>
      <w:r>
        <w:t>$5,786 to $4,850</w:t>
      </w:r>
      <w:r w:rsidR="00F36573">
        <w:t xml:space="preserve"> with 95% confidence</w:t>
      </w:r>
      <w:r>
        <w:t>.</w:t>
      </w:r>
    </w:p>
    <w:p w:rsidR="00CD5232" w:rsidRDefault="00F36573" w:rsidP="00381C3F">
      <w:pPr>
        <w:pStyle w:val="Tableheading"/>
      </w:pPr>
      <w:r>
        <w:t xml:space="preserve">Table </w:t>
      </w:r>
      <w:r w:rsidR="00F70465">
        <w:t>8</w:t>
      </w:r>
      <w:r>
        <w:t xml:space="preserve">: </w:t>
      </w:r>
      <w:r w:rsidR="006518FE">
        <w:t>Cost-</w:t>
      </w:r>
      <w:r w:rsidR="00CD5232" w:rsidRPr="006E25AD">
        <w:t>effectiveness results for pilot screening parameters – whole population</w:t>
      </w:r>
    </w:p>
    <w:tbl>
      <w:tblPr>
        <w:tblW w:w="0" w:type="auto"/>
        <w:tblInd w:w="817" w:type="dxa"/>
        <w:tblLayout w:type="fixed"/>
        <w:tblLook w:val="0620" w:firstRow="1" w:lastRow="0" w:firstColumn="0" w:lastColumn="0" w:noHBand="1" w:noVBand="1"/>
      </w:tblPr>
      <w:tblGrid>
        <w:gridCol w:w="1348"/>
        <w:gridCol w:w="1164"/>
        <w:gridCol w:w="1336"/>
        <w:gridCol w:w="1255"/>
        <w:gridCol w:w="1133"/>
        <w:gridCol w:w="1809"/>
      </w:tblGrid>
      <w:tr w:rsidR="00CD5232" w:rsidRPr="00844D4B">
        <w:trPr>
          <w:cantSplit/>
        </w:trPr>
        <w:tc>
          <w:tcPr>
            <w:tcW w:w="1348" w:type="dxa"/>
            <w:vMerge w:val="restart"/>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845E05"/>
          </w:tcPr>
          <w:p w:rsidR="00CD5232" w:rsidRPr="00844D4B" w:rsidRDefault="00CD5232" w:rsidP="003E00FC">
            <w:pPr>
              <w:pStyle w:val="Table-headingrow1"/>
              <w:keepNext/>
            </w:pPr>
            <w:r w:rsidRPr="00844D4B">
              <w:t>Treatment</w:t>
            </w:r>
          </w:p>
        </w:tc>
        <w:tc>
          <w:tcPr>
            <w:tcW w:w="1164" w:type="dxa"/>
            <w:vMerge w:val="restart"/>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845E05"/>
          </w:tcPr>
          <w:p w:rsidR="00CD5232" w:rsidRPr="00844D4B" w:rsidRDefault="00CD5232" w:rsidP="003E00FC">
            <w:pPr>
              <w:pStyle w:val="Table-headingrow1"/>
              <w:keepNext/>
            </w:pPr>
            <w:r w:rsidRPr="00844D4B">
              <w:t>Costs</w:t>
            </w:r>
          </w:p>
        </w:tc>
        <w:tc>
          <w:tcPr>
            <w:tcW w:w="1336" w:type="dxa"/>
            <w:vMerge w:val="restart"/>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845E05"/>
          </w:tcPr>
          <w:p w:rsidR="00CD5232" w:rsidRPr="00844D4B" w:rsidRDefault="00CD5232" w:rsidP="003E00FC">
            <w:pPr>
              <w:pStyle w:val="Table-headingrow1"/>
              <w:keepNext/>
            </w:pPr>
            <w:r w:rsidRPr="00844D4B">
              <w:t>QALYs</w:t>
            </w:r>
          </w:p>
        </w:tc>
        <w:tc>
          <w:tcPr>
            <w:tcW w:w="2388" w:type="dxa"/>
            <w:gridSpan w:val="2"/>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845E05"/>
          </w:tcPr>
          <w:p w:rsidR="00CD5232" w:rsidRPr="00844D4B" w:rsidRDefault="00CD5232" w:rsidP="003E00FC">
            <w:pPr>
              <w:pStyle w:val="Table-headingrow1"/>
              <w:keepNext/>
            </w:pPr>
            <w:r w:rsidRPr="00844D4B">
              <w:t>Incremental</w:t>
            </w:r>
          </w:p>
        </w:tc>
        <w:tc>
          <w:tcPr>
            <w:tcW w:w="1809" w:type="dxa"/>
            <w:vMerge w:val="restart"/>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845E05"/>
          </w:tcPr>
          <w:p w:rsidR="00CD5232" w:rsidRDefault="00CD5232" w:rsidP="003E00FC">
            <w:pPr>
              <w:pStyle w:val="Table-headingrow1"/>
              <w:keepNext/>
            </w:pPr>
            <w:r>
              <w:t>Cost per QALY</w:t>
            </w:r>
          </w:p>
          <w:p w:rsidR="00CD5232" w:rsidRPr="00844D4B" w:rsidRDefault="00CD5232" w:rsidP="003E00FC">
            <w:pPr>
              <w:pStyle w:val="Table-headingrow1"/>
              <w:keepNext/>
            </w:pPr>
            <w:r>
              <w:t>(95%CI)</w:t>
            </w:r>
          </w:p>
        </w:tc>
      </w:tr>
      <w:tr w:rsidR="00CD5232" w:rsidRPr="00844D4B">
        <w:trPr>
          <w:cantSplit/>
        </w:trPr>
        <w:tc>
          <w:tcPr>
            <w:tcW w:w="1348" w:type="dxa"/>
            <w:vMerge/>
            <w:tcBorders>
              <w:top w:val="single" w:sz="4" w:space="0" w:color="FFFFFF" w:themeColor="background1"/>
              <w:left w:val="single" w:sz="4" w:space="0" w:color="FFFFFF" w:themeColor="background1"/>
              <w:bottom w:val="single" w:sz="4" w:space="0" w:color="845E05"/>
              <w:right w:val="single" w:sz="4" w:space="0" w:color="FFFFFF" w:themeColor="background1"/>
            </w:tcBorders>
            <w:shd w:val="clear" w:color="auto" w:fill="7B5E05"/>
          </w:tcPr>
          <w:p w:rsidR="00CD5232" w:rsidRPr="00844D4B" w:rsidRDefault="00CD5232" w:rsidP="003E00FC">
            <w:pPr>
              <w:pStyle w:val="Table-headingrow1"/>
              <w:keepNext/>
            </w:pPr>
          </w:p>
        </w:tc>
        <w:tc>
          <w:tcPr>
            <w:tcW w:w="1164" w:type="dxa"/>
            <w:vMerge/>
            <w:tcBorders>
              <w:top w:val="single" w:sz="4" w:space="0" w:color="FFFFFF" w:themeColor="background1"/>
              <w:left w:val="single" w:sz="4" w:space="0" w:color="FFFFFF" w:themeColor="background1"/>
              <w:bottom w:val="single" w:sz="4" w:space="0" w:color="845E05"/>
              <w:right w:val="single" w:sz="4" w:space="0" w:color="FFFFFF" w:themeColor="background1"/>
            </w:tcBorders>
            <w:shd w:val="clear" w:color="auto" w:fill="7B5E05"/>
          </w:tcPr>
          <w:p w:rsidR="00CD5232" w:rsidRPr="00844D4B" w:rsidRDefault="00CD5232" w:rsidP="003E00FC">
            <w:pPr>
              <w:pStyle w:val="Table-headingrow1"/>
              <w:keepNext/>
            </w:pPr>
          </w:p>
        </w:tc>
        <w:tc>
          <w:tcPr>
            <w:tcW w:w="1336" w:type="dxa"/>
            <w:vMerge/>
            <w:tcBorders>
              <w:top w:val="single" w:sz="4" w:space="0" w:color="FFFFFF" w:themeColor="background1"/>
              <w:left w:val="single" w:sz="4" w:space="0" w:color="FFFFFF" w:themeColor="background1"/>
              <w:bottom w:val="single" w:sz="4" w:space="0" w:color="845E05"/>
              <w:right w:val="single" w:sz="4" w:space="0" w:color="FFFFFF" w:themeColor="background1"/>
            </w:tcBorders>
            <w:shd w:val="clear" w:color="auto" w:fill="7B5E05"/>
          </w:tcPr>
          <w:p w:rsidR="00CD5232" w:rsidRPr="00844D4B" w:rsidRDefault="00CD5232" w:rsidP="003E00FC">
            <w:pPr>
              <w:pStyle w:val="Table-headingrow1"/>
              <w:keepNext/>
            </w:pPr>
          </w:p>
        </w:tc>
        <w:tc>
          <w:tcPr>
            <w:tcW w:w="1255" w:type="dxa"/>
            <w:tcBorders>
              <w:top w:val="single" w:sz="4" w:space="0" w:color="FFFFFF" w:themeColor="background1"/>
              <w:left w:val="single" w:sz="4" w:space="0" w:color="FFFFFF" w:themeColor="background1"/>
              <w:bottom w:val="single" w:sz="4" w:space="0" w:color="845E05"/>
              <w:right w:val="single" w:sz="4" w:space="0" w:color="FFFFFF" w:themeColor="background1"/>
            </w:tcBorders>
            <w:shd w:val="clear" w:color="auto" w:fill="7B5E05"/>
          </w:tcPr>
          <w:p w:rsidR="00CD5232" w:rsidRDefault="00CD5232" w:rsidP="003E00FC">
            <w:pPr>
              <w:pStyle w:val="Table-headingrow1"/>
              <w:keepNext/>
            </w:pPr>
            <w:r w:rsidRPr="00844D4B">
              <w:t>Costs</w:t>
            </w:r>
          </w:p>
          <w:p w:rsidR="00CD5232" w:rsidRPr="00844D4B" w:rsidRDefault="00CD5232" w:rsidP="003E00FC">
            <w:pPr>
              <w:pStyle w:val="Table-headingrow1"/>
              <w:keepNext/>
            </w:pPr>
            <w:r>
              <w:t>(95% CI)</w:t>
            </w:r>
          </w:p>
        </w:tc>
        <w:tc>
          <w:tcPr>
            <w:tcW w:w="1133" w:type="dxa"/>
            <w:tcBorders>
              <w:top w:val="single" w:sz="4" w:space="0" w:color="FFFFFF" w:themeColor="background1"/>
              <w:left w:val="single" w:sz="4" w:space="0" w:color="FFFFFF" w:themeColor="background1"/>
              <w:bottom w:val="single" w:sz="4" w:space="0" w:color="845E05"/>
              <w:right w:val="single" w:sz="4" w:space="0" w:color="FFFFFF" w:themeColor="background1"/>
            </w:tcBorders>
            <w:shd w:val="clear" w:color="auto" w:fill="7B5E05"/>
          </w:tcPr>
          <w:p w:rsidR="00CD5232" w:rsidRDefault="00CD5232" w:rsidP="003E00FC">
            <w:pPr>
              <w:pStyle w:val="Table-headingrow1"/>
              <w:keepNext/>
            </w:pPr>
            <w:r w:rsidRPr="00844D4B">
              <w:t>QALYs</w:t>
            </w:r>
          </w:p>
          <w:p w:rsidR="00CD5232" w:rsidRPr="00844D4B" w:rsidRDefault="00CD5232" w:rsidP="003E00FC">
            <w:pPr>
              <w:pStyle w:val="Table-headingrow1"/>
              <w:keepNext/>
            </w:pPr>
            <w:r>
              <w:t>(95%CI)</w:t>
            </w:r>
          </w:p>
        </w:tc>
        <w:tc>
          <w:tcPr>
            <w:tcW w:w="1809" w:type="dxa"/>
            <w:vMerge/>
            <w:tcBorders>
              <w:top w:val="single" w:sz="4" w:space="0" w:color="FFFFFF" w:themeColor="background1"/>
              <w:left w:val="single" w:sz="4" w:space="0" w:color="FFFFFF" w:themeColor="background1"/>
              <w:bottom w:val="single" w:sz="4" w:space="0" w:color="845E05"/>
              <w:right w:val="single" w:sz="4" w:space="0" w:color="FFFFFF" w:themeColor="background1"/>
            </w:tcBorders>
            <w:shd w:val="clear" w:color="auto" w:fill="7B5E05"/>
          </w:tcPr>
          <w:p w:rsidR="00CD5232" w:rsidRPr="00844D4B" w:rsidRDefault="00CD5232" w:rsidP="003E00FC">
            <w:pPr>
              <w:pStyle w:val="Table-headingrow1"/>
              <w:keepNext/>
            </w:pPr>
          </w:p>
        </w:tc>
      </w:tr>
      <w:tr w:rsidR="00CD5232" w:rsidRPr="00824AE4">
        <w:tblPrEx>
          <w:tblLook w:val="04A0" w:firstRow="1" w:lastRow="0" w:firstColumn="1" w:lastColumn="0" w:noHBand="0" w:noVBand="1"/>
        </w:tblPrEx>
        <w:trPr>
          <w:trHeight w:val="315"/>
        </w:trPr>
        <w:tc>
          <w:tcPr>
            <w:tcW w:w="1348" w:type="dxa"/>
            <w:tcBorders>
              <w:top w:val="single" w:sz="4" w:space="0" w:color="845E05"/>
              <w:bottom w:val="single" w:sz="4" w:space="0" w:color="845E05"/>
              <w:right w:val="single" w:sz="4" w:space="0" w:color="845E05"/>
            </w:tcBorders>
          </w:tcPr>
          <w:p w:rsidR="00CD5232" w:rsidRPr="002F44EF" w:rsidRDefault="00CD5232" w:rsidP="003E00FC">
            <w:pPr>
              <w:pStyle w:val="Table-bodytext"/>
              <w:keepNext/>
            </w:pPr>
            <w:r w:rsidRPr="002F44EF">
              <w:t>No screening</w:t>
            </w:r>
          </w:p>
        </w:tc>
        <w:tc>
          <w:tcPr>
            <w:tcW w:w="1164" w:type="dxa"/>
            <w:tcBorders>
              <w:top w:val="single" w:sz="4" w:space="0" w:color="845E05"/>
              <w:left w:val="single" w:sz="4" w:space="0" w:color="845E05"/>
              <w:bottom w:val="single" w:sz="4" w:space="0" w:color="845E05"/>
              <w:right w:val="single" w:sz="4" w:space="0" w:color="845E05"/>
            </w:tcBorders>
            <w:vAlign w:val="center"/>
          </w:tcPr>
          <w:p w:rsidR="00CD5232" w:rsidRPr="002F44EF" w:rsidRDefault="00CD5232" w:rsidP="003E00FC">
            <w:pPr>
              <w:pStyle w:val="Table-bodytext"/>
              <w:keepNext/>
              <w:jc w:val="right"/>
            </w:pPr>
            <w:r>
              <w:rPr>
                <w:bCs/>
                <w:color w:val="000000"/>
                <w:szCs w:val="22"/>
              </w:rPr>
              <w:t>$2,643</w:t>
            </w:r>
          </w:p>
        </w:tc>
        <w:tc>
          <w:tcPr>
            <w:tcW w:w="1336" w:type="dxa"/>
            <w:tcBorders>
              <w:top w:val="single" w:sz="4" w:space="0" w:color="845E05"/>
              <w:left w:val="single" w:sz="4" w:space="0" w:color="845E05"/>
              <w:bottom w:val="single" w:sz="4" w:space="0" w:color="845E05"/>
              <w:right w:val="single" w:sz="4" w:space="0" w:color="845E05"/>
            </w:tcBorders>
            <w:vAlign w:val="center"/>
          </w:tcPr>
          <w:p w:rsidR="00CD5232" w:rsidRPr="002F44EF" w:rsidRDefault="00CD5232" w:rsidP="003E00FC">
            <w:pPr>
              <w:pStyle w:val="Table-bodytext"/>
              <w:keepNext/>
              <w:jc w:val="right"/>
            </w:pPr>
            <w:r>
              <w:rPr>
                <w:bCs/>
                <w:color w:val="000000"/>
                <w:szCs w:val="22"/>
              </w:rPr>
              <w:t>17.661</w:t>
            </w:r>
          </w:p>
        </w:tc>
        <w:tc>
          <w:tcPr>
            <w:tcW w:w="1255" w:type="dxa"/>
            <w:vMerge w:val="restart"/>
            <w:tcBorders>
              <w:top w:val="single" w:sz="4" w:space="0" w:color="845E05"/>
              <w:left w:val="single" w:sz="4" w:space="0" w:color="845E05"/>
              <w:bottom w:val="single" w:sz="4" w:space="0" w:color="845E05"/>
              <w:right w:val="single" w:sz="4" w:space="0" w:color="845E05"/>
            </w:tcBorders>
            <w:vAlign w:val="center"/>
          </w:tcPr>
          <w:p w:rsidR="00CD5232" w:rsidRPr="00824AE4" w:rsidRDefault="00026D7C" w:rsidP="003E00FC">
            <w:pPr>
              <w:pStyle w:val="Table-bodytext"/>
              <w:keepNext/>
              <w:jc w:val="right"/>
            </w:pPr>
            <w:r>
              <w:t>–</w:t>
            </w:r>
            <w:r w:rsidR="00CD5232" w:rsidRPr="00824AE4">
              <w:t>$9</w:t>
            </w:r>
            <w:r w:rsidR="00CD5232">
              <w:t>8</w:t>
            </w:r>
          </w:p>
          <w:p w:rsidR="00CD5232" w:rsidRPr="00824AE4" w:rsidRDefault="00CD5232" w:rsidP="00026D7C">
            <w:pPr>
              <w:pStyle w:val="Table-bodytext"/>
              <w:keepNext/>
              <w:jc w:val="right"/>
            </w:pPr>
            <w:r w:rsidRPr="00824AE4">
              <w:t>(</w:t>
            </w:r>
            <w:r w:rsidR="00026D7C">
              <w:t>–</w:t>
            </w:r>
            <w:r w:rsidRPr="00824AE4">
              <w:t>$62</w:t>
            </w:r>
            <w:r>
              <w:t>7</w:t>
            </w:r>
            <w:r w:rsidRPr="00824AE4">
              <w:t xml:space="preserve"> </w:t>
            </w:r>
            <w:r w:rsidR="00026D7C">
              <w:t>–</w:t>
            </w:r>
            <w:r w:rsidRPr="00824AE4">
              <w:t xml:space="preserve"> $2</w:t>
            </w:r>
            <w:r>
              <w:t>19</w:t>
            </w:r>
            <w:r w:rsidRPr="00824AE4">
              <w:t>) </w:t>
            </w:r>
          </w:p>
        </w:tc>
        <w:tc>
          <w:tcPr>
            <w:tcW w:w="1133" w:type="dxa"/>
            <w:vMerge w:val="restart"/>
            <w:tcBorders>
              <w:top w:val="single" w:sz="4" w:space="0" w:color="845E05"/>
              <w:left w:val="single" w:sz="4" w:space="0" w:color="845E05"/>
              <w:bottom w:val="single" w:sz="4" w:space="0" w:color="845E05"/>
              <w:right w:val="single" w:sz="4" w:space="0" w:color="845E05"/>
            </w:tcBorders>
            <w:vAlign w:val="center"/>
          </w:tcPr>
          <w:p w:rsidR="00CD5232" w:rsidRPr="00824AE4" w:rsidRDefault="00CD5232" w:rsidP="003E00FC">
            <w:pPr>
              <w:pStyle w:val="Table-bodytext"/>
              <w:keepNext/>
              <w:jc w:val="right"/>
              <w:rPr>
                <w:b/>
                <w:color w:val="7B5E05"/>
                <w:sz w:val="50"/>
              </w:rPr>
            </w:pPr>
            <w:r w:rsidRPr="00824AE4">
              <w:t>0.07</w:t>
            </w:r>
            <w:r>
              <w:t>30</w:t>
            </w:r>
          </w:p>
          <w:p w:rsidR="00CD5232" w:rsidRPr="00824AE4" w:rsidRDefault="00CD5232" w:rsidP="00026D7C">
            <w:pPr>
              <w:pStyle w:val="Table-bodytext"/>
              <w:keepNext/>
              <w:jc w:val="right"/>
              <w:rPr>
                <w:b/>
                <w:color w:val="7B5E05"/>
                <w:sz w:val="50"/>
              </w:rPr>
            </w:pPr>
            <w:r w:rsidRPr="00824AE4">
              <w:t>(0.045</w:t>
            </w:r>
            <w:r>
              <w:t>1</w:t>
            </w:r>
            <w:r w:rsidRPr="00824AE4">
              <w:t xml:space="preserve"> </w:t>
            </w:r>
            <w:r w:rsidR="00026D7C">
              <w:t>–</w:t>
            </w:r>
            <w:r w:rsidRPr="00824AE4">
              <w:t xml:space="preserve"> 0.1</w:t>
            </w:r>
            <w:r>
              <w:t>084</w:t>
            </w:r>
            <w:r w:rsidRPr="00824AE4">
              <w:t>) </w:t>
            </w:r>
          </w:p>
        </w:tc>
        <w:tc>
          <w:tcPr>
            <w:tcW w:w="1809" w:type="dxa"/>
            <w:vMerge w:val="restart"/>
            <w:tcBorders>
              <w:top w:val="single" w:sz="4" w:space="0" w:color="845E05"/>
              <w:left w:val="single" w:sz="4" w:space="0" w:color="845E05"/>
              <w:bottom w:val="single" w:sz="4" w:space="0" w:color="845E05"/>
            </w:tcBorders>
            <w:vAlign w:val="center"/>
          </w:tcPr>
          <w:p w:rsidR="00CD5232" w:rsidRDefault="00CD5232" w:rsidP="003E00FC">
            <w:pPr>
              <w:pStyle w:val="Table-bodytext"/>
              <w:keepNext/>
              <w:jc w:val="right"/>
              <w:rPr>
                <w:b/>
                <w:color w:val="7B5E05"/>
                <w:sz w:val="50"/>
              </w:rPr>
            </w:pPr>
            <w:r>
              <w:t>Dominates*</w:t>
            </w:r>
          </w:p>
          <w:p w:rsidR="00CD5232" w:rsidRPr="00824AE4" w:rsidRDefault="00CD5232" w:rsidP="00026D7C">
            <w:pPr>
              <w:pStyle w:val="Table-bodytext"/>
              <w:keepNext/>
              <w:jc w:val="right"/>
              <w:rPr>
                <w:b/>
                <w:color w:val="7B5E05"/>
                <w:sz w:val="50"/>
              </w:rPr>
            </w:pPr>
            <w:r>
              <w:t>(</w:t>
            </w:r>
            <w:r w:rsidR="00026D7C">
              <w:t>–</w:t>
            </w:r>
            <w:r>
              <w:t xml:space="preserve">$5,786 </w:t>
            </w:r>
            <w:r w:rsidR="00026D7C">
              <w:t>–</w:t>
            </w:r>
            <w:r>
              <w:t xml:space="preserve"> $4,850)</w:t>
            </w:r>
          </w:p>
        </w:tc>
      </w:tr>
      <w:tr w:rsidR="00CD5232" w:rsidRPr="00824AE4">
        <w:tblPrEx>
          <w:tblLook w:val="04A0" w:firstRow="1" w:lastRow="0" w:firstColumn="1" w:lastColumn="0" w:noHBand="0" w:noVBand="1"/>
        </w:tblPrEx>
        <w:trPr>
          <w:trHeight w:val="315"/>
        </w:trPr>
        <w:tc>
          <w:tcPr>
            <w:tcW w:w="1348" w:type="dxa"/>
            <w:tcBorders>
              <w:top w:val="single" w:sz="4" w:space="0" w:color="845E05"/>
              <w:bottom w:val="single" w:sz="4" w:space="0" w:color="845E05"/>
              <w:right w:val="single" w:sz="4" w:space="0" w:color="845E05"/>
            </w:tcBorders>
          </w:tcPr>
          <w:p w:rsidR="00CD5232" w:rsidRPr="002F44EF" w:rsidRDefault="00CD5232" w:rsidP="003E00FC">
            <w:pPr>
              <w:pStyle w:val="Table-bodytext"/>
              <w:keepNext/>
            </w:pPr>
            <w:r w:rsidRPr="002F44EF">
              <w:t>Screening</w:t>
            </w:r>
          </w:p>
        </w:tc>
        <w:tc>
          <w:tcPr>
            <w:tcW w:w="1164" w:type="dxa"/>
            <w:tcBorders>
              <w:top w:val="single" w:sz="4" w:space="0" w:color="845E05"/>
              <w:left w:val="single" w:sz="4" w:space="0" w:color="845E05"/>
              <w:bottom w:val="single" w:sz="4" w:space="0" w:color="845E05"/>
              <w:right w:val="single" w:sz="4" w:space="0" w:color="845E05"/>
            </w:tcBorders>
            <w:vAlign w:val="center"/>
          </w:tcPr>
          <w:p w:rsidR="00CD5232" w:rsidRPr="002F44EF" w:rsidRDefault="00CD5232" w:rsidP="003E00FC">
            <w:pPr>
              <w:pStyle w:val="Table-bodytext"/>
              <w:keepNext/>
              <w:jc w:val="right"/>
            </w:pPr>
            <w:r>
              <w:rPr>
                <w:bCs/>
                <w:color w:val="000000"/>
                <w:szCs w:val="22"/>
              </w:rPr>
              <w:t>$2,544</w:t>
            </w:r>
          </w:p>
        </w:tc>
        <w:tc>
          <w:tcPr>
            <w:tcW w:w="1336" w:type="dxa"/>
            <w:tcBorders>
              <w:top w:val="single" w:sz="4" w:space="0" w:color="845E05"/>
              <w:left w:val="single" w:sz="4" w:space="0" w:color="845E05"/>
              <w:bottom w:val="single" w:sz="4" w:space="0" w:color="845E05"/>
              <w:right w:val="single" w:sz="4" w:space="0" w:color="845E05"/>
            </w:tcBorders>
            <w:vAlign w:val="center"/>
          </w:tcPr>
          <w:p w:rsidR="00CD5232" w:rsidRPr="002F44EF" w:rsidRDefault="00CD5232" w:rsidP="003E00FC">
            <w:pPr>
              <w:pStyle w:val="Table-bodytext"/>
              <w:keepNext/>
              <w:jc w:val="right"/>
            </w:pPr>
            <w:r>
              <w:rPr>
                <w:bCs/>
                <w:color w:val="000000"/>
                <w:szCs w:val="22"/>
              </w:rPr>
              <w:t>17.734</w:t>
            </w:r>
          </w:p>
        </w:tc>
        <w:tc>
          <w:tcPr>
            <w:tcW w:w="1255" w:type="dxa"/>
            <w:vMerge/>
            <w:tcBorders>
              <w:top w:val="single" w:sz="4" w:space="0" w:color="845E05"/>
              <w:left w:val="single" w:sz="4" w:space="0" w:color="845E05"/>
              <w:bottom w:val="single" w:sz="4" w:space="0" w:color="845E05"/>
              <w:right w:val="single" w:sz="4" w:space="0" w:color="845E05"/>
            </w:tcBorders>
            <w:vAlign w:val="center"/>
          </w:tcPr>
          <w:p w:rsidR="00CD5232" w:rsidRPr="00824AE4" w:rsidRDefault="00CD5232" w:rsidP="003E00FC">
            <w:pPr>
              <w:pStyle w:val="Table-bodytext"/>
              <w:keepNext/>
              <w:jc w:val="right"/>
            </w:pPr>
          </w:p>
        </w:tc>
        <w:tc>
          <w:tcPr>
            <w:tcW w:w="1133" w:type="dxa"/>
            <w:vMerge/>
            <w:tcBorders>
              <w:top w:val="single" w:sz="4" w:space="0" w:color="845E05"/>
              <w:left w:val="single" w:sz="4" w:space="0" w:color="845E05"/>
              <w:bottom w:val="single" w:sz="4" w:space="0" w:color="845E05"/>
              <w:right w:val="single" w:sz="4" w:space="0" w:color="845E05"/>
            </w:tcBorders>
            <w:vAlign w:val="center"/>
          </w:tcPr>
          <w:p w:rsidR="00CD5232" w:rsidRPr="00824AE4" w:rsidRDefault="00CD5232" w:rsidP="003E00FC">
            <w:pPr>
              <w:pStyle w:val="Table-bodytext"/>
              <w:keepNext/>
              <w:jc w:val="right"/>
            </w:pPr>
          </w:p>
        </w:tc>
        <w:tc>
          <w:tcPr>
            <w:tcW w:w="1809" w:type="dxa"/>
            <w:vMerge/>
            <w:tcBorders>
              <w:top w:val="single" w:sz="4" w:space="0" w:color="845E05"/>
              <w:left w:val="single" w:sz="4" w:space="0" w:color="845E05"/>
              <w:bottom w:val="single" w:sz="4" w:space="0" w:color="845E05"/>
            </w:tcBorders>
            <w:vAlign w:val="center"/>
          </w:tcPr>
          <w:p w:rsidR="00CD5232" w:rsidRPr="00824AE4" w:rsidRDefault="00CD5232" w:rsidP="003E00FC">
            <w:pPr>
              <w:pStyle w:val="Table-bodytext"/>
              <w:keepNext/>
              <w:jc w:val="right"/>
            </w:pPr>
          </w:p>
        </w:tc>
      </w:tr>
    </w:tbl>
    <w:p w:rsidR="00EA3BEB" w:rsidRDefault="00026D7C" w:rsidP="00EA3BEB">
      <w:r>
        <w:t>T</w:t>
      </w:r>
      <w:r w:rsidR="00CD5232">
        <w:t xml:space="preserve">able </w:t>
      </w:r>
      <w:r w:rsidR="00F70465">
        <w:t>9</w:t>
      </w:r>
      <w:r>
        <w:t xml:space="preserve"> </w:t>
      </w:r>
      <w:r w:rsidR="00F36573">
        <w:t>summarises the</w:t>
      </w:r>
      <w:r>
        <w:t xml:space="preserve"> cost-</w:t>
      </w:r>
      <w:r w:rsidR="00EA3BEB">
        <w:t>effectiveness results for the pilot configuration of screening, and a number of alternative scenarios.</w:t>
      </w:r>
    </w:p>
    <w:p w:rsidR="00EA3BEB" w:rsidRDefault="00F70465" w:rsidP="006179C7">
      <w:pPr>
        <w:numPr>
          <w:ilvl w:val="0"/>
          <w:numId w:val="7"/>
        </w:numPr>
        <w:autoSpaceDE w:val="0"/>
        <w:autoSpaceDN w:val="0"/>
        <w:adjustRightInd w:val="0"/>
        <w:spacing w:before="120"/>
        <w:ind w:left="1134" w:hanging="425"/>
        <w:rPr>
          <w:lang w:eastAsia="ar-SA"/>
        </w:rPr>
      </w:pPr>
      <w:r>
        <w:rPr>
          <w:lang w:eastAsia="ar-SA"/>
        </w:rPr>
        <w:t>T</w:t>
      </w:r>
      <w:r w:rsidR="00EA3BEB">
        <w:rPr>
          <w:lang w:eastAsia="ar-SA"/>
        </w:rPr>
        <w:t xml:space="preserve">able </w:t>
      </w:r>
      <w:r>
        <w:rPr>
          <w:lang w:eastAsia="ar-SA"/>
        </w:rPr>
        <w:t xml:space="preserve">9 </w:t>
      </w:r>
      <w:r w:rsidR="00EA3BEB">
        <w:rPr>
          <w:lang w:eastAsia="ar-SA"/>
        </w:rPr>
        <w:t>is sorted in order of decreasing cost effectiveness, indicated by the average cost per average QALY column</w:t>
      </w:r>
      <w:r w:rsidR="00026D7C">
        <w:rPr>
          <w:lang w:eastAsia="ar-SA"/>
        </w:rPr>
        <w:t>.</w:t>
      </w:r>
    </w:p>
    <w:p w:rsidR="00EA3BEB" w:rsidRDefault="00EA3BEB" w:rsidP="006179C7">
      <w:pPr>
        <w:numPr>
          <w:ilvl w:val="0"/>
          <w:numId w:val="7"/>
        </w:numPr>
        <w:autoSpaceDE w:val="0"/>
        <w:autoSpaceDN w:val="0"/>
        <w:adjustRightInd w:val="0"/>
        <w:spacing w:before="120"/>
        <w:ind w:left="1134" w:hanging="425"/>
        <w:rPr>
          <w:lang w:eastAsia="ar-SA"/>
        </w:rPr>
      </w:pPr>
      <w:r>
        <w:rPr>
          <w:lang w:eastAsia="ar-SA"/>
        </w:rPr>
        <w:t xml:space="preserve">The base scenario implemented in the pilot, </w:t>
      </w:r>
      <w:r w:rsidR="00CD5232">
        <w:rPr>
          <w:lang w:eastAsia="ar-SA"/>
        </w:rPr>
        <w:t xml:space="preserve">is </w:t>
      </w:r>
      <w:r>
        <w:rPr>
          <w:lang w:eastAsia="ar-SA"/>
        </w:rPr>
        <w:t xml:space="preserve">indicated </w:t>
      </w:r>
      <w:r w:rsidR="00CD5232">
        <w:rPr>
          <w:lang w:eastAsia="ar-SA"/>
        </w:rPr>
        <w:t>by</w:t>
      </w:r>
      <w:r>
        <w:rPr>
          <w:lang w:eastAsia="ar-SA"/>
        </w:rPr>
        <w:t xml:space="preserve"> the highlighted row.</w:t>
      </w:r>
    </w:p>
    <w:p w:rsidR="00EA3BEB" w:rsidRDefault="00EA3BEB" w:rsidP="006179C7">
      <w:pPr>
        <w:numPr>
          <w:ilvl w:val="0"/>
          <w:numId w:val="7"/>
        </w:numPr>
        <w:autoSpaceDE w:val="0"/>
        <w:autoSpaceDN w:val="0"/>
        <w:adjustRightInd w:val="0"/>
        <w:spacing w:before="120"/>
        <w:ind w:left="1134" w:hanging="425"/>
        <w:rPr>
          <w:lang w:eastAsia="ar-SA"/>
        </w:rPr>
      </w:pPr>
      <w:r>
        <w:rPr>
          <w:lang w:eastAsia="ar-SA"/>
        </w:rPr>
        <w:t>Alternative scenarios considered here vary the hypothetical implementation of screening with differing participation rates (varying from 50% to 100%), and differing cut</w:t>
      </w:r>
      <w:r w:rsidR="00026D7C">
        <w:rPr>
          <w:lang w:eastAsia="ar-SA"/>
        </w:rPr>
        <w:t>-</w:t>
      </w:r>
      <w:r>
        <w:rPr>
          <w:lang w:eastAsia="ar-SA"/>
        </w:rPr>
        <w:t>offs for the iFOBT test.  The base case cut</w:t>
      </w:r>
      <w:r w:rsidR="00026D7C">
        <w:rPr>
          <w:lang w:eastAsia="ar-SA"/>
        </w:rPr>
        <w:t>-</w:t>
      </w:r>
      <w:r>
        <w:rPr>
          <w:lang w:eastAsia="ar-SA"/>
        </w:rPr>
        <w:t>off is 75ng.  Alternative scenarios range up to a cut</w:t>
      </w:r>
      <w:r w:rsidR="00026D7C">
        <w:rPr>
          <w:lang w:eastAsia="ar-SA"/>
        </w:rPr>
        <w:t>-</w:t>
      </w:r>
      <w:r>
        <w:rPr>
          <w:lang w:eastAsia="ar-SA"/>
        </w:rPr>
        <w:t>off of 250ng.  We have explored scenarios for different age bands for the invited population.</w:t>
      </w:r>
    </w:p>
    <w:p w:rsidR="00EA3BEB" w:rsidRDefault="00CD5232" w:rsidP="00CD5232">
      <w:pPr>
        <w:rPr>
          <w:lang w:eastAsia="ar-SA"/>
        </w:rPr>
      </w:pPr>
      <w:r>
        <w:rPr>
          <w:lang w:eastAsia="ar-SA"/>
        </w:rPr>
        <w:t xml:space="preserve">All of the scenarios resulted in similar cost-effectiveness results. The best estimate of each scenario falls within the estimated cost-effectiveness range of the base scenario </w:t>
      </w:r>
      <w:r w:rsidR="00E94D89">
        <w:rPr>
          <w:lang w:eastAsia="ar-SA"/>
        </w:rPr>
        <w:t>which reflects</w:t>
      </w:r>
      <w:r>
        <w:rPr>
          <w:lang w:eastAsia="ar-SA"/>
        </w:rPr>
        <w:t xml:space="preserve"> the pilot implementation of screening.</w:t>
      </w:r>
      <w:r w:rsidR="00E94D89">
        <w:rPr>
          <w:lang w:eastAsia="ar-SA"/>
        </w:rPr>
        <w:t xml:space="preserve">  The range of uncertainty in the estimate is much larger than the range of differneces between the point best e</w:t>
      </w:r>
      <w:r w:rsidR="00026D7C">
        <w:rPr>
          <w:lang w:eastAsia="ar-SA"/>
        </w:rPr>
        <w:t>s</w:t>
      </w:r>
      <w:r w:rsidR="00E94D89">
        <w:rPr>
          <w:lang w:eastAsia="ar-SA"/>
        </w:rPr>
        <w:t>timates, suggesting that there is little measurable difference in cost effectiveness across the different scenarios.</w:t>
      </w:r>
    </w:p>
    <w:p w:rsidR="00842CF1" w:rsidRPr="002F6579" w:rsidRDefault="00842CF1" w:rsidP="002F6579">
      <w:pPr>
        <w:pStyle w:val="Tableheading"/>
        <w:rPr>
          <w:lang w:eastAsia="ar-SA"/>
        </w:rPr>
      </w:pPr>
      <w:r>
        <w:rPr>
          <w:lang w:eastAsia="ar-SA"/>
        </w:rPr>
        <w:t xml:space="preserve">Table </w:t>
      </w:r>
      <w:r w:rsidR="00F70465">
        <w:rPr>
          <w:lang w:eastAsia="ar-SA"/>
        </w:rPr>
        <w:t>9</w:t>
      </w:r>
      <w:r>
        <w:rPr>
          <w:lang w:eastAsia="ar-SA"/>
        </w:rPr>
        <w:t>: Cost effectiveness for different implementation scenarios</w:t>
      </w:r>
    </w:p>
    <w:p w:rsidR="00CD62BB" w:rsidRDefault="00CD62BB" w:rsidP="00CD5232">
      <w:pPr>
        <w:sectPr w:rsidR="00CD62BB">
          <w:pgSz w:w="11909" w:h="16834" w:code="9"/>
          <w:pgMar w:top="1701" w:right="1134" w:bottom="1701" w:left="1134" w:header="567" w:footer="567" w:gutter="0"/>
          <w:cols w:space="720"/>
        </w:sectPr>
      </w:pPr>
      <w:r>
        <w:rPr>
          <w:noProof/>
          <w:lang w:eastAsia="en-NZ"/>
        </w:rPr>
        <w:drawing>
          <wp:inline distT="0" distB="0" distL="0" distR="0">
            <wp:extent cx="5108575" cy="25425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08575" cy="2542540"/>
                    </a:xfrm>
                    <a:prstGeom prst="rect">
                      <a:avLst/>
                    </a:prstGeom>
                    <a:noFill/>
                  </pic:spPr>
                </pic:pic>
              </a:graphicData>
            </a:graphic>
          </wp:inline>
        </w:drawing>
      </w:r>
    </w:p>
    <w:p w:rsidR="00EA3BEB" w:rsidRDefault="00EA3BEB" w:rsidP="002F6579">
      <w:pPr>
        <w:ind w:left="0"/>
      </w:pPr>
      <w:r>
        <w:t>Key elements of these results are:</w:t>
      </w:r>
    </w:p>
    <w:p w:rsidR="006B1E87" w:rsidRDefault="00F72880" w:rsidP="006B1E87">
      <w:pPr>
        <w:numPr>
          <w:ilvl w:val="0"/>
          <w:numId w:val="7"/>
        </w:numPr>
        <w:autoSpaceDE w:val="0"/>
        <w:autoSpaceDN w:val="0"/>
        <w:adjustRightInd w:val="0"/>
        <w:spacing w:before="120"/>
        <w:ind w:left="1134" w:hanging="425"/>
        <w:rPr>
          <w:lang w:eastAsia="ar-SA"/>
        </w:rPr>
      </w:pPr>
      <w:r w:rsidRPr="006E25AD">
        <w:rPr>
          <w:lang w:eastAsia="ar-SA"/>
        </w:rPr>
        <w:t xml:space="preserve">In absolute terms, screening dominates </w:t>
      </w:r>
      <w:r>
        <w:rPr>
          <w:lang w:eastAsia="ar-SA"/>
        </w:rPr>
        <w:t xml:space="preserve">non-screening </w:t>
      </w:r>
      <w:r w:rsidRPr="006E25AD">
        <w:rPr>
          <w:lang w:eastAsia="ar-SA"/>
        </w:rPr>
        <w:t xml:space="preserve">for most scenarios.  This means that bowel screening is cost saving in absolute terms, while still bringing health benefits.  </w:t>
      </w:r>
      <w:r w:rsidR="006B1E87">
        <w:rPr>
          <w:lang w:eastAsia="ar-SA"/>
        </w:rPr>
        <w:t>This result is driven by the savings from avoided costs of treating cancer being large enough to outweigh the costs of screening.  This makes bowel screening an exceptionally cost effective health intervention, given that it both reduces health costs and produces benefits for the population. But even for those scenarios where there is a positive incremental cost per QALY, the cost is low.  Compared to average levels of cost per QALY funded by PHARMAC in the rang</w:t>
      </w:r>
      <w:r w:rsidR="00026D7C">
        <w:rPr>
          <w:lang w:eastAsia="ar-SA"/>
        </w:rPr>
        <w:t>e of $16,000 to $45,000, a cost-</w:t>
      </w:r>
      <w:r w:rsidR="006B1E87">
        <w:rPr>
          <w:lang w:eastAsia="ar-SA"/>
        </w:rPr>
        <w:t>effectiveness result of less than $</w:t>
      </w:r>
      <w:r>
        <w:rPr>
          <w:lang w:eastAsia="ar-SA"/>
        </w:rPr>
        <w:t>1</w:t>
      </w:r>
      <w:r w:rsidR="006B1E87">
        <w:rPr>
          <w:lang w:eastAsia="ar-SA"/>
        </w:rPr>
        <w:t xml:space="preserve">,000 per QALY makes bowel screening highly cost effective compared to many other health interventions.  </w:t>
      </w:r>
    </w:p>
    <w:p w:rsidR="006B1E87" w:rsidRDefault="006B1E87" w:rsidP="006B1E87">
      <w:pPr>
        <w:numPr>
          <w:ilvl w:val="0"/>
          <w:numId w:val="7"/>
        </w:numPr>
        <w:autoSpaceDE w:val="0"/>
        <w:autoSpaceDN w:val="0"/>
        <w:adjustRightInd w:val="0"/>
        <w:spacing w:before="120"/>
        <w:ind w:left="1134" w:hanging="425"/>
        <w:rPr>
          <w:lang w:eastAsia="ar-SA"/>
        </w:rPr>
      </w:pPr>
      <w:r>
        <w:rPr>
          <w:lang w:eastAsia="ar-SA"/>
        </w:rPr>
        <w:t>Narrowing age bands for the eligible population improves the nominal cost</w:t>
      </w:r>
      <w:r w:rsidR="00026D7C">
        <w:rPr>
          <w:lang w:eastAsia="ar-SA"/>
        </w:rPr>
        <w:t xml:space="preserve"> effectiveness of the programme</w:t>
      </w:r>
      <w:r>
        <w:rPr>
          <w:lang w:eastAsia="ar-SA"/>
        </w:rPr>
        <w:t>, although it decreases the absolute effectiveness across the population. This is because a narrower age band results in fewer screening episodes per person (reducing the cost of screening).  Under this scenario the reduced cost of screening outweighs the reduced benefit of the programme, although in absolute terms fewer cancers and cancer deaths are avoided.</w:t>
      </w:r>
    </w:p>
    <w:p w:rsidR="006B1E87" w:rsidRDefault="006B1E87" w:rsidP="006B1E87">
      <w:pPr>
        <w:numPr>
          <w:ilvl w:val="0"/>
          <w:numId w:val="7"/>
        </w:numPr>
        <w:autoSpaceDE w:val="0"/>
        <w:autoSpaceDN w:val="0"/>
        <w:adjustRightInd w:val="0"/>
        <w:spacing w:before="120"/>
        <w:ind w:left="1134" w:hanging="425"/>
        <w:rPr>
          <w:lang w:eastAsia="ar-SA"/>
        </w:rPr>
      </w:pPr>
      <w:r>
        <w:rPr>
          <w:lang w:eastAsia="ar-SA"/>
        </w:rPr>
        <w:t>The impact of age bands upon overall cost effectiveness dominates the other variables we have explored in these scenarios.</w:t>
      </w:r>
    </w:p>
    <w:p w:rsidR="006B1E87" w:rsidRDefault="006B1E87" w:rsidP="006B1E87">
      <w:pPr>
        <w:numPr>
          <w:ilvl w:val="0"/>
          <w:numId w:val="7"/>
        </w:numPr>
        <w:autoSpaceDE w:val="0"/>
        <w:autoSpaceDN w:val="0"/>
        <w:adjustRightInd w:val="0"/>
        <w:spacing w:before="120"/>
        <w:ind w:left="1134" w:hanging="425"/>
        <w:rPr>
          <w:lang w:eastAsia="ar-SA"/>
        </w:rPr>
      </w:pPr>
      <w:r>
        <w:rPr>
          <w:lang w:eastAsia="ar-SA"/>
        </w:rPr>
        <w:t>Increasing the participation rate improves the cost</w:t>
      </w:r>
      <w:r w:rsidR="00026D7C">
        <w:rPr>
          <w:lang w:eastAsia="ar-SA"/>
        </w:rPr>
        <w:t xml:space="preserve"> </w:t>
      </w:r>
      <w:r>
        <w:rPr>
          <w:lang w:eastAsia="ar-SA"/>
        </w:rPr>
        <w:t>effectiveness. A higher participation rate results in increased net savings and increased QALY gains. Although the cost of screening increases with increased participation rates, the cost-offsets increase at a greater rate which leads to an increase in net savings.</w:t>
      </w:r>
    </w:p>
    <w:p w:rsidR="00EA3BEB" w:rsidRDefault="006B1E87" w:rsidP="006B1E87">
      <w:pPr>
        <w:numPr>
          <w:ilvl w:val="0"/>
          <w:numId w:val="7"/>
        </w:numPr>
        <w:autoSpaceDE w:val="0"/>
        <w:autoSpaceDN w:val="0"/>
        <w:adjustRightInd w:val="0"/>
        <w:spacing w:before="120"/>
        <w:ind w:left="1134" w:hanging="425"/>
        <w:rPr>
          <w:lang w:eastAsia="ar-SA"/>
        </w:rPr>
      </w:pPr>
      <w:r>
        <w:rPr>
          <w:lang w:eastAsia="ar-SA"/>
        </w:rPr>
        <w:t xml:space="preserve">A lower </w:t>
      </w:r>
      <w:r w:rsidR="00842CF1">
        <w:rPr>
          <w:lang w:eastAsia="ar-SA"/>
        </w:rPr>
        <w:t>i</w:t>
      </w:r>
      <w:r>
        <w:rPr>
          <w:lang w:eastAsia="ar-SA"/>
        </w:rPr>
        <w:t>F</w:t>
      </w:r>
      <w:r w:rsidR="00842CF1">
        <w:rPr>
          <w:lang w:eastAsia="ar-SA"/>
        </w:rPr>
        <w:t>OB</w:t>
      </w:r>
      <w:r>
        <w:rPr>
          <w:lang w:eastAsia="ar-SA"/>
        </w:rPr>
        <w:t>T cut</w:t>
      </w:r>
      <w:r w:rsidR="002A6792">
        <w:rPr>
          <w:lang w:eastAsia="ar-SA"/>
        </w:rPr>
        <w:t>-</w:t>
      </w:r>
      <w:r>
        <w:rPr>
          <w:lang w:eastAsia="ar-SA"/>
        </w:rPr>
        <w:t>off is more cost effective than a high cut</w:t>
      </w:r>
      <w:r w:rsidR="002A6792">
        <w:rPr>
          <w:lang w:eastAsia="ar-SA"/>
        </w:rPr>
        <w:t>-</w:t>
      </w:r>
      <w:r>
        <w:rPr>
          <w:lang w:eastAsia="ar-SA"/>
        </w:rPr>
        <w:t>off.  This is driven by the high avoided cost of cancers, where a higher cut</w:t>
      </w:r>
      <w:r w:rsidR="002A6792">
        <w:rPr>
          <w:lang w:eastAsia="ar-SA"/>
        </w:rPr>
        <w:t>-</w:t>
      </w:r>
      <w:r>
        <w:rPr>
          <w:lang w:eastAsia="ar-SA"/>
        </w:rPr>
        <w:t>off leads to fewer avoided cancers and therefore smaller gains, which outweigh the decreased cost of colonoscopy as the cut</w:t>
      </w:r>
      <w:r w:rsidR="002A6792">
        <w:rPr>
          <w:lang w:eastAsia="ar-SA"/>
        </w:rPr>
        <w:t>-</w:t>
      </w:r>
      <w:r>
        <w:rPr>
          <w:lang w:eastAsia="ar-SA"/>
        </w:rPr>
        <w:t>off rises.</w:t>
      </w:r>
    </w:p>
    <w:p w:rsidR="00EA3BEB" w:rsidRDefault="002A6792" w:rsidP="000E0E57">
      <w:r w:rsidRPr="00F70465">
        <w:t xml:space="preserve">Figure </w:t>
      </w:r>
      <w:r w:rsidR="00F70465">
        <w:t>7</w:t>
      </w:r>
      <w:r w:rsidR="00EA3BEB" w:rsidRPr="00F70465">
        <w:t xml:space="preserve"> shows the reduction in people with cancer by age of diagnosis under the</w:t>
      </w:r>
      <w:r w:rsidR="00EA3BEB">
        <w:t xml:space="preserve"> screening parameters as implemented in the pilot.  There is a bolus effect at the time that screening is begun (age 50), with an increased number of cases diagnosed compared to a base scenario with no screening.</w:t>
      </w:r>
    </w:p>
    <w:p w:rsidR="00F72880" w:rsidRPr="00100461" w:rsidRDefault="00842CF1" w:rsidP="00F72880">
      <w:pPr>
        <w:pStyle w:val="Figure"/>
        <w:ind w:left="709" w:firstLine="0"/>
      </w:pPr>
      <w:r>
        <w:t>Figure</w:t>
      </w:r>
      <w:r w:rsidR="00F70465">
        <w:t xml:space="preserve"> 7</w:t>
      </w:r>
      <w:r>
        <w:t xml:space="preserve">: </w:t>
      </w:r>
      <w:r w:rsidR="00F72880" w:rsidRPr="006E25AD">
        <w:t>Diagnoses of cancers by age of diagnosis</w:t>
      </w:r>
      <w:r>
        <w:t xml:space="preserve">, </w:t>
      </w:r>
      <w:r w:rsidR="00F72880" w:rsidRPr="006E25AD">
        <w:t>cohort followed to age 84</w:t>
      </w:r>
      <w:r>
        <w:t xml:space="preserve">, </w:t>
      </w:r>
      <w:r w:rsidR="00F72880" w:rsidRPr="00100461">
        <w:t>whole population</w:t>
      </w:r>
    </w:p>
    <w:p w:rsidR="006B1E87" w:rsidRDefault="00F72880" w:rsidP="00EA3BEB">
      <w:r>
        <w:rPr>
          <w:noProof/>
          <w:lang w:eastAsia="en-NZ"/>
        </w:rPr>
        <w:drawing>
          <wp:inline distT="0" distB="0" distL="0" distR="0">
            <wp:extent cx="4938395" cy="27127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38395" cy="2712720"/>
                    </a:xfrm>
                    <a:prstGeom prst="rect">
                      <a:avLst/>
                    </a:prstGeom>
                    <a:noFill/>
                  </pic:spPr>
                </pic:pic>
              </a:graphicData>
            </a:graphic>
          </wp:inline>
        </w:drawing>
      </w:r>
    </w:p>
    <w:p w:rsidR="00EA3BEB" w:rsidRDefault="00EA3BEB" w:rsidP="00EA3BEB"/>
    <w:p w:rsidR="006B1E87" w:rsidRDefault="002A6792" w:rsidP="00EA3BEB">
      <w:r w:rsidRPr="00F70465">
        <w:t xml:space="preserve">Figure </w:t>
      </w:r>
      <w:r w:rsidR="00F70465">
        <w:t>8</w:t>
      </w:r>
      <w:r w:rsidR="006B1E87" w:rsidRPr="00F70465">
        <w:t xml:space="preserve"> summarises the reduction in cancer achieved with different age groups invited to</w:t>
      </w:r>
      <w:r w:rsidR="006B1E87" w:rsidRPr="006B1E87">
        <w:t xml:space="preserve"> screening.  While the cost effectiveness of using narrower age bands is generally improved, the absolute impact of using narrower bands is decreased, as fewer cancers are avoided across the population. The top line represents the number of cancers diagnosed without screening, by age. The lower lines represent the number of cancers with screening, </w:t>
      </w:r>
      <w:r w:rsidR="00F72880" w:rsidRPr="00100461">
        <w:t xml:space="preserve">with </w:t>
      </w:r>
      <w:r w:rsidR="00F72880">
        <w:t xml:space="preserve">the </w:t>
      </w:r>
      <w:r w:rsidR="00F72880" w:rsidRPr="00100461">
        <w:t>50</w:t>
      </w:r>
      <w:r>
        <w:t>–</w:t>
      </w:r>
      <w:r w:rsidR="00F72880" w:rsidRPr="00100461">
        <w:t xml:space="preserve">74 </w:t>
      </w:r>
      <w:r w:rsidR="00F72880">
        <w:t xml:space="preserve">scenario </w:t>
      </w:r>
      <w:r w:rsidR="00F72880" w:rsidRPr="00100461">
        <w:t>represented by the lower line due to the greater reduction in cancers.</w:t>
      </w:r>
    </w:p>
    <w:p w:rsidR="00F72880" w:rsidRPr="00842CF1" w:rsidRDefault="00842CF1" w:rsidP="00381C3F">
      <w:pPr>
        <w:pStyle w:val="Figure"/>
      </w:pPr>
      <w:r w:rsidRPr="00842CF1">
        <w:t xml:space="preserve">Figure </w:t>
      </w:r>
      <w:r w:rsidR="00F70465">
        <w:t>8</w:t>
      </w:r>
      <w:r w:rsidRPr="00842CF1">
        <w:t xml:space="preserve">: </w:t>
      </w:r>
      <w:r w:rsidR="00F72880" w:rsidRPr="00842CF1">
        <w:t>Diagnoses of cancers by age of diagnosis</w:t>
      </w:r>
      <w:r w:rsidRPr="00842CF1">
        <w:t xml:space="preserve">, </w:t>
      </w:r>
      <w:r w:rsidR="00F72880" w:rsidRPr="00842CF1">
        <w:t>cohort followed to age 84</w:t>
      </w:r>
      <w:r w:rsidRPr="00842CF1">
        <w:t xml:space="preserve">, </w:t>
      </w:r>
      <w:r w:rsidR="00F72880" w:rsidRPr="00842CF1">
        <w:t>comparing different age bands</w:t>
      </w:r>
      <w:r w:rsidRPr="00842CF1">
        <w:t xml:space="preserve">, </w:t>
      </w:r>
      <w:r w:rsidR="00F72880" w:rsidRPr="00842CF1">
        <w:t>whole population</w:t>
      </w:r>
    </w:p>
    <w:p w:rsidR="00EA3BEB" w:rsidRDefault="00F72880" w:rsidP="00EA3BEB">
      <w:r>
        <w:rPr>
          <w:noProof/>
          <w:lang w:eastAsia="en-NZ"/>
        </w:rPr>
        <w:drawing>
          <wp:inline distT="0" distB="0" distL="0" distR="0">
            <wp:extent cx="4932045" cy="285940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32045" cy="2859405"/>
                    </a:xfrm>
                    <a:prstGeom prst="rect">
                      <a:avLst/>
                    </a:prstGeom>
                    <a:noFill/>
                  </pic:spPr>
                </pic:pic>
              </a:graphicData>
            </a:graphic>
          </wp:inline>
        </w:drawing>
      </w:r>
    </w:p>
    <w:p w:rsidR="00EA3BEB" w:rsidRPr="004D11C2" w:rsidRDefault="00632BE0" w:rsidP="00632BE0">
      <w:pPr>
        <w:pStyle w:val="Heading2"/>
      </w:pPr>
      <w:bookmarkStart w:id="194" w:name="_Toc457842134"/>
      <w:r>
        <w:t>4.5</w:t>
      </w:r>
      <w:r>
        <w:tab/>
      </w:r>
      <w:r w:rsidR="00EA3BEB" w:rsidRPr="004D11C2">
        <w:t>Summary</w:t>
      </w:r>
      <w:r w:rsidR="002A6792">
        <w:t xml:space="preserve"> of cost-</w:t>
      </w:r>
      <w:r w:rsidR="00EA3BEB" w:rsidRPr="004D11C2">
        <w:t>effectiveness results: M</w:t>
      </w:r>
      <w:r w:rsidR="000F11FA" w:rsidRPr="00632BE0">
        <w:t>ā</w:t>
      </w:r>
      <w:r w:rsidR="00EA3BEB" w:rsidRPr="004D11C2">
        <w:t>ori</w:t>
      </w:r>
      <w:bookmarkEnd w:id="194"/>
    </w:p>
    <w:p w:rsidR="00F72880" w:rsidRDefault="00842CF1" w:rsidP="00F72880">
      <w:r>
        <w:t>The</w:t>
      </w:r>
      <w:r w:rsidR="00F72880">
        <w:t xml:space="preserve"> microsimulation model was calibrated separately to the M</w:t>
      </w:r>
      <w:r w:rsidR="00F72880">
        <w:rPr>
          <w:rFonts w:cs="Arial"/>
        </w:rPr>
        <w:t>ā</w:t>
      </w:r>
      <w:r w:rsidR="00F72880">
        <w:t xml:space="preserve">ori population, </w:t>
      </w:r>
      <w:r>
        <w:t>to enable</w:t>
      </w:r>
      <w:r w:rsidR="00F72880">
        <w:t xml:space="preserve"> subgroup analysis of the effectiveness and cost effectiveness of screening for M</w:t>
      </w:r>
      <w:r w:rsidR="00F72880">
        <w:rPr>
          <w:rFonts w:cs="Arial"/>
        </w:rPr>
        <w:t>ā</w:t>
      </w:r>
      <w:r w:rsidR="00F72880">
        <w:t xml:space="preserve">ori; </w:t>
      </w:r>
      <w:r w:rsidR="002A6792">
        <w:t>that is</w:t>
      </w:r>
      <w:r w:rsidR="00F72880">
        <w:t xml:space="preserve"> </w:t>
      </w:r>
      <w:r>
        <w:t xml:space="preserve">to </w:t>
      </w:r>
      <w:r w:rsidR="00F72880">
        <w:t>estimate M</w:t>
      </w:r>
      <w:r w:rsidR="0099063C">
        <w:rPr>
          <w:rFonts w:cs="Arial"/>
        </w:rPr>
        <w:t>ā</w:t>
      </w:r>
      <w:r w:rsidR="00F72880">
        <w:t xml:space="preserve">ori specific rate of bowel cancer and bowel cancer mortality. </w:t>
      </w:r>
      <w:r w:rsidR="00F72880" w:rsidRPr="00DA29C9">
        <w:t>All other parameters are the same</w:t>
      </w:r>
      <w:r w:rsidR="002A6792">
        <w:t xml:space="preserve"> –</w:t>
      </w:r>
      <w:r w:rsidR="00F72880" w:rsidRPr="00DA29C9">
        <w:t xml:space="preserve"> same per event costs and same participation</w:t>
      </w:r>
      <w:r w:rsidR="00F72880">
        <w:t xml:space="preserve"> as for the whole population model.</w:t>
      </w:r>
    </w:p>
    <w:p w:rsidR="00962C7E" w:rsidRDefault="00962C7E" w:rsidP="00962C7E">
      <w:r w:rsidRPr="00962C7E">
        <w:t xml:space="preserve">The tables below summarise the cost effectiveness of the same range of scenarios analysed above, for the Māori population, and give further details for the base case as implemented in the pilot.  While the broad patterns of cost effectiveness are the same for Māori as for the whole population, the level of cost effectiveness has decreased slightly, with fewer scenarios being cost saving.  </w:t>
      </w:r>
      <w:r w:rsidR="002A6792">
        <w:t>T</w:t>
      </w:r>
      <w:r w:rsidRPr="00962C7E">
        <w:t>he difference of $1</w:t>
      </w:r>
      <w:r w:rsidR="00F72880">
        <w:t>,</w:t>
      </w:r>
      <w:r w:rsidRPr="00962C7E">
        <w:t>697 in cost effectiveness for Māori compared to the whole population in the base scenario implemented in the pilot is a small one, in the context of cost effectiveness results for health interventions more generally.</w:t>
      </w:r>
    </w:p>
    <w:p w:rsidR="00F72880" w:rsidRPr="00535D44" w:rsidRDefault="00F72880" w:rsidP="00381C3F">
      <w:pPr>
        <w:pStyle w:val="Tableheading"/>
      </w:pPr>
      <w:r>
        <w:t xml:space="preserve">Table </w:t>
      </w:r>
      <w:r w:rsidR="0042549B">
        <w:t>10</w:t>
      </w:r>
      <w:r w:rsidR="00842CF1">
        <w:t xml:space="preserve">: </w:t>
      </w:r>
      <w:r w:rsidR="006518FE">
        <w:t>Cost-</w:t>
      </w:r>
      <w:r w:rsidRPr="00100461">
        <w:t>effectiveness results for pilot screening parameters – M</w:t>
      </w:r>
      <w:r w:rsidR="002A6792" w:rsidRPr="00632BE0">
        <w:t>ā</w:t>
      </w:r>
      <w:r w:rsidRPr="00100461">
        <w:t>ori population</w:t>
      </w:r>
    </w:p>
    <w:tbl>
      <w:tblPr>
        <w:tblStyle w:val="TableSapereGrid"/>
        <w:tblW w:w="0" w:type="auto"/>
        <w:tblInd w:w="806" w:type="dxa"/>
        <w:tblLook w:val="0620" w:firstRow="1" w:lastRow="0" w:firstColumn="0" w:lastColumn="0" w:noHBand="1" w:noVBand="1"/>
      </w:tblPr>
      <w:tblGrid>
        <w:gridCol w:w="1850"/>
        <w:gridCol w:w="1334"/>
        <w:gridCol w:w="1524"/>
        <w:gridCol w:w="1329"/>
        <w:gridCol w:w="1448"/>
        <w:gridCol w:w="1350"/>
      </w:tblGrid>
      <w:tr w:rsidR="00F72880" w:rsidRPr="00535D44">
        <w:trPr>
          <w:cnfStyle w:val="100000000000" w:firstRow="1" w:lastRow="0" w:firstColumn="0" w:lastColumn="0" w:oddVBand="0" w:evenVBand="0" w:oddHBand="0" w:evenHBand="0" w:firstRowFirstColumn="0" w:firstRowLastColumn="0" w:lastRowFirstColumn="0" w:lastRowLastColumn="0"/>
          <w:cantSplit/>
        </w:trPr>
        <w:tc>
          <w:tcPr>
            <w:tcW w:w="1871" w:type="dxa"/>
            <w:vMerge w:val="restart"/>
            <w:tcBorders>
              <w:top w:val="single" w:sz="4" w:space="0" w:color="FFFFFF"/>
              <w:left w:val="single" w:sz="4" w:space="0" w:color="FFFFFF" w:themeColor="background1"/>
              <w:bottom w:val="single" w:sz="4" w:space="0" w:color="FFFFFF" w:themeColor="background1"/>
              <w:right w:val="single" w:sz="4" w:space="0" w:color="FFFFFF" w:themeColor="background1"/>
            </w:tcBorders>
          </w:tcPr>
          <w:p w:rsidR="00F72880" w:rsidRPr="00535D44" w:rsidRDefault="00F72880" w:rsidP="003E00FC">
            <w:pPr>
              <w:pStyle w:val="Table-headingrow1"/>
              <w:rPr>
                <w:lang w:val="en-NZ"/>
              </w:rPr>
            </w:pPr>
            <w:r w:rsidRPr="00535D44">
              <w:rPr>
                <w:lang w:val="en-NZ"/>
              </w:rPr>
              <w:t>Treatment</w:t>
            </w:r>
          </w:p>
        </w:tc>
        <w:tc>
          <w:tcPr>
            <w:tcW w:w="1353" w:type="dxa"/>
            <w:vMerge w:val="restart"/>
            <w:tcBorders>
              <w:top w:val="single" w:sz="4" w:space="0" w:color="FFFFFF"/>
              <w:left w:val="single" w:sz="4" w:space="0" w:color="FFFFFF" w:themeColor="background1"/>
              <w:bottom w:val="single" w:sz="4" w:space="0" w:color="FFFFFF" w:themeColor="background1"/>
              <w:right w:val="single" w:sz="4" w:space="0" w:color="FFFFFF" w:themeColor="background1"/>
            </w:tcBorders>
          </w:tcPr>
          <w:p w:rsidR="00F72880" w:rsidRPr="00535D44" w:rsidRDefault="00F72880" w:rsidP="003E00FC">
            <w:pPr>
              <w:pStyle w:val="Table-headingrow1"/>
              <w:rPr>
                <w:lang w:val="en-NZ"/>
              </w:rPr>
            </w:pPr>
            <w:r w:rsidRPr="00535D44">
              <w:rPr>
                <w:lang w:val="en-NZ"/>
              </w:rPr>
              <w:t>Costs</w:t>
            </w:r>
          </w:p>
        </w:tc>
        <w:tc>
          <w:tcPr>
            <w:tcW w:w="0" w:type="auto"/>
            <w:vMerge w:val="restart"/>
            <w:tcBorders>
              <w:top w:val="single" w:sz="4" w:space="0" w:color="FFFFFF"/>
              <w:left w:val="single" w:sz="4" w:space="0" w:color="FFFFFF" w:themeColor="background1"/>
              <w:bottom w:val="single" w:sz="4" w:space="0" w:color="FFFFFF" w:themeColor="background1"/>
              <w:right w:val="single" w:sz="4" w:space="0" w:color="FFFFFF" w:themeColor="background1"/>
            </w:tcBorders>
          </w:tcPr>
          <w:p w:rsidR="00F72880" w:rsidRPr="00535D44" w:rsidRDefault="00F72880" w:rsidP="003E00FC">
            <w:pPr>
              <w:pStyle w:val="Table-headingrow1"/>
              <w:rPr>
                <w:lang w:val="en-NZ"/>
              </w:rPr>
            </w:pPr>
            <w:r w:rsidRPr="00535D44">
              <w:rPr>
                <w:lang w:val="en-NZ"/>
              </w:rPr>
              <w:t>QALYs</w:t>
            </w:r>
          </w:p>
        </w:tc>
        <w:tc>
          <w:tcPr>
            <w:tcW w:w="0" w:type="auto"/>
            <w:gridSpan w:val="2"/>
            <w:tcBorders>
              <w:top w:val="single" w:sz="4" w:space="0" w:color="FFFFFF"/>
              <w:left w:val="single" w:sz="4" w:space="0" w:color="FFFFFF" w:themeColor="background1"/>
              <w:bottom w:val="single" w:sz="4" w:space="0" w:color="FFFFFF" w:themeColor="background1"/>
              <w:right w:val="single" w:sz="4" w:space="0" w:color="FFFFFF" w:themeColor="background1"/>
            </w:tcBorders>
          </w:tcPr>
          <w:p w:rsidR="00F72880" w:rsidRPr="00535D44" w:rsidRDefault="00F72880" w:rsidP="002A6792">
            <w:pPr>
              <w:pStyle w:val="Table-headingrow1"/>
              <w:jc w:val="center"/>
              <w:rPr>
                <w:lang w:val="en-NZ"/>
              </w:rPr>
            </w:pPr>
            <w:r w:rsidRPr="00535D44">
              <w:rPr>
                <w:lang w:val="en-NZ"/>
              </w:rPr>
              <w:t>Incremental</w:t>
            </w:r>
          </w:p>
        </w:tc>
        <w:tc>
          <w:tcPr>
            <w:tcW w:w="0" w:type="auto"/>
            <w:vMerge w:val="restart"/>
            <w:tcBorders>
              <w:top w:val="single" w:sz="4" w:space="0" w:color="FFFFFF"/>
              <w:left w:val="single" w:sz="4" w:space="0" w:color="FFFFFF" w:themeColor="background1"/>
              <w:bottom w:val="single" w:sz="4" w:space="0" w:color="FFFFFF" w:themeColor="background1"/>
              <w:right w:val="single" w:sz="4" w:space="0" w:color="FFFFFF" w:themeColor="background1"/>
            </w:tcBorders>
          </w:tcPr>
          <w:p w:rsidR="00F72880" w:rsidRPr="00535D44" w:rsidRDefault="00F72880" w:rsidP="003E00FC">
            <w:pPr>
              <w:pStyle w:val="Table-headingrow1"/>
              <w:rPr>
                <w:lang w:val="en-NZ"/>
              </w:rPr>
            </w:pPr>
            <w:r w:rsidRPr="00535D44">
              <w:rPr>
                <w:lang w:val="en-NZ"/>
              </w:rPr>
              <w:t>Cost per QALY</w:t>
            </w:r>
          </w:p>
          <w:p w:rsidR="00F72880" w:rsidRPr="00535D44" w:rsidRDefault="00F72880" w:rsidP="003E00FC">
            <w:pPr>
              <w:pStyle w:val="Table-headingrow1"/>
              <w:rPr>
                <w:lang w:val="en-NZ"/>
              </w:rPr>
            </w:pPr>
            <w:r w:rsidRPr="00535D44">
              <w:rPr>
                <w:lang w:val="en-NZ"/>
              </w:rPr>
              <w:t>(95%CI)</w:t>
            </w:r>
          </w:p>
        </w:tc>
      </w:tr>
      <w:tr w:rsidR="00F72880" w:rsidRPr="00535D44">
        <w:trPr>
          <w:cantSplit/>
        </w:trPr>
        <w:tc>
          <w:tcPr>
            <w:tcW w:w="1871" w:type="dxa"/>
            <w:vMerge/>
            <w:tcBorders>
              <w:top w:val="single" w:sz="4" w:space="0" w:color="FFFFFF" w:themeColor="background1"/>
              <w:left w:val="single" w:sz="4" w:space="0" w:color="FFFFFF" w:themeColor="background1"/>
              <w:right w:val="single" w:sz="4" w:space="0" w:color="FFFFFF" w:themeColor="background1"/>
            </w:tcBorders>
            <w:shd w:val="clear" w:color="auto" w:fill="7B5E05"/>
          </w:tcPr>
          <w:p w:rsidR="00F72880" w:rsidRPr="00535D44" w:rsidRDefault="00F72880" w:rsidP="003E00FC">
            <w:pPr>
              <w:pStyle w:val="Table-headingrow1"/>
              <w:rPr>
                <w:lang w:val="en-NZ"/>
              </w:rPr>
            </w:pPr>
          </w:p>
        </w:tc>
        <w:tc>
          <w:tcPr>
            <w:tcW w:w="1353" w:type="dxa"/>
            <w:vMerge/>
            <w:tcBorders>
              <w:top w:val="single" w:sz="4" w:space="0" w:color="FFFFFF" w:themeColor="background1"/>
              <w:left w:val="single" w:sz="4" w:space="0" w:color="FFFFFF" w:themeColor="background1"/>
              <w:right w:val="single" w:sz="4" w:space="0" w:color="FFFFFF" w:themeColor="background1"/>
            </w:tcBorders>
            <w:shd w:val="clear" w:color="auto" w:fill="7B5E05"/>
          </w:tcPr>
          <w:p w:rsidR="00F72880" w:rsidRPr="00535D44" w:rsidRDefault="00F72880" w:rsidP="003E00FC">
            <w:pPr>
              <w:pStyle w:val="Table-headingrow1"/>
              <w:rPr>
                <w:lang w:val="en-NZ"/>
              </w:rPr>
            </w:pPr>
          </w:p>
        </w:tc>
        <w:tc>
          <w:tcPr>
            <w:tcW w:w="0" w:type="auto"/>
            <w:vMerge/>
            <w:tcBorders>
              <w:top w:val="single" w:sz="4" w:space="0" w:color="FFFFFF" w:themeColor="background1"/>
              <w:left w:val="single" w:sz="4" w:space="0" w:color="FFFFFF" w:themeColor="background1"/>
              <w:right w:val="single" w:sz="4" w:space="0" w:color="FFFFFF" w:themeColor="background1"/>
            </w:tcBorders>
            <w:shd w:val="clear" w:color="auto" w:fill="7B5E05"/>
          </w:tcPr>
          <w:p w:rsidR="00F72880" w:rsidRPr="00535D44" w:rsidRDefault="00F72880" w:rsidP="003E00FC">
            <w:pPr>
              <w:pStyle w:val="Table-headingrow1"/>
              <w:rPr>
                <w:lang w:val="en-NZ"/>
              </w:rPr>
            </w:pPr>
          </w:p>
        </w:tc>
        <w:tc>
          <w:tcPr>
            <w:tcW w:w="0" w:type="auto"/>
            <w:tcBorders>
              <w:top w:val="single" w:sz="4" w:space="0" w:color="FFFFFF" w:themeColor="background1"/>
              <w:left w:val="single" w:sz="4" w:space="0" w:color="FFFFFF" w:themeColor="background1"/>
              <w:right w:val="single" w:sz="4" w:space="0" w:color="FFFFFF" w:themeColor="background1"/>
            </w:tcBorders>
            <w:shd w:val="clear" w:color="auto" w:fill="7B5E05"/>
          </w:tcPr>
          <w:p w:rsidR="00F72880" w:rsidRPr="00535D44" w:rsidRDefault="00F72880" w:rsidP="003E00FC">
            <w:pPr>
              <w:pStyle w:val="Table-headingrow1"/>
              <w:rPr>
                <w:lang w:val="en-NZ"/>
              </w:rPr>
            </w:pPr>
            <w:r w:rsidRPr="00535D44">
              <w:rPr>
                <w:lang w:val="en-NZ"/>
              </w:rPr>
              <w:t>Costs</w:t>
            </w:r>
          </w:p>
          <w:p w:rsidR="00F72880" w:rsidRPr="00535D44" w:rsidRDefault="00F72880" w:rsidP="003E00FC">
            <w:pPr>
              <w:pStyle w:val="Table-headingrow1"/>
              <w:rPr>
                <w:lang w:val="en-NZ"/>
              </w:rPr>
            </w:pPr>
            <w:r w:rsidRPr="00535D44">
              <w:rPr>
                <w:lang w:val="en-NZ"/>
              </w:rPr>
              <w:t>(95% CI)</w:t>
            </w:r>
          </w:p>
        </w:tc>
        <w:tc>
          <w:tcPr>
            <w:tcW w:w="0" w:type="auto"/>
            <w:tcBorders>
              <w:top w:val="single" w:sz="4" w:space="0" w:color="FFFFFF" w:themeColor="background1"/>
              <w:left w:val="single" w:sz="4" w:space="0" w:color="FFFFFF" w:themeColor="background1"/>
              <w:right w:val="single" w:sz="4" w:space="0" w:color="FFFFFF" w:themeColor="background1"/>
            </w:tcBorders>
            <w:shd w:val="clear" w:color="auto" w:fill="7B5E05"/>
          </w:tcPr>
          <w:p w:rsidR="00F72880" w:rsidRPr="00535D44" w:rsidRDefault="00F72880" w:rsidP="003E00FC">
            <w:pPr>
              <w:pStyle w:val="Table-headingrow1"/>
              <w:rPr>
                <w:lang w:val="en-NZ"/>
              </w:rPr>
            </w:pPr>
            <w:r w:rsidRPr="00535D44">
              <w:rPr>
                <w:lang w:val="en-NZ"/>
              </w:rPr>
              <w:t>QALYs</w:t>
            </w:r>
          </w:p>
          <w:p w:rsidR="00F72880" w:rsidRPr="00535D44" w:rsidRDefault="00F72880" w:rsidP="003E00FC">
            <w:pPr>
              <w:pStyle w:val="Table-headingrow1"/>
              <w:rPr>
                <w:lang w:val="en-NZ"/>
              </w:rPr>
            </w:pPr>
            <w:r w:rsidRPr="00535D44">
              <w:rPr>
                <w:lang w:val="en-NZ"/>
              </w:rPr>
              <w:t>(95%CI)</w:t>
            </w:r>
          </w:p>
        </w:tc>
        <w:tc>
          <w:tcPr>
            <w:tcW w:w="0" w:type="auto"/>
            <w:vMerge/>
            <w:tcBorders>
              <w:top w:val="single" w:sz="4" w:space="0" w:color="FFFFFF" w:themeColor="background1"/>
              <w:left w:val="single" w:sz="4" w:space="0" w:color="FFFFFF" w:themeColor="background1"/>
              <w:right w:val="single" w:sz="4" w:space="0" w:color="FFFFFF" w:themeColor="background1"/>
            </w:tcBorders>
            <w:shd w:val="clear" w:color="auto" w:fill="7B5E05"/>
          </w:tcPr>
          <w:p w:rsidR="00F72880" w:rsidRPr="00535D44" w:rsidRDefault="00F72880" w:rsidP="003E00FC">
            <w:pPr>
              <w:pStyle w:val="Table-headingrow1"/>
              <w:rPr>
                <w:lang w:val="en-NZ"/>
              </w:rPr>
            </w:pPr>
          </w:p>
        </w:tc>
      </w:tr>
      <w:tr w:rsidR="00F72880" w:rsidRPr="00535D44">
        <w:trPr>
          <w:trHeight w:val="315"/>
        </w:trPr>
        <w:tc>
          <w:tcPr>
            <w:tcW w:w="1871" w:type="dxa"/>
          </w:tcPr>
          <w:p w:rsidR="00F72880" w:rsidRPr="00535D44" w:rsidRDefault="00F72880" w:rsidP="003E00FC">
            <w:pPr>
              <w:pStyle w:val="Table-bodytext"/>
              <w:rPr>
                <w:lang w:val="en-NZ"/>
              </w:rPr>
            </w:pPr>
            <w:r w:rsidRPr="002F44EF">
              <w:t>No screening</w:t>
            </w:r>
          </w:p>
        </w:tc>
        <w:tc>
          <w:tcPr>
            <w:tcW w:w="1353" w:type="dxa"/>
            <w:vAlign w:val="center"/>
          </w:tcPr>
          <w:p w:rsidR="00F72880" w:rsidRPr="00535D44" w:rsidRDefault="00F72880" w:rsidP="003E00FC">
            <w:pPr>
              <w:pStyle w:val="Table-bodytext"/>
              <w:jc w:val="right"/>
              <w:rPr>
                <w:lang w:val="en-NZ"/>
              </w:rPr>
            </w:pPr>
            <w:r>
              <w:rPr>
                <w:bCs/>
                <w:color w:val="000000"/>
                <w:szCs w:val="22"/>
              </w:rPr>
              <w:t>$2,233</w:t>
            </w:r>
          </w:p>
        </w:tc>
        <w:tc>
          <w:tcPr>
            <w:tcW w:w="1544" w:type="dxa"/>
            <w:vAlign w:val="center"/>
          </w:tcPr>
          <w:p w:rsidR="00F72880" w:rsidRPr="00535D44" w:rsidRDefault="00F72880" w:rsidP="003E00FC">
            <w:pPr>
              <w:pStyle w:val="Table-bodytext"/>
              <w:jc w:val="right"/>
              <w:rPr>
                <w:lang w:val="en-NZ"/>
              </w:rPr>
            </w:pPr>
            <w:r>
              <w:rPr>
                <w:bCs/>
                <w:color w:val="000000"/>
                <w:szCs w:val="22"/>
              </w:rPr>
              <w:t>16.901</w:t>
            </w:r>
          </w:p>
        </w:tc>
        <w:tc>
          <w:tcPr>
            <w:tcW w:w="1349" w:type="dxa"/>
            <w:vMerge w:val="restart"/>
          </w:tcPr>
          <w:p w:rsidR="00F72880" w:rsidRPr="00824AE4" w:rsidRDefault="00F72880" w:rsidP="003E00FC">
            <w:pPr>
              <w:pStyle w:val="Table-bodytext"/>
              <w:jc w:val="right"/>
            </w:pPr>
            <w:r>
              <w:t>$29</w:t>
            </w:r>
          </w:p>
          <w:p w:rsidR="00F72880" w:rsidRPr="00535D44" w:rsidRDefault="00F72880" w:rsidP="002A6792">
            <w:pPr>
              <w:pStyle w:val="Table-bodytext"/>
              <w:jc w:val="right"/>
              <w:rPr>
                <w:lang w:val="en-NZ"/>
              </w:rPr>
            </w:pPr>
            <w:r w:rsidRPr="00824AE4">
              <w:t>(</w:t>
            </w:r>
            <w:r w:rsidR="002A6792">
              <w:t>–</w:t>
            </w:r>
            <w:r>
              <w:t>$430</w:t>
            </w:r>
            <w:r w:rsidRPr="00824AE4">
              <w:t xml:space="preserve"> </w:t>
            </w:r>
            <w:r w:rsidR="002A6792">
              <w:t>–</w:t>
            </w:r>
            <w:r w:rsidRPr="00824AE4">
              <w:t xml:space="preserve"> $</w:t>
            </w:r>
            <w:r>
              <w:t>307</w:t>
            </w:r>
            <w:r w:rsidRPr="00824AE4">
              <w:t>) </w:t>
            </w:r>
          </w:p>
        </w:tc>
        <w:tc>
          <w:tcPr>
            <w:tcW w:w="1463" w:type="dxa"/>
            <w:vMerge w:val="restart"/>
          </w:tcPr>
          <w:p w:rsidR="00F72880" w:rsidRPr="00824AE4" w:rsidRDefault="00F72880" w:rsidP="003E00FC">
            <w:pPr>
              <w:pStyle w:val="Table-bodytext"/>
              <w:jc w:val="right"/>
            </w:pPr>
            <w:r w:rsidRPr="00824AE4">
              <w:t>0.</w:t>
            </w:r>
            <w:r>
              <w:t>0759</w:t>
            </w:r>
          </w:p>
          <w:p w:rsidR="00F72880" w:rsidRPr="00535D44" w:rsidRDefault="00F72880" w:rsidP="002A6792">
            <w:pPr>
              <w:pStyle w:val="Table-bodytext"/>
              <w:jc w:val="right"/>
              <w:rPr>
                <w:lang w:val="en-NZ"/>
              </w:rPr>
            </w:pPr>
            <w:r w:rsidRPr="00824AE4">
              <w:t>(0.0</w:t>
            </w:r>
            <w:r>
              <w:t>463</w:t>
            </w:r>
            <w:r w:rsidRPr="00824AE4">
              <w:t xml:space="preserve"> </w:t>
            </w:r>
            <w:r w:rsidR="002A6792">
              <w:t>–</w:t>
            </w:r>
            <w:r w:rsidRPr="00824AE4">
              <w:t xml:space="preserve"> 0.11</w:t>
            </w:r>
            <w:r>
              <w:t>42)</w:t>
            </w:r>
            <w:r w:rsidRPr="00824AE4">
              <w:t> </w:t>
            </w:r>
          </w:p>
        </w:tc>
        <w:tc>
          <w:tcPr>
            <w:tcW w:w="1362" w:type="dxa"/>
            <w:vMerge w:val="restart"/>
          </w:tcPr>
          <w:p w:rsidR="00F72880" w:rsidRDefault="00F72880" w:rsidP="003E00FC">
            <w:pPr>
              <w:pStyle w:val="Table-bodytext"/>
              <w:jc w:val="right"/>
            </w:pPr>
            <w:r>
              <w:t>$381</w:t>
            </w:r>
          </w:p>
          <w:p w:rsidR="00F72880" w:rsidRPr="00535D44" w:rsidRDefault="00F72880" w:rsidP="002A6792">
            <w:pPr>
              <w:pStyle w:val="Table-bodytext"/>
              <w:jc w:val="right"/>
              <w:rPr>
                <w:lang w:val="en-NZ"/>
              </w:rPr>
            </w:pPr>
            <w:r>
              <w:t>(</w:t>
            </w:r>
            <w:r w:rsidR="002A6792">
              <w:t>–</w:t>
            </w:r>
            <w:r>
              <w:t>$3,762</w:t>
            </w:r>
            <w:r w:rsidR="002A6792">
              <w:t xml:space="preserve"> –</w:t>
            </w:r>
            <w:r>
              <w:t xml:space="preserve"> $6,288)</w:t>
            </w:r>
          </w:p>
        </w:tc>
      </w:tr>
      <w:tr w:rsidR="00F72880" w:rsidRPr="00535D44">
        <w:trPr>
          <w:trHeight w:val="315"/>
        </w:trPr>
        <w:tc>
          <w:tcPr>
            <w:tcW w:w="1871" w:type="dxa"/>
          </w:tcPr>
          <w:p w:rsidR="00F72880" w:rsidRPr="00535D44" w:rsidRDefault="00F72880" w:rsidP="003E00FC">
            <w:pPr>
              <w:pStyle w:val="Table-bodytext"/>
              <w:rPr>
                <w:lang w:val="en-NZ"/>
              </w:rPr>
            </w:pPr>
            <w:r>
              <w:t>Screening</w:t>
            </w:r>
          </w:p>
        </w:tc>
        <w:tc>
          <w:tcPr>
            <w:tcW w:w="1353" w:type="dxa"/>
            <w:vAlign w:val="center"/>
          </w:tcPr>
          <w:p w:rsidR="00F72880" w:rsidRPr="00535D44" w:rsidRDefault="00F72880" w:rsidP="003E00FC">
            <w:pPr>
              <w:pStyle w:val="Table-bodytext"/>
              <w:jc w:val="right"/>
              <w:rPr>
                <w:bCs/>
                <w:lang w:val="en-NZ"/>
              </w:rPr>
            </w:pPr>
            <w:r>
              <w:rPr>
                <w:bCs/>
                <w:color w:val="000000"/>
                <w:szCs w:val="22"/>
              </w:rPr>
              <w:t>$2,262</w:t>
            </w:r>
          </w:p>
        </w:tc>
        <w:tc>
          <w:tcPr>
            <w:tcW w:w="1544" w:type="dxa"/>
            <w:vAlign w:val="center"/>
          </w:tcPr>
          <w:p w:rsidR="00F72880" w:rsidRPr="00535D44" w:rsidRDefault="00F72880" w:rsidP="003E00FC">
            <w:pPr>
              <w:pStyle w:val="Table-bodytext"/>
              <w:jc w:val="right"/>
              <w:rPr>
                <w:lang w:val="en-NZ"/>
              </w:rPr>
            </w:pPr>
            <w:r>
              <w:rPr>
                <w:bCs/>
                <w:color w:val="000000"/>
                <w:szCs w:val="22"/>
              </w:rPr>
              <w:t>16.977</w:t>
            </w:r>
          </w:p>
        </w:tc>
        <w:tc>
          <w:tcPr>
            <w:tcW w:w="1349" w:type="dxa"/>
            <w:vMerge/>
          </w:tcPr>
          <w:p w:rsidR="00F72880" w:rsidRPr="00535D44" w:rsidRDefault="00F72880" w:rsidP="003E00FC">
            <w:pPr>
              <w:pStyle w:val="Table-bodytext"/>
              <w:jc w:val="right"/>
              <w:rPr>
                <w:lang w:val="en-NZ"/>
              </w:rPr>
            </w:pPr>
          </w:p>
        </w:tc>
        <w:tc>
          <w:tcPr>
            <w:tcW w:w="1463" w:type="dxa"/>
            <w:vMerge/>
          </w:tcPr>
          <w:p w:rsidR="00F72880" w:rsidRPr="00535D44" w:rsidRDefault="00F72880" w:rsidP="003E00FC">
            <w:pPr>
              <w:pStyle w:val="Table-bodytext"/>
              <w:jc w:val="right"/>
              <w:rPr>
                <w:lang w:val="en-NZ"/>
              </w:rPr>
            </w:pPr>
          </w:p>
        </w:tc>
        <w:tc>
          <w:tcPr>
            <w:tcW w:w="1362" w:type="dxa"/>
            <w:vMerge/>
          </w:tcPr>
          <w:p w:rsidR="00F72880" w:rsidRPr="00535D44" w:rsidRDefault="00F72880" w:rsidP="003E00FC">
            <w:pPr>
              <w:pStyle w:val="Table-bodytext"/>
              <w:jc w:val="right"/>
              <w:rPr>
                <w:lang w:val="en-NZ"/>
              </w:rPr>
            </w:pPr>
          </w:p>
        </w:tc>
      </w:tr>
    </w:tbl>
    <w:p w:rsidR="00F72880" w:rsidRDefault="00F72880" w:rsidP="00962C7E"/>
    <w:p w:rsidR="00962C7E" w:rsidRDefault="00842CF1" w:rsidP="00381C3F">
      <w:pPr>
        <w:pStyle w:val="Tableheading"/>
      </w:pPr>
      <w:r w:rsidRPr="00842CF1">
        <w:t xml:space="preserve">Table </w:t>
      </w:r>
      <w:r w:rsidR="0042549B">
        <w:t>11</w:t>
      </w:r>
      <w:r w:rsidRPr="00842CF1">
        <w:t xml:space="preserve">: </w:t>
      </w:r>
      <w:r w:rsidR="00F72880" w:rsidRPr="00842CF1">
        <w:t>Cost effectiveness for different scenarios</w:t>
      </w:r>
      <w:r w:rsidR="002A6792">
        <w:t xml:space="preserve"> –</w:t>
      </w:r>
      <w:r w:rsidR="00F72880" w:rsidRPr="00842CF1">
        <w:t xml:space="preserve"> M</w:t>
      </w:r>
      <w:r w:rsidR="002A6792" w:rsidRPr="002A6792">
        <w:t>ā</w:t>
      </w:r>
      <w:r w:rsidR="00F72880" w:rsidRPr="00842CF1">
        <w:t>ori population</w:t>
      </w:r>
    </w:p>
    <w:p w:rsidR="00EA3BEB" w:rsidRDefault="00F72880" w:rsidP="0099063C">
      <w:pPr>
        <w:spacing w:before="0"/>
        <w:sectPr w:rsidR="00EA3BEB">
          <w:pgSz w:w="11909" w:h="16834" w:code="9"/>
          <w:pgMar w:top="1701" w:right="1134" w:bottom="1701" w:left="1134" w:header="567" w:footer="567" w:gutter="0"/>
          <w:cols w:space="720"/>
          <w:docGrid w:linePitch="299"/>
        </w:sectPr>
      </w:pPr>
      <w:r>
        <w:rPr>
          <w:noProof/>
          <w:lang w:eastAsia="en-NZ"/>
        </w:rPr>
        <w:drawing>
          <wp:inline distT="0" distB="0" distL="0" distR="0">
            <wp:extent cx="5041900" cy="2566670"/>
            <wp:effectExtent l="0" t="0" r="635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41900" cy="2566670"/>
                    </a:xfrm>
                    <a:prstGeom prst="rect">
                      <a:avLst/>
                    </a:prstGeom>
                    <a:noFill/>
                  </pic:spPr>
                </pic:pic>
              </a:graphicData>
            </a:graphic>
          </wp:inline>
        </w:drawing>
      </w:r>
    </w:p>
    <w:p w:rsidR="00EA3BEB" w:rsidRPr="004B72F1" w:rsidRDefault="00632BE0" w:rsidP="00632BE0">
      <w:pPr>
        <w:pStyle w:val="Heading2"/>
      </w:pPr>
      <w:bookmarkStart w:id="195" w:name="_Toc457842135"/>
      <w:r>
        <w:t>4.7</w:t>
      </w:r>
      <w:r>
        <w:tab/>
      </w:r>
      <w:r w:rsidR="00EA3BEB">
        <w:t>Sensitivity of results to key parameters</w:t>
      </w:r>
      <w:bookmarkEnd w:id="195"/>
    </w:p>
    <w:p w:rsidR="00DF621E" w:rsidRPr="00535D44" w:rsidRDefault="00842CF1" w:rsidP="00DF621E">
      <w:r>
        <w:t>The analysis</w:t>
      </w:r>
      <w:r w:rsidR="00DF621E" w:rsidRPr="00535D44">
        <w:t xml:space="preserve"> explored the impact of variation in key parameters within our model upon the overall result using univariate sensititivity analysis and probalistic sensitivity analysis.  </w:t>
      </w:r>
    </w:p>
    <w:p w:rsidR="00DF621E" w:rsidRPr="00535D44" w:rsidRDefault="00DF621E" w:rsidP="00DF621E">
      <w:r w:rsidRPr="00535D44">
        <w:t>The univ</w:t>
      </w:r>
      <w:r>
        <w:t>a</w:t>
      </w:r>
      <w:r w:rsidRPr="00535D44">
        <w:t xml:space="preserve">riate sensitivity analysis demonstrates that only </w:t>
      </w:r>
      <w:r>
        <w:t>three</w:t>
      </w:r>
      <w:r w:rsidRPr="00535D44">
        <w:t xml:space="preserve"> variables appear to have any potential for materi</w:t>
      </w:r>
      <w:r w:rsidR="002A6792">
        <w:t>al impact upon the overall cost-</w:t>
      </w:r>
      <w:r w:rsidRPr="00535D44">
        <w:t>effectiveness result:</w:t>
      </w:r>
    </w:p>
    <w:p w:rsidR="00DF621E" w:rsidRPr="00535D44" w:rsidRDefault="00DF621E" w:rsidP="00DF621E">
      <w:pPr>
        <w:numPr>
          <w:ilvl w:val="0"/>
          <w:numId w:val="7"/>
        </w:numPr>
        <w:autoSpaceDE w:val="0"/>
        <w:autoSpaceDN w:val="0"/>
        <w:adjustRightInd w:val="0"/>
        <w:spacing w:before="120"/>
        <w:ind w:left="1134" w:hanging="425"/>
        <w:rPr>
          <w:lang w:eastAsia="ar-SA"/>
        </w:rPr>
      </w:pPr>
      <w:r w:rsidRPr="00535D44">
        <w:rPr>
          <w:lang w:eastAsia="ar-SA"/>
        </w:rPr>
        <w:t>Natural history (prevalence of bowel cancer generated within MoDCONZ)</w:t>
      </w:r>
    </w:p>
    <w:p w:rsidR="00DF621E" w:rsidRPr="00535D44" w:rsidRDefault="00DF621E" w:rsidP="00DF621E">
      <w:pPr>
        <w:numPr>
          <w:ilvl w:val="0"/>
          <w:numId w:val="7"/>
        </w:numPr>
        <w:autoSpaceDE w:val="0"/>
        <w:autoSpaceDN w:val="0"/>
        <w:adjustRightInd w:val="0"/>
        <w:spacing w:before="120"/>
        <w:ind w:left="1134" w:hanging="425"/>
        <w:rPr>
          <w:lang w:eastAsia="ar-SA"/>
        </w:rPr>
      </w:pPr>
      <w:r w:rsidRPr="00535D44">
        <w:rPr>
          <w:lang w:eastAsia="ar-SA"/>
        </w:rPr>
        <w:t>Discount rate</w:t>
      </w:r>
      <w:r>
        <w:rPr>
          <w:lang w:eastAsia="ar-SA"/>
        </w:rPr>
        <w:t xml:space="preserve">; </w:t>
      </w:r>
      <w:r w:rsidRPr="00535D44">
        <w:rPr>
          <w:lang w:eastAsia="ar-SA"/>
        </w:rPr>
        <w:t xml:space="preserve">and </w:t>
      </w:r>
    </w:p>
    <w:p w:rsidR="00DF621E" w:rsidRPr="00535D44" w:rsidRDefault="00DF621E" w:rsidP="00DF621E">
      <w:pPr>
        <w:numPr>
          <w:ilvl w:val="0"/>
          <w:numId w:val="7"/>
        </w:numPr>
        <w:autoSpaceDE w:val="0"/>
        <w:autoSpaceDN w:val="0"/>
        <w:adjustRightInd w:val="0"/>
        <w:spacing w:before="120"/>
        <w:ind w:left="1134" w:hanging="425"/>
        <w:rPr>
          <w:lang w:eastAsia="ar-SA"/>
        </w:rPr>
      </w:pPr>
      <w:r w:rsidRPr="00535D44">
        <w:rPr>
          <w:lang w:eastAsia="ar-SA"/>
        </w:rPr>
        <w:t xml:space="preserve">Cost of </w:t>
      </w:r>
      <w:r w:rsidR="002A6792">
        <w:rPr>
          <w:lang w:eastAsia="ar-SA"/>
        </w:rPr>
        <w:t>c</w:t>
      </w:r>
      <w:r w:rsidRPr="00535D44">
        <w:rPr>
          <w:lang w:eastAsia="ar-SA"/>
        </w:rPr>
        <w:t>ancer.</w:t>
      </w:r>
    </w:p>
    <w:p w:rsidR="00632BE0" w:rsidRDefault="00DF621E" w:rsidP="00DF621E">
      <w:r w:rsidRPr="00535D44">
        <w:t>Even these results have a relatively small impact.  The variable which has the greatest effect, Natural History, in the worst case still only increases the incremental cost per QALY to a value of $</w:t>
      </w:r>
      <w:r>
        <w:t>4,138</w:t>
      </w:r>
      <w:r w:rsidRPr="00535D44">
        <w:t>, which we consider to be very cost</w:t>
      </w:r>
      <w:r w:rsidR="002A6792">
        <w:t xml:space="preserve"> </w:t>
      </w:r>
      <w:r w:rsidRPr="00535D44">
        <w:t xml:space="preserve">effective. The </w:t>
      </w:r>
      <w:r w:rsidR="002A6792">
        <w:t>results of the sensitivity anal</w:t>
      </w:r>
      <w:r w:rsidRPr="00535D44">
        <w:t>ysis can be seen in the tornado diagram below.</w:t>
      </w:r>
    </w:p>
    <w:p w:rsidR="00DF621E" w:rsidRDefault="00842CF1" w:rsidP="00381C3F">
      <w:pPr>
        <w:pStyle w:val="Figure"/>
      </w:pPr>
      <w:r>
        <w:t xml:space="preserve">Figure </w:t>
      </w:r>
      <w:r w:rsidR="0042549B">
        <w:t>9</w:t>
      </w:r>
      <w:r>
        <w:t xml:space="preserve">: </w:t>
      </w:r>
      <w:r w:rsidR="00DF621E" w:rsidRPr="003D5612">
        <w:t xml:space="preserve">Univariate sensitivity analysis </w:t>
      </w:r>
      <w:r w:rsidR="002A6792">
        <w:t>–</w:t>
      </w:r>
      <w:r w:rsidR="00DF621E" w:rsidRPr="003D5612">
        <w:t xml:space="preserve"> Tornado diagram</w:t>
      </w:r>
    </w:p>
    <w:p w:rsidR="00DF621E" w:rsidRDefault="00DF621E" w:rsidP="00DF621E">
      <w:r>
        <w:rPr>
          <w:noProof/>
          <w:lang w:eastAsia="en-NZ"/>
        </w:rPr>
        <w:drawing>
          <wp:inline distT="0" distB="0" distL="0" distR="0">
            <wp:extent cx="5041900" cy="36271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41900" cy="3627120"/>
                    </a:xfrm>
                    <a:prstGeom prst="rect">
                      <a:avLst/>
                    </a:prstGeom>
                    <a:noFill/>
                  </pic:spPr>
                </pic:pic>
              </a:graphicData>
            </a:graphic>
          </wp:inline>
        </w:drawing>
      </w:r>
    </w:p>
    <w:p w:rsidR="00DF621E" w:rsidRPr="00535D44" w:rsidRDefault="00842CF1" w:rsidP="00DF621E">
      <w:r>
        <w:t>P</w:t>
      </w:r>
      <w:r w:rsidR="00DF621E" w:rsidRPr="00535D44">
        <w:t xml:space="preserve">robabilistic sensitivity analysis </w:t>
      </w:r>
      <w:r>
        <w:t xml:space="preserve">was used </w:t>
      </w:r>
      <w:r w:rsidR="00DF621E" w:rsidRPr="00535D44">
        <w:t xml:space="preserve">to estimate the range of the cost per QALY due to parameter uncertainty. This analysis provides us with 1,000 results, with each representing the estimated cost per QALY for the modelled cohort. Each result is based on different values used for each of the parameters. </w:t>
      </w:r>
    </w:p>
    <w:p w:rsidR="00DF621E" w:rsidRDefault="00DF621E" w:rsidP="00DF621E">
      <w:r w:rsidRPr="00535D44">
        <w:t>The 95</w:t>
      </w:r>
      <w:r w:rsidR="002A6792">
        <w:t>% confidence interval</w:t>
      </w:r>
      <w:r w:rsidRPr="00535D44">
        <w:t xml:space="preserve"> is cost</w:t>
      </w:r>
      <w:r w:rsidR="002A6792">
        <w:t xml:space="preserve"> </w:t>
      </w:r>
      <w:r w:rsidRPr="00BD2935">
        <w:t xml:space="preserve">saving </w:t>
      </w:r>
      <w:r w:rsidR="002A6792" w:rsidRPr="00BD2935">
        <w:t>–</w:t>
      </w:r>
      <w:r w:rsidRPr="00BD2935">
        <w:t>$5,786 to $4,850</w:t>
      </w:r>
      <w:r w:rsidRPr="00535D44">
        <w:t xml:space="preserve"> per QALY. These values are represented by the lower and upper diagonal lines in </w:t>
      </w:r>
      <w:r w:rsidR="00147013" w:rsidRPr="0042549B">
        <w:t>F</w:t>
      </w:r>
      <w:r w:rsidRPr="0042549B">
        <w:t>igure</w:t>
      </w:r>
      <w:r w:rsidR="00147013" w:rsidRPr="0042549B">
        <w:t xml:space="preserve"> </w:t>
      </w:r>
      <w:r w:rsidR="0042549B">
        <w:t>10</w:t>
      </w:r>
      <w:r w:rsidRPr="00535D44">
        <w:t>. The 95</w:t>
      </w:r>
      <w:r w:rsidR="00147013">
        <w:t>%</w:t>
      </w:r>
      <w:r w:rsidRPr="00535D44">
        <w:t xml:space="preserve"> confidence interval for the net cost of screening per eligible person represented by the vertical error bars is </w:t>
      </w:r>
      <w:r w:rsidR="00147013">
        <w:t>–</w:t>
      </w:r>
      <w:r w:rsidRPr="00535D44">
        <w:t>$</w:t>
      </w:r>
      <w:r>
        <w:t>627</w:t>
      </w:r>
      <w:r w:rsidRPr="00535D44">
        <w:t xml:space="preserve"> to $</w:t>
      </w:r>
      <w:r>
        <w:t>297</w:t>
      </w:r>
      <w:r w:rsidRPr="00535D44">
        <w:t>. The 95</w:t>
      </w:r>
      <w:r w:rsidR="00147013">
        <w:t>%</w:t>
      </w:r>
      <w:r w:rsidRPr="00535D44">
        <w:t xml:space="preserve"> confidence interval for the QALYs gained per eligible person represented </w:t>
      </w:r>
      <w:r>
        <w:t xml:space="preserve">by the horizontal error bars </w:t>
      </w:r>
      <w:r w:rsidRPr="00535D44">
        <w:t>is 0.045</w:t>
      </w:r>
      <w:r>
        <w:t>1</w:t>
      </w:r>
      <w:r w:rsidRPr="00535D44">
        <w:t xml:space="preserve"> to 0.1</w:t>
      </w:r>
      <w:r>
        <w:t>084</w:t>
      </w:r>
    </w:p>
    <w:p w:rsidR="00DF621E" w:rsidRDefault="00DF621E" w:rsidP="00DF621E">
      <w:r w:rsidRPr="00100461">
        <w:t xml:space="preserve">All of the simulations estimated a positive QALY gain. </w:t>
      </w:r>
      <w:r w:rsidR="00147013">
        <w:t>Sixty-three</w:t>
      </w:r>
      <w:r w:rsidRPr="00100461">
        <w:t xml:space="preserve"> percent of simulations were cost</w:t>
      </w:r>
      <w:r w:rsidR="00147013">
        <w:t xml:space="preserve"> </w:t>
      </w:r>
      <w:r w:rsidRPr="00100461">
        <w:t>saving and the remaining 37</w:t>
      </w:r>
      <w:r w:rsidR="00147013">
        <w:t>%</w:t>
      </w:r>
      <w:r w:rsidRPr="00100461">
        <w:t xml:space="preserve"> had a positive cost; </w:t>
      </w:r>
      <w:r w:rsidR="00147013">
        <w:t>that is</w:t>
      </w:r>
      <w:r w:rsidRPr="00100461">
        <w:t xml:space="preserve"> in approximately two thirds of the simulations bowel cancer is estimated to be cost</w:t>
      </w:r>
      <w:r w:rsidR="00147013">
        <w:t xml:space="preserve"> saving with </w:t>
      </w:r>
      <w:r w:rsidRPr="00100461">
        <w:t>QALY gains for the New Zealand population.</w:t>
      </w:r>
    </w:p>
    <w:p w:rsidR="00DF621E" w:rsidRPr="00DF621E" w:rsidRDefault="00147013" w:rsidP="00381C3F">
      <w:pPr>
        <w:pStyle w:val="Figure"/>
      </w:pPr>
      <w:r>
        <w:t xml:space="preserve">Figure </w:t>
      </w:r>
      <w:r w:rsidR="0042549B">
        <w:t>10</w:t>
      </w:r>
      <w:r>
        <w:t xml:space="preserve">: </w:t>
      </w:r>
      <w:r w:rsidR="00DF621E">
        <w:t>Probabilistic sensitivity analysis – pilot base scenario</w:t>
      </w:r>
    </w:p>
    <w:p w:rsidR="00DF621E" w:rsidRDefault="00DF621E" w:rsidP="00962C7E">
      <w:r>
        <w:rPr>
          <w:noProof/>
          <w:lang w:eastAsia="en-NZ"/>
        </w:rPr>
        <w:drawing>
          <wp:inline distT="0" distB="0" distL="0" distR="0">
            <wp:extent cx="3152140" cy="28651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52140" cy="2865120"/>
                    </a:xfrm>
                    <a:prstGeom prst="rect">
                      <a:avLst/>
                    </a:prstGeom>
                    <a:noFill/>
                  </pic:spPr>
                </pic:pic>
              </a:graphicData>
            </a:graphic>
          </wp:inline>
        </w:drawing>
      </w:r>
    </w:p>
    <w:p w:rsidR="00632BE0" w:rsidRPr="00B75465" w:rsidRDefault="00632BE0" w:rsidP="00632BE0">
      <w:pPr>
        <w:pStyle w:val="Heading2"/>
      </w:pPr>
      <w:bookmarkStart w:id="196" w:name="_Toc457842136"/>
      <w:r w:rsidRPr="00B75465">
        <w:t>4.8</w:t>
      </w:r>
      <w:r w:rsidRPr="00B75465">
        <w:tab/>
        <w:t>Conclusion</w:t>
      </w:r>
      <w:bookmarkEnd w:id="196"/>
      <w:r w:rsidRPr="00B75465">
        <w:t xml:space="preserve"> </w:t>
      </w:r>
    </w:p>
    <w:p w:rsidR="00962C7E" w:rsidRDefault="00962C7E" w:rsidP="00962C7E">
      <w:pPr>
        <w:spacing w:before="0"/>
        <w:ind w:left="0"/>
      </w:pPr>
      <w:r>
        <w:t xml:space="preserve">A national bowel cancer screening programme could be delivered in an economically efficient manner in New Zealand. </w:t>
      </w:r>
      <w:r w:rsidR="00842CF1">
        <w:t>D</w:t>
      </w:r>
      <w:r w:rsidR="00147013">
        <w:t>ifferent screening scenarios</w:t>
      </w:r>
      <w:r>
        <w:t xml:space="preserve"> </w:t>
      </w:r>
      <w:r w:rsidR="00842CF1">
        <w:t xml:space="preserve">are all </w:t>
      </w:r>
      <w:r>
        <w:t>highly cost</w:t>
      </w:r>
      <w:r w:rsidR="00147013">
        <w:t xml:space="preserve"> </w:t>
      </w:r>
      <w:r>
        <w:t>effective both for the whole population and for Māori, and in some cases were cost saving.</w:t>
      </w:r>
    </w:p>
    <w:p w:rsidR="00842CF1" w:rsidRDefault="00842CF1" w:rsidP="00962C7E">
      <w:pPr>
        <w:spacing w:before="0"/>
        <w:ind w:left="0"/>
      </w:pPr>
    </w:p>
    <w:p w:rsidR="00A95C01" w:rsidRDefault="00962C7E" w:rsidP="00962C7E">
      <w:pPr>
        <w:spacing w:before="0"/>
        <w:ind w:left="0"/>
      </w:pPr>
      <w:r>
        <w:t>While bowel cancer screening results in cost</w:t>
      </w:r>
      <w:r w:rsidR="00147013">
        <w:t xml:space="preserve"> </w:t>
      </w:r>
      <w:r>
        <w:t>savings from reduced treatment of bowel cancer, there also are significant resource requirements, particularly in the capacity to provide colonoscopy</w:t>
      </w:r>
      <w:r w:rsidR="00DF621E">
        <w:t xml:space="preserve"> for those with a positive iFOBT and for those referred for surveillance</w:t>
      </w:r>
      <w:r>
        <w:t>. These requirements may pose a constraint on how a national programme may be delivered.  The policy and clinical decisions involved in planning an implementation of bowel screening will need to trade off cost effectiveness against the sensitivity</w:t>
      </w:r>
      <w:r w:rsidR="00147013">
        <w:t>,</w:t>
      </w:r>
      <w:r>
        <w:t xml:space="preserve"> specificity </w:t>
      </w:r>
      <w:r w:rsidR="00DF621E">
        <w:t xml:space="preserve">and positive predictive value </w:t>
      </w:r>
      <w:r>
        <w:t>which can reasonably be achieved and supported in a live screening programme on a national basis</w:t>
      </w:r>
      <w:r w:rsidR="00DF621E">
        <w:t xml:space="preserve"> in absolute resource terms, as well as in effectiveness terms</w:t>
      </w:r>
      <w:r>
        <w:t>.</w:t>
      </w:r>
    </w:p>
    <w:p w:rsidR="00F2473C" w:rsidRDefault="00F2473C" w:rsidP="00962C7E">
      <w:pPr>
        <w:spacing w:before="0"/>
        <w:ind w:left="0"/>
      </w:pPr>
      <w:r>
        <w:br w:type="page"/>
      </w:r>
    </w:p>
    <w:p w:rsidR="00F2473C" w:rsidRPr="001F56FC" w:rsidRDefault="00F2473C" w:rsidP="00F2473C">
      <w:pPr>
        <w:pStyle w:val="Heading1"/>
      </w:pPr>
      <w:bookmarkStart w:id="197" w:name="_Toc448760516"/>
      <w:bookmarkStart w:id="198" w:name="_Toc457842137"/>
      <w:r>
        <w:t>5.</w:t>
      </w:r>
      <w:r>
        <w:tab/>
        <w:t>Equity</w:t>
      </w:r>
      <w:bookmarkEnd w:id="197"/>
      <w:bookmarkEnd w:id="198"/>
      <w:r>
        <w:t xml:space="preserve"> </w:t>
      </w:r>
    </w:p>
    <w:p w:rsidR="00F2473C" w:rsidRDefault="00F2473C" w:rsidP="00F2473C">
      <w:pPr>
        <w:pBdr>
          <w:top w:val="single" w:sz="4" w:space="1" w:color="auto"/>
          <w:left w:val="single" w:sz="4" w:space="1" w:color="auto"/>
          <w:bottom w:val="single" w:sz="4" w:space="1" w:color="auto"/>
          <w:right w:val="single" w:sz="4" w:space="1" w:color="auto"/>
        </w:pBdr>
        <w:rPr>
          <w:b/>
        </w:rPr>
      </w:pPr>
      <w:r>
        <w:rPr>
          <w:b/>
        </w:rPr>
        <w:t xml:space="preserve">Evaluation aim addressed in this section </w:t>
      </w:r>
    </w:p>
    <w:p w:rsidR="00F2473C" w:rsidRDefault="00F2473C" w:rsidP="00F2473C">
      <w:pPr>
        <w:pBdr>
          <w:top w:val="single" w:sz="4" w:space="1" w:color="auto"/>
          <w:left w:val="single" w:sz="4" w:space="1" w:color="auto"/>
          <w:bottom w:val="single" w:sz="4" w:space="1" w:color="auto"/>
          <w:right w:val="single" w:sz="4" w:space="1" w:color="auto"/>
        </w:pBdr>
      </w:pPr>
      <w:r w:rsidRPr="00B256E0">
        <w:rPr>
          <w:b/>
        </w:rPr>
        <w:t>Equity:</w:t>
      </w:r>
      <w:r w:rsidRPr="00C95C03">
        <w:t xml:space="preserve"> Can a national bowel screening programme be delivered in a manner that eliminates (or does not increase) current inequalities between population groups?</w:t>
      </w:r>
    </w:p>
    <w:p w:rsidR="000802AF" w:rsidRDefault="00FD08B3" w:rsidP="00FD08B3">
      <w:pPr>
        <w:pStyle w:val="Heading2"/>
      </w:pPr>
      <w:bookmarkStart w:id="199" w:name="_Toc457842138"/>
      <w:r>
        <w:t>5.1</w:t>
      </w:r>
      <w:r>
        <w:tab/>
      </w:r>
      <w:r w:rsidR="00A66885">
        <w:t>E</w:t>
      </w:r>
      <w:r w:rsidR="00E035B7">
        <w:t>xisting inequities in colorectal cancer</w:t>
      </w:r>
      <w:bookmarkEnd w:id="199"/>
    </w:p>
    <w:p w:rsidR="00166DB0" w:rsidRDefault="00FD08B3" w:rsidP="00166DB0">
      <w:r>
        <w:t xml:space="preserve">Equity and access is one of </w:t>
      </w:r>
      <w:r w:rsidR="00B5137C">
        <w:t>the four dimensions of quality in a screening programme (</w:t>
      </w:r>
      <w:r>
        <w:t xml:space="preserve">National Screening Unit 2005).  The other dimensions of quality are efficiency and effectiveness (refer section 4) and safety (refer section </w:t>
      </w:r>
      <w:r w:rsidR="00FB58AA">
        <w:t>6</w:t>
      </w:r>
      <w:r>
        <w:t>).  Equity and access is defined as the extent to which people are able to receive a service on the basis of need, mindful of socio</w:t>
      </w:r>
      <w:r w:rsidR="00147013">
        <w:t>-</w:t>
      </w:r>
      <w:r>
        <w:t>economic factors, ethnicity, age, impairment or gender</w:t>
      </w:r>
      <w:r w:rsidR="00A22D98">
        <w:t xml:space="preserve"> (National Screening Unit 2005 p.10).</w:t>
      </w:r>
      <w:r w:rsidR="00FB58AA">
        <w:t xml:space="preserve">  </w:t>
      </w:r>
      <w:r w:rsidR="00166DB0" w:rsidRPr="00166DB0">
        <w:t xml:space="preserve">Screening programmes </w:t>
      </w:r>
      <w:r w:rsidR="00166DB0">
        <w:t xml:space="preserve">should </w:t>
      </w:r>
      <w:r w:rsidR="00166DB0" w:rsidRPr="00166DB0">
        <w:t>apply the Treaty of Waitangi principles of partnership,</w:t>
      </w:r>
      <w:r w:rsidR="00166DB0">
        <w:t xml:space="preserve"> </w:t>
      </w:r>
      <w:r w:rsidR="00166DB0" w:rsidRPr="00166DB0">
        <w:t>protection and participation to ensure that quality standards and activities are</w:t>
      </w:r>
      <w:r w:rsidR="00166DB0">
        <w:t xml:space="preserve"> </w:t>
      </w:r>
      <w:r w:rsidR="00166DB0" w:rsidRPr="00166DB0">
        <w:t>explicitly responsive to the specific needs of M</w:t>
      </w:r>
      <w:r w:rsidR="00166DB0">
        <w:rPr>
          <w:rFonts w:cs="Arial"/>
        </w:rPr>
        <w:t>ā</w:t>
      </w:r>
      <w:r w:rsidR="00166DB0">
        <w:t>ori to reduce in</w:t>
      </w:r>
      <w:r w:rsidR="00166DB0" w:rsidRPr="00166DB0">
        <w:t xml:space="preserve">equalities in outcomes </w:t>
      </w:r>
      <w:r w:rsidR="00166DB0">
        <w:t xml:space="preserve">(National Screening Unit 2005).  </w:t>
      </w:r>
    </w:p>
    <w:p w:rsidR="00FD08B3" w:rsidRDefault="00FD08B3" w:rsidP="00FD08B3">
      <w:r w:rsidRPr="008E5431">
        <w:rPr>
          <w:lang w:eastAsia="en-NZ"/>
        </w:rPr>
        <w:t>New Zealand has one of the highest bowel cancer rates in the world</w:t>
      </w:r>
      <w:r w:rsidR="00A22D98" w:rsidRPr="00A22D98">
        <w:t xml:space="preserve"> </w:t>
      </w:r>
      <w:r w:rsidR="00A22D98">
        <w:t>(</w:t>
      </w:r>
      <w:r w:rsidR="00A22D98" w:rsidRPr="008E5431">
        <w:t>National Bowel Cancer Tumour Standards Working Group 2013)</w:t>
      </w:r>
      <w:r w:rsidRPr="008E5431">
        <w:rPr>
          <w:lang w:eastAsia="en-NZ"/>
        </w:rPr>
        <w:t xml:space="preserve">.  </w:t>
      </w:r>
      <w:r w:rsidRPr="008E5431">
        <w:t>For Māori</w:t>
      </w:r>
      <w:r>
        <w:t xml:space="preserve"> men,</w:t>
      </w:r>
      <w:r w:rsidRPr="008E5431">
        <w:t xml:space="preserve"> bowel cancer is the </w:t>
      </w:r>
      <w:r>
        <w:t>second</w:t>
      </w:r>
      <w:r w:rsidRPr="008E5431">
        <w:t xml:space="preserve"> most common cause of death from cancer</w:t>
      </w:r>
      <w:r>
        <w:t>, and third for M</w:t>
      </w:r>
      <w:r>
        <w:rPr>
          <w:rFonts w:cs="Arial"/>
        </w:rPr>
        <w:t>ā</w:t>
      </w:r>
      <w:r>
        <w:t>ori women</w:t>
      </w:r>
      <w:r w:rsidRPr="008E5431">
        <w:t xml:space="preserve"> </w:t>
      </w:r>
      <w:r w:rsidRPr="008E5431">
        <w:rPr>
          <w:noProof/>
        </w:rPr>
        <w:t>(Ministry of Health 20</w:t>
      </w:r>
      <w:r>
        <w:rPr>
          <w:noProof/>
        </w:rPr>
        <w:t>15</w:t>
      </w:r>
      <w:r w:rsidRPr="008E5431">
        <w:rPr>
          <w:noProof/>
        </w:rPr>
        <w:t>).</w:t>
      </w:r>
      <w:r w:rsidRPr="008E5431">
        <w:t xml:space="preserve">  A</w:t>
      </w:r>
      <w:r w:rsidR="008346DB">
        <w:t>mong Māori</w:t>
      </w:r>
      <w:r w:rsidR="00147013">
        <w:t>,</w:t>
      </w:r>
      <w:r w:rsidR="008346DB">
        <w:t xml:space="preserve"> bowel cancer diagnosi</w:t>
      </w:r>
      <w:r w:rsidRPr="008E5431">
        <w:t>s</w:t>
      </w:r>
      <w:r>
        <w:t xml:space="preserve"> </w:t>
      </w:r>
      <w:r w:rsidRPr="008E5431">
        <w:t>rates are increasing with the fastest rate of increase among Māori males (</w:t>
      </w:r>
      <w:r w:rsidRPr="001617FD">
        <w:t>National Bowel Cancer</w:t>
      </w:r>
      <w:r>
        <w:t xml:space="preserve"> Tumour Standards Working Group</w:t>
      </w:r>
      <w:r w:rsidRPr="001617FD">
        <w:t xml:space="preserve"> 2013</w:t>
      </w:r>
      <w:r w:rsidRPr="008E5431">
        <w:t>).</w:t>
      </w:r>
      <w:r w:rsidR="004A592A">
        <w:t xml:space="preserve">  </w:t>
      </w:r>
      <w:r w:rsidR="00FB58AA">
        <w:t>Hill et al (2012) note that</w:t>
      </w:r>
      <w:r w:rsidR="004A592A">
        <w:t xml:space="preserve"> M</w:t>
      </w:r>
      <w:r w:rsidR="004A592A" w:rsidRPr="008E5431">
        <w:t xml:space="preserve">āori </w:t>
      </w:r>
      <w:r w:rsidR="004A592A">
        <w:t>have poorer survival than other ethnic groups for most types of cancer</w:t>
      </w:r>
      <w:r w:rsidR="00147013">
        <w:t>,</w:t>
      </w:r>
      <w:r w:rsidR="004A592A">
        <w:t xml:space="preserve"> including colo</w:t>
      </w:r>
      <w:r w:rsidR="00147013">
        <w:t>-</w:t>
      </w:r>
      <w:r w:rsidR="004A592A">
        <w:t>rectum.</w:t>
      </w:r>
      <w:r w:rsidR="00147013">
        <w:rPr>
          <w:rStyle w:val="FootnoteReference"/>
        </w:rPr>
        <w:footnoteReference w:id="46"/>
      </w:r>
      <w:r w:rsidR="004A592A">
        <w:t xml:space="preserve">  Reasons given </w:t>
      </w:r>
      <w:r w:rsidR="00FB58AA">
        <w:t xml:space="preserve">for poorer survival </w:t>
      </w:r>
      <w:r w:rsidR="00B72123">
        <w:t xml:space="preserve">rates </w:t>
      </w:r>
      <w:r w:rsidR="004A592A">
        <w:t>are M</w:t>
      </w:r>
      <w:r w:rsidR="004A592A" w:rsidRPr="008E5431">
        <w:t>āori</w:t>
      </w:r>
      <w:r w:rsidR="004A592A">
        <w:t xml:space="preserve"> patients are more likely</w:t>
      </w:r>
      <w:r w:rsidR="00AA1807">
        <w:t xml:space="preserve"> to </w:t>
      </w:r>
      <w:r w:rsidR="00B72123">
        <w:t xml:space="preserve">be </w:t>
      </w:r>
      <w:r w:rsidR="00AA1807">
        <w:t>diagnosed with late</w:t>
      </w:r>
      <w:r w:rsidR="00147013">
        <w:t>-</w:t>
      </w:r>
      <w:r w:rsidR="004A592A">
        <w:t>stage disease for colorectal cancer</w:t>
      </w:r>
      <w:r w:rsidR="00A3626E">
        <w:rPr>
          <w:rStyle w:val="FootnoteReference"/>
        </w:rPr>
        <w:footnoteReference w:id="47"/>
      </w:r>
      <w:r w:rsidR="004A592A">
        <w:t xml:space="preserve"> and </w:t>
      </w:r>
      <w:r w:rsidR="00B72123">
        <w:t xml:space="preserve">have </w:t>
      </w:r>
      <w:r w:rsidR="004A592A">
        <w:t>higher prevalence of diabetes, cardiovascular and respiratory disease.</w:t>
      </w:r>
      <w:r w:rsidR="00147013">
        <w:rPr>
          <w:rStyle w:val="FootnoteReference"/>
        </w:rPr>
        <w:footnoteReference w:id="48"/>
      </w:r>
      <w:r w:rsidR="004A592A">
        <w:t xml:space="preserve">  </w:t>
      </w:r>
      <w:r w:rsidR="00AA1807" w:rsidRPr="004A592A">
        <w:t>Reasons for higher co-morbidity in Indigenous peoples include greater socio-economic deprivation, poorer access to favourable determinants of health</w:t>
      </w:r>
      <w:r w:rsidR="00BC5C8D">
        <w:t>,</w:t>
      </w:r>
      <w:r w:rsidR="00AA1807" w:rsidRPr="004A592A">
        <w:t xml:space="preserve"> and historical disadvantage through coloni</w:t>
      </w:r>
      <w:r w:rsidR="00147013">
        <w:t>s</w:t>
      </w:r>
      <w:r w:rsidR="00AA1807" w:rsidRPr="004A592A">
        <w:t>ation.</w:t>
      </w:r>
      <w:r w:rsidR="00147013">
        <w:rPr>
          <w:rStyle w:val="FootnoteReference"/>
        </w:rPr>
        <w:footnoteReference w:id="49"/>
      </w:r>
      <w:r w:rsidR="00AA1807">
        <w:t xml:space="preserve">  </w:t>
      </w:r>
      <w:r w:rsidR="004A592A">
        <w:t>M</w:t>
      </w:r>
      <w:r w:rsidR="00BC5C8D">
        <w:t>āori</w:t>
      </w:r>
      <w:r w:rsidR="004A592A">
        <w:t xml:space="preserve"> also experience barriers to accessing diagnostic cancer services,</w:t>
      </w:r>
      <w:r w:rsidR="00147013">
        <w:rPr>
          <w:rStyle w:val="FootnoteReference"/>
        </w:rPr>
        <w:footnoteReference w:id="50"/>
      </w:r>
      <w:r w:rsidR="004A592A">
        <w:t xml:space="preserve"> and effective </w:t>
      </w:r>
      <w:r w:rsidR="00BC5C8D">
        <w:t xml:space="preserve">and timely </w:t>
      </w:r>
      <w:r w:rsidR="004A592A">
        <w:t>cancer care.</w:t>
      </w:r>
      <w:r w:rsidR="00147013">
        <w:rPr>
          <w:rStyle w:val="FootnoteReference"/>
        </w:rPr>
        <w:footnoteReference w:id="51"/>
      </w:r>
      <w:r w:rsidR="004A592A">
        <w:t xml:space="preserve"> </w:t>
      </w:r>
      <w:r w:rsidR="00AA1807">
        <w:t xml:space="preserve"> </w:t>
      </w:r>
    </w:p>
    <w:p w:rsidR="004A592A" w:rsidRDefault="00920958" w:rsidP="00FD08B3">
      <w:r>
        <w:t>Diabetes and obesity are associated with an increase</w:t>
      </w:r>
      <w:r w:rsidR="00147013">
        <w:t>d</w:t>
      </w:r>
      <w:r>
        <w:t xml:space="preserve"> risk for colorectal cancer.  Despite a higher prevalence of these risk factors in Pacific people compared </w:t>
      </w:r>
      <w:r w:rsidR="00147013">
        <w:t>with</w:t>
      </w:r>
      <w:r w:rsidR="00C12ABE">
        <w:t xml:space="preserve"> </w:t>
      </w:r>
      <w:r>
        <w:t xml:space="preserve">European/Other, </w:t>
      </w:r>
      <w:r w:rsidR="00AA1807">
        <w:t xml:space="preserve">Pacific people in New Zealand have consistently had lower </w:t>
      </w:r>
      <w:r>
        <w:t>rates of colorectal cancer than European/Other. Colorectal cancer is relatively rare in people living in the Pacific Islands</w:t>
      </w:r>
      <w:r w:rsidR="0020060C">
        <w:rPr>
          <w:rStyle w:val="FootnoteReference"/>
        </w:rPr>
        <w:footnoteReference w:id="52"/>
      </w:r>
      <w:r>
        <w:t xml:space="preserve"> (Meredith et al 2012).  However, </w:t>
      </w:r>
      <w:r w:rsidR="00AA1807">
        <w:t>Pacific people</w:t>
      </w:r>
      <w:r w:rsidR="004A592A">
        <w:t xml:space="preserve"> have poorer cancer survival compared with European patients, although their outcomes are better than those of M</w:t>
      </w:r>
      <w:r w:rsidR="00AA1807">
        <w:rPr>
          <w:rFonts w:cs="Arial"/>
        </w:rPr>
        <w:t>ā</w:t>
      </w:r>
      <w:r w:rsidR="004A592A">
        <w:t xml:space="preserve">ori (Hill et al 2012).  </w:t>
      </w:r>
      <w:r>
        <w:t>Meredith et al (2012</w:t>
      </w:r>
      <w:r w:rsidR="00E035B7">
        <w:t xml:space="preserve"> p.1182</w:t>
      </w:r>
      <w:r>
        <w:t xml:space="preserve">) conclude that Pacific people are facing a critical transition </w:t>
      </w:r>
      <w:r w:rsidR="00E035B7">
        <w:t xml:space="preserve">with a new emerging epidemic of cancer associated with diabetes, obesity and physical inactivity.  </w:t>
      </w:r>
    </w:p>
    <w:p w:rsidR="00BA6E90" w:rsidRDefault="00F57DA7" w:rsidP="00FB58AA">
      <w:r>
        <w:t>Hill et al (</w:t>
      </w:r>
      <w:r w:rsidR="00FB58AA">
        <w:t xml:space="preserve">2012) </w:t>
      </w:r>
      <w:r w:rsidR="00B5137C">
        <w:t>state</w:t>
      </w:r>
      <w:r w:rsidR="00FB58AA">
        <w:t xml:space="preserve"> that i</w:t>
      </w:r>
      <w:r w:rsidR="00FB58AA" w:rsidRPr="00FB58AA">
        <w:t xml:space="preserve">nequalities in treatment </w:t>
      </w:r>
      <w:r w:rsidR="00BC5C8D">
        <w:t xml:space="preserve">and survival </w:t>
      </w:r>
      <w:r w:rsidR="00FB58AA" w:rsidRPr="00FB58AA">
        <w:t>of M</w:t>
      </w:r>
      <w:r w:rsidR="00FB58AA">
        <w:rPr>
          <w:rFonts w:cs="Arial"/>
        </w:rPr>
        <w:t>ā</w:t>
      </w:r>
      <w:r w:rsidR="00FB58AA" w:rsidRPr="00FB58AA">
        <w:t>ori and non-M</w:t>
      </w:r>
      <w:r w:rsidR="00FB58AA">
        <w:rPr>
          <w:rFonts w:cs="Arial"/>
        </w:rPr>
        <w:t>ā</w:t>
      </w:r>
      <w:r w:rsidR="00FB58AA" w:rsidRPr="00FB58AA">
        <w:t xml:space="preserve">ori </w:t>
      </w:r>
      <w:r w:rsidR="00BC5C8D">
        <w:t xml:space="preserve">cancer </w:t>
      </w:r>
      <w:r w:rsidR="00FB58AA" w:rsidRPr="00FB58AA">
        <w:t>patients may arise</w:t>
      </w:r>
      <w:r w:rsidR="00FB58AA">
        <w:t xml:space="preserve"> </w:t>
      </w:r>
      <w:r w:rsidR="00FB58AA" w:rsidRPr="00FB58AA">
        <w:t>at three levels: differences in individual patient factors</w:t>
      </w:r>
      <w:r w:rsidR="00FB58AA">
        <w:t xml:space="preserve"> (</w:t>
      </w:r>
      <w:r w:rsidR="004E7E3F">
        <w:t>e.g.</w:t>
      </w:r>
      <w:r w:rsidR="00FB58AA">
        <w:t xml:space="preserve"> existing co-mor</w:t>
      </w:r>
      <w:r w:rsidR="004E7E3F">
        <w:t>bi</w:t>
      </w:r>
      <w:r w:rsidR="00FB58AA">
        <w:t>dity)</w:t>
      </w:r>
      <w:r w:rsidR="00FB58AA" w:rsidRPr="00FB58AA">
        <w:t>, differences</w:t>
      </w:r>
      <w:r w:rsidR="00FB58AA">
        <w:t xml:space="preserve"> </w:t>
      </w:r>
      <w:r w:rsidR="00FB58AA" w:rsidRPr="00FB58AA">
        <w:t xml:space="preserve">in health-care processes </w:t>
      </w:r>
      <w:r w:rsidR="00FB58AA">
        <w:t>(</w:t>
      </w:r>
      <w:r w:rsidR="004E7E3F">
        <w:t>e.g.</w:t>
      </w:r>
      <w:r w:rsidR="00FB58AA">
        <w:t xml:space="preserve"> access to diagnostic and treatment services)</w:t>
      </w:r>
      <w:r w:rsidR="00F72955">
        <w:t>,</w:t>
      </w:r>
      <w:r w:rsidR="00FB58AA">
        <w:t xml:space="preserve"> </w:t>
      </w:r>
      <w:r w:rsidR="00FB58AA" w:rsidRPr="00FB58AA">
        <w:t>and differences in the function of the health</w:t>
      </w:r>
      <w:r w:rsidR="00FB58AA">
        <w:t xml:space="preserve"> system as a whole (</w:t>
      </w:r>
      <w:r w:rsidR="004E7E3F">
        <w:t>e.g.</w:t>
      </w:r>
      <w:r w:rsidR="00FB58AA">
        <w:t xml:space="preserve"> location of services, costs and cultural focus of providers).</w:t>
      </w:r>
      <w:r w:rsidR="000D5D2A">
        <w:t xml:space="preserve">  Hill et al (2012) acknowledge</w:t>
      </w:r>
      <w:r w:rsidR="00FB58AA">
        <w:t xml:space="preserve"> that questioning </w:t>
      </w:r>
      <w:r w:rsidR="004E7E3F">
        <w:t xml:space="preserve">the </w:t>
      </w:r>
      <w:r w:rsidR="00FB58AA">
        <w:t xml:space="preserve">fairness </w:t>
      </w:r>
      <w:r w:rsidR="004E7E3F">
        <w:t xml:space="preserve">of the health system </w:t>
      </w:r>
      <w:r w:rsidR="00FB58AA">
        <w:t>is uncomfortable</w:t>
      </w:r>
      <w:r w:rsidR="000D5D2A">
        <w:t>,</w:t>
      </w:r>
      <w:r w:rsidR="00FB58AA">
        <w:t xml:space="preserve"> especially given </w:t>
      </w:r>
      <w:r w:rsidR="00BC5C8D">
        <w:t>clinicians</w:t>
      </w:r>
      <w:r w:rsidR="00FB25E9">
        <w:t>’</w:t>
      </w:r>
      <w:r w:rsidR="00BC5C8D">
        <w:t xml:space="preserve"> focus on </w:t>
      </w:r>
      <w:r w:rsidR="00FB58AA">
        <w:t xml:space="preserve">the principle of care based on need.  However, it </w:t>
      </w:r>
      <w:r w:rsidR="004E7E3F">
        <w:t>must be recognis</w:t>
      </w:r>
      <w:r w:rsidR="00FB58AA">
        <w:t xml:space="preserve">ed that the </w:t>
      </w:r>
      <w:r w:rsidR="00F72955">
        <w:t xml:space="preserve">health </w:t>
      </w:r>
      <w:r w:rsidR="00FB58AA">
        <w:t xml:space="preserve">system does not provide equal cancer care </w:t>
      </w:r>
      <w:r w:rsidR="00B5137C">
        <w:t xml:space="preserve">for </w:t>
      </w:r>
      <w:r w:rsidR="00FB58AA" w:rsidRPr="00FB58AA">
        <w:t>M</w:t>
      </w:r>
      <w:r w:rsidR="00FB58AA">
        <w:rPr>
          <w:rFonts w:cs="Arial"/>
        </w:rPr>
        <w:t>ā</w:t>
      </w:r>
      <w:r w:rsidR="00FB58AA" w:rsidRPr="00FB58AA">
        <w:t>ori and non-M</w:t>
      </w:r>
      <w:r w:rsidR="00FB58AA">
        <w:rPr>
          <w:rFonts w:cs="Arial"/>
        </w:rPr>
        <w:t>ā</w:t>
      </w:r>
      <w:r w:rsidR="00FB58AA" w:rsidRPr="00FB58AA">
        <w:t>ori</w:t>
      </w:r>
      <w:r w:rsidR="00F72955">
        <w:t>,</w:t>
      </w:r>
      <w:r w:rsidR="00FB58AA" w:rsidRPr="00FB58AA">
        <w:t xml:space="preserve"> </w:t>
      </w:r>
      <w:r w:rsidR="00FB58AA">
        <w:t xml:space="preserve">and that these inequities are not inevitable and can be addressed.  </w:t>
      </w:r>
    </w:p>
    <w:p w:rsidR="00E035B7" w:rsidRDefault="004E7E3F" w:rsidP="00E035B7">
      <w:r>
        <w:t>As evident, there are existing inequities in the access and treatment of colorectal cancer for M</w:t>
      </w:r>
      <w:r>
        <w:rPr>
          <w:rFonts w:cs="Arial"/>
        </w:rPr>
        <w:t>ā</w:t>
      </w:r>
      <w:r>
        <w:t xml:space="preserve">ori and Pacific people.  Introducing the BSP created an opportunity </w:t>
      </w:r>
      <w:r w:rsidR="000D5D2A">
        <w:t>to eliminate</w:t>
      </w:r>
      <w:r>
        <w:t xml:space="preserve"> inequity through </w:t>
      </w:r>
      <w:r w:rsidR="00F72955">
        <w:t xml:space="preserve">a </w:t>
      </w:r>
      <w:r>
        <w:t>structural and systematic focus on equity for M</w:t>
      </w:r>
      <w:r>
        <w:rPr>
          <w:rFonts w:cs="Arial"/>
        </w:rPr>
        <w:t>ā</w:t>
      </w:r>
      <w:r>
        <w:t xml:space="preserve">ori and Pacific people and other groups less likely to participate in </w:t>
      </w:r>
      <w:r w:rsidR="00B5137C">
        <w:t xml:space="preserve">bowel </w:t>
      </w:r>
      <w:r>
        <w:t xml:space="preserve">screening.  </w:t>
      </w:r>
    </w:p>
    <w:p w:rsidR="00F2473C" w:rsidRDefault="009D44E9" w:rsidP="009D44E9">
      <w:pPr>
        <w:pStyle w:val="Heading2"/>
      </w:pPr>
      <w:bookmarkStart w:id="200" w:name="_Toc457842139"/>
      <w:r>
        <w:t>5.2</w:t>
      </w:r>
      <w:r>
        <w:tab/>
        <w:t>Inequitable participation in the BSP</w:t>
      </w:r>
      <w:bookmarkEnd w:id="200"/>
      <w:r>
        <w:t xml:space="preserve"> </w:t>
      </w:r>
    </w:p>
    <w:p w:rsidR="009D44E9" w:rsidRDefault="009D44E9" w:rsidP="009D44E9">
      <w:pPr>
        <w:rPr>
          <w:rFonts w:cs="Arial"/>
          <w:lang w:eastAsia="en-US"/>
        </w:rPr>
      </w:pPr>
      <w:r>
        <w:t>In 2015, the interim BSP evaluation report highlighted that the</w:t>
      </w:r>
      <w:r w:rsidRPr="008B1F1E">
        <w:t xml:space="preserve"> BSP, as </w:t>
      </w:r>
      <w:r>
        <w:t xml:space="preserve">it was then being </w:t>
      </w:r>
      <w:r w:rsidRPr="008B1F1E">
        <w:t xml:space="preserve">delivered, </w:t>
      </w:r>
      <w:r>
        <w:t>wa</w:t>
      </w:r>
      <w:r w:rsidRPr="008B1F1E">
        <w:t>s increasing inequities for M</w:t>
      </w:r>
      <w:r w:rsidRPr="008B1F1E">
        <w:rPr>
          <w:rFonts w:cs="Arial"/>
        </w:rPr>
        <w:t>ā</w:t>
      </w:r>
      <w:r w:rsidRPr="008B1F1E">
        <w:t xml:space="preserve">ori </w:t>
      </w:r>
      <w:r>
        <w:t xml:space="preserve">and those </w:t>
      </w:r>
      <w:r w:rsidRPr="009826F2">
        <w:rPr>
          <w:rFonts w:cs="Arial"/>
        </w:rPr>
        <w:t xml:space="preserve">people living in the most deprived areas </w:t>
      </w:r>
      <w:r w:rsidRPr="008B1F1E">
        <w:t xml:space="preserve">due to their low participation and high disease burden.  Pacific </w:t>
      </w:r>
      <w:r w:rsidRPr="008B1F1E">
        <w:rPr>
          <w:lang w:eastAsia="ar-SA"/>
        </w:rPr>
        <w:t>people ha</w:t>
      </w:r>
      <w:r>
        <w:rPr>
          <w:lang w:eastAsia="ar-SA"/>
        </w:rPr>
        <w:t>d</w:t>
      </w:r>
      <w:r w:rsidRPr="008B1F1E">
        <w:rPr>
          <w:lang w:eastAsia="ar-SA"/>
        </w:rPr>
        <w:t xml:space="preserve"> the lowest participation rates</w:t>
      </w:r>
      <w:r>
        <w:rPr>
          <w:lang w:eastAsia="ar-SA"/>
        </w:rPr>
        <w:t xml:space="preserve"> in Round 1</w:t>
      </w:r>
      <w:r w:rsidR="00C12ABE">
        <w:rPr>
          <w:lang w:eastAsia="ar-SA"/>
        </w:rPr>
        <w:t>,</w:t>
      </w:r>
      <w:r w:rsidRPr="008B1F1E">
        <w:rPr>
          <w:lang w:eastAsia="ar-SA"/>
        </w:rPr>
        <w:t xml:space="preserve"> </w:t>
      </w:r>
      <w:r>
        <w:rPr>
          <w:lang w:eastAsia="ar-SA"/>
        </w:rPr>
        <w:t>although</w:t>
      </w:r>
      <w:r w:rsidRPr="008B1F1E">
        <w:rPr>
          <w:lang w:eastAsia="ar-SA"/>
        </w:rPr>
        <w:t xml:space="preserve"> their disease burden </w:t>
      </w:r>
      <w:r>
        <w:rPr>
          <w:lang w:eastAsia="ar-SA"/>
        </w:rPr>
        <w:t>wa</w:t>
      </w:r>
      <w:r w:rsidRPr="008B1F1E">
        <w:rPr>
          <w:lang w:eastAsia="ar-SA"/>
        </w:rPr>
        <w:t>s lower</w:t>
      </w:r>
      <w:r>
        <w:rPr>
          <w:lang w:eastAsia="ar-SA"/>
        </w:rPr>
        <w:t xml:space="preserve">.  </w:t>
      </w:r>
    </w:p>
    <w:p w:rsidR="00403650" w:rsidRPr="00637AEA" w:rsidRDefault="009D44E9" w:rsidP="00403650">
      <w:r>
        <w:t>After 36 months, patterns of inequitable participation continue.  A</w:t>
      </w:r>
      <w:r w:rsidR="00403650">
        <w:t xml:space="preserve"> number of challenges </w:t>
      </w:r>
      <w:r>
        <w:t xml:space="preserve">exist </w:t>
      </w:r>
      <w:r w:rsidR="00403650">
        <w:t>in delivering an equitable national bowel screening programme</w:t>
      </w:r>
      <w:r>
        <w:t xml:space="preserve"> (Re</w:t>
      </w:r>
      <w:r w:rsidR="00F80C86">
        <w:t>a</w:t>
      </w:r>
      <w:r>
        <w:t>d et al 2016)</w:t>
      </w:r>
      <w:r w:rsidR="00403650">
        <w:t xml:space="preserve">. </w:t>
      </w:r>
      <w:r>
        <w:t xml:space="preserve"> </w:t>
      </w:r>
      <w:r w:rsidR="00403650" w:rsidRPr="00637AEA">
        <w:t>Asian, Māori and Pacific people were all less likely to participate than European/Other people</w:t>
      </w:r>
      <w:r w:rsidR="00403650">
        <w:t xml:space="preserve"> in both rounds</w:t>
      </w:r>
      <w:r w:rsidR="00403650" w:rsidRPr="00637AEA">
        <w:t xml:space="preserve">. </w:t>
      </w:r>
      <w:r w:rsidR="00403650" w:rsidRPr="00637AEA" w:rsidDel="009E1906">
        <w:t xml:space="preserve">Participation in Round 2 was </w:t>
      </w:r>
      <w:r w:rsidR="00403650" w:rsidDel="009E1906">
        <w:t xml:space="preserve">also </w:t>
      </w:r>
      <w:r w:rsidR="00403650" w:rsidRPr="00637AEA" w:rsidDel="009E1906">
        <w:t xml:space="preserve">lower than in </w:t>
      </w:r>
      <w:r w:rsidR="00F72955">
        <w:t>Round 1</w:t>
      </w:r>
      <w:r w:rsidR="00403650" w:rsidRPr="00637AEA" w:rsidDel="009E1906">
        <w:t xml:space="preserve">. </w:t>
      </w:r>
      <w:r w:rsidR="00403650" w:rsidRPr="00637AEA">
        <w:t xml:space="preserve">Within </w:t>
      </w:r>
      <w:r w:rsidR="00F72955">
        <w:t>Round 2</w:t>
      </w:r>
      <w:r w:rsidR="00403650" w:rsidRPr="00637AEA">
        <w:t>, participation varied depending on the screening history of the invited population</w:t>
      </w:r>
      <w:r w:rsidR="00403650">
        <w:t xml:space="preserve"> with the highest participation among those who had completed </w:t>
      </w:r>
      <w:r w:rsidR="00F72955">
        <w:t>Round 1</w:t>
      </w:r>
      <w:r>
        <w:t xml:space="preserve"> (Read et al 2016)</w:t>
      </w:r>
      <w:r w:rsidR="00403650">
        <w:t>.</w:t>
      </w:r>
      <w:r w:rsidR="00403650" w:rsidRPr="00637AEA">
        <w:t xml:space="preserve"> </w:t>
      </w:r>
    </w:p>
    <w:p w:rsidR="00403650" w:rsidRDefault="00403650" w:rsidP="00403650">
      <w:r w:rsidRPr="00637AEA">
        <w:t>European/Other and Asian</w:t>
      </w:r>
      <w:r>
        <w:t xml:space="preserve"> participation</w:t>
      </w:r>
      <w:r w:rsidRPr="00637AEA">
        <w:t xml:space="preserve"> decreased from </w:t>
      </w:r>
      <w:r w:rsidR="00F72955">
        <w:t>Round 1</w:t>
      </w:r>
      <w:r w:rsidRPr="00637AEA">
        <w:t xml:space="preserve">, and remained the same for Māori. </w:t>
      </w:r>
      <w:r>
        <w:t>Whil</w:t>
      </w:r>
      <w:r w:rsidR="009D44E9">
        <w:t>e</w:t>
      </w:r>
      <w:r>
        <w:t xml:space="preserve"> participation </w:t>
      </w:r>
      <w:r w:rsidRPr="00637AEA">
        <w:t>increased for Pacific people</w:t>
      </w:r>
      <w:r>
        <w:t xml:space="preserve"> in </w:t>
      </w:r>
      <w:r w:rsidR="00F72955">
        <w:t>Round 2</w:t>
      </w:r>
      <w:r>
        <w:t xml:space="preserve">, it was still low (36.7%). </w:t>
      </w:r>
      <w:r w:rsidRPr="00637AEA">
        <w:t xml:space="preserve">Participation </w:t>
      </w:r>
      <w:r>
        <w:t xml:space="preserve">also </w:t>
      </w:r>
      <w:r w:rsidRPr="00637AEA">
        <w:t>declined with increasing deprivation</w:t>
      </w:r>
      <w:r>
        <w:t xml:space="preserve"> in both rounds</w:t>
      </w:r>
      <w:r w:rsidR="009D44E9">
        <w:t xml:space="preserve"> (Read et al 2016).</w:t>
      </w:r>
      <w:r w:rsidRPr="00637AEA">
        <w:t xml:space="preserve"> </w:t>
      </w:r>
      <w:r w:rsidR="000F11FA">
        <w:t xml:space="preserve"> </w:t>
      </w:r>
      <w:r w:rsidR="000F11FA">
        <w:rPr>
          <w:rFonts w:cs="Arial"/>
        </w:rPr>
        <w:t xml:space="preserve">Controlling for age, sex and deprivation, there is evidence that </w:t>
      </w:r>
      <w:r w:rsidR="000F11FA" w:rsidRPr="0033154C">
        <w:rPr>
          <w:rFonts w:cs="Arial"/>
        </w:rPr>
        <w:t>Māori</w:t>
      </w:r>
      <w:r w:rsidR="000F11FA">
        <w:rPr>
          <w:rFonts w:cs="Arial"/>
        </w:rPr>
        <w:t xml:space="preserve"> have more neoplasia than European/Other participants.</w:t>
      </w:r>
    </w:p>
    <w:p w:rsidR="00EE1401" w:rsidRDefault="00F72955" w:rsidP="00506FC1">
      <w:bookmarkStart w:id="201" w:name="_Toc449167468"/>
      <w:r>
        <w:t>S</w:t>
      </w:r>
      <w:r w:rsidR="00506FC1" w:rsidRPr="008B1F1E">
        <w:t xml:space="preserve">creening </w:t>
      </w:r>
      <w:r>
        <w:t>Round 2</w:t>
      </w:r>
      <w:r w:rsidR="00506FC1" w:rsidRPr="008B1F1E">
        <w:t xml:space="preserve"> of the </w:t>
      </w:r>
      <w:r w:rsidR="000D5D2A">
        <w:t>p</w:t>
      </w:r>
      <w:r w:rsidR="00506FC1" w:rsidRPr="008B1F1E">
        <w:t xml:space="preserve">ilot </w:t>
      </w:r>
      <w:r w:rsidR="00506FC1">
        <w:t xml:space="preserve">was </w:t>
      </w:r>
      <w:r w:rsidR="00506FC1" w:rsidRPr="008B1F1E">
        <w:t xml:space="preserve">used to trial </w:t>
      </w:r>
      <w:r w:rsidR="00506FC1" w:rsidRPr="008B1F1E">
        <w:rPr>
          <w:lang w:eastAsia="ar-SA"/>
        </w:rPr>
        <w:t>new initiatives</w:t>
      </w:r>
      <w:r w:rsidR="00506FC1" w:rsidRPr="008B1F1E">
        <w:t xml:space="preserve"> to </w:t>
      </w:r>
      <w:r w:rsidR="00B72123">
        <w:t xml:space="preserve">seek to </w:t>
      </w:r>
      <w:r w:rsidR="00506FC1" w:rsidRPr="008B1F1E">
        <w:t>increase participation by M</w:t>
      </w:r>
      <w:r w:rsidR="00506FC1" w:rsidRPr="008B1F1E">
        <w:rPr>
          <w:rFonts w:cs="Arial"/>
        </w:rPr>
        <w:t>ā</w:t>
      </w:r>
      <w:r w:rsidR="00506FC1">
        <w:t xml:space="preserve">ori and Pacific people.  Towards the end of </w:t>
      </w:r>
      <w:r>
        <w:t>Round 2</w:t>
      </w:r>
      <w:r w:rsidR="00506FC1">
        <w:t xml:space="preserve">, the BSP Coordination Centre started to focus on </w:t>
      </w:r>
      <w:r w:rsidR="00CF326D">
        <w:t xml:space="preserve">people living in high deprivation areas </w:t>
      </w:r>
      <w:r w:rsidR="00506FC1">
        <w:t>through the activ</w:t>
      </w:r>
      <w:r w:rsidR="00B5137C">
        <w:t>e follow-up process.  Th</w:t>
      </w:r>
      <w:r w:rsidR="00506FC1">
        <w:t xml:space="preserve">is </w:t>
      </w:r>
      <w:r w:rsidR="000500B8">
        <w:t xml:space="preserve">equity </w:t>
      </w:r>
      <w:r w:rsidR="00506FC1">
        <w:t xml:space="preserve">section </w:t>
      </w:r>
      <w:r w:rsidR="00B5137C">
        <w:t xml:space="preserve">focuses on </w:t>
      </w:r>
      <w:r w:rsidR="00506FC1">
        <w:t>assess</w:t>
      </w:r>
      <w:r w:rsidR="00B5137C">
        <w:t>ing</w:t>
      </w:r>
      <w:r w:rsidR="00506FC1">
        <w:t xml:space="preserve"> the effect of new initiatives on enabling participation by M</w:t>
      </w:r>
      <w:r w:rsidR="00506FC1">
        <w:rPr>
          <w:rFonts w:cs="Arial"/>
        </w:rPr>
        <w:t>ā</w:t>
      </w:r>
      <w:r w:rsidR="00506FC1">
        <w:t>ori and Pacific people</w:t>
      </w:r>
      <w:r w:rsidR="00B72123">
        <w:t>, and then</w:t>
      </w:r>
      <w:r w:rsidR="00EE1401">
        <w:t xml:space="preserve"> consider</w:t>
      </w:r>
      <w:r w:rsidR="00B5137C">
        <w:t>s</w:t>
      </w:r>
      <w:r w:rsidR="00EE1401">
        <w:t xml:space="preserve"> the implications for a</w:t>
      </w:r>
      <w:r w:rsidR="00506FC1">
        <w:t xml:space="preserve"> national bowel screening programme.  </w:t>
      </w:r>
    </w:p>
    <w:p w:rsidR="00506FC1" w:rsidRDefault="00EE1401" w:rsidP="00506FC1">
      <w:r>
        <w:t xml:space="preserve">Note: </w:t>
      </w:r>
      <w:r w:rsidR="000061EE">
        <w:t>M</w:t>
      </w:r>
      <w:r w:rsidR="00B5137C">
        <w:t xml:space="preserve">ore </w:t>
      </w:r>
      <w:r w:rsidR="00B72123">
        <w:t>consistent</w:t>
      </w:r>
      <w:r w:rsidR="00506FC1">
        <w:t xml:space="preserve"> implementation of the new initiatives </w:t>
      </w:r>
      <w:r>
        <w:t xml:space="preserve">occurred in 2015, which </w:t>
      </w:r>
      <w:r w:rsidR="00F72955">
        <w:t>does not align with the cut-</w:t>
      </w:r>
      <w:r w:rsidR="00506FC1">
        <w:t xml:space="preserve">off period for the </w:t>
      </w:r>
      <w:r w:rsidR="00CF326D">
        <w:t>epidemiological analysis</w:t>
      </w:r>
      <w:r w:rsidR="00506FC1">
        <w:t xml:space="preserve"> </w:t>
      </w:r>
      <w:r>
        <w:t xml:space="preserve">at 36 months.  The </w:t>
      </w:r>
      <w:r w:rsidR="00506FC1">
        <w:t xml:space="preserve">impact </w:t>
      </w:r>
      <w:r>
        <w:t xml:space="preserve">of these initiatives </w:t>
      </w:r>
      <w:r w:rsidR="00506FC1">
        <w:t xml:space="preserve">on population level </w:t>
      </w:r>
      <w:r w:rsidR="00CF326D">
        <w:t>participation</w:t>
      </w:r>
      <w:r w:rsidR="00506FC1">
        <w:t xml:space="preserve"> </w:t>
      </w:r>
      <w:r w:rsidR="00B5137C">
        <w:t xml:space="preserve">therefore </w:t>
      </w:r>
      <w:r w:rsidR="00506FC1">
        <w:t>cannot be assessed.  However, it is possible to comment on their likely contribution to M</w:t>
      </w:r>
      <w:r w:rsidR="00CF326D">
        <w:rPr>
          <w:rFonts w:cs="Arial"/>
        </w:rPr>
        <w:t>ā</w:t>
      </w:r>
      <w:r w:rsidR="00506FC1">
        <w:t xml:space="preserve">ori and Pacific </w:t>
      </w:r>
      <w:r w:rsidR="00CF326D">
        <w:t>participation at an individual level</w:t>
      </w:r>
      <w:r w:rsidR="00506FC1">
        <w:t xml:space="preserve">.  </w:t>
      </w:r>
    </w:p>
    <w:p w:rsidR="003D76D1" w:rsidRDefault="003D76D1" w:rsidP="00506FC1">
      <w:pPr>
        <w:pStyle w:val="Heading2"/>
      </w:pPr>
      <w:bookmarkStart w:id="202" w:name="_Toc449167488"/>
      <w:bookmarkStart w:id="203" w:name="_Toc457842140"/>
      <w:r>
        <w:t>5.</w:t>
      </w:r>
      <w:r w:rsidR="00292827">
        <w:t>3</w:t>
      </w:r>
      <w:r>
        <w:tab/>
        <w:t>Strengthening the focus on equity</w:t>
      </w:r>
      <w:bookmarkEnd w:id="202"/>
      <w:bookmarkEnd w:id="203"/>
      <w:r>
        <w:t xml:space="preserve"> </w:t>
      </w:r>
    </w:p>
    <w:p w:rsidR="003D76D1" w:rsidRDefault="003D76D1" w:rsidP="003D76D1">
      <w:pPr>
        <w:autoSpaceDE w:val="0"/>
        <w:autoSpaceDN w:val="0"/>
        <w:adjustRightInd w:val="0"/>
        <w:spacing w:before="120"/>
      </w:pPr>
      <w:r>
        <w:t>The Ministry and WDHB, in the design and implementat</w:t>
      </w:r>
      <w:r w:rsidR="00D22599">
        <w:t xml:space="preserve">ion stages of BSP, </w:t>
      </w:r>
      <w:r>
        <w:t>endeavoured to identify and implement strategies to try and ensure the BSP is delivered in a way that enables access for all with a particular focus on eligible M</w:t>
      </w:r>
      <w:r>
        <w:rPr>
          <w:rFonts w:cs="Arial"/>
        </w:rPr>
        <w:t>ā</w:t>
      </w:r>
      <w:r>
        <w:t>ori and Pacific people.  However, feedback highlights that M</w:t>
      </w:r>
      <w:r>
        <w:rPr>
          <w:rFonts w:cs="Arial"/>
        </w:rPr>
        <w:t>ā</w:t>
      </w:r>
      <w:r>
        <w:t>ori and Pacific leaders could have been more involved in decision</w:t>
      </w:r>
      <w:r w:rsidR="000D5D2A">
        <w:t xml:space="preserve"> </w:t>
      </w:r>
      <w:r>
        <w:t xml:space="preserve">making during the design and </w:t>
      </w:r>
      <w:r w:rsidR="00D95D1D">
        <w:t xml:space="preserve">early </w:t>
      </w:r>
      <w:r>
        <w:t xml:space="preserve">implementation of the BSP (Litmus et al 2015).  </w:t>
      </w:r>
    </w:p>
    <w:p w:rsidR="003D76D1" w:rsidRDefault="003D76D1" w:rsidP="003D76D1">
      <w:r>
        <w:t xml:space="preserve">The Ministry established the </w:t>
      </w:r>
      <w:r w:rsidRPr="00DF3291">
        <w:t xml:space="preserve">Māori Expert Advisory Group to </w:t>
      </w:r>
      <w:r>
        <w:t>offer strategic advice on the development of the BSP on how to enhance the effectiveness of the screening pathway for M</w:t>
      </w:r>
      <w:r>
        <w:rPr>
          <w:rFonts w:cs="Arial"/>
        </w:rPr>
        <w:t>ā</w:t>
      </w:r>
      <w:r>
        <w:t xml:space="preserve">ori and ensure equity in the BSP.  </w:t>
      </w:r>
      <w:r w:rsidRPr="0062053D">
        <w:t xml:space="preserve">With the establishment of the national Bowel Cancer </w:t>
      </w:r>
      <w:r>
        <w:t>W</w:t>
      </w:r>
      <w:r w:rsidRPr="0062053D">
        <w:t xml:space="preserve">orking </w:t>
      </w:r>
      <w:r>
        <w:t>G</w:t>
      </w:r>
      <w:r w:rsidRPr="0062053D">
        <w:t xml:space="preserve">roup, the </w:t>
      </w:r>
      <w:r w:rsidR="001423A0">
        <w:t xml:space="preserve">Māori Expert Advisory Group </w:t>
      </w:r>
      <w:r w:rsidRPr="0062053D">
        <w:t>w</w:t>
      </w:r>
      <w:r w:rsidR="00D87AB7">
        <w:t>as</w:t>
      </w:r>
      <w:r w:rsidRPr="0062053D">
        <w:t xml:space="preserve"> disestablished.  </w:t>
      </w:r>
      <w:r>
        <w:t xml:space="preserve">To ensure consistency and transfer of knowledge, a member of the </w:t>
      </w:r>
      <w:r w:rsidR="001423A0">
        <w:t>Māori Expert Advisory Group</w:t>
      </w:r>
      <w:r>
        <w:t xml:space="preserve"> is on the </w:t>
      </w:r>
      <w:r w:rsidRPr="0062053D">
        <w:t>nati</w:t>
      </w:r>
      <w:r>
        <w:t>onal Bowel Cancer Working Group</w:t>
      </w:r>
      <w:r w:rsidRPr="0062053D">
        <w:t xml:space="preserve">.  </w:t>
      </w:r>
      <w:r>
        <w:t xml:space="preserve">Some of </w:t>
      </w:r>
      <w:r w:rsidR="001423A0">
        <w:t>Māori Expert Advisory Group</w:t>
      </w:r>
      <w:r>
        <w:t>’s recommendations were incorporated into the design of the BSP.  Advice from Pacific staff at the Ministry and WDHB was sought, on an as-needs-basis through the development and implementation of the BSP.</w:t>
      </w:r>
    </w:p>
    <w:p w:rsidR="003D76D1" w:rsidRDefault="003D76D1" w:rsidP="003D76D1">
      <w:r w:rsidRPr="004811AA">
        <w:t xml:space="preserve">During the early implementation of the BSP in </w:t>
      </w:r>
      <w:r w:rsidR="00F72955" w:rsidRPr="004811AA">
        <w:t>Round 1</w:t>
      </w:r>
      <w:r w:rsidRPr="004811AA">
        <w:t xml:space="preserve">, </w:t>
      </w:r>
      <w:r w:rsidR="001423A0" w:rsidRPr="004811AA">
        <w:t>Māori Expert Advisory Group</w:t>
      </w:r>
      <w:r w:rsidRPr="004811AA">
        <w:t>’s recommendation of a systematic and structural focus on equity for M</w:t>
      </w:r>
      <w:r w:rsidRPr="004811AA">
        <w:rPr>
          <w:rFonts w:cs="Arial"/>
        </w:rPr>
        <w:t>ā</w:t>
      </w:r>
      <w:r w:rsidRPr="004811AA">
        <w:t xml:space="preserve">ori and Pacific people was not consistently applied. </w:t>
      </w:r>
      <w:r w:rsidR="0098332A" w:rsidRPr="004811AA">
        <w:t>In Round 1, a number of a</w:t>
      </w:r>
      <w:r w:rsidRPr="004811AA">
        <w:t xml:space="preserve">pproaches </w:t>
      </w:r>
      <w:r w:rsidR="00125223" w:rsidRPr="004811AA">
        <w:t xml:space="preserve">were used </w:t>
      </w:r>
      <w:r w:rsidRPr="004811AA">
        <w:t>to increase participation by M</w:t>
      </w:r>
      <w:r w:rsidRPr="004811AA">
        <w:rPr>
          <w:rFonts w:cs="Arial"/>
        </w:rPr>
        <w:t>ā</w:t>
      </w:r>
      <w:r w:rsidRPr="004811AA">
        <w:t xml:space="preserve">ori and Pacific people in the BSP </w:t>
      </w:r>
      <w:r w:rsidR="0098332A" w:rsidRPr="004811AA">
        <w:t xml:space="preserve">but </w:t>
      </w:r>
      <w:r w:rsidR="00125223" w:rsidRPr="004811AA">
        <w:t>the</w:t>
      </w:r>
      <w:r w:rsidR="00125223">
        <w:t xml:space="preserve">ir </w:t>
      </w:r>
      <w:r w:rsidR="0098332A" w:rsidRPr="004811AA">
        <w:t>application lacked consistency and resources.  Further, the Reg</w:t>
      </w:r>
      <w:r w:rsidR="00A73993" w:rsidRPr="004811AA">
        <w:t>i</w:t>
      </w:r>
      <w:r w:rsidR="001F7099">
        <w:t>s</w:t>
      </w:r>
      <w:r w:rsidR="00A73993" w:rsidRPr="004811AA">
        <w:t>ter</w:t>
      </w:r>
      <w:r w:rsidR="0098332A" w:rsidRPr="004811AA">
        <w:t xml:space="preserve"> did not support active follow-up</w:t>
      </w:r>
      <w:r w:rsidR="00346925">
        <w:t xml:space="preserve"> of non-responders</w:t>
      </w:r>
      <w:r w:rsidRPr="004811AA">
        <w:t>.  Towards</w:t>
      </w:r>
      <w:r>
        <w:t xml:space="preserve"> the end of </w:t>
      </w:r>
      <w:r w:rsidR="00F72955">
        <w:t>Round 1</w:t>
      </w:r>
      <w:r>
        <w:t>, there was evidence of inequities in uptake by eligible M</w:t>
      </w:r>
      <w:r>
        <w:rPr>
          <w:rFonts w:cs="Arial"/>
        </w:rPr>
        <w:t>ā</w:t>
      </w:r>
      <w:r>
        <w:t>ori and Pacific people, and those living in areas of high deprivation (Litmus et al 2015).  The</w:t>
      </w:r>
      <w:r w:rsidR="001423A0">
        <w:t xml:space="preserve"> Bowel Screening Advisory Group</w:t>
      </w:r>
      <w:r>
        <w:t xml:space="preserve"> held a forum to discuss equity in the BSP.  As a result of this forum, a more systematic and structural approach was adopted to seek to address the emerging inequities. </w:t>
      </w:r>
      <w:r w:rsidR="00125223">
        <w:t xml:space="preserve"> </w:t>
      </w:r>
    </w:p>
    <w:p w:rsidR="003D76D1" w:rsidRDefault="003D76D1" w:rsidP="003D76D1">
      <w:r>
        <w:t xml:space="preserve">Changes included </w:t>
      </w:r>
      <w:r w:rsidR="00B5137C">
        <w:t>the</w:t>
      </w:r>
      <w:r>
        <w:t xml:space="preserve"> strengthening of M</w:t>
      </w:r>
      <w:r>
        <w:rPr>
          <w:rFonts w:cs="Arial"/>
        </w:rPr>
        <w:t>ā</w:t>
      </w:r>
      <w:r>
        <w:t>ori leadership, particularly including those with a</w:t>
      </w:r>
      <w:r w:rsidR="00B5137C">
        <w:t xml:space="preserve"> </w:t>
      </w:r>
      <w:r>
        <w:t>depth of clinical</w:t>
      </w:r>
      <w:r w:rsidR="00D8760F">
        <w:t>,</w:t>
      </w:r>
      <w:r>
        <w:t xml:space="preserve"> screening and community knowledge, and having representation on key governance groups.  Pacific leadership was enhanced</w:t>
      </w:r>
      <w:r w:rsidR="00D8760F">
        <w:t>,</w:t>
      </w:r>
      <w:r>
        <w:t xml:space="preserve"> but involvement was </w:t>
      </w:r>
      <w:r w:rsidR="0059179A">
        <w:t>ad hoc</w:t>
      </w:r>
      <w:r>
        <w:t xml:space="preserve"> due to the significant demands on their capacity.  Focus was placed on system changes such as reducing the length of time between the pre-invitation letter and receiving the iFOBT kit from four to two weeks, introducing a more systematic and monitored active follow-up process, and reporting progress against KPIs to the WDHB Steering Group </w:t>
      </w:r>
      <w:r w:rsidR="00125223">
        <w:t xml:space="preserve">and the Ministry of Health </w:t>
      </w:r>
      <w:r>
        <w:t xml:space="preserve">on a monthly basis.  </w:t>
      </w:r>
    </w:p>
    <w:p w:rsidR="003568BE" w:rsidRDefault="003568BE" w:rsidP="003568BE">
      <w:r>
        <w:rPr>
          <w:lang w:eastAsia="ar-SA"/>
        </w:rPr>
        <w:t xml:space="preserve">In 2013, </w:t>
      </w:r>
      <w:r w:rsidRPr="00995633">
        <w:rPr>
          <w:lang w:eastAsia="ar-SA"/>
        </w:rPr>
        <w:t xml:space="preserve">WDHB’s Kaitiaki Roopu </w:t>
      </w:r>
      <w:r>
        <w:rPr>
          <w:lang w:eastAsia="ar-SA"/>
        </w:rPr>
        <w:t xml:space="preserve">was established </w:t>
      </w:r>
      <w:r w:rsidRPr="00995633">
        <w:rPr>
          <w:lang w:eastAsia="ar-SA"/>
        </w:rPr>
        <w:t xml:space="preserve">to address the lack of robust Māori participation and partnership in the overall direction, design and governance of the BSP.  The purpose of the Kaitiaki Roopu </w:t>
      </w:r>
      <w:r>
        <w:rPr>
          <w:lang w:eastAsia="ar-SA"/>
        </w:rPr>
        <w:t>wa</w:t>
      </w:r>
      <w:r w:rsidRPr="00995633">
        <w:rPr>
          <w:lang w:eastAsia="ar-SA"/>
        </w:rPr>
        <w:t xml:space="preserve">s to provide a Treaty of Waitangi based </w:t>
      </w:r>
      <w:r>
        <w:rPr>
          <w:lang w:eastAsia="ar-SA"/>
        </w:rPr>
        <w:t>p</w:t>
      </w:r>
      <w:r w:rsidRPr="00995633">
        <w:rPr>
          <w:lang w:eastAsia="ar-SA"/>
        </w:rPr>
        <w:t xml:space="preserve">artnership and </w:t>
      </w:r>
      <w:r>
        <w:rPr>
          <w:lang w:eastAsia="ar-SA"/>
        </w:rPr>
        <w:t>p</w:t>
      </w:r>
      <w:r w:rsidRPr="00995633">
        <w:rPr>
          <w:lang w:eastAsia="ar-SA"/>
        </w:rPr>
        <w:t>articipation oversight to the WDHB BSP.  Kaitiaki Roopu also provide</w:t>
      </w:r>
      <w:r>
        <w:rPr>
          <w:lang w:eastAsia="ar-SA"/>
        </w:rPr>
        <w:t>d</w:t>
      </w:r>
      <w:r w:rsidRPr="00995633">
        <w:rPr>
          <w:lang w:eastAsia="ar-SA"/>
        </w:rPr>
        <w:t xml:space="preserve"> guidance, support, advice and links into the Māori community serviced by the WDHB to ensure Māori make informed decisions about the BSP</w:t>
      </w:r>
      <w:r>
        <w:rPr>
          <w:lang w:eastAsia="ar-SA"/>
        </w:rPr>
        <w:t xml:space="preserve">. </w:t>
      </w:r>
      <w:r w:rsidR="00346925">
        <w:rPr>
          <w:lang w:eastAsia="ar-SA"/>
        </w:rPr>
        <w:t xml:space="preserve"> In Round 2, t</w:t>
      </w:r>
      <w:r>
        <w:t xml:space="preserve">he role of the </w:t>
      </w:r>
      <w:r>
        <w:rPr>
          <w:lang w:eastAsia="ar-SA"/>
        </w:rPr>
        <w:t>Kaitiaki Roopu</w:t>
      </w:r>
      <w:r>
        <w:t xml:space="preserve"> has waned and needs to be reviewed. </w:t>
      </w:r>
    </w:p>
    <w:p w:rsidR="003D76D1" w:rsidRDefault="003D76D1" w:rsidP="003D76D1">
      <w:r>
        <w:t xml:space="preserve">In </w:t>
      </w:r>
      <w:r w:rsidR="00F72955">
        <w:t>Round 2</w:t>
      </w:r>
      <w:r>
        <w:t xml:space="preserve">, new initiatives were introduced including </w:t>
      </w:r>
      <w:r w:rsidR="00B5137C">
        <w:t xml:space="preserve">general practice </w:t>
      </w:r>
      <w:r>
        <w:t>init</w:t>
      </w:r>
      <w:r w:rsidR="00D8760F">
        <w:t>iatives, and trialling lab drop-</w:t>
      </w:r>
      <w:r>
        <w:t xml:space="preserve">off for completed iFOBT.  Other initiatives continue to be explored for </w:t>
      </w:r>
      <w:r w:rsidR="00D8760F">
        <w:t>R</w:t>
      </w:r>
      <w:r>
        <w:t xml:space="preserve">ound </w:t>
      </w:r>
      <w:r w:rsidR="00D8760F">
        <w:t>3</w:t>
      </w:r>
      <w:r w:rsidR="00AA57E6">
        <w:t xml:space="preserve"> including p</w:t>
      </w:r>
      <w:r>
        <w:t>ay-for-</w:t>
      </w:r>
      <w:r w:rsidR="00AA57E6">
        <w:t>p</w:t>
      </w:r>
      <w:r>
        <w:t>erformance</w:t>
      </w:r>
      <w:r w:rsidR="00DA5123">
        <w:t>,</w:t>
      </w:r>
      <w:r>
        <w:t xml:space="preserve"> which is being discussed with PHOs and general practice.  Using this approach, general practices will receive funding based on the demographic profile of who they supported to participate (e.g. by age, gender, ethnicity and deprivation level), and more funding will be received for those known to be less likely to take part. </w:t>
      </w:r>
    </w:p>
    <w:p w:rsidR="003B7805" w:rsidRDefault="007175CB" w:rsidP="007175CB">
      <w:r>
        <w:t xml:space="preserve">Feedback from key stakeholders highlights that towards the end of Round 2, there is increasing confidence that an equity focus is a more integral part of the BSP.  However, much </w:t>
      </w:r>
      <w:r w:rsidR="00D87AB7">
        <w:t xml:space="preserve">more </w:t>
      </w:r>
      <w:r>
        <w:t xml:space="preserve">work and focus is needed to </w:t>
      </w:r>
      <w:r w:rsidR="00CF512E">
        <w:t xml:space="preserve">address </w:t>
      </w:r>
      <w:r w:rsidR="00D87AB7">
        <w:t xml:space="preserve">ongoing </w:t>
      </w:r>
      <w:r>
        <w:t xml:space="preserve">inequities of access for </w:t>
      </w:r>
      <w:r w:rsidR="005E65A2">
        <w:t>eligible M</w:t>
      </w:r>
      <w:r>
        <w:rPr>
          <w:rFonts w:cs="Arial"/>
        </w:rPr>
        <w:t>ā</w:t>
      </w:r>
      <w:r w:rsidR="005E65A2">
        <w:t>ori and Pacific people</w:t>
      </w:r>
      <w:r>
        <w:t xml:space="preserve"> </w:t>
      </w:r>
      <w:r w:rsidR="005E65A2">
        <w:t xml:space="preserve">in </w:t>
      </w:r>
      <w:r>
        <w:t xml:space="preserve">the BSP.  </w:t>
      </w:r>
    </w:p>
    <w:p w:rsidR="00291697" w:rsidRDefault="00292827" w:rsidP="00367B24">
      <w:pPr>
        <w:pStyle w:val="Heading2"/>
      </w:pPr>
      <w:bookmarkStart w:id="204" w:name="_Toc457842141"/>
      <w:bookmarkStart w:id="205" w:name="_Toc449167469"/>
      <w:bookmarkEnd w:id="201"/>
      <w:r>
        <w:t>5</w:t>
      </w:r>
      <w:r w:rsidR="00367B24">
        <w:t>.</w:t>
      </w:r>
      <w:r>
        <w:t>4</w:t>
      </w:r>
      <w:r w:rsidR="00367B24">
        <w:tab/>
      </w:r>
      <w:r w:rsidR="00291697">
        <w:t>Invit</w:t>
      </w:r>
      <w:r w:rsidR="00D262B7">
        <w:t xml:space="preserve">ation </w:t>
      </w:r>
      <w:r w:rsidR="00291697">
        <w:t>to take part</w:t>
      </w:r>
      <w:bookmarkEnd w:id="204"/>
      <w:r w:rsidR="00291697">
        <w:t xml:space="preserve"> </w:t>
      </w:r>
    </w:p>
    <w:p w:rsidR="007A269F" w:rsidRDefault="00291697" w:rsidP="007A269F">
      <w:r>
        <w:t>To take part in the BSP, eligible M</w:t>
      </w:r>
      <w:r w:rsidR="001423A0">
        <w:rPr>
          <w:rFonts w:cs="Arial"/>
        </w:rPr>
        <w:t>ā</w:t>
      </w:r>
      <w:r>
        <w:t xml:space="preserve">ori and Pacific people must receive the </w:t>
      </w:r>
      <w:r w:rsidR="00DA5123">
        <w:t xml:space="preserve">invitation </w:t>
      </w:r>
      <w:r>
        <w:t xml:space="preserve">letter and kit, open it and engage and understand the </w:t>
      </w:r>
      <w:r w:rsidR="001423A0">
        <w:t>information and instructions,</w:t>
      </w:r>
      <w:r>
        <w:t xml:space="preserve"> </w:t>
      </w:r>
      <w:r w:rsidR="001B017C">
        <w:t>decide whether the</w:t>
      </w:r>
      <w:r w:rsidR="00DA5123">
        <w:t>y want to take part</w:t>
      </w:r>
      <w:r w:rsidR="001B017C">
        <w:t xml:space="preserve"> </w:t>
      </w:r>
      <w:r>
        <w:t>and</w:t>
      </w:r>
      <w:r w:rsidR="00DA5123">
        <w:t>,</w:t>
      </w:r>
      <w:r>
        <w:t xml:space="preserve"> </w:t>
      </w:r>
      <w:r w:rsidR="001B017C">
        <w:t xml:space="preserve">if </w:t>
      </w:r>
      <w:r w:rsidR="001423A0">
        <w:t>t</w:t>
      </w:r>
      <w:r w:rsidR="00B5137C">
        <w:t>hey decide</w:t>
      </w:r>
      <w:r w:rsidR="001423A0">
        <w:t xml:space="preserve"> to </w:t>
      </w:r>
      <w:r w:rsidR="001B017C">
        <w:t>proceed</w:t>
      </w:r>
      <w:r w:rsidR="00D87AB7">
        <w:t>,</w:t>
      </w:r>
      <w:r w:rsidR="001B017C">
        <w:t xml:space="preserve"> </w:t>
      </w:r>
      <w:r w:rsidR="001423A0">
        <w:t>be able to do</w:t>
      </w:r>
      <w:r>
        <w:t xml:space="preserve"> the test in their home environment.  </w:t>
      </w:r>
      <w:r w:rsidR="009303AE">
        <w:t xml:space="preserve">Taking part in the BSP therefore requires a level of literacy, self-efficacy and physical ability to open and use the small kit.  </w:t>
      </w:r>
      <w:r w:rsidR="00B5137C">
        <w:t>As shown in a number of surveys, t</w:t>
      </w:r>
      <w:r>
        <w:t xml:space="preserve">he BSP </w:t>
      </w:r>
      <w:r w:rsidR="00B5137C">
        <w:t xml:space="preserve">invitation </w:t>
      </w:r>
      <w:r>
        <w:t xml:space="preserve">letter </w:t>
      </w:r>
      <w:r w:rsidR="00B5137C">
        <w:t xml:space="preserve">and kit </w:t>
      </w:r>
      <w:r>
        <w:t>is a key source of information on bowel screening (Litmus 2014</w:t>
      </w:r>
      <w:r w:rsidR="001B017C">
        <w:t xml:space="preserve">a, 2016).  </w:t>
      </w:r>
    </w:p>
    <w:p w:rsidR="009303AE" w:rsidRDefault="009303AE" w:rsidP="009303AE">
      <w:pPr>
        <w:rPr>
          <w:lang w:eastAsia="ar-SA"/>
        </w:rPr>
      </w:pPr>
      <w:r w:rsidRPr="008B1F1E">
        <w:rPr>
          <w:lang w:eastAsia="ar-SA"/>
        </w:rPr>
        <w:t xml:space="preserve">In 2013, the BSP Coordination Centre, recognising the inequities </w:t>
      </w:r>
      <w:r>
        <w:rPr>
          <w:lang w:eastAsia="ar-SA"/>
        </w:rPr>
        <w:t>emerging</w:t>
      </w:r>
      <w:r w:rsidRPr="008B1F1E">
        <w:rPr>
          <w:lang w:eastAsia="ar-SA"/>
        </w:rPr>
        <w:t xml:space="preserve"> in participation, revised the</w:t>
      </w:r>
      <w:r w:rsidRPr="008B1F1E">
        <w:rPr>
          <w:b/>
          <w:lang w:eastAsia="ar-SA"/>
        </w:rPr>
        <w:t xml:space="preserve"> </w:t>
      </w:r>
      <w:r w:rsidRPr="008B1F1E">
        <w:rPr>
          <w:lang w:eastAsia="ar-SA"/>
        </w:rPr>
        <w:t xml:space="preserve">pre-invitation letter, kit instructions and consent form to be </w:t>
      </w:r>
      <w:r w:rsidRPr="008B1F1E">
        <w:t>more</w:t>
      </w:r>
      <w:r w:rsidRPr="008B1F1E">
        <w:rPr>
          <w:lang w:eastAsia="ar-SA"/>
        </w:rPr>
        <w:t xml:space="preserve"> accessible to a wider range of literacy levels.  These revised documents were introduced in January 2014 (</w:t>
      </w:r>
      <w:r w:rsidR="00F72955">
        <w:rPr>
          <w:lang w:eastAsia="ar-SA"/>
        </w:rPr>
        <w:t>Round 2</w:t>
      </w:r>
      <w:r w:rsidRPr="008B1F1E">
        <w:rPr>
          <w:lang w:eastAsia="ar-SA"/>
        </w:rPr>
        <w:t xml:space="preserve">).  Revisions to the test kit instructions coincided with </w:t>
      </w:r>
      <w:r w:rsidRPr="003168A7">
        <w:rPr>
          <w:lang w:eastAsia="ar-SA"/>
        </w:rPr>
        <w:t xml:space="preserve">a notable decrease in the number of people who did not complete their kit correctly on their first </w:t>
      </w:r>
      <w:r>
        <w:rPr>
          <w:lang w:eastAsia="ar-SA"/>
        </w:rPr>
        <w:t>a</w:t>
      </w:r>
      <w:r w:rsidRPr="003168A7">
        <w:rPr>
          <w:lang w:eastAsia="ar-SA"/>
        </w:rPr>
        <w:t>ttempt</w:t>
      </w:r>
      <w:r w:rsidRPr="008B1F1E">
        <w:rPr>
          <w:i/>
          <w:lang w:eastAsia="ar-SA"/>
        </w:rPr>
        <w:t>.</w:t>
      </w:r>
      <w:r w:rsidR="00D84602">
        <w:rPr>
          <w:i/>
          <w:lang w:eastAsia="ar-SA"/>
        </w:rPr>
        <w:t xml:space="preserve">  </w:t>
      </w:r>
      <w:r w:rsidR="008D7AF1" w:rsidRPr="008D7AF1">
        <w:rPr>
          <w:lang w:eastAsia="ar-SA"/>
        </w:rPr>
        <w:t xml:space="preserve">In </w:t>
      </w:r>
      <w:r w:rsidR="008D7AF1">
        <w:rPr>
          <w:lang w:eastAsia="ar-SA"/>
        </w:rPr>
        <w:t>Round 1</w:t>
      </w:r>
      <w:r w:rsidR="008D7AF1" w:rsidRPr="008D7AF1">
        <w:rPr>
          <w:lang w:eastAsia="ar-SA"/>
        </w:rPr>
        <w:t>, approximately 14% were spoilt on the first attempt, and 6% in Round 2</w:t>
      </w:r>
      <w:r w:rsidR="008D7AF1">
        <w:rPr>
          <w:lang w:eastAsia="ar-SA"/>
        </w:rPr>
        <w:t>.</w:t>
      </w:r>
      <w:r w:rsidR="00DA5123" w:rsidRPr="00DA5123">
        <w:rPr>
          <w:vertAlign w:val="superscript"/>
          <w:lang w:eastAsia="ar-SA"/>
        </w:rPr>
        <w:footnoteReference w:id="53"/>
      </w:r>
      <w:r w:rsidR="008D7AF1">
        <w:rPr>
          <w:lang w:eastAsia="ar-SA"/>
        </w:rPr>
        <w:t xml:space="preserve">  </w:t>
      </w:r>
      <w:r w:rsidR="00D84602">
        <w:rPr>
          <w:lang w:eastAsia="ar-SA"/>
        </w:rPr>
        <w:t xml:space="preserve">From the outset of the pilot, </w:t>
      </w:r>
      <w:r w:rsidR="00DA5123">
        <w:rPr>
          <w:lang w:eastAsia="ar-SA"/>
        </w:rPr>
        <w:t xml:space="preserve">a </w:t>
      </w:r>
      <w:r w:rsidR="00D84602">
        <w:rPr>
          <w:lang w:eastAsia="ar-SA"/>
        </w:rPr>
        <w:t>b</w:t>
      </w:r>
      <w:r w:rsidR="00D84602" w:rsidRPr="00FE327E">
        <w:rPr>
          <w:lang w:eastAsia="ar-SA"/>
        </w:rPr>
        <w:t xml:space="preserve">asic information brochure </w:t>
      </w:r>
      <w:r w:rsidR="00D84602">
        <w:rPr>
          <w:lang w:eastAsia="ar-SA"/>
        </w:rPr>
        <w:t>was made available in</w:t>
      </w:r>
      <w:r w:rsidR="00D84602" w:rsidRPr="00FE327E">
        <w:rPr>
          <w:lang w:eastAsia="ar-SA"/>
        </w:rPr>
        <w:t xml:space="preserve"> </w:t>
      </w:r>
      <w:r w:rsidR="00D87AB7">
        <w:rPr>
          <w:lang w:eastAsia="ar-SA"/>
        </w:rPr>
        <w:t xml:space="preserve">a range of languages including </w:t>
      </w:r>
      <w:r w:rsidR="00D84602">
        <w:rPr>
          <w:lang w:eastAsia="ar-SA"/>
        </w:rPr>
        <w:t xml:space="preserve">Te Reo </w:t>
      </w:r>
      <w:r w:rsidR="00D84602" w:rsidRPr="00FE327E">
        <w:rPr>
          <w:lang w:eastAsia="ar-SA"/>
        </w:rPr>
        <w:t>M</w:t>
      </w:r>
      <w:r w:rsidR="00D84602">
        <w:rPr>
          <w:rFonts w:cs="Arial"/>
          <w:lang w:eastAsia="ar-SA"/>
        </w:rPr>
        <w:t>ā</w:t>
      </w:r>
      <w:r w:rsidR="00D84602" w:rsidRPr="00FE327E">
        <w:rPr>
          <w:lang w:eastAsia="ar-SA"/>
        </w:rPr>
        <w:t>ori, Samoan, Tongan, Korean, Chinese and English</w:t>
      </w:r>
      <w:r w:rsidR="00D84602">
        <w:rPr>
          <w:lang w:eastAsia="ar-SA"/>
        </w:rPr>
        <w:t xml:space="preserve">. </w:t>
      </w:r>
    </w:p>
    <w:p w:rsidR="001B017C" w:rsidRDefault="001B017C" w:rsidP="001B017C">
      <w:pPr>
        <w:rPr>
          <w:lang w:eastAsia="ar-SA"/>
        </w:rPr>
      </w:pPr>
      <w:r>
        <w:t xml:space="preserve">A review of the Register indicates that </w:t>
      </w:r>
      <w:r>
        <w:rPr>
          <w:lang w:eastAsia="ar-SA"/>
        </w:rPr>
        <w:t>most but not all eligible participants are being invited to participate in the BSP</w:t>
      </w:r>
      <w:r w:rsidR="00F72955">
        <w:rPr>
          <w:lang w:eastAsia="ar-SA"/>
        </w:rPr>
        <w:t xml:space="preserve"> (Lee 2014)</w:t>
      </w:r>
      <w:r>
        <w:rPr>
          <w:lang w:eastAsia="ar-SA"/>
        </w:rPr>
        <w:t>.  There are known issues with the currency of addresses</w:t>
      </w:r>
      <w:r w:rsidR="001423A0">
        <w:rPr>
          <w:lang w:eastAsia="ar-SA"/>
        </w:rPr>
        <w:t xml:space="preserve"> which is </w:t>
      </w:r>
      <w:r w:rsidR="009303AE">
        <w:rPr>
          <w:lang w:eastAsia="ar-SA"/>
        </w:rPr>
        <w:t xml:space="preserve">demonstrated </w:t>
      </w:r>
      <w:r w:rsidR="001423A0">
        <w:rPr>
          <w:lang w:eastAsia="ar-SA"/>
        </w:rPr>
        <w:t>b</w:t>
      </w:r>
      <w:r w:rsidR="00DA5123">
        <w:rPr>
          <w:lang w:eastAsia="ar-SA"/>
        </w:rPr>
        <w:t>y a return-to-</w:t>
      </w:r>
      <w:r>
        <w:rPr>
          <w:lang w:eastAsia="ar-SA"/>
        </w:rPr>
        <w:t xml:space="preserve">sender rate of around 6% in </w:t>
      </w:r>
      <w:r w:rsidR="00F72955">
        <w:rPr>
          <w:lang w:eastAsia="ar-SA"/>
        </w:rPr>
        <w:t>Round 2</w:t>
      </w:r>
      <w:r>
        <w:rPr>
          <w:lang w:eastAsia="ar-SA"/>
        </w:rPr>
        <w:t xml:space="preserve"> (</w:t>
      </w:r>
      <w:r w:rsidR="00F72955">
        <w:rPr>
          <w:lang w:eastAsia="ar-SA"/>
        </w:rPr>
        <w:t xml:space="preserve">refer </w:t>
      </w:r>
      <w:r>
        <w:rPr>
          <w:lang w:eastAsia="ar-SA"/>
        </w:rPr>
        <w:t xml:space="preserve">section 6.1).  The representation of eligible </w:t>
      </w:r>
      <w:r w:rsidR="003001A1">
        <w:t>M</w:t>
      </w:r>
      <w:r w:rsidR="003001A1">
        <w:rPr>
          <w:rFonts w:cs="Arial"/>
        </w:rPr>
        <w:t>ā</w:t>
      </w:r>
      <w:r w:rsidR="003001A1">
        <w:t xml:space="preserve">ori </w:t>
      </w:r>
      <w:r>
        <w:rPr>
          <w:lang w:eastAsia="ar-SA"/>
        </w:rPr>
        <w:t>and Pacific</w:t>
      </w:r>
      <w:r w:rsidR="001423A0">
        <w:rPr>
          <w:lang w:eastAsia="ar-SA"/>
        </w:rPr>
        <w:t xml:space="preserve"> people</w:t>
      </w:r>
      <w:r>
        <w:rPr>
          <w:lang w:eastAsia="ar-SA"/>
        </w:rPr>
        <w:t xml:space="preserve"> in those who did not receive a letter is not known</w:t>
      </w:r>
      <w:r w:rsidR="001423A0">
        <w:rPr>
          <w:lang w:eastAsia="ar-SA"/>
        </w:rPr>
        <w:t xml:space="preserve">.  The follow-up eligible BSP population survey (Litmus 2014a) found that </w:t>
      </w:r>
      <w:r>
        <w:rPr>
          <w:lang w:eastAsia="ar-SA"/>
        </w:rPr>
        <w:t xml:space="preserve">21% of eligible people </w:t>
      </w:r>
      <w:r w:rsidR="001423A0">
        <w:rPr>
          <w:lang w:eastAsia="ar-SA"/>
        </w:rPr>
        <w:t xml:space="preserve">at the end of </w:t>
      </w:r>
      <w:r w:rsidR="00F72955">
        <w:rPr>
          <w:lang w:eastAsia="ar-SA"/>
        </w:rPr>
        <w:t>Round 1</w:t>
      </w:r>
      <w:r w:rsidR="001423A0">
        <w:rPr>
          <w:lang w:eastAsia="ar-SA"/>
        </w:rPr>
        <w:t xml:space="preserve"> had not received </w:t>
      </w:r>
      <w:r w:rsidR="001423A0">
        <w:t>an iFOBT kit.  Th</w:t>
      </w:r>
      <w:r>
        <w:rPr>
          <w:lang w:eastAsia="ar-SA"/>
        </w:rPr>
        <w:t xml:space="preserve">ere was </w:t>
      </w:r>
      <w:r>
        <w:t>no statistically significant difference noted between M</w:t>
      </w:r>
      <w:r>
        <w:rPr>
          <w:rFonts w:cs="Arial"/>
        </w:rPr>
        <w:t>ā</w:t>
      </w:r>
      <w:r>
        <w:t xml:space="preserve">ori, Pacific </w:t>
      </w:r>
      <w:r w:rsidR="001423A0">
        <w:t xml:space="preserve">people </w:t>
      </w:r>
      <w:r>
        <w:t xml:space="preserve">and the Other ethnic group on whether or not they had received an iFOBT kit </w:t>
      </w:r>
      <w:r w:rsidR="004868C7">
        <w:t>at th</w:t>
      </w:r>
      <w:r w:rsidR="003001A1">
        <w:t>at</w:t>
      </w:r>
      <w:r w:rsidR="004868C7">
        <w:t xml:space="preserve"> stage </w:t>
      </w:r>
      <w:r>
        <w:t xml:space="preserve">(Litmus 2014a).  </w:t>
      </w:r>
    </w:p>
    <w:p w:rsidR="00292827" w:rsidRDefault="00291697" w:rsidP="00367B24">
      <w:pPr>
        <w:pStyle w:val="Heading2"/>
      </w:pPr>
      <w:bookmarkStart w:id="206" w:name="_Toc457842142"/>
      <w:r>
        <w:t>5.5</w:t>
      </w:r>
      <w:r>
        <w:tab/>
      </w:r>
      <w:r w:rsidR="00A66885">
        <w:t xml:space="preserve">Awareness and </w:t>
      </w:r>
      <w:r w:rsidR="00D22599">
        <w:t xml:space="preserve">knowledge </w:t>
      </w:r>
      <w:r w:rsidR="00A66885">
        <w:t xml:space="preserve">of bowel cancer and </w:t>
      </w:r>
      <w:r w:rsidR="005B0A5C">
        <w:t>screening</w:t>
      </w:r>
      <w:bookmarkEnd w:id="206"/>
      <w:r w:rsidR="00D22599">
        <w:t xml:space="preserve">  </w:t>
      </w:r>
    </w:p>
    <w:p w:rsidR="00291697" w:rsidRDefault="00291697" w:rsidP="00291697">
      <w:r>
        <w:t xml:space="preserve">Feedback from those involved in active follow-up highlighted the importance </w:t>
      </w:r>
      <w:r w:rsidR="00125223">
        <w:t xml:space="preserve">of </w:t>
      </w:r>
      <w:r w:rsidR="00F72955">
        <w:t>creat</w:t>
      </w:r>
      <w:r>
        <w:t>ing awareness and understanding about bowel cancer and bowel screening</w:t>
      </w:r>
      <w:r w:rsidR="001423A0">
        <w:t xml:space="preserve"> amongst the eligible population</w:t>
      </w:r>
      <w:r>
        <w:t xml:space="preserve">.  </w:t>
      </w:r>
      <w:r w:rsidR="00F72955">
        <w:t>Encouraging</w:t>
      </w:r>
      <w:r>
        <w:t xml:space="preserve"> </w:t>
      </w:r>
      <w:r w:rsidR="00F72955">
        <w:t>eligible participants</w:t>
      </w:r>
      <w:r>
        <w:t xml:space="preserve"> to take part in bowel screening is </w:t>
      </w:r>
      <w:r w:rsidR="00DD0202">
        <w:t xml:space="preserve"> </w:t>
      </w:r>
      <w:r>
        <w:t xml:space="preserve">challenging if they know </w:t>
      </w:r>
      <w:r w:rsidR="00F72955">
        <w:t>no</w:t>
      </w:r>
      <w:r>
        <w:t xml:space="preserve">thing about bowel </w:t>
      </w:r>
      <w:r w:rsidR="00DD0202">
        <w:t xml:space="preserve">cancer and </w:t>
      </w:r>
      <w:r>
        <w:t xml:space="preserve">screening and the benefits of doing the test. </w:t>
      </w:r>
    </w:p>
    <w:p w:rsidR="00841350" w:rsidRDefault="00841350">
      <w:pPr>
        <w:spacing w:before="0"/>
        <w:ind w:left="0"/>
        <w:rPr>
          <w:i/>
        </w:rPr>
      </w:pPr>
    </w:p>
    <w:p w:rsidR="00291697" w:rsidRDefault="00291697" w:rsidP="00291697">
      <w:pPr>
        <w:pStyle w:val="Quote"/>
      </w:pPr>
      <w:r w:rsidRPr="00544435">
        <w:t>I</w:t>
      </w:r>
      <w:r w:rsidRPr="00D81B0E">
        <w:rPr>
          <w:rStyle w:val="QuoteChar"/>
          <w:rFonts w:eastAsiaTheme="minorHAnsi"/>
        </w:rPr>
        <w:t xml:space="preserve"> </w:t>
      </w:r>
      <w:r w:rsidRPr="00544435">
        <w:t>find the best responses are when the person already knows what the BSP is. Awareness is really key to them being able to respond and be decisive. Otherwise, my conversations are about what a bowel is. If they already have an idea about what it is then they are more decisive and friendly. Otherwise</w:t>
      </w:r>
      <w:r>
        <w:t>, it</w:t>
      </w:r>
      <w:r w:rsidRPr="00544435">
        <w:t xml:space="preserve"> is a mission just to explain why I'm calling and why they should care. </w:t>
      </w:r>
      <w:r w:rsidR="00F72955">
        <w:t>(CAR)</w:t>
      </w:r>
    </w:p>
    <w:p w:rsidR="00291697" w:rsidRDefault="001423A0" w:rsidP="00291697">
      <w:r>
        <w:t xml:space="preserve">The </w:t>
      </w:r>
      <w:r>
        <w:rPr>
          <w:lang w:eastAsia="ar-SA"/>
        </w:rPr>
        <w:t xml:space="preserve">follow-up eligible BSP population survey found that </w:t>
      </w:r>
      <w:r w:rsidR="00291697">
        <w:t>M</w:t>
      </w:r>
      <w:r w:rsidR="00291697">
        <w:rPr>
          <w:rFonts w:cs="Arial"/>
        </w:rPr>
        <w:t>ā</w:t>
      </w:r>
      <w:r w:rsidR="00291697">
        <w:t xml:space="preserve">ori and Pacific people have lower awareness of bowel cancer risk factors, symptoms and bowel cancer tests including the iFOBT compared </w:t>
      </w:r>
      <w:r w:rsidR="00DA5123">
        <w:t>with</w:t>
      </w:r>
      <w:r w:rsidR="00291697">
        <w:t xml:space="preserve"> non-M</w:t>
      </w:r>
      <w:r w:rsidR="00291697">
        <w:rPr>
          <w:rFonts w:cs="Arial"/>
        </w:rPr>
        <w:t>ā</w:t>
      </w:r>
      <w:r w:rsidR="00291697">
        <w:t xml:space="preserve">ori and </w:t>
      </w:r>
      <w:r w:rsidR="004868C7">
        <w:t>non-</w:t>
      </w:r>
      <w:r w:rsidR="00291697">
        <w:t>Pacific people</w:t>
      </w:r>
      <w:r>
        <w:t xml:space="preserve"> (Litmus 2014a</w:t>
      </w:r>
      <w:r w:rsidR="00DD0202">
        <w:t>)</w:t>
      </w:r>
      <w:r w:rsidR="00291697">
        <w:t xml:space="preserve">.  </w:t>
      </w:r>
      <w:r>
        <w:t>While a</w:t>
      </w:r>
      <w:r w:rsidR="00291697">
        <w:t>wareness of the BSP has increased for eligible M</w:t>
      </w:r>
      <w:r w:rsidR="00291697">
        <w:rPr>
          <w:rFonts w:cs="Arial"/>
        </w:rPr>
        <w:t>ā</w:t>
      </w:r>
      <w:r w:rsidR="00291697">
        <w:t>ori and Pacific people since the launch of the BSP, it is not to the same level as non-M</w:t>
      </w:r>
      <w:r w:rsidR="00291697">
        <w:rPr>
          <w:rFonts w:cs="Arial"/>
        </w:rPr>
        <w:t>ā</w:t>
      </w:r>
      <w:r w:rsidR="00291697">
        <w:t xml:space="preserve">ori and non-Pacific </w:t>
      </w:r>
      <w:r w:rsidR="00291697" w:rsidRPr="00505053">
        <w:t>people (Litmus 2014a).</w:t>
      </w:r>
      <w:r w:rsidR="00291697">
        <w:t xml:space="preserve">  </w:t>
      </w:r>
    </w:p>
    <w:p w:rsidR="0070006A" w:rsidRDefault="0070006A" w:rsidP="00DA4D53">
      <w:pPr>
        <w:rPr>
          <w:szCs w:val="24"/>
        </w:rPr>
      </w:pPr>
      <w:r>
        <w:rPr>
          <w:szCs w:val="24"/>
        </w:rPr>
        <w:t xml:space="preserve">The importance of understanding the risks of bowel cancer and the role of screening were further highlighted in a survey </w:t>
      </w:r>
      <w:r w:rsidR="00DD0202">
        <w:rPr>
          <w:szCs w:val="24"/>
        </w:rPr>
        <w:t xml:space="preserve">of </w:t>
      </w:r>
      <w:r w:rsidR="004868C7">
        <w:rPr>
          <w:szCs w:val="24"/>
        </w:rPr>
        <w:t>Māori and</w:t>
      </w:r>
      <w:r w:rsidR="00DD0202">
        <w:rPr>
          <w:szCs w:val="24"/>
        </w:rPr>
        <w:t xml:space="preserve"> </w:t>
      </w:r>
      <w:r w:rsidRPr="008B1F1E">
        <w:rPr>
          <w:szCs w:val="24"/>
        </w:rPr>
        <w:t xml:space="preserve">Pacific non-responders who </w:t>
      </w:r>
      <w:r w:rsidR="00DA4D53">
        <w:rPr>
          <w:szCs w:val="24"/>
        </w:rPr>
        <w:t>we</w:t>
      </w:r>
      <w:r w:rsidRPr="008B1F1E">
        <w:rPr>
          <w:szCs w:val="24"/>
        </w:rPr>
        <w:t>re contacted via active follow</w:t>
      </w:r>
      <w:r>
        <w:rPr>
          <w:szCs w:val="24"/>
        </w:rPr>
        <w:t>-</w:t>
      </w:r>
      <w:r w:rsidRPr="008B1F1E">
        <w:rPr>
          <w:szCs w:val="24"/>
        </w:rPr>
        <w:t xml:space="preserve">up and </w:t>
      </w:r>
      <w:r w:rsidR="00DA4D53">
        <w:rPr>
          <w:szCs w:val="24"/>
        </w:rPr>
        <w:t>went</w:t>
      </w:r>
      <w:r w:rsidR="00DA4D53" w:rsidRPr="008B1F1E">
        <w:rPr>
          <w:szCs w:val="24"/>
        </w:rPr>
        <w:t xml:space="preserve"> </w:t>
      </w:r>
      <w:r w:rsidRPr="008B1F1E">
        <w:rPr>
          <w:szCs w:val="24"/>
        </w:rPr>
        <w:t xml:space="preserve">on to complete their kit (referred to as </w:t>
      </w:r>
      <w:r>
        <w:rPr>
          <w:szCs w:val="24"/>
        </w:rPr>
        <w:t>converted</w:t>
      </w:r>
      <w:r w:rsidRPr="008B1F1E">
        <w:rPr>
          <w:szCs w:val="24"/>
        </w:rPr>
        <w:t xml:space="preserve"> non-responders)</w:t>
      </w:r>
      <w:r>
        <w:rPr>
          <w:szCs w:val="24"/>
        </w:rPr>
        <w:t xml:space="preserve"> (Litmus 2016).  When asked unprompted their reasons for completing the </w:t>
      </w:r>
      <w:r w:rsidR="00DD0202">
        <w:rPr>
          <w:szCs w:val="24"/>
        </w:rPr>
        <w:t>iFOBT kit</w:t>
      </w:r>
      <w:r>
        <w:rPr>
          <w:szCs w:val="24"/>
        </w:rPr>
        <w:t xml:space="preserve">, </w:t>
      </w:r>
      <w:r w:rsidR="00DD0202">
        <w:rPr>
          <w:szCs w:val="24"/>
        </w:rPr>
        <w:t xml:space="preserve">Māori </w:t>
      </w:r>
      <w:r>
        <w:rPr>
          <w:szCs w:val="24"/>
        </w:rPr>
        <w:t xml:space="preserve">and Pacific </w:t>
      </w:r>
      <w:r w:rsidR="00DD0202">
        <w:rPr>
          <w:szCs w:val="24"/>
        </w:rPr>
        <w:t>converted</w:t>
      </w:r>
      <w:r w:rsidR="00DD0202" w:rsidRPr="008B1F1E">
        <w:rPr>
          <w:szCs w:val="24"/>
        </w:rPr>
        <w:t xml:space="preserve"> non-responders</w:t>
      </w:r>
      <w:r w:rsidR="00DD0202">
        <w:rPr>
          <w:szCs w:val="24"/>
        </w:rPr>
        <w:t xml:space="preserve"> most frequently mentioned</w:t>
      </w:r>
      <w:r w:rsidR="00F72955">
        <w:rPr>
          <w:szCs w:val="24"/>
        </w:rPr>
        <w:t xml:space="preserve"> </w:t>
      </w:r>
      <w:r w:rsidRPr="00DA4D53">
        <w:rPr>
          <w:szCs w:val="24"/>
        </w:rPr>
        <w:t>doing it as a pr</w:t>
      </w:r>
      <w:r w:rsidR="00DD0202" w:rsidRPr="00DA4D53">
        <w:rPr>
          <w:szCs w:val="24"/>
        </w:rPr>
        <w:t>ecautionary measure</w:t>
      </w:r>
      <w:r w:rsidR="00F72955">
        <w:rPr>
          <w:szCs w:val="24"/>
        </w:rPr>
        <w:t xml:space="preserve">, </w:t>
      </w:r>
      <w:r w:rsidR="00DD0202" w:rsidRPr="00DA4D53">
        <w:rPr>
          <w:szCs w:val="24"/>
        </w:rPr>
        <w:t>t</w:t>
      </w:r>
      <w:r w:rsidR="00F72955">
        <w:rPr>
          <w:szCs w:val="24"/>
        </w:rPr>
        <w:t xml:space="preserve">hat health checks are important, and </w:t>
      </w:r>
      <w:r w:rsidR="00DD0202" w:rsidRPr="00DA4D53">
        <w:rPr>
          <w:szCs w:val="24"/>
        </w:rPr>
        <w:t>wanting to know their bowel cancer statu</w:t>
      </w:r>
      <w:r w:rsidRPr="00DA4D53">
        <w:rPr>
          <w:szCs w:val="24"/>
        </w:rPr>
        <w:t>s. When asked what had the greatest impact on their decision to act, Māori and Pacific converted non-responders mentioned their belief in health checks</w:t>
      </w:r>
      <w:r w:rsidRPr="004E644D">
        <w:rPr>
          <w:szCs w:val="24"/>
        </w:rPr>
        <w:t xml:space="preserve">, </w:t>
      </w:r>
      <w:r w:rsidRPr="009231F5">
        <w:rPr>
          <w:szCs w:val="24"/>
        </w:rPr>
        <w:t>followed by concerns about bowel cancer or cancer, and a family history of cancer</w:t>
      </w:r>
      <w:r w:rsidR="009303AE">
        <w:rPr>
          <w:szCs w:val="24"/>
        </w:rPr>
        <w:t>.</w:t>
      </w:r>
      <w:r w:rsidRPr="009231F5">
        <w:rPr>
          <w:szCs w:val="24"/>
        </w:rPr>
        <w:t xml:space="preserve"> </w:t>
      </w:r>
    </w:p>
    <w:p w:rsidR="0083306F" w:rsidRDefault="0083306F" w:rsidP="0083306F">
      <w:pPr>
        <w:rPr>
          <w:lang w:eastAsia="ar-SA"/>
        </w:rPr>
      </w:pPr>
      <w:r>
        <w:t>Interviews with M</w:t>
      </w:r>
      <w:r>
        <w:rPr>
          <w:rFonts w:cs="Arial"/>
        </w:rPr>
        <w:t>ā</w:t>
      </w:r>
      <w:r>
        <w:t xml:space="preserve">ori non-responders (Litmus 2013) highlighted other barriers to taking part in bowel screening, including </w:t>
      </w:r>
      <w:r>
        <w:rPr>
          <w:lang w:eastAsia="ar-SA"/>
        </w:rPr>
        <w:t>more pressing health issues (e</w:t>
      </w:r>
      <w:r w:rsidR="00DA5123">
        <w:rPr>
          <w:lang w:eastAsia="ar-SA"/>
        </w:rPr>
        <w:t>.</w:t>
      </w:r>
      <w:r>
        <w:rPr>
          <w:lang w:eastAsia="ar-SA"/>
        </w:rPr>
        <w:t>g. cancer or heart disease), poor previous experience</w:t>
      </w:r>
      <w:r>
        <w:t xml:space="preserve"> of the health system, </w:t>
      </w:r>
      <w:r>
        <w:rPr>
          <w:lang w:eastAsia="ar-SA"/>
        </w:rPr>
        <w:t xml:space="preserve">misinterpretation of their eligibility and </w:t>
      </w:r>
      <w:r w:rsidR="00113547">
        <w:rPr>
          <w:lang w:eastAsia="ar-SA"/>
        </w:rPr>
        <w:t xml:space="preserve">dislike of </w:t>
      </w:r>
      <w:r>
        <w:rPr>
          <w:lang w:eastAsia="ar-SA"/>
        </w:rPr>
        <w:t>handling</w:t>
      </w:r>
      <w:r w:rsidR="00EE308B">
        <w:rPr>
          <w:lang w:eastAsia="ar-SA"/>
        </w:rPr>
        <w:t xml:space="preserve"> </w:t>
      </w:r>
      <w:r>
        <w:rPr>
          <w:lang w:eastAsia="ar-SA"/>
        </w:rPr>
        <w:t xml:space="preserve">faecal matter and mailing the </w:t>
      </w:r>
      <w:r w:rsidR="00EE308B">
        <w:rPr>
          <w:lang w:eastAsia="ar-SA"/>
        </w:rPr>
        <w:t xml:space="preserve">iFOBT </w:t>
      </w:r>
      <w:r>
        <w:rPr>
          <w:lang w:eastAsia="ar-SA"/>
        </w:rPr>
        <w:t xml:space="preserve">sample. </w:t>
      </w:r>
      <w:r w:rsidR="00EE308B">
        <w:rPr>
          <w:lang w:eastAsia="ar-SA"/>
        </w:rPr>
        <w:t xml:space="preserve"> </w:t>
      </w:r>
      <w:r>
        <w:rPr>
          <w:lang w:eastAsia="ar-SA"/>
        </w:rPr>
        <w:t xml:space="preserve">Pacific </w:t>
      </w:r>
      <w:r>
        <w:t xml:space="preserve">non-responders </w:t>
      </w:r>
      <w:r w:rsidR="00841350">
        <w:t>also faced literac</w:t>
      </w:r>
      <w:r w:rsidR="00EE308B">
        <w:t>y and languag</w:t>
      </w:r>
      <w:r>
        <w:t>e barriers, and appear</w:t>
      </w:r>
      <w:r w:rsidR="00EE308B">
        <w:t>ed</w:t>
      </w:r>
      <w:r>
        <w:t xml:space="preserve"> to have more environmental</w:t>
      </w:r>
      <w:r w:rsidR="00EE308B">
        <w:t xml:space="preserve"> </w:t>
      </w:r>
      <w:r>
        <w:t>bar</w:t>
      </w:r>
      <w:r w:rsidR="00EE308B">
        <w:t xml:space="preserve">riers that impeded receiving their kit (Litmus 2013). </w:t>
      </w:r>
      <w:r>
        <w:t xml:space="preserve"> </w:t>
      </w:r>
    </w:p>
    <w:p w:rsidR="0083306F" w:rsidRPr="00EE308B" w:rsidRDefault="00E4457D" w:rsidP="00DD0202">
      <w:pPr>
        <w:rPr>
          <w:b/>
        </w:rPr>
      </w:pPr>
      <w:r>
        <w:t>S</w:t>
      </w:r>
      <w:r w:rsidR="0070006A">
        <w:t>upport</w:t>
      </w:r>
      <w:r>
        <w:t>ing</w:t>
      </w:r>
      <w:r w:rsidR="0070006A">
        <w:t xml:space="preserve"> M</w:t>
      </w:r>
      <w:r>
        <w:rPr>
          <w:rFonts w:cs="Arial"/>
        </w:rPr>
        <w:t>ā</w:t>
      </w:r>
      <w:r w:rsidR="0070006A">
        <w:t>ori and Pacific people to act require</w:t>
      </w:r>
      <w:r>
        <w:t>s</w:t>
      </w:r>
      <w:r w:rsidR="0070006A">
        <w:t xml:space="preserve"> an </w:t>
      </w:r>
      <w:r>
        <w:t>awareness</w:t>
      </w:r>
      <w:r w:rsidR="00DD0202">
        <w:t xml:space="preserve"> of bowel cancer </w:t>
      </w:r>
      <w:r w:rsidR="0070006A">
        <w:t xml:space="preserve">and </w:t>
      </w:r>
      <w:r>
        <w:t xml:space="preserve">its </w:t>
      </w:r>
      <w:r w:rsidR="0070006A">
        <w:t xml:space="preserve">risks, </w:t>
      </w:r>
      <w:r w:rsidR="00DD0202">
        <w:t>and u</w:t>
      </w:r>
      <w:r w:rsidR="0070006A">
        <w:t>nderstanding of bowel screening.  Building this awareness through a range of strategies, such as</w:t>
      </w:r>
      <w:r w:rsidR="00DD0202">
        <w:t xml:space="preserve"> advertising, CAR and other health promotional activities</w:t>
      </w:r>
      <w:r w:rsidR="0070006A">
        <w:t>,</w:t>
      </w:r>
      <w:r w:rsidR="00DD0202">
        <w:t xml:space="preserve"> is important and enables active follow-up activities.  </w:t>
      </w:r>
      <w:r w:rsidR="00EE308B">
        <w:t xml:space="preserve">It is also important to consider how </w:t>
      </w:r>
      <w:r w:rsidR="00841350">
        <w:t xml:space="preserve">to enhance the systems and processes of the BSP </w:t>
      </w:r>
      <w:r w:rsidR="00EE308B">
        <w:t xml:space="preserve">to overcome </w:t>
      </w:r>
      <w:r w:rsidR="00841350">
        <w:t>other barriers that stop</w:t>
      </w:r>
      <w:r w:rsidR="00EE308B">
        <w:t xml:space="preserve"> M</w:t>
      </w:r>
      <w:r w:rsidR="00EE308B">
        <w:rPr>
          <w:rFonts w:cs="Arial"/>
        </w:rPr>
        <w:t>ā</w:t>
      </w:r>
      <w:r w:rsidR="00EE308B">
        <w:t>ori and Pacific people taking part.  More research is</w:t>
      </w:r>
      <w:r w:rsidR="00841350">
        <w:t xml:space="preserve"> needed to fully understand participation </w:t>
      </w:r>
      <w:r w:rsidR="00EE308B">
        <w:t>barriers for M</w:t>
      </w:r>
      <w:r w:rsidR="00EE308B">
        <w:rPr>
          <w:rFonts w:cs="Arial"/>
        </w:rPr>
        <w:t>ā</w:t>
      </w:r>
      <w:r w:rsidR="00EE308B">
        <w:t>ori and Pacific people and other</w:t>
      </w:r>
      <w:r w:rsidR="00841350">
        <w:t xml:space="preserve"> </w:t>
      </w:r>
      <w:r w:rsidR="00EE308B">
        <w:t>low participation groups</w:t>
      </w:r>
      <w:r w:rsidR="00841350">
        <w:t xml:space="preserve"> to inform effective system improvements</w:t>
      </w:r>
      <w:r w:rsidR="00EE308B">
        <w:t xml:space="preserve">. </w:t>
      </w:r>
      <w:r w:rsidR="00EE308B" w:rsidRPr="00EE308B">
        <w:rPr>
          <w:b/>
        </w:rPr>
        <w:t xml:space="preserve"> </w:t>
      </w:r>
    </w:p>
    <w:p w:rsidR="00367B24" w:rsidRDefault="001B017C" w:rsidP="00367B24">
      <w:pPr>
        <w:pStyle w:val="Heading2"/>
        <w:rPr>
          <w:b w:val="0"/>
        </w:rPr>
      </w:pPr>
      <w:bookmarkStart w:id="207" w:name="_Toc449167470"/>
      <w:bookmarkStart w:id="208" w:name="_Toc457842143"/>
      <w:bookmarkEnd w:id="205"/>
      <w:r>
        <w:t>5.6</w:t>
      </w:r>
      <w:bookmarkEnd w:id="207"/>
      <w:r>
        <w:tab/>
        <w:t>Assess</w:t>
      </w:r>
      <w:r w:rsidR="00BF626E">
        <w:t xml:space="preserve">ment of </w:t>
      </w:r>
      <w:r>
        <w:t>new initiatives to support participation</w:t>
      </w:r>
      <w:bookmarkEnd w:id="208"/>
    </w:p>
    <w:p w:rsidR="00C37C0C" w:rsidRDefault="00C37C0C" w:rsidP="00C37C0C">
      <w:pPr>
        <w:pStyle w:val="Heading3"/>
      </w:pPr>
      <w:r>
        <w:t>Strengthening active follow-up</w:t>
      </w:r>
    </w:p>
    <w:p w:rsidR="00450A90" w:rsidRPr="00172D6C" w:rsidRDefault="00450A90" w:rsidP="00450A90">
      <w:pPr>
        <w:pStyle w:val="CommentText"/>
        <w:rPr>
          <w:sz w:val="22"/>
          <w:szCs w:val="22"/>
        </w:rPr>
      </w:pPr>
      <w:r w:rsidRPr="004811AA">
        <w:rPr>
          <w:sz w:val="22"/>
          <w:szCs w:val="22"/>
        </w:rPr>
        <w:t xml:space="preserve">The Register was not designed to </w:t>
      </w:r>
      <w:r w:rsidR="00A27373" w:rsidRPr="004811AA">
        <w:rPr>
          <w:sz w:val="22"/>
          <w:szCs w:val="22"/>
        </w:rPr>
        <w:t xml:space="preserve">capture data to </w:t>
      </w:r>
      <w:r w:rsidRPr="004811AA">
        <w:rPr>
          <w:sz w:val="22"/>
          <w:szCs w:val="22"/>
        </w:rPr>
        <w:t xml:space="preserve">support active follow-up of non-responders. </w:t>
      </w:r>
      <w:r w:rsidR="00B360F8">
        <w:rPr>
          <w:sz w:val="22"/>
          <w:szCs w:val="22"/>
        </w:rPr>
        <w:t xml:space="preserve"> </w:t>
      </w:r>
      <w:r w:rsidRPr="004811AA">
        <w:rPr>
          <w:sz w:val="22"/>
          <w:szCs w:val="22"/>
        </w:rPr>
        <w:t>In Round 1, active follow-up with Māori and Pacific non-responders was constrained by a lack of IT infrastructure to monitor and record activities</w:t>
      </w:r>
      <w:r w:rsidR="001C547D" w:rsidRPr="004811AA">
        <w:rPr>
          <w:sz w:val="22"/>
          <w:szCs w:val="22"/>
        </w:rPr>
        <w:t xml:space="preserve">, and </w:t>
      </w:r>
      <w:r w:rsidR="00125223" w:rsidRPr="00B360F8">
        <w:rPr>
          <w:sz w:val="22"/>
          <w:szCs w:val="22"/>
        </w:rPr>
        <w:t>limited data management capacity</w:t>
      </w:r>
      <w:r w:rsidRPr="004811AA">
        <w:rPr>
          <w:sz w:val="22"/>
          <w:szCs w:val="22"/>
        </w:rPr>
        <w:t>.  In Round 2, the BSP Coordination Centre developed a stand</w:t>
      </w:r>
      <w:r w:rsidR="00DA5123">
        <w:rPr>
          <w:sz w:val="22"/>
          <w:szCs w:val="22"/>
        </w:rPr>
        <w:t>-</w:t>
      </w:r>
      <w:r w:rsidRPr="004811AA">
        <w:rPr>
          <w:sz w:val="22"/>
          <w:szCs w:val="22"/>
        </w:rPr>
        <w:t>alone active follow-up database to monitor and</w:t>
      </w:r>
      <w:r w:rsidR="004811AA">
        <w:rPr>
          <w:sz w:val="22"/>
          <w:szCs w:val="22"/>
        </w:rPr>
        <w:t xml:space="preserve"> report </w:t>
      </w:r>
      <w:r w:rsidRPr="004811AA">
        <w:rPr>
          <w:sz w:val="22"/>
          <w:szCs w:val="22"/>
        </w:rPr>
        <w:t xml:space="preserve">on </w:t>
      </w:r>
      <w:r w:rsidR="001C547D" w:rsidRPr="004811AA">
        <w:rPr>
          <w:sz w:val="22"/>
          <w:szCs w:val="22"/>
        </w:rPr>
        <w:t xml:space="preserve">these </w:t>
      </w:r>
      <w:r w:rsidRPr="004811AA">
        <w:rPr>
          <w:sz w:val="22"/>
          <w:szCs w:val="22"/>
        </w:rPr>
        <w:t>activities</w:t>
      </w:r>
      <w:r w:rsidR="001C547D" w:rsidRPr="004811AA">
        <w:rPr>
          <w:sz w:val="22"/>
          <w:szCs w:val="22"/>
        </w:rPr>
        <w:t xml:space="preserve">, and the data manager role was increased from </w:t>
      </w:r>
      <w:r w:rsidR="001C547D" w:rsidRPr="0042549B">
        <w:rPr>
          <w:sz w:val="22"/>
          <w:szCs w:val="22"/>
        </w:rPr>
        <w:t>0.5FTE</w:t>
      </w:r>
      <w:r w:rsidR="001C547D" w:rsidRPr="004811AA">
        <w:rPr>
          <w:sz w:val="22"/>
          <w:szCs w:val="22"/>
        </w:rPr>
        <w:t xml:space="preserve"> to full time.</w:t>
      </w:r>
      <w:r w:rsidRPr="00172D6C">
        <w:rPr>
          <w:sz w:val="22"/>
          <w:szCs w:val="22"/>
        </w:rPr>
        <w:t xml:space="preserve">  </w:t>
      </w:r>
    </w:p>
    <w:p w:rsidR="00E4457D" w:rsidRDefault="00A73993" w:rsidP="00E4457D">
      <w:r>
        <w:t>In Round 2, active follow-up processes and procedures have also been reviewed and strengthened</w:t>
      </w:r>
      <w:r w:rsidR="00346925">
        <w:t>,</w:t>
      </w:r>
      <w:r>
        <w:t xml:space="preserve"> and monitoring and reporting on their implementation is reported to WDHB Steering Group and the Ministry.  </w:t>
      </w:r>
      <w:r w:rsidR="00367B24">
        <w:t xml:space="preserve">Additional resources have been allocated to active follow-up both within the BSP Coordination Centre and through contracting </w:t>
      </w:r>
      <w:r w:rsidR="00F126BC">
        <w:t xml:space="preserve">two </w:t>
      </w:r>
      <w:r w:rsidR="00367B24">
        <w:t>external M</w:t>
      </w:r>
      <w:r w:rsidR="00367B24">
        <w:rPr>
          <w:rFonts w:cs="Arial"/>
        </w:rPr>
        <w:t>ā</w:t>
      </w:r>
      <w:r w:rsidR="00367B24">
        <w:t xml:space="preserve">ori health </w:t>
      </w:r>
      <w:r w:rsidR="00E4457D">
        <w:t xml:space="preserve">and community </w:t>
      </w:r>
      <w:r w:rsidR="00367B24">
        <w:t>providers</w:t>
      </w:r>
      <w:r w:rsidR="004868C7">
        <w:t xml:space="preserve"> </w:t>
      </w:r>
      <w:r w:rsidR="00F54ACF">
        <w:t xml:space="preserve">as well as </w:t>
      </w:r>
      <w:r w:rsidR="00F126BC">
        <w:t xml:space="preserve">the </w:t>
      </w:r>
      <w:r w:rsidR="00346925">
        <w:t xml:space="preserve">ongoing contracts with two </w:t>
      </w:r>
      <w:r w:rsidR="00F54ACF">
        <w:t xml:space="preserve">Pacific health and community providers </w:t>
      </w:r>
      <w:r w:rsidR="004868C7">
        <w:t>(Litmus 2016)</w:t>
      </w:r>
      <w:r w:rsidR="00367B24">
        <w:t xml:space="preserve">.  </w:t>
      </w:r>
    </w:p>
    <w:p w:rsidR="00E4457D" w:rsidRDefault="009253BA" w:rsidP="00E4457D">
      <w:r>
        <w:t xml:space="preserve">External </w:t>
      </w:r>
      <w:r w:rsidR="00E4457D">
        <w:t>M</w:t>
      </w:r>
      <w:r w:rsidR="00E4457D">
        <w:rPr>
          <w:rFonts w:cs="Arial"/>
        </w:rPr>
        <w:t>ā</w:t>
      </w:r>
      <w:r w:rsidR="00E4457D">
        <w:t xml:space="preserve">ori and Pacific </w:t>
      </w:r>
      <w:r w:rsidR="00F72955">
        <w:t xml:space="preserve">health and community </w:t>
      </w:r>
      <w:r w:rsidR="00367B24">
        <w:t xml:space="preserve">providers have an important role in gaining access </w:t>
      </w:r>
      <w:r w:rsidR="00E4457D">
        <w:t xml:space="preserve">to </w:t>
      </w:r>
      <w:r w:rsidR="00367B24">
        <w:t xml:space="preserve">and supporting people in their communities to act.  </w:t>
      </w:r>
      <w:r w:rsidR="00E4457D">
        <w:t>The M</w:t>
      </w:r>
      <w:r w:rsidR="00E4457D">
        <w:rPr>
          <w:rFonts w:cs="Arial"/>
        </w:rPr>
        <w:t>ā</w:t>
      </w:r>
      <w:r w:rsidR="00E4457D">
        <w:t xml:space="preserve">ori and Pacific </w:t>
      </w:r>
      <w:r w:rsidR="004868C7">
        <w:t xml:space="preserve">health and </w:t>
      </w:r>
      <w:r w:rsidR="00E4457D">
        <w:t>community providers are known and trusted in their community, can engage in face-to-face conversations and share their stories and experiences of bowel screening.  The M</w:t>
      </w:r>
      <w:r w:rsidR="00E4457D">
        <w:rPr>
          <w:rFonts w:cs="Arial"/>
        </w:rPr>
        <w:t>ā</w:t>
      </w:r>
      <w:r w:rsidR="00E4457D">
        <w:t>ori and Pacific community providers noted the importance of training and regular refresher sessions, visiting the different providers on the screening pathway to</w:t>
      </w:r>
      <w:r w:rsidR="00D87AB7">
        <w:t xml:space="preserve"> be able to</w:t>
      </w:r>
      <w:r w:rsidR="00E4457D">
        <w:t xml:space="preserve"> describe the process to non-responders, and having a Q&amp;A </w:t>
      </w:r>
      <w:r w:rsidR="00D87AB7">
        <w:t xml:space="preserve">and </w:t>
      </w:r>
      <w:r w:rsidR="00E4457D">
        <w:t>script developed for the active follow-up to ensure consistent messages.  Non-clinicians found the Q&amp;A and script useful in answer</w:t>
      </w:r>
      <w:r w:rsidR="00644018">
        <w:t>ing</w:t>
      </w:r>
      <w:r w:rsidR="00E4457D">
        <w:t xml:space="preserve"> any difficult questions.  The M</w:t>
      </w:r>
      <w:r w:rsidR="00E4457D">
        <w:rPr>
          <w:rFonts w:cs="Arial"/>
        </w:rPr>
        <w:t>ā</w:t>
      </w:r>
      <w:r w:rsidR="00E4457D">
        <w:t xml:space="preserve">ori </w:t>
      </w:r>
      <w:r w:rsidR="004868C7">
        <w:t xml:space="preserve">community </w:t>
      </w:r>
      <w:r w:rsidR="00E4457D">
        <w:t xml:space="preserve">provider </w:t>
      </w:r>
      <w:r w:rsidR="004868C7">
        <w:t xml:space="preserve">interviewed </w:t>
      </w:r>
      <w:r w:rsidR="00E4457D">
        <w:t xml:space="preserve">summarised their role as seeking to </w:t>
      </w:r>
      <w:r w:rsidR="00E4457D" w:rsidRPr="004868C7">
        <w:rPr>
          <w:i/>
        </w:rPr>
        <w:t>‘normalise bowel screening’</w:t>
      </w:r>
      <w:r w:rsidR="004868C7">
        <w:t xml:space="preserve"> (Litmus 2016)</w:t>
      </w:r>
      <w:r w:rsidR="00E4457D">
        <w:t xml:space="preserve">. </w:t>
      </w:r>
    </w:p>
    <w:p w:rsidR="00E4457D" w:rsidRDefault="00F54ACF" w:rsidP="00E4457D">
      <w:r>
        <w:t xml:space="preserve">In Round 2, </w:t>
      </w:r>
      <w:r w:rsidR="00C12ABE">
        <w:t xml:space="preserve">the </w:t>
      </w:r>
      <w:r>
        <w:t>c</w:t>
      </w:r>
      <w:r w:rsidR="00E4457D">
        <w:t xml:space="preserve">ontract arrangement between the </w:t>
      </w:r>
      <w:r w:rsidR="00E4457D" w:rsidRPr="003B7ED7">
        <w:t xml:space="preserve">BSP Coordination Centre </w:t>
      </w:r>
      <w:r w:rsidR="00E4457D">
        <w:t xml:space="preserve">and external </w:t>
      </w:r>
      <w:r w:rsidR="00E4457D" w:rsidRPr="00B436E1">
        <w:t>Māori and Pacific</w:t>
      </w:r>
      <w:r w:rsidR="00E4457D">
        <w:t xml:space="preserve"> </w:t>
      </w:r>
      <w:r w:rsidR="004868C7">
        <w:t xml:space="preserve">health and community </w:t>
      </w:r>
      <w:r w:rsidR="00E4457D">
        <w:t>providers</w:t>
      </w:r>
      <w:r w:rsidR="004868C7">
        <w:t xml:space="preserve"> </w:t>
      </w:r>
      <w:r w:rsidR="00E4457D">
        <w:t xml:space="preserve">moved to FTE-based contracts and not outputs (i.e. the number of CAR workshops held). The shift in the contracting model </w:t>
      </w:r>
      <w:r w:rsidR="004868C7">
        <w:t>was</w:t>
      </w:r>
      <w:r w:rsidR="00E4457D">
        <w:t xml:space="preserve"> welcomed </w:t>
      </w:r>
      <w:r w:rsidR="001C12A1">
        <w:t>by</w:t>
      </w:r>
      <w:r w:rsidR="00E4457D">
        <w:t xml:space="preserve"> </w:t>
      </w:r>
      <w:r w:rsidR="00E4457D" w:rsidRPr="003B7ED7">
        <w:t xml:space="preserve">Māori and Pacific </w:t>
      </w:r>
      <w:r w:rsidR="00E4457D">
        <w:t xml:space="preserve">providers </w:t>
      </w:r>
      <w:r w:rsidR="00D87AB7">
        <w:t xml:space="preserve">who </w:t>
      </w:r>
      <w:r w:rsidR="00E4457D">
        <w:t>can now flexibl</w:t>
      </w:r>
      <w:r>
        <w:t xml:space="preserve">y </w:t>
      </w:r>
      <w:r w:rsidR="00E4457D">
        <w:t xml:space="preserve">deliver </w:t>
      </w:r>
      <w:r w:rsidR="001C12A1">
        <w:t>services in ways that best meet</w:t>
      </w:r>
      <w:r w:rsidR="00E4457D">
        <w:t xml:space="preserve"> their community needs</w:t>
      </w:r>
      <w:r w:rsidR="004868C7">
        <w:t xml:space="preserve"> (Litmus 2016)</w:t>
      </w:r>
      <w:r w:rsidR="00E4457D">
        <w:t xml:space="preserve">. </w:t>
      </w:r>
    </w:p>
    <w:p w:rsidR="00367B24" w:rsidRDefault="004868C7" w:rsidP="00367B24">
      <w:pPr>
        <w:rPr>
          <w:szCs w:val="24"/>
        </w:rPr>
      </w:pPr>
      <w:r>
        <w:rPr>
          <w:lang w:eastAsia="ar-SA"/>
        </w:rPr>
        <w:t xml:space="preserve">In </w:t>
      </w:r>
      <w:r w:rsidR="00F72955">
        <w:rPr>
          <w:lang w:eastAsia="ar-SA"/>
        </w:rPr>
        <w:t>Round 2</w:t>
      </w:r>
      <w:r>
        <w:rPr>
          <w:lang w:eastAsia="ar-SA"/>
        </w:rPr>
        <w:t>, t</w:t>
      </w:r>
      <w:r w:rsidR="00E4457D">
        <w:rPr>
          <w:lang w:eastAsia="ar-SA"/>
        </w:rPr>
        <w:t>he processes for a</w:t>
      </w:r>
      <w:r w:rsidR="00367B24" w:rsidRPr="008B1F1E">
        <w:rPr>
          <w:lang w:eastAsia="ar-SA"/>
        </w:rPr>
        <w:t xml:space="preserve">ctive follow-up </w:t>
      </w:r>
      <w:r w:rsidR="009253BA">
        <w:rPr>
          <w:lang w:eastAsia="ar-SA"/>
        </w:rPr>
        <w:t>are</w:t>
      </w:r>
      <w:r w:rsidR="00E4457D">
        <w:rPr>
          <w:lang w:eastAsia="ar-SA"/>
        </w:rPr>
        <w:t xml:space="preserve"> more clearly defined and monitored.  In 2015, </w:t>
      </w:r>
      <w:r w:rsidR="00367B24">
        <w:rPr>
          <w:lang w:eastAsia="ar-SA"/>
        </w:rPr>
        <w:t xml:space="preserve">the </w:t>
      </w:r>
      <w:r w:rsidR="00367B24">
        <w:rPr>
          <w:szCs w:val="24"/>
        </w:rPr>
        <w:t xml:space="preserve">KPI that 95% of </w:t>
      </w:r>
      <w:r w:rsidR="00367B24" w:rsidRPr="009A029C">
        <w:t xml:space="preserve">Māori and Pacific non-responders </w:t>
      </w:r>
      <w:r w:rsidR="00367B24">
        <w:t xml:space="preserve">on the </w:t>
      </w:r>
      <w:r w:rsidR="00367B24" w:rsidRPr="008B1F1E">
        <w:rPr>
          <w:szCs w:val="24"/>
        </w:rPr>
        <w:t>active follow-up database</w:t>
      </w:r>
      <w:r w:rsidR="00367B24">
        <w:t xml:space="preserve"> receive a</w:t>
      </w:r>
      <w:r w:rsidR="00367B24">
        <w:rPr>
          <w:lang w:eastAsia="ar-SA"/>
        </w:rPr>
        <w:t xml:space="preserve"> </w:t>
      </w:r>
      <w:r w:rsidR="00367B24">
        <w:rPr>
          <w:szCs w:val="24"/>
        </w:rPr>
        <w:t xml:space="preserve">minimum of three phone call attempts </w:t>
      </w:r>
      <w:r w:rsidR="00367B24" w:rsidRPr="008B1F1E">
        <w:rPr>
          <w:szCs w:val="24"/>
        </w:rPr>
        <w:t xml:space="preserve">within </w:t>
      </w:r>
      <w:r w:rsidR="00367B24">
        <w:rPr>
          <w:szCs w:val="24"/>
        </w:rPr>
        <w:t xml:space="preserve">a month </w:t>
      </w:r>
      <w:r w:rsidR="00367B24" w:rsidRPr="008B1F1E">
        <w:rPr>
          <w:szCs w:val="24"/>
        </w:rPr>
        <w:t>of referral</w:t>
      </w:r>
      <w:r w:rsidR="00367B24">
        <w:rPr>
          <w:szCs w:val="24"/>
        </w:rPr>
        <w:t xml:space="preserve">, and </w:t>
      </w:r>
      <w:r w:rsidR="00367B24" w:rsidRPr="008B1F1E">
        <w:rPr>
          <w:szCs w:val="24"/>
        </w:rPr>
        <w:t>at least one of the calls made out</w:t>
      </w:r>
      <w:r w:rsidR="00367B24">
        <w:rPr>
          <w:szCs w:val="24"/>
        </w:rPr>
        <w:t>side</w:t>
      </w:r>
      <w:r w:rsidR="00367B24" w:rsidRPr="008B1F1E">
        <w:rPr>
          <w:szCs w:val="24"/>
        </w:rPr>
        <w:t xml:space="preserve"> office hours</w:t>
      </w:r>
      <w:r w:rsidR="00644018">
        <w:rPr>
          <w:szCs w:val="24"/>
        </w:rPr>
        <w:t>,</w:t>
      </w:r>
      <w:r>
        <w:rPr>
          <w:szCs w:val="24"/>
        </w:rPr>
        <w:t xml:space="preserve"> was consistently achieved</w:t>
      </w:r>
      <w:r w:rsidR="000F2C25">
        <w:rPr>
          <w:szCs w:val="24"/>
        </w:rPr>
        <w:t>.</w:t>
      </w:r>
      <w:r w:rsidR="00A232F4">
        <w:rPr>
          <w:szCs w:val="24"/>
        </w:rPr>
        <w:t xml:space="preserve"> </w:t>
      </w:r>
      <w:r w:rsidR="000F2C25">
        <w:rPr>
          <w:szCs w:val="24"/>
        </w:rPr>
        <w:t xml:space="preserve">In 2015, 59% of </w:t>
      </w:r>
      <w:r w:rsidR="000F2C25" w:rsidRPr="009A029C">
        <w:t xml:space="preserve">Māori and </w:t>
      </w:r>
      <w:r w:rsidR="000F2C25">
        <w:t xml:space="preserve">54% of </w:t>
      </w:r>
      <w:r w:rsidR="000F2C25" w:rsidRPr="009A029C">
        <w:t xml:space="preserve">Pacific non-responders </w:t>
      </w:r>
      <w:r w:rsidR="000F2C25">
        <w:t xml:space="preserve">on the </w:t>
      </w:r>
      <w:r w:rsidR="000F2C25">
        <w:rPr>
          <w:szCs w:val="24"/>
        </w:rPr>
        <w:t>database were contacted through active follow-up</w:t>
      </w:r>
      <w:r w:rsidR="00A232F4">
        <w:rPr>
          <w:szCs w:val="24"/>
        </w:rPr>
        <w:t xml:space="preserve">, and about four in ten completed their kit. The </w:t>
      </w:r>
      <w:r w:rsidR="00FB25E9">
        <w:rPr>
          <w:szCs w:val="24"/>
        </w:rPr>
        <w:t xml:space="preserve">estimated conversion rate </w:t>
      </w:r>
      <w:r w:rsidR="001C12A1">
        <w:rPr>
          <w:szCs w:val="24"/>
        </w:rPr>
        <w:t>for active follow-</w:t>
      </w:r>
      <w:r w:rsidR="00A232F4">
        <w:rPr>
          <w:szCs w:val="24"/>
        </w:rPr>
        <w:t xml:space="preserve">up is </w:t>
      </w:r>
      <w:r w:rsidR="00FB25E9">
        <w:rPr>
          <w:szCs w:val="24"/>
        </w:rPr>
        <w:t>over</w:t>
      </w:r>
      <w:r w:rsidR="00367B24">
        <w:rPr>
          <w:szCs w:val="24"/>
        </w:rPr>
        <w:t xml:space="preserve"> 20% for both </w:t>
      </w:r>
      <w:r w:rsidR="00367B24" w:rsidRPr="006A1F01">
        <w:rPr>
          <w:szCs w:val="24"/>
        </w:rPr>
        <w:t>Māori</w:t>
      </w:r>
      <w:r w:rsidR="00367B24">
        <w:rPr>
          <w:szCs w:val="24"/>
        </w:rPr>
        <w:t xml:space="preserve"> and Pacific people</w:t>
      </w:r>
      <w:r w:rsidR="00A232F4">
        <w:rPr>
          <w:szCs w:val="24"/>
        </w:rPr>
        <w:t>; taking into account all attempts to contact</w:t>
      </w:r>
      <w:r w:rsidR="001C12A1">
        <w:rPr>
          <w:szCs w:val="24"/>
        </w:rPr>
        <w:t>,</w:t>
      </w:r>
      <w:r w:rsidR="00A232F4">
        <w:rPr>
          <w:szCs w:val="24"/>
        </w:rPr>
        <w:t xml:space="preserve"> whether successful or not</w:t>
      </w:r>
      <w:r w:rsidR="00367B24">
        <w:rPr>
          <w:szCs w:val="24"/>
        </w:rPr>
        <w:t xml:space="preserve">.  In 2015, 686 out of 2,641 </w:t>
      </w:r>
      <w:r w:rsidR="00367B24" w:rsidRPr="006A1F01">
        <w:rPr>
          <w:szCs w:val="24"/>
        </w:rPr>
        <w:t xml:space="preserve">Māori </w:t>
      </w:r>
      <w:r w:rsidR="00367B24">
        <w:rPr>
          <w:szCs w:val="24"/>
        </w:rPr>
        <w:t xml:space="preserve">non-responders </w:t>
      </w:r>
      <w:r w:rsidR="000F2C25">
        <w:rPr>
          <w:szCs w:val="24"/>
        </w:rPr>
        <w:t xml:space="preserve">on the active follow-up database </w:t>
      </w:r>
      <w:r w:rsidR="00367B24">
        <w:rPr>
          <w:szCs w:val="24"/>
        </w:rPr>
        <w:t xml:space="preserve">went on to complete their iFOBT kit (26%), and 651 out of 3,010 Pacific people (22%).  </w:t>
      </w:r>
      <w:r>
        <w:rPr>
          <w:szCs w:val="24"/>
        </w:rPr>
        <w:t xml:space="preserve"> </w:t>
      </w:r>
    </w:p>
    <w:p w:rsidR="001B33C8" w:rsidRPr="001B33C8" w:rsidRDefault="001B33C8" w:rsidP="001B33C8">
      <w:pPr>
        <w:rPr>
          <w:szCs w:val="24"/>
        </w:rPr>
      </w:pPr>
      <w:r w:rsidRPr="001B33C8">
        <w:rPr>
          <w:szCs w:val="24"/>
        </w:rPr>
        <w:t xml:space="preserve">At four weeks a reminder letter is also sent out.  Consequently, it is not possible to ascertain whether the decision to act was due solely to the active follow-up activities or receiving a reminder letter.  </w:t>
      </w:r>
    </w:p>
    <w:p w:rsidR="00E4457D" w:rsidRDefault="00E4457D" w:rsidP="00E4457D">
      <w:pPr>
        <w:pStyle w:val="Quote"/>
      </w:pPr>
      <w:r>
        <w:t>There are three things: first, the message. People need to be informed; second, they need the resources to do it, so the kit is with them; the third is that they are supported. As soon as those things are out of sync…We come in right at the end with the support</w:t>
      </w:r>
      <w:r w:rsidR="001C12A1">
        <w:t>;</w:t>
      </w:r>
      <w:r>
        <w:t xml:space="preserve"> if we are supporting them about a kit they never got and bowel screening, which they have never heard of then it is kind of backwards. As long as we have things in place so that they know what it is about, they have a kit, and then they will receive a call about it they c</w:t>
      </w:r>
      <w:r w:rsidR="001C547D">
        <w:t>an connect all the information.</w:t>
      </w:r>
      <w:r>
        <w:t xml:space="preserve"> (CAR)</w:t>
      </w:r>
    </w:p>
    <w:p w:rsidR="00C37C0C" w:rsidRPr="00C37C0C" w:rsidRDefault="00C37C0C" w:rsidP="00C37C0C">
      <w:pPr>
        <w:pStyle w:val="Heading3"/>
      </w:pPr>
      <w:r w:rsidRPr="004868C7">
        <w:t>General practice initiatives</w:t>
      </w:r>
      <w:r w:rsidRPr="00C37C0C">
        <w:t xml:space="preserve"> </w:t>
      </w:r>
    </w:p>
    <w:p w:rsidR="00165169" w:rsidRDefault="00C37C0C" w:rsidP="00165169">
      <w:r w:rsidRPr="004868C7">
        <w:t>Overall, PHOs and general practices interviewed are positive and supportive of the BSP and a national bowel screening programme</w:t>
      </w:r>
      <w:r w:rsidR="004868C7">
        <w:t xml:space="preserve"> (Litmus 2016)</w:t>
      </w:r>
      <w:r w:rsidRPr="004868C7">
        <w:t xml:space="preserve">.  </w:t>
      </w:r>
      <w:r w:rsidR="0050631E" w:rsidRPr="004868C7">
        <w:t>In 2015, DRINFO and Patient Dashboard were updated to enable opportunistic and systematic patient reminders on completing their iF</w:t>
      </w:r>
      <w:r w:rsidR="0050631E">
        <w:t xml:space="preserve">OBT kit </w:t>
      </w:r>
      <w:r w:rsidR="00346925">
        <w:t>via</w:t>
      </w:r>
      <w:r w:rsidR="0050631E">
        <w:t xml:space="preserve"> general practice.  </w:t>
      </w:r>
      <w:r w:rsidR="00165169">
        <w:t>Awareness and use of these tools is high for reminders for screening tests in general.  However, they are less frequently used for bowel screening reminders</w:t>
      </w:r>
      <w:r w:rsidR="00346925">
        <w:t xml:space="preserve"> (Litmus 2016)</w:t>
      </w:r>
      <w:r w:rsidR="00165169">
        <w:t xml:space="preserve">.  </w:t>
      </w:r>
    </w:p>
    <w:p w:rsidR="00165169" w:rsidRDefault="00165169" w:rsidP="0050631E">
      <w:r>
        <w:t>A survey of general practices with access to Patient Dashboard and/or DRINFO in WDHB found</w:t>
      </w:r>
      <w:r w:rsidR="00F54ACF">
        <w:t xml:space="preserve"> (Litmus 2016)</w:t>
      </w:r>
      <w:r>
        <w:t xml:space="preserve">: </w:t>
      </w:r>
    </w:p>
    <w:p w:rsidR="00165169" w:rsidRDefault="00165169" w:rsidP="006179C7">
      <w:pPr>
        <w:numPr>
          <w:ilvl w:val="0"/>
          <w:numId w:val="13"/>
        </w:numPr>
        <w:spacing w:before="120"/>
        <w:ind w:left="1066" w:hanging="357"/>
      </w:pPr>
      <w:r>
        <w:t>In those practices using Patient Dashboard, 71% stated that all clinical staff use it to remind patients to have sc</w:t>
      </w:r>
      <w:r w:rsidR="00C12ABE">
        <w:t>reening tests (in general).  Us</w:t>
      </w:r>
      <w:r>
        <w:t>age to remind about completing the bowel screening kit was lower with 52% of practices saying that all their clinical staff use it.  16% of practices said that none of their clinical staff use it.</w:t>
      </w:r>
    </w:p>
    <w:p w:rsidR="00165169" w:rsidRDefault="00165169" w:rsidP="006179C7">
      <w:pPr>
        <w:numPr>
          <w:ilvl w:val="0"/>
          <w:numId w:val="13"/>
        </w:numPr>
        <w:spacing w:before="120"/>
        <w:ind w:left="1066" w:hanging="357"/>
      </w:pPr>
      <w:r>
        <w:t>Strong agreement that Patient Dashboard is a useful tool to identify those who need to be reminded to do bowel screening test (88% strongly agree and agree).  Patient Dashboard is also seen as an effective tool to remind M</w:t>
      </w:r>
      <w:r>
        <w:rPr>
          <w:rFonts w:cs="Arial"/>
        </w:rPr>
        <w:t>ā</w:t>
      </w:r>
      <w:r>
        <w:t>ori and Pacific patients to complete their test kit (79% and 83% strongly</w:t>
      </w:r>
      <w:r w:rsidR="00C12ABE">
        <w:t xml:space="preserve"> agree and agree</w:t>
      </w:r>
      <w:r w:rsidR="001C12A1">
        <w:t>,</w:t>
      </w:r>
      <w:r w:rsidR="00C12ABE">
        <w:t xml:space="preserve"> respectively).</w:t>
      </w:r>
    </w:p>
    <w:p w:rsidR="00165169" w:rsidRDefault="00165169" w:rsidP="006179C7">
      <w:pPr>
        <w:numPr>
          <w:ilvl w:val="0"/>
          <w:numId w:val="13"/>
        </w:numPr>
        <w:spacing w:before="120"/>
        <w:ind w:left="1066" w:hanging="357"/>
      </w:pPr>
      <w:r>
        <w:t>96% were using DRINFO.  Two thirds (64%) use DRINFO to remind patients to have their screening tests.  In contrast, just over a th</w:t>
      </w:r>
      <w:r w:rsidR="000F2C25">
        <w:t>ird of practices interviewed (36</w:t>
      </w:r>
      <w:r>
        <w:t xml:space="preserve">%) use DRINFO to identify patients who have received and not completed their bowel screening kit.  A third use DRINFO to send text or fax reminders </w:t>
      </w:r>
      <w:r w:rsidR="00CF0E83">
        <w:t xml:space="preserve">to patients who have not completed their iFOBT kit </w:t>
      </w:r>
      <w:r>
        <w:t xml:space="preserve">(32%). </w:t>
      </w:r>
    </w:p>
    <w:p w:rsidR="0050631E" w:rsidRDefault="0050631E" w:rsidP="0050631E">
      <w:r>
        <w:t>Using Patient Dashboard</w:t>
      </w:r>
      <w:r w:rsidR="00F54ACF">
        <w:t>,</w:t>
      </w:r>
      <w:r>
        <w:t xml:space="preserve"> general practice can fax the BSP Coordination Centre to send a replacement iFOBT kit to their patients.  Between October 2014 and 31 January 2016, the BSP Coordination Centre received 1,622 fax requests from general practice to send out a replacement bowel screening kit to patients, and received back 888 completed iFOBT kits (a return rate of 55%).  This demonstrates that general practice has an important role in supporting and increasing</w:t>
      </w:r>
      <w:r w:rsidRPr="00EA59DD">
        <w:t xml:space="preserve"> participation</w:t>
      </w:r>
      <w:r>
        <w:t xml:space="preserve">. Given this contribution, further work is needed to embed </w:t>
      </w:r>
      <w:r w:rsidR="001C12A1">
        <w:t xml:space="preserve">into general practice </w:t>
      </w:r>
      <w:r>
        <w:t xml:space="preserve">the use of </w:t>
      </w:r>
      <w:r w:rsidR="00346925">
        <w:t>Dashboard and DRINFO</w:t>
      </w:r>
      <w:r w:rsidR="001C12A1">
        <w:t xml:space="preserve"> for bowel screening</w:t>
      </w:r>
      <w:r>
        <w:t>.</w:t>
      </w:r>
    </w:p>
    <w:p w:rsidR="0050631E" w:rsidRDefault="004868C7" w:rsidP="0050631E">
      <w:r>
        <w:t>G</w:t>
      </w:r>
      <w:r w:rsidRPr="00EA59DD">
        <w:t xml:space="preserve">eneral practice </w:t>
      </w:r>
      <w:r>
        <w:t>has a</w:t>
      </w:r>
      <w:r w:rsidR="00644018">
        <w:t>n important</w:t>
      </w:r>
      <w:r>
        <w:t xml:space="preserve"> role in increasing</w:t>
      </w:r>
      <w:r w:rsidRPr="00EA59DD">
        <w:t xml:space="preserve"> participation</w:t>
      </w:r>
      <w:r>
        <w:t xml:space="preserve"> in the BSP</w:t>
      </w:r>
      <w:r w:rsidRPr="00EA59DD">
        <w:t xml:space="preserve"> particularly for eligible M</w:t>
      </w:r>
      <w:r w:rsidRPr="00EA59DD">
        <w:rPr>
          <w:rFonts w:cs="Arial"/>
        </w:rPr>
        <w:t>ā</w:t>
      </w:r>
      <w:r w:rsidRPr="00EA59DD">
        <w:t>ori and Pacific people</w:t>
      </w:r>
      <w:r>
        <w:t xml:space="preserve">, and </w:t>
      </w:r>
      <w:r w:rsidR="00FF52F8">
        <w:t>O</w:t>
      </w:r>
      <w:r>
        <w:t>thers</w:t>
      </w:r>
      <w:r w:rsidRPr="00EA59DD">
        <w:t xml:space="preserve">.  </w:t>
      </w:r>
      <w:r>
        <w:t>General practice, when engaged, have a positive contribution of informing their patients about bowel cancer and bowel screening, encouraging the completion of iFOBT kit</w:t>
      </w:r>
      <w:r w:rsidR="001C12A1">
        <w:t>s</w:t>
      </w:r>
      <w:r>
        <w:t>, informing of positive results</w:t>
      </w:r>
      <w:r w:rsidR="00174EA9" w:rsidRPr="004811AA">
        <w:t>, referring for colonoscopy,</w:t>
      </w:r>
      <w:r w:rsidRPr="004811AA">
        <w:t xml:space="preserve"> and supporting if cancer or other health issues are identified</w:t>
      </w:r>
      <w:r>
        <w:t xml:space="preserve"> through the screening</w:t>
      </w:r>
      <w:r w:rsidR="00644018">
        <w:t xml:space="preserve"> (Litmus 2016)</w:t>
      </w:r>
      <w:r>
        <w:t xml:space="preserve">.  This finding supports </w:t>
      </w:r>
      <w:r w:rsidRPr="00EA59DD">
        <w:t xml:space="preserve">international research </w:t>
      </w:r>
      <w:r>
        <w:t xml:space="preserve">which also </w:t>
      </w:r>
      <w:r w:rsidR="00346925">
        <w:t>highlight</w:t>
      </w:r>
      <w:r w:rsidR="001C12A1">
        <w:t>s</w:t>
      </w:r>
      <w:r w:rsidR="00346925">
        <w:t xml:space="preserve"> the </w:t>
      </w:r>
      <w:r w:rsidRPr="00EA59DD">
        <w:t>benefits</w:t>
      </w:r>
      <w:r>
        <w:t xml:space="preserve"> of having general practice involvement in bowel screening</w:t>
      </w:r>
      <w:r w:rsidR="00644018">
        <w:t>.</w:t>
      </w:r>
    </w:p>
    <w:p w:rsidR="0050631E" w:rsidRPr="00AB1EBD" w:rsidRDefault="004868C7" w:rsidP="0050631E">
      <w:r w:rsidRPr="00514A99">
        <w:rPr>
          <w:lang w:val="en-US"/>
        </w:rPr>
        <w:t xml:space="preserve">Internationally, GP or physician involvement in bowel screening has been shown to have a positive impact on iFOBT screening </w:t>
      </w:r>
      <w:r>
        <w:rPr>
          <w:lang w:val="en-US"/>
        </w:rPr>
        <w:t xml:space="preserve">of </w:t>
      </w:r>
      <w:r w:rsidRPr="00514A99">
        <w:rPr>
          <w:lang w:val="en-US"/>
        </w:rPr>
        <w:t xml:space="preserve">participants, although this is subject to high </w:t>
      </w:r>
      <w:r w:rsidRPr="00BD2935">
        <w:rPr>
          <w:lang w:val="en-US"/>
        </w:rPr>
        <w:t>variability (Cole et al 200</w:t>
      </w:r>
      <w:r w:rsidR="005E5F14" w:rsidRPr="00BD2935">
        <w:rPr>
          <w:lang w:val="en-US"/>
        </w:rPr>
        <w:t>7</w:t>
      </w:r>
      <w:r w:rsidRPr="00BD2935">
        <w:rPr>
          <w:lang w:val="en-US"/>
        </w:rPr>
        <w:t>, Federici</w:t>
      </w:r>
      <w:r w:rsidRPr="00514A99">
        <w:rPr>
          <w:lang w:val="en-US"/>
        </w:rPr>
        <w:t xml:space="preserve"> et al 2006, Koo et al 201</w:t>
      </w:r>
      <w:r w:rsidR="0050631E">
        <w:rPr>
          <w:lang w:val="en-US"/>
        </w:rPr>
        <w:t>0, Power et al 2009</w:t>
      </w:r>
      <w:r w:rsidRPr="00514A99">
        <w:rPr>
          <w:lang w:val="en-US"/>
        </w:rPr>
        <w:t xml:space="preserve">).  </w:t>
      </w:r>
      <w:r w:rsidR="0050631E" w:rsidRPr="00AB1EBD">
        <w:t xml:space="preserve">Research has found that receiving screening advice from a health care provider was most strongly associated with participation in bowel screening (Courtney et al 2013, Guessous et al 2010, Rees et al 2007, Subramanian et al 2004 as cited in Courtney et al 2013).  Further, Duncan et al’s (2012) research suggests that continued GP endorsement and family support are important in screening maintenance.  </w:t>
      </w:r>
    </w:p>
    <w:p w:rsidR="00C37C0C" w:rsidRDefault="00C37C0C" w:rsidP="00C37C0C">
      <w:pPr>
        <w:pStyle w:val="Heading3"/>
      </w:pPr>
      <w:bookmarkStart w:id="209" w:name="_Toc449167492"/>
      <w:r>
        <w:t>Triggers to action</w:t>
      </w:r>
    </w:p>
    <w:p w:rsidR="00CF0E83" w:rsidRDefault="00C37C0C" w:rsidP="00C37C0C">
      <w:pPr>
        <w:rPr>
          <w:szCs w:val="24"/>
        </w:rPr>
      </w:pPr>
      <w:r>
        <w:rPr>
          <w:szCs w:val="24"/>
        </w:rPr>
        <w:t>The importance of multi-factored and multi-disciplinary approaches to increasing participation</w:t>
      </w:r>
      <w:r>
        <w:t xml:space="preserve"> for </w:t>
      </w:r>
      <w:r w:rsidRPr="008B1F1E">
        <w:rPr>
          <w:szCs w:val="24"/>
        </w:rPr>
        <w:t xml:space="preserve">Māori and Pacific </w:t>
      </w:r>
      <w:r w:rsidR="00F54ACF">
        <w:rPr>
          <w:szCs w:val="24"/>
        </w:rPr>
        <w:t xml:space="preserve">people </w:t>
      </w:r>
      <w:r>
        <w:rPr>
          <w:szCs w:val="24"/>
        </w:rPr>
        <w:t xml:space="preserve">was highlighted in the </w:t>
      </w:r>
      <w:r w:rsidRPr="008B1F1E">
        <w:rPr>
          <w:szCs w:val="24"/>
        </w:rPr>
        <w:t xml:space="preserve">survey </w:t>
      </w:r>
      <w:r>
        <w:rPr>
          <w:szCs w:val="24"/>
        </w:rPr>
        <w:t>of</w:t>
      </w:r>
      <w:r w:rsidRPr="008B1F1E">
        <w:rPr>
          <w:szCs w:val="24"/>
        </w:rPr>
        <w:t xml:space="preserve"> Māori and Pacific non-responders at four weeks who are contacted via active follow</w:t>
      </w:r>
      <w:r>
        <w:rPr>
          <w:szCs w:val="24"/>
        </w:rPr>
        <w:t>-</w:t>
      </w:r>
      <w:r w:rsidRPr="008B1F1E">
        <w:rPr>
          <w:szCs w:val="24"/>
        </w:rPr>
        <w:t xml:space="preserve">up and go on to complete their kit (referred to as </w:t>
      </w:r>
      <w:r>
        <w:rPr>
          <w:szCs w:val="24"/>
        </w:rPr>
        <w:t>converted</w:t>
      </w:r>
      <w:r w:rsidRPr="008B1F1E">
        <w:rPr>
          <w:szCs w:val="24"/>
        </w:rPr>
        <w:t xml:space="preserve"> non-responders)</w:t>
      </w:r>
      <w:r w:rsidR="002F25FF">
        <w:rPr>
          <w:szCs w:val="24"/>
        </w:rPr>
        <w:t xml:space="preserve"> (Litmus 2016)</w:t>
      </w:r>
      <w:r>
        <w:rPr>
          <w:szCs w:val="24"/>
        </w:rPr>
        <w:t xml:space="preserve">. </w:t>
      </w:r>
      <w:r w:rsidR="00CF0E83">
        <w:rPr>
          <w:szCs w:val="24"/>
        </w:rPr>
        <w:t xml:space="preserve"> The BSP reminder phone call, family/wh</w:t>
      </w:r>
      <w:r w:rsidR="00CF0E83">
        <w:rPr>
          <w:rFonts w:cs="Arial"/>
          <w:szCs w:val="24"/>
        </w:rPr>
        <w:t>ā</w:t>
      </w:r>
      <w:r w:rsidR="00CF0E83">
        <w:rPr>
          <w:szCs w:val="24"/>
        </w:rPr>
        <w:t>nau reminders and text reminders from general practice were rate</w:t>
      </w:r>
      <w:r w:rsidR="00644018">
        <w:rPr>
          <w:szCs w:val="24"/>
        </w:rPr>
        <w:t>d</w:t>
      </w:r>
      <w:r w:rsidR="00CF0E83">
        <w:rPr>
          <w:szCs w:val="24"/>
        </w:rPr>
        <w:t xml:space="preserve"> as important in informing M</w:t>
      </w:r>
      <w:r w:rsidR="00CF0E83" w:rsidRPr="002F25FF">
        <w:t xml:space="preserve">āori </w:t>
      </w:r>
      <w:r w:rsidR="00CF0E83">
        <w:t xml:space="preserve">and Pacific </w:t>
      </w:r>
      <w:r w:rsidR="00CF0E83" w:rsidRPr="002F25FF">
        <w:t>converted non-responders</w:t>
      </w:r>
      <w:r w:rsidR="00CF0E83">
        <w:t>’</w:t>
      </w:r>
      <w:r w:rsidR="00CF0E83" w:rsidRPr="002F25FF">
        <w:t xml:space="preserve"> </w:t>
      </w:r>
      <w:r w:rsidR="00CF0E83">
        <w:rPr>
          <w:szCs w:val="24"/>
        </w:rPr>
        <w:t>decision to complete their iFOBT kit.  Pacific non-responders also rated highly their discussion</w:t>
      </w:r>
      <w:r w:rsidR="00FB25E9">
        <w:rPr>
          <w:szCs w:val="24"/>
        </w:rPr>
        <w:t>s</w:t>
      </w:r>
      <w:r w:rsidR="00CF0E83">
        <w:rPr>
          <w:szCs w:val="24"/>
        </w:rPr>
        <w:t xml:space="preserve"> with general practice.  </w:t>
      </w:r>
    </w:p>
    <w:p w:rsidR="004E2A25" w:rsidRDefault="004E2A25" w:rsidP="004E2A25">
      <w:pPr>
        <w:pStyle w:val="Heading2"/>
      </w:pPr>
      <w:bookmarkStart w:id="210" w:name="_Toc457842144"/>
      <w:r w:rsidRPr="00317895">
        <w:t>5.7</w:t>
      </w:r>
      <w:r w:rsidRPr="00317895">
        <w:tab/>
      </w:r>
      <w:r>
        <w:t>Equity along the screening pathway</w:t>
      </w:r>
      <w:bookmarkEnd w:id="210"/>
    </w:p>
    <w:p w:rsidR="00346925" w:rsidRDefault="00346925" w:rsidP="00346925">
      <w:r w:rsidRPr="00346925">
        <w:t>Once on the screening pathway there is generally no evidence of inequities in service received, particularly in relation to accessing colonoscopy services.</w:t>
      </w:r>
      <w:r>
        <w:t xml:space="preserve">  </w:t>
      </w:r>
      <w:r w:rsidRPr="00346925">
        <w:t xml:space="preserve">The exceptions are in Round 1 </w:t>
      </w:r>
      <w:r w:rsidR="001C12A1">
        <w:t xml:space="preserve">where </w:t>
      </w:r>
      <w:r w:rsidRPr="00346925">
        <w:t>Asian males were slightly less likely to have a c</w:t>
      </w:r>
      <w:r>
        <w:t>olonoscopy than European/</w:t>
      </w:r>
      <w:r w:rsidR="001C12A1">
        <w:t>O</w:t>
      </w:r>
      <w:r>
        <w:t xml:space="preserve">ther. </w:t>
      </w:r>
      <w:r w:rsidRPr="00346925">
        <w:t xml:space="preserve"> In Round 2, in the incidence screening round (i</w:t>
      </w:r>
      <w:r w:rsidR="00FF52F8">
        <w:t>.</w:t>
      </w:r>
      <w:r w:rsidRPr="00346925">
        <w:t>e</w:t>
      </w:r>
      <w:r w:rsidR="00FF52F8">
        <w:t>.</w:t>
      </w:r>
      <w:r w:rsidRPr="00346925">
        <w:t xml:space="preserve"> completed R</w:t>
      </w:r>
      <w:r w:rsidR="00FF52F8">
        <w:t>oun</w:t>
      </w:r>
      <w:r w:rsidRPr="00346925">
        <w:t>d 1 negative iFOBT) Pacific participants were almost three times less likely to have colonoscopy than European/</w:t>
      </w:r>
      <w:r w:rsidR="00FF52F8">
        <w:t>O</w:t>
      </w:r>
      <w:r w:rsidRPr="00346925">
        <w:t>ther.</w:t>
      </w:r>
      <w:r>
        <w:t xml:space="preserve"> </w:t>
      </w:r>
    </w:p>
    <w:p w:rsidR="00346925" w:rsidRDefault="00346925" w:rsidP="00346925">
      <w:r>
        <w:t>Interview feedback from Māori and Pacific participants with a positive iFOBT indicates that once they step onto the BSP pathway their progression is easy, timely and reassuring, and their service experience is overwhelmingly positive (Litmus 2013</w:t>
      </w:r>
      <w:r w:rsidR="00FF52F8">
        <w:t>,</w:t>
      </w:r>
      <w:r>
        <w:t xml:space="preserve"> 2016). </w:t>
      </w:r>
    </w:p>
    <w:p w:rsidR="00346925" w:rsidRDefault="00346925" w:rsidP="00346925">
      <w:r>
        <w:t>A number of strategies are used to facilitate participants’ journey on the screening pathway following a positive iFOBT.  The role of the general practice in informing participants about their positive iFOBT can help overcome reservations about having a colonoscopy, particularly for those anxious or with co-exi</w:t>
      </w:r>
      <w:r w:rsidR="00FF52F8">
        <w:t>s</w:t>
      </w:r>
      <w:r>
        <w:t xml:space="preserve">ting conditions.  During the pre-assessment phone call the </w:t>
      </w:r>
      <w:r w:rsidRPr="0042549B">
        <w:t>WHEU</w:t>
      </w:r>
      <w:r>
        <w:t xml:space="preserve"> CNS discusses whether there are barriers that may impede participants from attending a colonoscopy such as language and transport, and action is taken to address them.  Participants are able to select an appointment time that best suits them, recognising that eligible participants may be working or have other life situations that need to be accommodated. </w:t>
      </w:r>
    </w:p>
    <w:p w:rsidR="00C37C0C" w:rsidRPr="00D04CAC" w:rsidRDefault="00C37C0C" w:rsidP="004E2A25">
      <w:pPr>
        <w:pStyle w:val="Heading2"/>
      </w:pPr>
      <w:bookmarkStart w:id="211" w:name="_Toc457842145"/>
      <w:r w:rsidRPr="00D04CAC">
        <w:t>5.</w:t>
      </w:r>
      <w:r w:rsidR="004E2A25" w:rsidRPr="00D04CAC">
        <w:t>8</w:t>
      </w:r>
      <w:r w:rsidRPr="00D04CAC">
        <w:tab/>
        <w:t xml:space="preserve">Multi-factor interventions in </w:t>
      </w:r>
      <w:r w:rsidR="00FF52F8">
        <w:t>a national bowel screening roll-</w:t>
      </w:r>
      <w:r w:rsidRPr="00D04CAC">
        <w:t>out</w:t>
      </w:r>
      <w:bookmarkEnd w:id="211"/>
      <w:r w:rsidRPr="00D04CAC">
        <w:t xml:space="preserve"> </w:t>
      </w:r>
    </w:p>
    <w:bookmarkEnd w:id="209"/>
    <w:p w:rsidR="00C62A93" w:rsidRDefault="00367B24" w:rsidP="00C62A93">
      <w:r w:rsidRPr="008B1F1E">
        <w:t>New Zealand and international research highlights that multiple factors influence bowel screening participation, including cancer characteristics, screening test characteristics, individual factors, and the health system context (Weller et al 2009, Ministry of Health 2010, Senore et al 2010, Reeder 2011</w:t>
      </w:r>
      <w:r>
        <w:t>, Varlow et al 2014</w:t>
      </w:r>
      <w:r w:rsidRPr="008B1F1E">
        <w:t xml:space="preserve">).  </w:t>
      </w:r>
      <w:r w:rsidR="00113547">
        <w:t>Reviews undertaken by Senore et al (2010), Power et al (2009) and Christou et al (2010) identified a number of determinants and barriers to p</w:t>
      </w:r>
      <w:r w:rsidR="00FF52F8">
        <w:t>articipation in bowel screening</w:t>
      </w:r>
      <w:r w:rsidR="00113547">
        <w:t xml:space="preserve"> </w:t>
      </w:r>
      <w:r w:rsidR="00FF52F8">
        <w:t>(</w:t>
      </w:r>
      <w:r w:rsidR="00113547">
        <w:t xml:space="preserve">summarised </w:t>
      </w:r>
      <w:r w:rsidR="00113547" w:rsidRPr="0042549B">
        <w:t xml:space="preserve">in Table </w:t>
      </w:r>
      <w:r w:rsidR="0042549B" w:rsidRPr="0042549B">
        <w:t>12</w:t>
      </w:r>
      <w:r w:rsidR="00FF52F8">
        <w:t>)</w:t>
      </w:r>
      <w:r w:rsidR="00113547">
        <w:t xml:space="preserve"> and are reflective of the feedback from BSP participants interviewed.</w:t>
      </w:r>
      <w:r w:rsidR="00C62A93">
        <w:t xml:space="preserve">  </w:t>
      </w:r>
      <w:r w:rsidR="00C62A93" w:rsidRPr="008B1F1E">
        <w:t xml:space="preserve">However, the relative influence of these factors in achieving or improving bowel screening participation is not known (Senore et al 2010).  </w:t>
      </w:r>
    </w:p>
    <w:p w:rsidR="00113547" w:rsidRDefault="00113547" w:rsidP="00113547"/>
    <w:p w:rsidR="00113547" w:rsidRDefault="00113547" w:rsidP="00113547">
      <w:pPr>
        <w:spacing w:before="0"/>
        <w:ind w:left="0"/>
      </w:pPr>
      <w:r>
        <w:br w:type="page"/>
      </w:r>
    </w:p>
    <w:p w:rsidR="00113547" w:rsidRDefault="00113547" w:rsidP="005B103A">
      <w:pPr>
        <w:pStyle w:val="Tableheading"/>
      </w:pPr>
      <w:bookmarkStart w:id="212" w:name="_Toc412540160"/>
      <w:r w:rsidRPr="0042549B">
        <w:t xml:space="preserve">Table </w:t>
      </w:r>
      <w:r w:rsidR="0042549B">
        <w:t>12</w:t>
      </w:r>
      <w:r w:rsidRPr="0042549B">
        <w:t>: Summary of enablers and barriers to participation (from the literature)</w:t>
      </w:r>
      <w:bookmarkEnd w:id="212"/>
    </w:p>
    <w:tbl>
      <w:tblPr>
        <w:tblStyle w:val="MediumShading1-Accent3"/>
        <w:tblW w:w="0" w:type="auto"/>
        <w:tblInd w:w="817" w:type="dxa"/>
        <w:tblLook w:val="04A0" w:firstRow="1" w:lastRow="0" w:firstColumn="1" w:lastColumn="0" w:noHBand="0" w:noVBand="1"/>
      </w:tblPr>
      <w:tblGrid>
        <w:gridCol w:w="728"/>
        <w:gridCol w:w="8"/>
        <w:gridCol w:w="8053"/>
      </w:tblGrid>
      <w:tr w:rsidR="00113547" w:rsidRPr="00326B5B" w:rsidTr="007D17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 w:type="dxa"/>
            <w:gridSpan w:val="2"/>
            <w:tcBorders>
              <w:bottom w:val="double" w:sz="4" w:space="0" w:color="auto"/>
            </w:tcBorders>
            <w:shd w:val="clear" w:color="auto" w:fill="9BBB59"/>
          </w:tcPr>
          <w:p w:rsidR="00113547" w:rsidRPr="002900B9" w:rsidRDefault="00113547" w:rsidP="00FC3C91">
            <w:pPr>
              <w:ind w:left="0"/>
              <w:rPr>
                <w:sz w:val="20"/>
                <w:szCs w:val="20"/>
              </w:rPr>
            </w:pPr>
            <w:r w:rsidRPr="002900B9">
              <w:rPr>
                <w:sz w:val="20"/>
                <w:szCs w:val="20"/>
              </w:rPr>
              <w:t xml:space="preserve">Level </w:t>
            </w:r>
          </w:p>
        </w:tc>
        <w:tc>
          <w:tcPr>
            <w:tcW w:w="8053" w:type="dxa"/>
            <w:tcBorders>
              <w:bottom w:val="double" w:sz="4" w:space="0" w:color="auto"/>
            </w:tcBorders>
            <w:shd w:val="clear" w:color="auto" w:fill="9BBB59"/>
          </w:tcPr>
          <w:p w:rsidR="00113547" w:rsidRPr="002900B9" w:rsidRDefault="00113547" w:rsidP="00FC3C91">
            <w:pPr>
              <w:ind w:left="0"/>
              <w:cnfStyle w:val="100000000000" w:firstRow="1" w:lastRow="0" w:firstColumn="0" w:lastColumn="0" w:oddVBand="0" w:evenVBand="0" w:oddHBand="0" w:evenHBand="0" w:firstRowFirstColumn="0" w:firstRowLastColumn="0" w:lastRowFirstColumn="0" w:lastRowLastColumn="0"/>
              <w:rPr>
                <w:sz w:val="20"/>
                <w:szCs w:val="20"/>
              </w:rPr>
            </w:pPr>
            <w:r w:rsidRPr="002900B9">
              <w:rPr>
                <w:sz w:val="20"/>
                <w:szCs w:val="20"/>
              </w:rPr>
              <w:t xml:space="preserve">Factors that increase participation </w:t>
            </w:r>
          </w:p>
        </w:tc>
      </w:tr>
      <w:tr w:rsidR="00113547" w:rsidRPr="00D92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 w:type="dxa"/>
            <w:gridSpan w:val="2"/>
            <w:vMerge w:val="restart"/>
            <w:tcBorders>
              <w:top w:val="double" w:sz="4" w:space="0" w:color="auto"/>
            </w:tcBorders>
            <w:textDirection w:val="btLr"/>
          </w:tcPr>
          <w:p w:rsidR="00113547" w:rsidRPr="002900B9" w:rsidRDefault="00113547" w:rsidP="00FC3C91">
            <w:pPr>
              <w:spacing w:before="0"/>
              <w:ind w:left="113" w:right="113"/>
              <w:jc w:val="center"/>
              <w:rPr>
                <w:sz w:val="20"/>
                <w:szCs w:val="20"/>
              </w:rPr>
            </w:pPr>
            <w:r w:rsidRPr="002900B9">
              <w:rPr>
                <w:sz w:val="20"/>
                <w:szCs w:val="20"/>
              </w:rPr>
              <w:t>Individual</w:t>
            </w:r>
          </w:p>
        </w:tc>
        <w:tc>
          <w:tcPr>
            <w:tcW w:w="8053" w:type="dxa"/>
            <w:tcBorders>
              <w:top w:val="double" w:sz="4" w:space="0" w:color="auto"/>
              <w:right w:val="single" w:sz="8" w:space="0" w:color="B3CC82" w:themeColor="accent3" w:themeTint="BF"/>
            </w:tcBorders>
          </w:tcPr>
          <w:p w:rsidR="00113547" w:rsidRPr="002900B9" w:rsidRDefault="00113547" w:rsidP="00FC3C91">
            <w:pPr>
              <w:spacing w:before="40" w:after="40"/>
              <w:ind w:left="0"/>
              <w:cnfStyle w:val="000000100000" w:firstRow="0" w:lastRow="0" w:firstColumn="0" w:lastColumn="0" w:oddVBand="0" w:evenVBand="0" w:oddHBand="1" w:evenHBand="0" w:firstRowFirstColumn="0" w:firstRowLastColumn="0" w:lastRowFirstColumn="0" w:lastRowLastColumn="0"/>
              <w:rPr>
                <w:sz w:val="20"/>
                <w:szCs w:val="20"/>
              </w:rPr>
            </w:pPr>
            <w:r w:rsidRPr="002900B9">
              <w:rPr>
                <w:sz w:val="20"/>
                <w:szCs w:val="20"/>
              </w:rPr>
              <w:t xml:space="preserve">Perceived benefits of screening </w:t>
            </w:r>
          </w:p>
        </w:tc>
      </w:tr>
      <w:tr w:rsidR="00113547" w:rsidRPr="00D92534">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736" w:type="dxa"/>
            <w:gridSpan w:val="2"/>
            <w:vMerge/>
          </w:tcPr>
          <w:p w:rsidR="00113547" w:rsidRPr="002900B9" w:rsidRDefault="00113547" w:rsidP="00FC3C91">
            <w:pPr>
              <w:spacing w:before="0"/>
              <w:ind w:left="0"/>
              <w:jc w:val="center"/>
              <w:rPr>
                <w:sz w:val="20"/>
                <w:szCs w:val="20"/>
              </w:rPr>
            </w:pPr>
          </w:p>
        </w:tc>
        <w:tc>
          <w:tcPr>
            <w:tcW w:w="8053" w:type="dxa"/>
            <w:tcBorders>
              <w:right w:val="single" w:sz="8" w:space="0" w:color="B3CC82" w:themeColor="accent3" w:themeTint="BF"/>
            </w:tcBorders>
          </w:tcPr>
          <w:p w:rsidR="00113547" w:rsidRPr="002900B9" w:rsidRDefault="00113547" w:rsidP="00FC3C91">
            <w:pPr>
              <w:spacing w:before="40" w:after="40"/>
              <w:ind w:left="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Perceived risk</w:t>
            </w:r>
            <w:r w:rsidRPr="002900B9">
              <w:rPr>
                <w:sz w:val="20"/>
                <w:szCs w:val="20"/>
              </w:rPr>
              <w:t xml:space="preserve"> of bowel cancer</w:t>
            </w:r>
            <w:r>
              <w:rPr>
                <w:sz w:val="20"/>
                <w:szCs w:val="20"/>
              </w:rPr>
              <w:t xml:space="preserve"> </w:t>
            </w:r>
          </w:p>
        </w:tc>
      </w:tr>
      <w:tr w:rsidR="00113547" w:rsidRPr="00D92534">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736" w:type="dxa"/>
            <w:gridSpan w:val="2"/>
            <w:vMerge/>
          </w:tcPr>
          <w:p w:rsidR="00113547" w:rsidRPr="002900B9" w:rsidRDefault="00113547" w:rsidP="00FC3C91">
            <w:pPr>
              <w:spacing w:before="0"/>
              <w:ind w:left="0"/>
              <w:jc w:val="center"/>
              <w:rPr>
                <w:sz w:val="20"/>
                <w:szCs w:val="20"/>
              </w:rPr>
            </w:pPr>
          </w:p>
        </w:tc>
        <w:tc>
          <w:tcPr>
            <w:tcW w:w="8053" w:type="dxa"/>
            <w:tcBorders>
              <w:right w:val="single" w:sz="8" w:space="0" w:color="B3CC82" w:themeColor="accent3" w:themeTint="BF"/>
            </w:tcBorders>
          </w:tcPr>
          <w:p w:rsidR="00113547" w:rsidRDefault="00113547" w:rsidP="00FC3C91">
            <w:pPr>
              <w:spacing w:before="40" w:after="40"/>
              <w:ind w:left="0"/>
              <w:cnfStyle w:val="000000100000" w:firstRow="0" w:lastRow="0" w:firstColumn="0" w:lastColumn="0" w:oddVBand="0" w:evenVBand="0" w:oddHBand="1" w:evenHBand="0" w:firstRowFirstColumn="0" w:firstRowLastColumn="0" w:lastRowFirstColumn="0" w:lastRowLastColumn="0"/>
              <w:rPr>
                <w:sz w:val="20"/>
                <w:szCs w:val="20"/>
              </w:rPr>
            </w:pPr>
            <w:r w:rsidRPr="002900B9">
              <w:rPr>
                <w:sz w:val="20"/>
                <w:szCs w:val="20"/>
              </w:rPr>
              <w:t xml:space="preserve">Previous participation in screening </w:t>
            </w:r>
          </w:p>
        </w:tc>
      </w:tr>
      <w:tr w:rsidR="00113547" w:rsidRPr="00D925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 w:type="dxa"/>
            <w:gridSpan w:val="2"/>
            <w:vMerge/>
          </w:tcPr>
          <w:p w:rsidR="00113547" w:rsidRPr="002900B9" w:rsidRDefault="00113547" w:rsidP="00FC3C91">
            <w:pPr>
              <w:spacing w:before="0"/>
              <w:ind w:left="0"/>
              <w:jc w:val="center"/>
              <w:rPr>
                <w:sz w:val="20"/>
                <w:szCs w:val="20"/>
              </w:rPr>
            </w:pPr>
          </w:p>
        </w:tc>
        <w:tc>
          <w:tcPr>
            <w:tcW w:w="8053" w:type="dxa"/>
            <w:tcBorders>
              <w:right w:val="single" w:sz="8" w:space="0" w:color="B3CC82" w:themeColor="accent3" w:themeTint="BF"/>
            </w:tcBorders>
          </w:tcPr>
          <w:p w:rsidR="00113547" w:rsidRPr="002900B9" w:rsidRDefault="00113547" w:rsidP="00FC3C91">
            <w:pPr>
              <w:spacing w:before="40" w:after="40"/>
              <w:ind w:left="0"/>
              <w:cnfStyle w:val="000000010000" w:firstRow="0" w:lastRow="0" w:firstColumn="0" w:lastColumn="0" w:oddVBand="0" w:evenVBand="0" w:oddHBand="0" w:evenHBand="1" w:firstRowFirstColumn="0" w:firstRowLastColumn="0" w:lastRowFirstColumn="0" w:lastRowLastColumn="0"/>
              <w:rPr>
                <w:sz w:val="20"/>
                <w:szCs w:val="20"/>
              </w:rPr>
            </w:pPr>
            <w:r w:rsidRPr="002900B9">
              <w:rPr>
                <w:sz w:val="20"/>
                <w:szCs w:val="20"/>
              </w:rPr>
              <w:t xml:space="preserve">Health motivation in practising health promoting behaviours or by avoiding unhealthy lifestyles </w:t>
            </w:r>
          </w:p>
        </w:tc>
      </w:tr>
      <w:tr w:rsidR="00113547" w:rsidRPr="00D92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 w:type="dxa"/>
            <w:gridSpan w:val="2"/>
            <w:vMerge/>
            <w:tcBorders>
              <w:bottom w:val="double" w:sz="4" w:space="0" w:color="auto"/>
            </w:tcBorders>
          </w:tcPr>
          <w:p w:rsidR="00113547" w:rsidRPr="002900B9" w:rsidRDefault="00113547" w:rsidP="00FC3C91">
            <w:pPr>
              <w:spacing w:before="0"/>
              <w:ind w:left="0"/>
              <w:jc w:val="center"/>
              <w:rPr>
                <w:sz w:val="20"/>
                <w:szCs w:val="20"/>
              </w:rPr>
            </w:pPr>
          </w:p>
        </w:tc>
        <w:tc>
          <w:tcPr>
            <w:tcW w:w="8053" w:type="dxa"/>
            <w:tcBorders>
              <w:bottom w:val="double" w:sz="4" w:space="0" w:color="auto"/>
              <w:right w:val="single" w:sz="8" w:space="0" w:color="B3CC82" w:themeColor="accent3" w:themeTint="BF"/>
            </w:tcBorders>
          </w:tcPr>
          <w:p w:rsidR="00113547" w:rsidRPr="002900B9" w:rsidRDefault="00113547" w:rsidP="00FC3C91">
            <w:pPr>
              <w:spacing w:before="40" w:after="40"/>
              <w:ind w:left="0"/>
              <w:cnfStyle w:val="000000100000" w:firstRow="0" w:lastRow="0" w:firstColumn="0" w:lastColumn="0" w:oddVBand="0" w:evenVBand="0" w:oddHBand="1" w:evenHBand="0" w:firstRowFirstColumn="0" w:firstRowLastColumn="0" w:lastRowFirstColumn="0" w:lastRowLastColumn="0"/>
              <w:rPr>
                <w:sz w:val="20"/>
                <w:szCs w:val="20"/>
              </w:rPr>
            </w:pPr>
            <w:r w:rsidRPr="002900B9">
              <w:rPr>
                <w:sz w:val="20"/>
                <w:szCs w:val="20"/>
              </w:rPr>
              <w:t xml:space="preserve">Having a partner who encourages and supports healthy behaviours </w:t>
            </w:r>
          </w:p>
        </w:tc>
      </w:tr>
      <w:tr w:rsidR="00113547" w:rsidRPr="00326B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 w:type="dxa"/>
            <w:gridSpan w:val="2"/>
            <w:vMerge w:val="restart"/>
            <w:tcBorders>
              <w:top w:val="double" w:sz="4" w:space="0" w:color="auto"/>
            </w:tcBorders>
            <w:textDirection w:val="btLr"/>
          </w:tcPr>
          <w:p w:rsidR="00113547" w:rsidRPr="002900B9" w:rsidRDefault="00113547" w:rsidP="00FC3C91">
            <w:pPr>
              <w:spacing w:before="0"/>
              <w:ind w:left="113" w:right="113"/>
              <w:jc w:val="center"/>
              <w:rPr>
                <w:sz w:val="20"/>
                <w:szCs w:val="20"/>
              </w:rPr>
            </w:pPr>
            <w:r w:rsidRPr="002900B9">
              <w:rPr>
                <w:sz w:val="20"/>
                <w:szCs w:val="20"/>
              </w:rPr>
              <w:t>System</w:t>
            </w:r>
          </w:p>
        </w:tc>
        <w:tc>
          <w:tcPr>
            <w:tcW w:w="8053" w:type="dxa"/>
            <w:tcBorders>
              <w:top w:val="double" w:sz="4" w:space="0" w:color="auto"/>
              <w:right w:val="single" w:sz="8" w:space="0" w:color="B3CC82" w:themeColor="accent3" w:themeTint="BF"/>
            </w:tcBorders>
          </w:tcPr>
          <w:p w:rsidR="00113547" w:rsidRPr="002900B9" w:rsidRDefault="00113547" w:rsidP="00FC3C91">
            <w:pPr>
              <w:spacing w:before="40" w:after="40"/>
              <w:ind w:left="0"/>
              <w:cnfStyle w:val="000000010000" w:firstRow="0" w:lastRow="0" w:firstColumn="0" w:lastColumn="0" w:oddVBand="0" w:evenVBand="0" w:oddHBand="0" w:evenHBand="1" w:firstRowFirstColumn="0" w:firstRowLastColumn="0" w:lastRowFirstColumn="0" w:lastRowLastColumn="0"/>
              <w:rPr>
                <w:sz w:val="20"/>
                <w:szCs w:val="20"/>
              </w:rPr>
            </w:pPr>
            <w:r w:rsidRPr="002900B9">
              <w:rPr>
                <w:sz w:val="20"/>
                <w:szCs w:val="20"/>
              </w:rPr>
              <w:t>Supp</w:t>
            </w:r>
            <w:r w:rsidR="00FF52F8">
              <w:rPr>
                <w:sz w:val="20"/>
                <w:szCs w:val="20"/>
              </w:rPr>
              <w:t>ort from health care providers/</w:t>
            </w:r>
            <w:r w:rsidRPr="002900B9">
              <w:rPr>
                <w:sz w:val="20"/>
                <w:szCs w:val="20"/>
              </w:rPr>
              <w:t>GP</w:t>
            </w:r>
            <w:r>
              <w:rPr>
                <w:sz w:val="20"/>
                <w:szCs w:val="20"/>
              </w:rPr>
              <w:t>,</w:t>
            </w:r>
            <w:r w:rsidRPr="002900B9">
              <w:rPr>
                <w:sz w:val="20"/>
                <w:szCs w:val="20"/>
              </w:rPr>
              <w:t xml:space="preserve"> particularly for those with low levels of literacy and less like</w:t>
            </w:r>
            <w:r>
              <w:rPr>
                <w:sz w:val="20"/>
                <w:szCs w:val="20"/>
              </w:rPr>
              <w:t>ly to read information provided</w:t>
            </w:r>
          </w:p>
        </w:tc>
      </w:tr>
      <w:tr w:rsidR="00113547" w:rsidRPr="00326B5B">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736" w:type="dxa"/>
            <w:gridSpan w:val="2"/>
            <w:vMerge/>
          </w:tcPr>
          <w:p w:rsidR="00113547" w:rsidRPr="002900B9" w:rsidRDefault="00113547" w:rsidP="00FC3C91">
            <w:pPr>
              <w:spacing w:before="0"/>
              <w:ind w:left="0"/>
              <w:rPr>
                <w:sz w:val="20"/>
                <w:szCs w:val="20"/>
              </w:rPr>
            </w:pPr>
          </w:p>
        </w:tc>
        <w:tc>
          <w:tcPr>
            <w:tcW w:w="8053" w:type="dxa"/>
            <w:tcBorders>
              <w:right w:val="single" w:sz="8" w:space="0" w:color="B3CC82" w:themeColor="accent3" w:themeTint="BF"/>
            </w:tcBorders>
          </w:tcPr>
          <w:p w:rsidR="00113547" w:rsidRPr="002900B9" w:rsidRDefault="00113547" w:rsidP="00FC3C91">
            <w:pPr>
              <w:spacing w:before="40" w:after="40"/>
              <w:ind w:left="0"/>
              <w:cnfStyle w:val="000000100000" w:firstRow="0" w:lastRow="0" w:firstColumn="0" w:lastColumn="0" w:oddVBand="0" w:evenVBand="0" w:oddHBand="1" w:evenHBand="0" w:firstRowFirstColumn="0" w:firstRowLastColumn="0" w:lastRowFirstColumn="0" w:lastRowLastColumn="0"/>
              <w:rPr>
                <w:sz w:val="20"/>
                <w:szCs w:val="20"/>
              </w:rPr>
            </w:pPr>
            <w:r w:rsidRPr="002900B9">
              <w:rPr>
                <w:sz w:val="20"/>
                <w:szCs w:val="20"/>
              </w:rPr>
              <w:t>Letter sent from GP</w:t>
            </w:r>
          </w:p>
        </w:tc>
      </w:tr>
      <w:tr w:rsidR="00113547" w:rsidRPr="00326B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 w:type="dxa"/>
            <w:gridSpan w:val="2"/>
            <w:vMerge/>
          </w:tcPr>
          <w:p w:rsidR="00113547" w:rsidRPr="002900B9" w:rsidRDefault="00113547" w:rsidP="00FC3C91">
            <w:pPr>
              <w:spacing w:before="0"/>
              <w:ind w:left="0"/>
              <w:rPr>
                <w:sz w:val="20"/>
                <w:szCs w:val="20"/>
              </w:rPr>
            </w:pPr>
          </w:p>
        </w:tc>
        <w:tc>
          <w:tcPr>
            <w:tcW w:w="8053" w:type="dxa"/>
            <w:tcBorders>
              <w:right w:val="single" w:sz="8" w:space="0" w:color="B3CC82" w:themeColor="accent3" w:themeTint="BF"/>
            </w:tcBorders>
          </w:tcPr>
          <w:p w:rsidR="00113547" w:rsidRPr="002900B9" w:rsidRDefault="00113547" w:rsidP="00FC3C91">
            <w:pPr>
              <w:spacing w:before="40" w:after="40"/>
              <w:ind w:left="0"/>
              <w:cnfStyle w:val="000000010000" w:firstRow="0" w:lastRow="0" w:firstColumn="0" w:lastColumn="0" w:oddVBand="0" w:evenVBand="0" w:oddHBand="0" w:evenHBand="1" w:firstRowFirstColumn="0" w:firstRowLastColumn="0" w:lastRowFirstColumn="0" w:lastRowLastColumn="0"/>
              <w:rPr>
                <w:sz w:val="20"/>
                <w:szCs w:val="20"/>
              </w:rPr>
            </w:pPr>
            <w:r w:rsidRPr="002900B9">
              <w:rPr>
                <w:sz w:val="20"/>
                <w:szCs w:val="20"/>
              </w:rPr>
              <w:t xml:space="preserve">Advance notification </w:t>
            </w:r>
            <w:r>
              <w:rPr>
                <w:sz w:val="20"/>
                <w:szCs w:val="20"/>
              </w:rPr>
              <w:t xml:space="preserve">of screening </w:t>
            </w:r>
            <w:r w:rsidRPr="002900B9">
              <w:rPr>
                <w:sz w:val="20"/>
                <w:szCs w:val="20"/>
              </w:rPr>
              <w:t>(may increase participation)</w:t>
            </w:r>
          </w:p>
        </w:tc>
      </w:tr>
      <w:tr w:rsidR="00113547" w:rsidRPr="00326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 w:type="dxa"/>
            <w:gridSpan w:val="2"/>
            <w:vMerge/>
          </w:tcPr>
          <w:p w:rsidR="00113547" w:rsidRPr="002900B9" w:rsidRDefault="00113547" w:rsidP="00FC3C91">
            <w:pPr>
              <w:spacing w:before="0"/>
              <w:ind w:left="0"/>
              <w:rPr>
                <w:sz w:val="20"/>
                <w:szCs w:val="20"/>
              </w:rPr>
            </w:pPr>
          </w:p>
        </w:tc>
        <w:tc>
          <w:tcPr>
            <w:tcW w:w="8053" w:type="dxa"/>
            <w:tcBorders>
              <w:right w:val="single" w:sz="8" w:space="0" w:color="B3CC82" w:themeColor="accent3" w:themeTint="BF"/>
            </w:tcBorders>
          </w:tcPr>
          <w:p w:rsidR="00113547" w:rsidRPr="002900B9" w:rsidRDefault="00113547" w:rsidP="00FC3C91">
            <w:pPr>
              <w:spacing w:before="40" w:after="40"/>
              <w:ind w:left="0"/>
              <w:cnfStyle w:val="000000100000" w:firstRow="0" w:lastRow="0" w:firstColumn="0" w:lastColumn="0" w:oddVBand="0" w:evenVBand="0" w:oddHBand="1" w:evenHBand="0" w:firstRowFirstColumn="0" w:firstRowLastColumn="0" w:lastRowFirstColumn="0" w:lastRowLastColumn="0"/>
              <w:rPr>
                <w:sz w:val="20"/>
                <w:szCs w:val="20"/>
              </w:rPr>
            </w:pPr>
            <w:r w:rsidRPr="002900B9">
              <w:rPr>
                <w:sz w:val="20"/>
                <w:szCs w:val="20"/>
              </w:rPr>
              <w:t xml:space="preserve">Reminders to take part </w:t>
            </w:r>
            <w:r>
              <w:rPr>
                <w:sz w:val="20"/>
                <w:szCs w:val="20"/>
              </w:rPr>
              <w:t>(</w:t>
            </w:r>
            <w:r w:rsidRPr="002900B9">
              <w:rPr>
                <w:sz w:val="20"/>
                <w:szCs w:val="20"/>
              </w:rPr>
              <w:t>with telephone being the most effective and costly</w:t>
            </w:r>
            <w:r>
              <w:rPr>
                <w:sz w:val="20"/>
                <w:szCs w:val="20"/>
              </w:rPr>
              <w:t>)</w:t>
            </w:r>
          </w:p>
        </w:tc>
      </w:tr>
      <w:tr w:rsidR="00113547" w:rsidRPr="00326B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 w:type="dxa"/>
            <w:gridSpan w:val="2"/>
            <w:vMerge/>
            <w:tcBorders>
              <w:bottom w:val="single" w:sz="8" w:space="0" w:color="B3CC82" w:themeColor="accent3" w:themeTint="BF"/>
            </w:tcBorders>
          </w:tcPr>
          <w:p w:rsidR="00113547" w:rsidRPr="002900B9" w:rsidRDefault="00113547" w:rsidP="00FC3C91">
            <w:pPr>
              <w:spacing w:before="0"/>
              <w:ind w:left="0"/>
              <w:rPr>
                <w:sz w:val="20"/>
                <w:szCs w:val="20"/>
              </w:rPr>
            </w:pPr>
          </w:p>
        </w:tc>
        <w:tc>
          <w:tcPr>
            <w:tcW w:w="8053" w:type="dxa"/>
            <w:tcBorders>
              <w:bottom w:val="single" w:sz="8" w:space="0" w:color="B3CC82" w:themeColor="accent3" w:themeTint="BF"/>
              <w:right w:val="single" w:sz="8" w:space="0" w:color="B3CC82" w:themeColor="accent3" w:themeTint="BF"/>
            </w:tcBorders>
          </w:tcPr>
          <w:p w:rsidR="00113547" w:rsidRPr="002900B9" w:rsidRDefault="00113547" w:rsidP="00FC3C91">
            <w:pPr>
              <w:spacing w:before="40" w:after="40"/>
              <w:ind w:left="0"/>
              <w:cnfStyle w:val="000000010000" w:firstRow="0" w:lastRow="0" w:firstColumn="0" w:lastColumn="0" w:oddVBand="0" w:evenVBand="0" w:oddHBand="0" w:evenHBand="1" w:firstRowFirstColumn="0" w:firstRowLastColumn="0" w:lastRowFirstColumn="0" w:lastRowLastColumn="0"/>
              <w:rPr>
                <w:sz w:val="20"/>
                <w:szCs w:val="20"/>
              </w:rPr>
            </w:pPr>
            <w:r w:rsidRPr="002900B9">
              <w:rPr>
                <w:sz w:val="20"/>
                <w:szCs w:val="20"/>
              </w:rPr>
              <w:t>Involvement of community workers in kit distribution and collection following some general training</w:t>
            </w:r>
          </w:p>
        </w:tc>
      </w:tr>
      <w:tr w:rsidR="00113547" w:rsidRPr="0052486A" w:rsidTr="007D1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bottom w:val="double" w:sz="4" w:space="0" w:color="auto"/>
            </w:tcBorders>
            <w:shd w:val="clear" w:color="auto" w:fill="9BBB59"/>
          </w:tcPr>
          <w:p w:rsidR="00113547" w:rsidRPr="0052486A" w:rsidRDefault="00113547" w:rsidP="00FC3C91">
            <w:pPr>
              <w:ind w:left="0"/>
              <w:rPr>
                <w:color w:val="FFFFFF" w:themeColor="background1"/>
                <w:sz w:val="20"/>
                <w:szCs w:val="20"/>
              </w:rPr>
            </w:pPr>
            <w:r w:rsidRPr="0052486A">
              <w:rPr>
                <w:color w:val="FFFFFF" w:themeColor="background1"/>
                <w:sz w:val="20"/>
                <w:szCs w:val="20"/>
              </w:rPr>
              <w:t>Level</w:t>
            </w:r>
          </w:p>
        </w:tc>
        <w:tc>
          <w:tcPr>
            <w:tcW w:w="8061" w:type="dxa"/>
            <w:gridSpan w:val="2"/>
            <w:tcBorders>
              <w:left w:val="single" w:sz="8" w:space="0" w:color="B3CC82" w:themeColor="accent3" w:themeTint="BF"/>
              <w:bottom w:val="double" w:sz="4" w:space="0" w:color="auto"/>
            </w:tcBorders>
            <w:shd w:val="clear" w:color="auto" w:fill="9BBB59"/>
          </w:tcPr>
          <w:p w:rsidR="00113547" w:rsidRPr="0052486A" w:rsidRDefault="00113547" w:rsidP="00FC3C91">
            <w:pPr>
              <w:ind w:left="0"/>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r w:rsidRPr="0052486A">
              <w:rPr>
                <w:b/>
                <w:color w:val="FFFFFF" w:themeColor="background1"/>
                <w:sz w:val="20"/>
                <w:szCs w:val="20"/>
              </w:rPr>
              <w:t xml:space="preserve">Factors that decrease participation </w:t>
            </w:r>
          </w:p>
        </w:tc>
      </w:tr>
      <w:tr w:rsidR="00113547" w:rsidRPr="00BE1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vMerge w:val="restart"/>
            <w:tcBorders>
              <w:top w:val="double" w:sz="4" w:space="0" w:color="auto"/>
              <w:left w:val="single" w:sz="8" w:space="0" w:color="B3CC82" w:themeColor="accent3" w:themeTint="BF"/>
            </w:tcBorders>
            <w:textDirection w:val="btLr"/>
          </w:tcPr>
          <w:p w:rsidR="00113547" w:rsidRPr="002900B9" w:rsidRDefault="00113547" w:rsidP="00FC3C91">
            <w:pPr>
              <w:spacing w:before="0"/>
              <w:ind w:left="113" w:right="113"/>
              <w:jc w:val="center"/>
              <w:rPr>
                <w:sz w:val="20"/>
                <w:szCs w:val="20"/>
              </w:rPr>
            </w:pPr>
            <w:r w:rsidRPr="002900B9">
              <w:rPr>
                <w:sz w:val="20"/>
                <w:szCs w:val="20"/>
              </w:rPr>
              <w:t>Individual</w:t>
            </w:r>
          </w:p>
        </w:tc>
        <w:tc>
          <w:tcPr>
            <w:tcW w:w="8061" w:type="dxa"/>
            <w:gridSpan w:val="2"/>
            <w:tcBorders>
              <w:top w:val="double" w:sz="4" w:space="0" w:color="auto"/>
              <w:left w:val="single" w:sz="8" w:space="0" w:color="B3CC82" w:themeColor="accent3" w:themeTint="BF"/>
            </w:tcBorders>
          </w:tcPr>
          <w:p w:rsidR="00113547" w:rsidRPr="00BE185D" w:rsidRDefault="00113547" w:rsidP="00FC3C91">
            <w:pPr>
              <w:spacing w:before="40" w:after="40"/>
              <w:ind w:left="0"/>
              <w:cnfStyle w:val="000000010000" w:firstRow="0" w:lastRow="0" w:firstColumn="0" w:lastColumn="0" w:oddVBand="0" w:evenVBand="0" w:oddHBand="0" w:evenHBand="1" w:firstRowFirstColumn="0" w:firstRowLastColumn="0" w:lastRowFirstColumn="0" w:lastRowLastColumn="0"/>
              <w:rPr>
                <w:sz w:val="20"/>
                <w:szCs w:val="20"/>
              </w:rPr>
            </w:pPr>
            <w:r w:rsidRPr="00BE185D">
              <w:rPr>
                <w:sz w:val="20"/>
                <w:szCs w:val="20"/>
              </w:rPr>
              <w:t xml:space="preserve">Limited knowledge and awareness of bowel cancer and screening </w:t>
            </w:r>
          </w:p>
        </w:tc>
      </w:tr>
      <w:tr w:rsidR="00113547" w:rsidRPr="00BE1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vMerge/>
            <w:tcBorders>
              <w:left w:val="single" w:sz="8" w:space="0" w:color="B3CC82" w:themeColor="accent3" w:themeTint="BF"/>
            </w:tcBorders>
          </w:tcPr>
          <w:p w:rsidR="00113547" w:rsidRPr="00BE185D" w:rsidRDefault="00113547" w:rsidP="00FC3C91">
            <w:pPr>
              <w:spacing w:before="0"/>
              <w:ind w:left="0"/>
              <w:rPr>
                <w:b w:val="0"/>
                <w:sz w:val="20"/>
                <w:szCs w:val="20"/>
              </w:rPr>
            </w:pPr>
          </w:p>
        </w:tc>
        <w:tc>
          <w:tcPr>
            <w:tcW w:w="8061" w:type="dxa"/>
            <w:gridSpan w:val="2"/>
            <w:tcBorders>
              <w:left w:val="single" w:sz="8" w:space="0" w:color="B3CC82" w:themeColor="accent3" w:themeTint="BF"/>
            </w:tcBorders>
          </w:tcPr>
          <w:p w:rsidR="00113547" w:rsidRPr="00BE185D" w:rsidRDefault="00113547" w:rsidP="00FC3C91">
            <w:pPr>
              <w:spacing w:before="40" w:after="40"/>
              <w:ind w:left="0"/>
              <w:cnfStyle w:val="000000100000" w:firstRow="0" w:lastRow="0" w:firstColumn="0" w:lastColumn="0" w:oddVBand="0" w:evenVBand="0" w:oddHBand="1" w:evenHBand="0" w:firstRowFirstColumn="0" w:firstRowLastColumn="0" w:lastRowFirstColumn="0" w:lastRowLastColumn="0"/>
              <w:rPr>
                <w:sz w:val="20"/>
                <w:szCs w:val="20"/>
              </w:rPr>
            </w:pPr>
            <w:r w:rsidRPr="00BE185D">
              <w:rPr>
                <w:sz w:val="20"/>
                <w:szCs w:val="20"/>
              </w:rPr>
              <w:t>Lack of confidence in screening effectiveness</w:t>
            </w:r>
          </w:p>
        </w:tc>
      </w:tr>
      <w:tr w:rsidR="00113547" w:rsidRPr="00BE1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vMerge/>
            <w:tcBorders>
              <w:left w:val="single" w:sz="8" w:space="0" w:color="B3CC82" w:themeColor="accent3" w:themeTint="BF"/>
            </w:tcBorders>
          </w:tcPr>
          <w:p w:rsidR="00113547" w:rsidRPr="00BE185D" w:rsidRDefault="00113547" w:rsidP="00FC3C91">
            <w:pPr>
              <w:spacing w:before="0"/>
              <w:ind w:left="0"/>
              <w:rPr>
                <w:b w:val="0"/>
                <w:sz w:val="20"/>
                <w:szCs w:val="20"/>
              </w:rPr>
            </w:pPr>
          </w:p>
        </w:tc>
        <w:tc>
          <w:tcPr>
            <w:tcW w:w="8061" w:type="dxa"/>
            <w:gridSpan w:val="2"/>
            <w:tcBorders>
              <w:left w:val="single" w:sz="8" w:space="0" w:color="B3CC82" w:themeColor="accent3" w:themeTint="BF"/>
            </w:tcBorders>
          </w:tcPr>
          <w:p w:rsidR="00113547" w:rsidRPr="00BE185D" w:rsidRDefault="00113547" w:rsidP="00FC3C91">
            <w:pPr>
              <w:spacing w:before="40" w:after="40"/>
              <w:ind w:left="0"/>
              <w:cnfStyle w:val="000000010000" w:firstRow="0" w:lastRow="0" w:firstColumn="0" w:lastColumn="0" w:oddVBand="0" w:evenVBand="0" w:oddHBand="0" w:evenHBand="1" w:firstRowFirstColumn="0" w:firstRowLastColumn="0" w:lastRowFirstColumn="0" w:lastRowLastColumn="0"/>
              <w:rPr>
                <w:sz w:val="20"/>
                <w:szCs w:val="20"/>
              </w:rPr>
            </w:pPr>
            <w:r w:rsidRPr="00BE185D">
              <w:rPr>
                <w:sz w:val="20"/>
                <w:szCs w:val="20"/>
              </w:rPr>
              <w:t>Anxiety about test, results, fatalistic attitude</w:t>
            </w:r>
          </w:p>
        </w:tc>
      </w:tr>
      <w:tr w:rsidR="00113547" w:rsidRPr="00BE1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vMerge/>
            <w:tcBorders>
              <w:left w:val="single" w:sz="8" w:space="0" w:color="B3CC82" w:themeColor="accent3" w:themeTint="BF"/>
            </w:tcBorders>
          </w:tcPr>
          <w:p w:rsidR="00113547" w:rsidRPr="00BE185D" w:rsidRDefault="00113547" w:rsidP="00FC3C91">
            <w:pPr>
              <w:spacing w:before="0"/>
              <w:ind w:left="0"/>
              <w:rPr>
                <w:b w:val="0"/>
                <w:sz w:val="20"/>
                <w:szCs w:val="20"/>
              </w:rPr>
            </w:pPr>
          </w:p>
        </w:tc>
        <w:tc>
          <w:tcPr>
            <w:tcW w:w="8061" w:type="dxa"/>
            <w:gridSpan w:val="2"/>
            <w:tcBorders>
              <w:left w:val="single" w:sz="8" w:space="0" w:color="B3CC82" w:themeColor="accent3" w:themeTint="BF"/>
            </w:tcBorders>
          </w:tcPr>
          <w:p w:rsidR="00113547" w:rsidRPr="00BE185D" w:rsidRDefault="00113547" w:rsidP="00FC3C91">
            <w:pPr>
              <w:spacing w:before="40" w:after="40"/>
              <w:ind w:left="0"/>
              <w:cnfStyle w:val="000000100000" w:firstRow="0" w:lastRow="0" w:firstColumn="0" w:lastColumn="0" w:oddVBand="0" w:evenVBand="0" w:oddHBand="1" w:evenHBand="0" w:firstRowFirstColumn="0" w:firstRowLastColumn="0" w:lastRowFirstColumn="0" w:lastRowLastColumn="0"/>
              <w:rPr>
                <w:sz w:val="20"/>
                <w:szCs w:val="20"/>
              </w:rPr>
            </w:pPr>
            <w:r w:rsidRPr="00BE185D">
              <w:rPr>
                <w:sz w:val="20"/>
                <w:szCs w:val="20"/>
              </w:rPr>
              <w:t xml:space="preserve">Perceived low risk  </w:t>
            </w:r>
          </w:p>
        </w:tc>
      </w:tr>
      <w:tr w:rsidR="00113547" w:rsidRPr="00BE1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vMerge/>
            <w:tcBorders>
              <w:left w:val="single" w:sz="8" w:space="0" w:color="B3CC82" w:themeColor="accent3" w:themeTint="BF"/>
            </w:tcBorders>
          </w:tcPr>
          <w:p w:rsidR="00113547" w:rsidRPr="00BE185D" w:rsidRDefault="00113547" w:rsidP="00FC3C91">
            <w:pPr>
              <w:spacing w:before="0"/>
              <w:ind w:left="0"/>
              <w:rPr>
                <w:b w:val="0"/>
                <w:sz w:val="20"/>
                <w:szCs w:val="20"/>
              </w:rPr>
            </w:pPr>
          </w:p>
        </w:tc>
        <w:tc>
          <w:tcPr>
            <w:tcW w:w="8061" w:type="dxa"/>
            <w:gridSpan w:val="2"/>
            <w:tcBorders>
              <w:left w:val="single" w:sz="8" w:space="0" w:color="B3CC82" w:themeColor="accent3" w:themeTint="BF"/>
            </w:tcBorders>
          </w:tcPr>
          <w:p w:rsidR="00113547" w:rsidRPr="00BE185D" w:rsidRDefault="00113547" w:rsidP="00FC3C91">
            <w:pPr>
              <w:spacing w:before="40" w:after="40"/>
              <w:ind w:left="0"/>
              <w:cnfStyle w:val="000000010000" w:firstRow="0" w:lastRow="0" w:firstColumn="0" w:lastColumn="0" w:oddVBand="0" w:evenVBand="0" w:oddHBand="0" w:evenHBand="1" w:firstRowFirstColumn="0" w:firstRowLastColumn="0" w:lastRowFirstColumn="0" w:lastRowLastColumn="0"/>
              <w:rPr>
                <w:sz w:val="20"/>
                <w:szCs w:val="20"/>
              </w:rPr>
            </w:pPr>
            <w:r w:rsidRPr="00BE185D">
              <w:rPr>
                <w:sz w:val="20"/>
                <w:szCs w:val="20"/>
              </w:rPr>
              <w:t>Low levels of</w:t>
            </w:r>
            <w:r w:rsidR="00FF52F8">
              <w:rPr>
                <w:sz w:val="20"/>
                <w:szCs w:val="20"/>
              </w:rPr>
              <w:t xml:space="preserve"> literacy, health literacy and/</w:t>
            </w:r>
            <w:r w:rsidRPr="00BE185D">
              <w:rPr>
                <w:sz w:val="20"/>
                <w:szCs w:val="20"/>
              </w:rPr>
              <w:t>or self-efficacy</w:t>
            </w:r>
          </w:p>
        </w:tc>
      </w:tr>
      <w:tr w:rsidR="00113547" w:rsidRPr="00BE1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vMerge/>
            <w:tcBorders>
              <w:left w:val="single" w:sz="8" w:space="0" w:color="B3CC82" w:themeColor="accent3" w:themeTint="BF"/>
            </w:tcBorders>
          </w:tcPr>
          <w:p w:rsidR="00113547" w:rsidRPr="00BE185D" w:rsidRDefault="00113547" w:rsidP="00FC3C91">
            <w:pPr>
              <w:spacing w:before="0"/>
              <w:ind w:left="0"/>
              <w:rPr>
                <w:b w:val="0"/>
                <w:sz w:val="20"/>
                <w:szCs w:val="20"/>
              </w:rPr>
            </w:pPr>
          </w:p>
        </w:tc>
        <w:tc>
          <w:tcPr>
            <w:tcW w:w="8061" w:type="dxa"/>
            <w:gridSpan w:val="2"/>
            <w:tcBorders>
              <w:left w:val="single" w:sz="8" w:space="0" w:color="B3CC82" w:themeColor="accent3" w:themeTint="BF"/>
            </w:tcBorders>
          </w:tcPr>
          <w:p w:rsidR="00113547" w:rsidRPr="00BE185D" w:rsidRDefault="00113547" w:rsidP="00FC3C91">
            <w:pPr>
              <w:spacing w:before="40" w:after="40"/>
              <w:ind w:left="0"/>
              <w:cnfStyle w:val="000000100000" w:firstRow="0" w:lastRow="0" w:firstColumn="0" w:lastColumn="0" w:oddVBand="0" w:evenVBand="0" w:oddHBand="1" w:evenHBand="0" w:firstRowFirstColumn="0" w:firstRowLastColumn="0" w:lastRowFirstColumn="0" w:lastRowLastColumn="0"/>
              <w:rPr>
                <w:sz w:val="20"/>
                <w:szCs w:val="20"/>
              </w:rPr>
            </w:pPr>
            <w:r w:rsidRPr="00BE185D">
              <w:rPr>
                <w:sz w:val="20"/>
                <w:szCs w:val="20"/>
              </w:rPr>
              <w:t>Cultural beliefs – faecal taboos</w:t>
            </w:r>
          </w:p>
          <w:p w:rsidR="00113547" w:rsidRPr="00BE185D" w:rsidRDefault="00113547" w:rsidP="00FC3C91">
            <w:pPr>
              <w:spacing w:before="40" w:after="40"/>
              <w:ind w:left="0"/>
              <w:cnfStyle w:val="000000100000" w:firstRow="0" w:lastRow="0" w:firstColumn="0" w:lastColumn="0" w:oddVBand="0" w:evenVBand="0" w:oddHBand="1" w:evenHBand="0" w:firstRowFirstColumn="0" w:firstRowLastColumn="0" w:lastRowFirstColumn="0" w:lastRowLastColumn="0"/>
              <w:rPr>
                <w:sz w:val="20"/>
                <w:szCs w:val="20"/>
              </w:rPr>
            </w:pPr>
            <w:r w:rsidRPr="00BE185D">
              <w:rPr>
                <w:sz w:val="20"/>
                <w:szCs w:val="20"/>
              </w:rPr>
              <w:t xml:space="preserve">Embarrassment </w:t>
            </w:r>
          </w:p>
        </w:tc>
      </w:tr>
      <w:tr w:rsidR="00113547" w:rsidRPr="00BE1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vMerge/>
            <w:tcBorders>
              <w:left w:val="single" w:sz="8" w:space="0" w:color="B3CC82" w:themeColor="accent3" w:themeTint="BF"/>
              <w:bottom w:val="double" w:sz="4" w:space="0" w:color="auto"/>
            </w:tcBorders>
          </w:tcPr>
          <w:p w:rsidR="00113547" w:rsidRPr="00BE185D" w:rsidRDefault="00113547" w:rsidP="00FC3C91">
            <w:pPr>
              <w:spacing w:before="0"/>
              <w:ind w:left="0"/>
              <w:rPr>
                <w:b w:val="0"/>
                <w:sz w:val="20"/>
                <w:szCs w:val="20"/>
              </w:rPr>
            </w:pPr>
          </w:p>
        </w:tc>
        <w:tc>
          <w:tcPr>
            <w:tcW w:w="8061" w:type="dxa"/>
            <w:gridSpan w:val="2"/>
            <w:tcBorders>
              <w:left w:val="single" w:sz="8" w:space="0" w:color="B3CC82" w:themeColor="accent3" w:themeTint="BF"/>
              <w:bottom w:val="double" w:sz="4" w:space="0" w:color="auto"/>
            </w:tcBorders>
          </w:tcPr>
          <w:p w:rsidR="00113547" w:rsidRPr="00BE185D" w:rsidRDefault="00113547" w:rsidP="00FC3C91">
            <w:pPr>
              <w:spacing w:before="40" w:after="40"/>
              <w:ind w:left="0"/>
              <w:cnfStyle w:val="000000010000" w:firstRow="0" w:lastRow="0" w:firstColumn="0" w:lastColumn="0" w:oddVBand="0" w:evenVBand="0" w:oddHBand="0" w:evenHBand="1" w:firstRowFirstColumn="0" w:firstRowLastColumn="0" w:lastRowFirstColumn="0" w:lastRowLastColumn="0"/>
              <w:rPr>
                <w:sz w:val="20"/>
                <w:szCs w:val="20"/>
              </w:rPr>
            </w:pPr>
            <w:r w:rsidRPr="00BE185D">
              <w:rPr>
                <w:sz w:val="20"/>
                <w:szCs w:val="20"/>
              </w:rPr>
              <w:t>Presence of co-morbidities</w:t>
            </w:r>
          </w:p>
        </w:tc>
      </w:tr>
      <w:tr w:rsidR="00113547" w:rsidRPr="00BE1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vMerge w:val="restart"/>
            <w:tcBorders>
              <w:top w:val="double" w:sz="4" w:space="0" w:color="auto"/>
              <w:left w:val="single" w:sz="8" w:space="0" w:color="B3CC82" w:themeColor="accent3" w:themeTint="BF"/>
            </w:tcBorders>
            <w:textDirection w:val="btLr"/>
          </w:tcPr>
          <w:p w:rsidR="00113547" w:rsidRPr="002900B9" w:rsidRDefault="00113547" w:rsidP="00FC3C91">
            <w:pPr>
              <w:spacing w:before="0"/>
              <w:ind w:left="113" w:right="113"/>
              <w:jc w:val="center"/>
              <w:rPr>
                <w:sz w:val="20"/>
                <w:szCs w:val="20"/>
              </w:rPr>
            </w:pPr>
            <w:r w:rsidRPr="002900B9">
              <w:rPr>
                <w:sz w:val="20"/>
                <w:szCs w:val="20"/>
              </w:rPr>
              <w:t>System</w:t>
            </w:r>
          </w:p>
        </w:tc>
        <w:tc>
          <w:tcPr>
            <w:tcW w:w="8061" w:type="dxa"/>
            <w:gridSpan w:val="2"/>
            <w:tcBorders>
              <w:top w:val="double" w:sz="4" w:space="0" w:color="auto"/>
              <w:left w:val="single" w:sz="8" w:space="0" w:color="B3CC82" w:themeColor="accent3" w:themeTint="BF"/>
            </w:tcBorders>
          </w:tcPr>
          <w:p w:rsidR="00113547" w:rsidRPr="00BE185D" w:rsidRDefault="00113547" w:rsidP="00FC3C91">
            <w:pPr>
              <w:spacing w:before="40" w:after="40"/>
              <w:ind w:left="0"/>
              <w:cnfStyle w:val="000000100000" w:firstRow="0" w:lastRow="0" w:firstColumn="0" w:lastColumn="0" w:oddVBand="0" w:evenVBand="0" w:oddHBand="1" w:evenHBand="0" w:firstRowFirstColumn="0" w:firstRowLastColumn="0" w:lastRowFirstColumn="0" w:lastRowLastColumn="0"/>
              <w:rPr>
                <w:sz w:val="20"/>
                <w:szCs w:val="20"/>
              </w:rPr>
            </w:pPr>
            <w:r w:rsidRPr="00BE185D">
              <w:rPr>
                <w:sz w:val="20"/>
                <w:szCs w:val="20"/>
              </w:rPr>
              <w:t xml:space="preserve">Lack of culturally appropriate health promotion material </w:t>
            </w:r>
          </w:p>
        </w:tc>
      </w:tr>
      <w:tr w:rsidR="00113547" w:rsidRPr="00BE1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vMerge/>
            <w:tcBorders>
              <w:left w:val="single" w:sz="8" w:space="0" w:color="B3CC82" w:themeColor="accent3" w:themeTint="BF"/>
            </w:tcBorders>
          </w:tcPr>
          <w:p w:rsidR="00113547" w:rsidRPr="00BE185D" w:rsidRDefault="00113547" w:rsidP="00FC3C91">
            <w:pPr>
              <w:spacing w:before="0"/>
              <w:ind w:left="0"/>
              <w:rPr>
                <w:b w:val="0"/>
                <w:sz w:val="20"/>
                <w:szCs w:val="20"/>
              </w:rPr>
            </w:pPr>
          </w:p>
        </w:tc>
        <w:tc>
          <w:tcPr>
            <w:tcW w:w="8061" w:type="dxa"/>
            <w:gridSpan w:val="2"/>
            <w:tcBorders>
              <w:left w:val="single" w:sz="8" w:space="0" w:color="B3CC82" w:themeColor="accent3" w:themeTint="BF"/>
            </w:tcBorders>
          </w:tcPr>
          <w:p w:rsidR="00113547" w:rsidRPr="00BE185D" w:rsidRDefault="00113547" w:rsidP="00FC3C91">
            <w:pPr>
              <w:spacing w:before="40" w:after="40"/>
              <w:ind w:left="0"/>
              <w:cnfStyle w:val="000000010000" w:firstRow="0" w:lastRow="0" w:firstColumn="0" w:lastColumn="0" w:oddVBand="0" w:evenVBand="0" w:oddHBand="0" w:evenHBand="1" w:firstRowFirstColumn="0" w:firstRowLastColumn="0" w:lastRowFirstColumn="0" w:lastRowLastColumn="0"/>
              <w:rPr>
                <w:sz w:val="20"/>
                <w:szCs w:val="20"/>
              </w:rPr>
            </w:pPr>
            <w:r w:rsidRPr="00BE185D">
              <w:rPr>
                <w:sz w:val="20"/>
                <w:szCs w:val="20"/>
              </w:rPr>
              <w:t>Low general exp</w:t>
            </w:r>
            <w:r w:rsidR="00FF52F8">
              <w:rPr>
                <w:sz w:val="20"/>
                <w:szCs w:val="20"/>
              </w:rPr>
              <w:t>osure to health media exposure/</w:t>
            </w:r>
            <w:r w:rsidRPr="00BE185D">
              <w:rPr>
                <w:sz w:val="20"/>
                <w:szCs w:val="20"/>
              </w:rPr>
              <w:t>bowel cancer media exposure</w:t>
            </w:r>
          </w:p>
        </w:tc>
      </w:tr>
      <w:tr w:rsidR="00113547" w:rsidRPr="00BE1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vMerge/>
            <w:tcBorders>
              <w:left w:val="single" w:sz="8" w:space="0" w:color="B3CC82" w:themeColor="accent3" w:themeTint="BF"/>
            </w:tcBorders>
          </w:tcPr>
          <w:p w:rsidR="00113547" w:rsidRPr="00BE185D" w:rsidRDefault="00113547" w:rsidP="00FC3C91">
            <w:pPr>
              <w:spacing w:before="0"/>
              <w:ind w:left="0"/>
              <w:rPr>
                <w:b w:val="0"/>
                <w:sz w:val="20"/>
                <w:szCs w:val="20"/>
              </w:rPr>
            </w:pPr>
          </w:p>
        </w:tc>
        <w:tc>
          <w:tcPr>
            <w:tcW w:w="8061" w:type="dxa"/>
            <w:gridSpan w:val="2"/>
            <w:tcBorders>
              <w:left w:val="single" w:sz="8" w:space="0" w:color="B3CC82" w:themeColor="accent3" w:themeTint="BF"/>
            </w:tcBorders>
          </w:tcPr>
          <w:p w:rsidR="00113547" w:rsidRPr="00BE185D" w:rsidRDefault="00113547" w:rsidP="00FC3C91">
            <w:pPr>
              <w:spacing w:before="40" w:after="40"/>
              <w:ind w:left="0"/>
              <w:cnfStyle w:val="000000100000" w:firstRow="0" w:lastRow="0" w:firstColumn="0" w:lastColumn="0" w:oddVBand="0" w:evenVBand="0" w:oddHBand="1" w:evenHBand="0" w:firstRowFirstColumn="0" w:firstRowLastColumn="0" w:lastRowFirstColumn="0" w:lastRowLastColumn="0"/>
              <w:rPr>
                <w:sz w:val="20"/>
                <w:szCs w:val="20"/>
              </w:rPr>
            </w:pPr>
            <w:r w:rsidRPr="00BE185D">
              <w:rPr>
                <w:sz w:val="20"/>
                <w:szCs w:val="20"/>
              </w:rPr>
              <w:t>Distrust of the health system</w:t>
            </w:r>
          </w:p>
        </w:tc>
      </w:tr>
      <w:tr w:rsidR="00113547" w:rsidRPr="00BE1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vMerge/>
            <w:tcBorders>
              <w:left w:val="single" w:sz="8" w:space="0" w:color="B3CC82" w:themeColor="accent3" w:themeTint="BF"/>
            </w:tcBorders>
          </w:tcPr>
          <w:p w:rsidR="00113547" w:rsidRPr="00BE185D" w:rsidRDefault="00113547" w:rsidP="00FC3C91">
            <w:pPr>
              <w:spacing w:before="0"/>
              <w:ind w:left="0"/>
              <w:rPr>
                <w:b w:val="0"/>
                <w:sz w:val="20"/>
                <w:szCs w:val="20"/>
              </w:rPr>
            </w:pPr>
          </w:p>
        </w:tc>
        <w:tc>
          <w:tcPr>
            <w:tcW w:w="8061" w:type="dxa"/>
            <w:gridSpan w:val="2"/>
            <w:tcBorders>
              <w:left w:val="single" w:sz="8" w:space="0" w:color="B3CC82" w:themeColor="accent3" w:themeTint="BF"/>
            </w:tcBorders>
          </w:tcPr>
          <w:p w:rsidR="00113547" w:rsidRPr="00BE185D" w:rsidRDefault="00FF52F8" w:rsidP="00FC3C91">
            <w:pPr>
              <w:spacing w:before="40" w:after="40"/>
              <w:ind w:left="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Discomfort/</w:t>
            </w:r>
            <w:r w:rsidR="00113547" w:rsidRPr="00BE185D">
              <w:rPr>
                <w:sz w:val="20"/>
                <w:szCs w:val="20"/>
              </w:rPr>
              <w:t>poor experience with health system</w:t>
            </w:r>
          </w:p>
        </w:tc>
      </w:tr>
      <w:tr w:rsidR="00113547" w:rsidRPr="00BE1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vMerge/>
            <w:tcBorders>
              <w:left w:val="single" w:sz="8" w:space="0" w:color="B3CC82" w:themeColor="accent3" w:themeTint="BF"/>
            </w:tcBorders>
          </w:tcPr>
          <w:p w:rsidR="00113547" w:rsidRPr="00BE185D" w:rsidRDefault="00113547" w:rsidP="00FC3C91">
            <w:pPr>
              <w:spacing w:before="0"/>
              <w:ind w:left="0"/>
              <w:rPr>
                <w:b w:val="0"/>
                <w:sz w:val="20"/>
                <w:szCs w:val="20"/>
              </w:rPr>
            </w:pPr>
          </w:p>
        </w:tc>
        <w:tc>
          <w:tcPr>
            <w:tcW w:w="8061" w:type="dxa"/>
            <w:gridSpan w:val="2"/>
            <w:tcBorders>
              <w:left w:val="single" w:sz="8" w:space="0" w:color="B3CC82" w:themeColor="accent3" w:themeTint="BF"/>
            </w:tcBorders>
          </w:tcPr>
          <w:p w:rsidR="00113547" w:rsidRPr="00BE185D" w:rsidRDefault="00FF52F8" w:rsidP="00FC3C91">
            <w:pPr>
              <w:spacing w:before="40" w:after="40"/>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 fixed residence/</w:t>
            </w:r>
            <w:r w:rsidR="00113547" w:rsidRPr="00BE185D">
              <w:rPr>
                <w:sz w:val="20"/>
                <w:szCs w:val="20"/>
              </w:rPr>
              <w:t>frequent change of address</w:t>
            </w:r>
          </w:p>
        </w:tc>
      </w:tr>
      <w:tr w:rsidR="00113547" w:rsidRPr="00BE1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vMerge/>
            <w:tcBorders>
              <w:left w:val="single" w:sz="8" w:space="0" w:color="B3CC82" w:themeColor="accent3" w:themeTint="BF"/>
            </w:tcBorders>
          </w:tcPr>
          <w:p w:rsidR="00113547" w:rsidRPr="00BE185D" w:rsidRDefault="00113547" w:rsidP="00FC3C91">
            <w:pPr>
              <w:spacing w:before="0"/>
              <w:ind w:left="0"/>
              <w:rPr>
                <w:b w:val="0"/>
                <w:sz w:val="20"/>
                <w:szCs w:val="20"/>
              </w:rPr>
            </w:pPr>
          </w:p>
        </w:tc>
        <w:tc>
          <w:tcPr>
            <w:tcW w:w="8061" w:type="dxa"/>
            <w:gridSpan w:val="2"/>
            <w:tcBorders>
              <w:left w:val="single" w:sz="8" w:space="0" w:color="B3CC82" w:themeColor="accent3" w:themeTint="BF"/>
            </w:tcBorders>
          </w:tcPr>
          <w:p w:rsidR="00113547" w:rsidRPr="00BE185D" w:rsidRDefault="00113547" w:rsidP="00FC3C91">
            <w:pPr>
              <w:spacing w:before="40" w:after="40"/>
              <w:ind w:left="0"/>
              <w:cnfStyle w:val="000000010000" w:firstRow="0" w:lastRow="0" w:firstColumn="0" w:lastColumn="0" w:oddVBand="0" w:evenVBand="0" w:oddHBand="0" w:evenHBand="1" w:firstRowFirstColumn="0" w:firstRowLastColumn="0" w:lastRowFirstColumn="0" w:lastRowLastColumn="0"/>
              <w:rPr>
                <w:sz w:val="20"/>
                <w:szCs w:val="20"/>
              </w:rPr>
            </w:pPr>
            <w:r w:rsidRPr="00BE185D">
              <w:rPr>
                <w:sz w:val="20"/>
                <w:szCs w:val="20"/>
              </w:rPr>
              <w:t xml:space="preserve">Lack of coordination of the screening service </w:t>
            </w:r>
          </w:p>
        </w:tc>
      </w:tr>
      <w:tr w:rsidR="00113547" w:rsidRPr="00BE1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vMerge/>
            <w:tcBorders>
              <w:left w:val="single" w:sz="8" w:space="0" w:color="B3CC82" w:themeColor="accent3" w:themeTint="BF"/>
              <w:bottom w:val="double" w:sz="4" w:space="0" w:color="auto"/>
            </w:tcBorders>
          </w:tcPr>
          <w:p w:rsidR="00113547" w:rsidRPr="00BE185D" w:rsidRDefault="00113547" w:rsidP="00FC3C91">
            <w:pPr>
              <w:spacing w:before="0"/>
              <w:ind w:left="0"/>
              <w:rPr>
                <w:sz w:val="20"/>
                <w:szCs w:val="20"/>
              </w:rPr>
            </w:pPr>
          </w:p>
        </w:tc>
        <w:tc>
          <w:tcPr>
            <w:tcW w:w="8061" w:type="dxa"/>
            <w:gridSpan w:val="2"/>
            <w:tcBorders>
              <w:left w:val="single" w:sz="8" w:space="0" w:color="B3CC82" w:themeColor="accent3" w:themeTint="BF"/>
              <w:bottom w:val="double" w:sz="4" w:space="0" w:color="auto"/>
            </w:tcBorders>
          </w:tcPr>
          <w:p w:rsidR="00113547" w:rsidRPr="00BE185D" w:rsidRDefault="00113547" w:rsidP="00FF52F8">
            <w:pPr>
              <w:spacing w:before="40" w:after="40"/>
              <w:ind w:left="0"/>
              <w:cnfStyle w:val="000000100000" w:firstRow="0" w:lastRow="0" w:firstColumn="0" w:lastColumn="0" w:oddVBand="0" w:evenVBand="0" w:oddHBand="1" w:evenHBand="0" w:firstRowFirstColumn="0" w:firstRowLastColumn="0" w:lastRowFirstColumn="0" w:lastRowLastColumn="0"/>
              <w:rPr>
                <w:sz w:val="20"/>
                <w:szCs w:val="20"/>
              </w:rPr>
            </w:pPr>
            <w:r w:rsidRPr="00BE185D">
              <w:rPr>
                <w:sz w:val="20"/>
                <w:szCs w:val="20"/>
              </w:rPr>
              <w:t xml:space="preserve">Cost to see </w:t>
            </w:r>
            <w:r>
              <w:rPr>
                <w:sz w:val="20"/>
                <w:szCs w:val="20"/>
              </w:rPr>
              <w:t>general practice</w:t>
            </w:r>
            <w:r w:rsidRPr="00BE185D">
              <w:rPr>
                <w:sz w:val="20"/>
                <w:szCs w:val="20"/>
              </w:rPr>
              <w:t xml:space="preserve"> i</w:t>
            </w:r>
            <w:r>
              <w:rPr>
                <w:sz w:val="20"/>
                <w:szCs w:val="20"/>
              </w:rPr>
              <w:t xml:space="preserve">ncluding transport; </w:t>
            </w:r>
            <w:r w:rsidR="00FF52F8">
              <w:rPr>
                <w:sz w:val="20"/>
                <w:szCs w:val="20"/>
              </w:rPr>
              <w:t>p</w:t>
            </w:r>
            <w:r w:rsidRPr="00BE185D">
              <w:rPr>
                <w:sz w:val="20"/>
                <w:szCs w:val="20"/>
              </w:rPr>
              <w:t xml:space="preserve">erceived cost for screening and treatment </w:t>
            </w:r>
          </w:p>
        </w:tc>
      </w:tr>
    </w:tbl>
    <w:p w:rsidR="00113547" w:rsidRPr="00FF52F8" w:rsidRDefault="00113547" w:rsidP="00113547">
      <w:pPr>
        <w:spacing w:before="120"/>
        <w:rPr>
          <w:b/>
          <w:sz w:val="18"/>
        </w:rPr>
      </w:pPr>
      <w:r w:rsidRPr="00FF52F8">
        <w:rPr>
          <w:sz w:val="18"/>
        </w:rPr>
        <w:t xml:space="preserve">Sources: Senore et al 2010, Power et al 2010, Christou et at 2010, </w:t>
      </w:r>
      <w:r w:rsidRPr="00BD2935">
        <w:rPr>
          <w:sz w:val="18"/>
        </w:rPr>
        <w:t>Brynum et al 2012.</w:t>
      </w:r>
    </w:p>
    <w:p w:rsidR="00F72955" w:rsidRDefault="00F72955" w:rsidP="00F72955">
      <w:r w:rsidRPr="008B1F1E">
        <w:t xml:space="preserve">Successful </w:t>
      </w:r>
      <w:r>
        <w:t xml:space="preserve">screening </w:t>
      </w:r>
      <w:r w:rsidRPr="008B1F1E">
        <w:t xml:space="preserve">programmes for </w:t>
      </w:r>
      <w:r w:rsidRPr="008B1F1E">
        <w:rPr>
          <w:lang w:eastAsia="ar-SA"/>
        </w:rPr>
        <w:t xml:space="preserve">Māori and Pacific </w:t>
      </w:r>
      <w:r>
        <w:rPr>
          <w:lang w:eastAsia="ar-SA"/>
        </w:rPr>
        <w:t xml:space="preserve">people </w:t>
      </w:r>
      <w:r w:rsidRPr="008B1F1E">
        <w:rPr>
          <w:lang w:eastAsia="ar-SA"/>
        </w:rPr>
        <w:t>are systematic, intensive, multi</w:t>
      </w:r>
      <w:r>
        <w:rPr>
          <w:lang w:eastAsia="ar-SA"/>
        </w:rPr>
        <w:t>-</w:t>
      </w:r>
      <w:r w:rsidRPr="008B1F1E">
        <w:rPr>
          <w:lang w:eastAsia="ar-SA"/>
        </w:rPr>
        <w:t>faceted and multi</w:t>
      </w:r>
      <w:r>
        <w:rPr>
          <w:lang w:eastAsia="ar-SA"/>
        </w:rPr>
        <w:t>-</w:t>
      </w:r>
      <w:r w:rsidRPr="008B1F1E">
        <w:rPr>
          <w:lang w:eastAsia="ar-SA"/>
        </w:rPr>
        <w:t>disciplinary.  Multi</w:t>
      </w:r>
      <w:r>
        <w:rPr>
          <w:lang w:eastAsia="ar-SA"/>
        </w:rPr>
        <w:t>-</w:t>
      </w:r>
      <w:r w:rsidRPr="008B1F1E">
        <w:rPr>
          <w:lang w:eastAsia="ar-SA"/>
        </w:rPr>
        <w:t>factor interventions that target more than one level at differen</w:t>
      </w:r>
      <w:r>
        <w:rPr>
          <w:lang w:eastAsia="ar-SA"/>
        </w:rPr>
        <w:t>t</w:t>
      </w:r>
      <w:r w:rsidRPr="008B1F1E">
        <w:rPr>
          <w:lang w:eastAsia="ar-SA"/>
        </w:rPr>
        <w:t xml:space="preserve"> points of the screening pathway appear to have larger effects than single level interventions (Ministry of Health 2010).  </w:t>
      </w:r>
    </w:p>
    <w:p w:rsidR="00C37C0C" w:rsidRPr="008B1F1E" w:rsidRDefault="00C37C0C" w:rsidP="00C37C0C">
      <w:r w:rsidRPr="008B1F1E">
        <w:t>In considering interventions to increase participation by M</w:t>
      </w:r>
      <w:r w:rsidRPr="008B1F1E">
        <w:rPr>
          <w:rFonts w:cs="Arial"/>
        </w:rPr>
        <w:t>ā</w:t>
      </w:r>
      <w:r w:rsidRPr="008B1F1E">
        <w:t xml:space="preserve">ori and Pacific people in the BSP, it is useful to consider a framework to promote screening behaviours.  </w:t>
      </w:r>
      <w:r w:rsidR="00346925">
        <w:t xml:space="preserve">International </w:t>
      </w:r>
      <w:r>
        <w:t xml:space="preserve">bowel screening </w:t>
      </w:r>
      <w:r w:rsidRPr="008B1F1E">
        <w:t xml:space="preserve">studies have used the health belief model to promote health screening behaviours in public health </w:t>
      </w:r>
      <w:r>
        <w:t xml:space="preserve">including studies into Indigenous Australian’s participation </w:t>
      </w:r>
      <w:r w:rsidRPr="008B1F1E">
        <w:t>(Strecher Rosenstock 1997; in Causey and Greenwald 201</w:t>
      </w:r>
      <w:r w:rsidR="00B4255E">
        <w:t>1</w:t>
      </w:r>
      <w:r>
        <w:t>, Christou et al 2010</w:t>
      </w:r>
      <w:r w:rsidRPr="008B1F1E">
        <w:t>).  Research found that addressing the six components of health belief model in education sessions empowers participants to take the recommended screening a</w:t>
      </w:r>
      <w:r w:rsidR="00815767">
        <w:t>ction (Causey and Greenwald 2011</w:t>
      </w:r>
      <w:r w:rsidRPr="008B1F1E">
        <w:t xml:space="preserve">). The six components of </w:t>
      </w:r>
      <w:r w:rsidR="00466972">
        <w:t xml:space="preserve">the </w:t>
      </w:r>
      <w:r w:rsidRPr="008B1F1E">
        <w:t>health belief model are:</w:t>
      </w:r>
      <w:r w:rsidR="00FF52F8">
        <w:rPr>
          <w:rStyle w:val="FootnoteReference"/>
        </w:rPr>
        <w:footnoteReference w:id="54"/>
      </w:r>
      <w:r w:rsidRPr="008B1F1E">
        <w:t xml:space="preserve"> </w:t>
      </w:r>
    </w:p>
    <w:p w:rsidR="00C37C0C" w:rsidRPr="008B1F1E" w:rsidRDefault="00C37C0C" w:rsidP="006179C7">
      <w:pPr>
        <w:numPr>
          <w:ilvl w:val="0"/>
          <w:numId w:val="13"/>
        </w:numPr>
        <w:spacing w:before="120"/>
        <w:ind w:left="1066" w:hanging="357"/>
        <w:rPr>
          <w:szCs w:val="24"/>
        </w:rPr>
      </w:pPr>
      <w:r w:rsidRPr="008B1F1E">
        <w:rPr>
          <w:szCs w:val="24"/>
        </w:rPr>
        <w:t>perceived susceptibility (the belief that they are vulnerable to the disease)</w:t>
      </w:r>
    </w:p>
    <w:p w:rsidR="00C37C0C" w:rsidRPr="008B1F1E" w:rsidRDefault="00C37C0C" w:rsidP="006179C7">
      <w:pPr>
        <w:numPr>
          <w:ilvl w:val="0"/>
          <w:numId w:val="13"/>
        </w:numPr>
        <w:spacing w:before="60"/>
        <w:ind w:left="1066" w:hanging="357"/>
        <w:rPr>
          <w:szCs w:val="24"/>
        </w:rPr>
      </w:pPr>
      <w:r w:rsidRPr="008B1F1E">
        <w:rPr>
          <w:szCs w:val="24"/>
        </w:rPr>
        <w:t>perceived severity (the belief there are consequences to having the disease)</w:t>
      </w:r>
    </w:p>
    <w:p w:rsidR="00C37C0C" w:rsidRPr="008B1F1E" w:rsidRDefault="00C37C0C" w:rsidP="006179C7">
      <w:pPr>
        <w:numPr>
          <w:ilvl w:val="0"/>
          <w:numId w:val="13"/>
        </w:numPr>
        <w:spacing w:before="60"/>
        <w:ind w:left="1066" w:hanging="357"/>
        <w:rPr>
          <w:szCs w:val="24"/>
        </w:rPr>
      </w:pPr>
      <w:r w:rsidRPr="008B1F1E">
        <w:rPr>
          <w:szCs w:val="24"/>
        </w:rPr>
        <w:t xml:space="preserve">perceived benefit </w:t>
      </w:r>
      <w:r w:rsidR="00FF52F8">
        <w:rPr>
          <w:szCs w:val="24"/>
        </w:rPr>
        <w:t>(</w:t>
      </w:r>
      <w:r>
        <w:rPr>
          <w:szCs w:val="24"/>
        </w:rPr>
        <w:t>of t</w:t>
      </w:r>
      <w:r w:rsidRPr="008B1F1E">
        <w:rPr>
          <w:szCs w:val="24"/>
        </w:rPr>
        <w:t>he efficacy of the recommendations to reduce the seriousness of the disease)</w:t>
      </w:r>
    </w:p>
    <w:p w:rsidR="00C37C0C" w:rsidRPr="008B1F1E" w:rsidRDefault="00C37C0C" w:rsidP="006179C7">
      <w:pPr>
        <w:numPr>
          <w:ilvl w:val="0"/>
          <w:numId w:val="13"/>
        </w:numPr>
        <w:spacing w:before="60"/>
        <w:ind w:left="1066" w:hanging="357"/>
        <w:rPr>
          <w:szCs w:val="24"/>
        </w:rPr>
      </w:pPr>
      <w:r w:rsidRPr="008B1F1E">
        <w:rPr>
          <w:szCs w:val="24"/>
        </w:rPr>
        <w:t>perceived barriers (the cost to participate in screening)</w:t>
      </w:r>
    </w:p>
    <w:p w:rsidR="00C37C0C" w:rsidRPr="008B1F1E" w:rsidRDefault="00C37C0C" w:rsidP="006179C7">
      <w:pPr>
        <w:numPr>
          <w:ilvl w:val="0"/>
          <w:numId w:val="13"/>
        </w:numPr>
        <w:spacing w:before="60"/>
        <w:ind w:left="1066" w:hanging="357"/>
        <w:rPr>
          <w:szCs w:val="24"/>
        </w:rPr>
      </w:pPr>
      <w:r w:rsidRPr="008B1F1E">
        <w:rPr>
          <w:szCs w:val="24"/>
        </w:rPr>
        <w:t>cues to action (strategies to promote readiness to take part)</w:t>
      </w:r>
    </w:p>
    <w:p w:rsidR="00C37C0C" w:rsidRPr="008B1F1E" w:rsidRDefault="00C37C0C" w:rsidP="006179C7">
      <w:pPr>
        <w:numPr>
          <w:ilvl w:val="0"/>
          <w:numId w:val="13"/>
        </w:numPr>
        <w:spacing w:before="60"/>
        <w:ind w:left="1066" w:hanging="357"/>
        <w:rPr>
          <w:szCs w:val="24"/>
          <w:lang w:eastAsia="ar-SA"/>
        </w:rPr>
      </w:pPr>
      <w:r w:rsidRPr="008B1F1E">
        <w:rPr>
          <w:szCs w:val="24"/>
        </w:rPr>
        <w:t xml:space="preserve">self-efficacy (the confidence </w:t>
      </w:r>
      <w:r w:rsidRPr="008B1F1E">
        <w:rPr>
          <w:szCs w:val="24"/>
          <w:lang w:eastAsia="ar-SA"/>
        </w:rPr>
        <w:t xml:space="preserve">to take the recommended action). </w:t>
      </w:r>
    </w:p>
    <w:p w:rsidR="00C37C0C" w:rsidRDefault="00C37C0C" w:rsidP="00C37C0C">
      <w:r>
        <w:t>From the converted non-responders survey</w:t>
      </w:r>
      <w:r w:rsidR="007E440D">
        <w:t xml:space="preserve"> (Litmus 2016)</w:t>
      </w:r>
      <w:r>
        <w:t xml:space="preserve"> and the population survey (Litmus 2014a), the findings </w:t>
      </w:r>
      <w:r w:rsidR="00C62A93">
        <w:t>suggest</w:t>
      </w:r>
      <w:r>
        <w:t xml:space="preserve"> that factors that have the greatest impact on participation are linked to perceptions of susceptibility and severity of bowel cancer, and the benefits of the test.  </w:t>
      </w:r>
      <w:r w:rsidR="00644018">
        <w:t xml:space="preserve">Increasing understanding of bowel cancer and bowel screening is therefore critical in supporting eligible people to make an informed decision to take part or not.  </w:t>
      </w:r>
      <w:r>
        <w:t xml:space="preserve">This finding </w:t>
      </w:r>
      <w:r w:rsidR="00644018">
        <w:t xml:space="preserve">also </w:t>
      </w:r>
      <w:r>
        <w:t xml:space="preserve">suggests that </w:t>
      </w:r>
      <w:r w:rsidR="00644018">
        <w:t>the content of the message to non-res</w:t>
      </w:r>
      <w:r>
        <w:t xml:space="preserve">ponders </w:t>
      </w:r>
      <w:r w:rsidR="00644018">
        <w:t xml:space="preserve">about bowel cancer and bowel screening </w:t>
      </w:r>
      <w:r>
        <w:t xml:space="preserve">does not require tailoring across audiences.  However, how these messages are communicated will vary depending on the population group. </w:t>
      </w:r>
    </w:p>
    <w:p w:rsidR="00C37C0C" w:rsidRDefault="00C37C0C" w:rsidP="00C37C0C">
      <w:r>
        <w:t xml:space="preserve">Active follow-up and a range of other reminders are important as cues to action and work best when non-responders have an understanding of bowel cancer. </w:t>
      </w:r>
      <w:r w:rsidR="00965FA9">
        <w:t>The use of known M</w:t>
      </w:r>
      <w:r w:rsidR="00965FA9">
        <w:rPr>
          <w:rFonts w:cs="Arial"/>
        </w:rPr>
        <w:t>ā</w:t>
      </w:r>
      <w:r w:rsidR="00965FA9">
        <w:t xml:space="preserve">ori and Pacific health providers is also important to gain engagement and potentially overcome distrust and suspicion of unknown </w:t>
      </w:r>
      <w:r w:rsidR="00644018">
        <w:t xml:space="preserve">mail and </w:t>
      </w:r>
      <w:r w:rsidR="00965FA9">
        <w:t xml:space="preserve">callers.  </w:t>
      </w:r>
      <w:r>
        <w:t>Limited health literacy and self-efficacy to complete the iFOBT kit are known barriers in bowel</w:t>
      </w:r>
      <w:r w:rsidR="00815767">
        <w:t xml:space="preserve"> screening (Kobayashi et al 2014</w:t>
      </w:r>
      <w:r>
        <w:t>).  These factors may in part explain why just over half of the re</w:t>
      </w:r>
      <w:r w:rsidR="00FF52F8">
        <w:t>-</w:t>
      </w:r>
      <w:r>
        <w:t xml:space="preserve">sent kits are </w:t>
      </w:r>
      <w:r w:rsidRPr="00614E85">
        <w:t xml:space="preserve">completed, and that </w:t>
      </w:r>
      <w:r w:rsidR="00A232F4">
        <w:t xml:space="preserve">around four in ten people contacted by </w:t>
      </w:r>
      <w:r w:rsidRPr="00614E85">
        <w:t>the active follow-up result in completed kits</w:t>
      </w:r>
      <w:r w:rsidR="00A232F4">
        <w:t xml:space="preserve"> (Litmus 2016)</w:t>
      </w:r>
      <w:r w:rsidRPr="00614E85">
        <w:t>.</w:t>
      </w:r>
      <w:r>
        <w:t xml:space="preserve"> </w:t>
      </w:r>
    </w:p>
    <w:p w:rsidR="00C37C0C" w:rsidRDefault="00C37C0C" w:rsidP="00C37C0C">
      <w:r>
        <w:t>Health education strategies need to inform about bowel cancer</w:t>
      </w:r>
      <w:r w:rsidR="00466972">
        <w:t>:</w:t>
      </w:r>
      <w:r>
        <w:t xml:space="preserve"> the risk factors and incidence and effectiveness of treatment as well as demonstrating how the test is done to increase eligible participants’ confidence levels (Christou and Thompson 2012).  As Javanparast e</w:t>
      </w:r>
      <w:r w:rsidR="00F74AC8">
        <w:t>t al</w:t>
      </w:r>
      <w:r>
        <w:t xml:space="preserve"> (2012 p.523) states</w:t>
      </w:r>
      <w:r w:rsidR="00466972">
        <w:t>,</w:t>
      </w:r>
      <w:r>
        <w:t xml:space="preserve"> the diversity of eligible participants </w:t>
      </w:r>
      <w:r w:rsidRPr="005D10D6">
        <w:rPr>
          <w:i/>
        </w:rPr>
        <w:t>suggests that a one-size-fits-all bowel cancer screening program [sic] is not equitable.  Tailored approaches need to be developed to ensure equitable participation across populations.</w:t>
      </w:r>
    </w:p>
    <w:p w:rsidR="00C37C0C" w:rsidRDefault="00C37C0C" w:rsidP="00C37C0C">
      <w:pPr>
        <w:pStyle w:val="Heading2"/>
      </w:pPr>
      <w:bookmarkStart w:id="213" w:name="_Toc449167525"/>
      <w:bookmarkStart w:id="214" w:name="_Toc457842146"/>
      <w:r>
        <w:t>5.</w:t>
      </w:r>
      <w:r w:rsidR="004E2A25">
        <w:t>9</w:t>
      </w:r>
      <w:r>
        <w:tab/>
        <w:t>Conclusion</w:t>
      </w:r>
      <w:bookmarkEnd w:id="213"/>
      <w:bookmarkEnd w:id="214"/>
      <w:r>
        <w:t xml:space="preserve"> </w:t>
      </w:r>
    </w:p>
    <w:p w:rsidR="00666B20" w:rsidRDefault="00666B20" w:rsidP="00666B20">
      <w:pPr>
        <w:pStyle w:val="Heading3"/>
      </w:pPr>
      <w:r>
        <w:t>Leading with equity</w:t>
      </w:r>
    </w:p>
    <w:p w:rsidR="002E1083" w:rsidRDefault="00C37C0C" w:rsidP="002E1083">
      <w:r>
        <w:t>A nation</w:t>
      </w:r>
      <w:r w:rsidR="00644018">
        <w:t>al</w:t>
      </w:r>
      <w:r>
        <w:t xml:space="preserve"> bo</w:t>
      </w:r>
      <w:r w:rsidR="00A232F4">
        <w:t>wel screening programme must</w:t>
      </w:r>
      <w:r>
        <w:t xml:space="preserve"> lead with an equity focus</w:t>
      </w:r>
      <w:r w:rsidR="002E1083">
        <w:t xml:space="preserve"> </w:t>
      </w:r>
      <w:r w:rsidR="002E1083" w:rsidRPr="002E1083">
        <w:t>to avoid increasing existing inequities in bowel cancer outcomes</w:t>
      </w:r>
      <w:r>
        <w:t>.  The BSP has demonstrated that without appropriate systematic and structural approaches together with focused governance and leadership, inequities in bowel cancer outcomes will increase for M</w:t>
      </w:r>
      <w:r>
        <w:rPr>
          <w:rFonts w:cs="Arial"/>
        </w:rPr>
        <w:t>ā</w:t>
      </w:r>
      <w:r>
        <w:t xml:space="preserve">ori and Pacific people, and those living in areas of high deprivation.  </w:t>
      </w:r>
      <w:r w:rsidR="002E1083">
        <w:t xml:space="preserve">A national programme needs to shift the focus from thinking that inequity is an inevitable part of screening to one where </w:t>
      </w:r>
      <w:r w:rsidR="002E1083" w:rsidRPr="00B30F6E">
        <w:rPr>
          <w:i/>
        </w:rPr>
        <w:t>equity is a</w:t>
      </w:r>
      <w:r w:rsidR="002E1083">
        <w:t xml:space="preserve"> </w:t>
      </w:r>
      <w:r w:rsidR="002E1083" w:rsidRPr="00435751">
        <w:rPr>
          <w:i/>
        </w:rPr>
        <w:t>non-negotiable bottom</w:t>
      </w:r>
      <w:r w:rsidR="005D10D6">
        <w:rPr>
          <w:i/>
        </w:rPr>
        <w:t xml:space="preserve"> </w:t>
      </w:r>
      <w:r w:rsidR="002E1083" w:rsidRPr="00435751">
        <w:rPr>
          <w:i/>
        </w:rPr>
        <w:t>line</w:t>
      </w:r>
      <w:r w:rsidR="002E1083">
        <w:t xml:space="preserve">.  </w:t>
      </w:r>
      <w:r w:rsidR="002E1083" w:rsidRPr="0042549B">
        <w:t xml:space="preserve">Leading with an equity focus will ensure the programme’s design supports those groups known to be least likely to take part and at higher risk of cancer to be engaged and supported to </w:t>
      </w:r>
      <w:r w:rsidR="0042549B" w:rsidRPr="0042549B">
        <w:t>participate</w:t>
      </w:r>
      <w:r w:rsidR="002E1083" w:rsidRPr="0042549B">
        <w:t xml:space="preserve"> in all stages of bowel cancer screening.</w:t>
      </w:r>
      <w:r w:rsidR="002E1083">
        <w:t xml:space="preserve"> </w:t>
      </w:r>
    </w:p>
    <w:p w:rsidR="00C37C0C" w:rsidRDefault="00C37C0C" w:rsidP="00C37C0C">
      <w:pPr>
        <w:pStyle w:val="Quote"/>
      </w:pPr>
      <w:r>
        <w:t xml:space="preserve">Equity becomes kind of </w:t>
      </w:r>
      <w:r w:rsidR="005D10D6">
        <w:t xml:space="preserve">a </w:t>
      </w:r>
      <w:r>
        <w:t>voluntary option, an added extra instead of being a non-negotiable bottom line</w:t>
      </w:r>
      <w:r w:rsidR="006336D9">
        <w:t>, a</w:t>
      </w:r>
      <w:r>
        <w:t xml:space="preserve"> minimum requirement of where we need to get to. </w:t>
      </w:r>
      <w:r w:rsidR="00CF0E83">
        <w:t>(Stakeholder)</w:t>
      </w:r>
    </w:p>
    <w:p w:rsidR="00C37C0C" w:rsidRDefault="005D10D6" w:rsidP="00C37C0C">
      <w:r>
        <w:t>F</w:t>
      </w:r>
      <w:r w:rsidR="008F12AE">
        <w:t xml:space="preserve">rom </w:t>
      </w:r>
      <w:r w:rsidR="00C37C0C">
        <w:t>discussions with key stakeholders the following principles have been drawn together to support a national bowel screening programme that leads with equit</w:t>
      </w:r>
      <w:r w:rsidR="00AE145E">
        <w:t>y</w:t>
      </w:r>
      <w:r w:rsidR="00C37C0C">
        <w:t xml:space="preserve">: </w:t>
      </w:r>
    </w:p>
    <w:p w:rsidR="00C37C0C" w:rsidRDefault="00C37C0C" w:rsidP="00C37C0C">
      <w:r>
        <w:rPr>
          <w:b/>
        </w:rPr>
        <w:t xml:space="preserve">Clear equity statement: </w:t>
      </w:r>
      <w:r>
        <w:t xml:space="preserve"> From the outset, there needs to a clear and explicit understanding of what is meant by equity in participation and equity of access across the bowel screening pathway.  Acknowledgement is needed of the population groups who are known from the BSP to be less likely to take part</w:t>
      </w:r>
      <w:r w:rsidR="005D10D6">
        <w:t>.</w:t>
      </w:r>
      <w:r>
        <w:t xml:space="preserve"> </w:t>
      </w:r>
      <w:r w:rsidR="005D10D6">
        <w:t>S</w:t>
      </w:r>
      <w:r>
        <w:t xml:space="preserve">ystems </w:t>
      </w:r>
      <w:r w:rsidR="00F54ACF">
        <w:t xml:space="preserve">need to be put in place </w:t>
      </w:r>
      <w:r>
        <w:t>to enable the</w:t>
      </w:r>
      <w:r w:rsidR="00F54ACF">
        <w:t>ir participation</w:t>
      </w:r>
      <w:r>
        <w:t xml:space="preserve">. </w:t>
      </w:r>
      <w:r w:rsidR="00644018">
        <w:t>To date</w:t>
      </w:r>
      <w:r w:rsidR="00F54ACF">
        <w:t>,</w:t>
      </w:r>
      <w:r w:rsidR="00644018">
        <w:t xml:space="preserve"> equity </w:t>
      </w:r>
      <w:r w:rsidR="00F54ACF">
        <w:t>initiatives have</w:t>
      </w:r>
      <w:r w:rsidR="00644018">
        <w:t xml:space="preserve"> focused primarily on M</w:t>
      </w:r>
      <w:r w:rsidR="00F54ACF">
        <w:rPr>
          <w:rFonts w:cs="Arial"/>
        </w:rPr>
        <w:t>ā</w:t>
      </w:r>
      <w:r w:rsidR="00644018">
        <w:t xml:space="preserve">ori and Pacific people and recently those living in areas of high deprivation.  </w:t>
      </w:r>
      <w:r w:rsidR="005D10D6">
        <w:t>C</w:t>
      </w:r>
      <w:r w:rsidR="00F74AC8">
        <w:t>onsideration</w:t>
      </w:r>
      <w:r w:rsidR="00644018">
        <w:t xml:space="preserve"> is also needed </w:t>
      </w:r>
      <w:r w:rsidR="005D10D6">
        <w:t>for</w:t>
      </w:r>
      <w:r w:rsidR="00644018">
        <w:t xml:space="preserve"> other groups with lower participation including younger people and males.</w:t>
      </w:r>
      <w:r>
        <w:t xml:space="preserve"> </w:t>
      </w:r>
      <w:r w:rsidR="001B414F">
        <w:t xml:space="preserve"> </w:t>
      </w:r>
      <w:r>
        <w:t xml:space="preserve">An intense focus on equity is needed during </w:t>
      </w:r>
      <w:r w:rsidR="001B414F">
        <w:t xml:space="preserve">the design and </w:t>
      </w:r>
      <w:r>
        <w:t xml:space="preserve">early implementation </w:t>
      </w:r>
      <w:r w:rsidR="001B414F">
        <w:t xml:space="preserve">for </w:t>
      </w:r>
      <w:r w:rsidR="00F74AC8">
        <w:t>a national programme.  A</w:t>
      </w:r>
      <w:r>
        <w:t xml:space="preserve"> consistent </w:t>
      </w:r>
      <w:r w:rsidR="005D10D6">
        <w:t xml:space="preserve">equity </w:t>
      </w:r>
      <w:r>
        <w:t xml:space="preserve">approach </w:t>
      </w:r>
      <w:r w:rsidR="001B414F">
        <w:t xml:space="preserve">will be needed </w:t>
      </w:r>
      <w:r>
        <w:t>on</w:t>
      </w:r>
      <w:r w:rsidR="001B414F">
        <w:t xml:space="preserve"> an on</w:t>
      </w:r>
      <w:r>
        <w:t>going</w:t>
      </w:r>
      <w:r w:rsidR="001B414F">
        <w:t xml:space="preserve"> basis</w:t>
      </w:r>
      <w:r w:rsidR="005C5138">
        <w:t xml:space="preserve"> across the programme</w:t>
      </w:r>
      <w:r>
        <w:t xml:space="preserve">. </w:t>
      </w:r>
    </w:p>
    <w:p w:rsidR="0021090D" w:rsidRDefault="00C37C0C" w:rsidP="0021090D">
      <w:pPr>
        <w:rPr>
          <w:lang w:val="en-US"/>
        </w:rPr>
      </w:pPr>
      <w:r>
        <w:rPr>
          <w:b/>
        </w:rPr>
        <w:t>Leadership and governance:</w:t>
      </w:r>
      <w:r>
        <w:t xml:space="preserve">  </w:t>
      </w:r>
      <w:r w:rsidR="0021090D">
        <w:rPr>
          <w:lang w:val="en-US"/>
        </w:rPr>
        <w:t>M</w:t>
      </w:r>
      <w:r w:rsidR="0021090D">
        <w:rPr>
          <w:rFonts w:cs="Arial"/>
          <w:lang w:val="en-US"/>
        </w:rPr>
        <w:t>ā</w:t>
      </w:r>
      <w:r w:rsidR="0021090D">
        <w:rPr>
          <w:lang w:val="en-US"/>
        </w:rPr>
        <w:t xml:space="preserve">ori and Pacific leadership at the governance level </w:t>
      </w:r>
      <w:r w:rsidR="00346925">
        <w:rPr>
          <w:lang w:val="en-US"/>
        </w:rPr>
        <w:t xml:space="preserve">is needed </w:t>
      </w:r>
      <w:r w:rsidR="0021090D">
        <w:rPr>
          <w:lang w:val="en-US"/>
        </w:rPr>
        <w:t>to ensure that the design, funding and implementation of the programme are informed by expe</w:t>
      </w:r>
      <w:r w:rsidR="00346925">
        <w:rPr>
          <w:lang w:val="en-US"/>
        </w:rPr>
        <w:t xml:space="preserve">rt cultural and clinical advice, and a </w:t>
      </w:r>
      <w:r w:rsidR="00D818B7">
        <w:rPr>
          <w:lang w:val="en-US"/>
        </w:rPr>
        <w:t>real-</w:t>
      </w:r>
      <w:r w:rsidR="0021090D">
        <w:rPr>
          <w:lang w:val="en-US"/>
        </w:rPr>
        <w:t xml:space="preserve">time cultural lens is applied to monitoring of the results of the programme at the governance level. </w:t>
      </w:r>
    </w:p>
    <w:p w:rsidR="0021090D" w:rsidRDefault="0021090D" w:rsidP="0021090D">
      <w:r w:rsidRPr="000B396F">
        <w:rPr>
          <w:b/>
        </w:rPr>
        <w:t>Dedicated resource</w:t>
      </w:r>
      <w:r>
        <w:rPr>
          <w:b/>
        </w:rPr>
        <w:t>:</w:t>
      </w:r>
      <w:r>
        <w:t xml:space="preserve"> Structural and system approaches to equity need to be appropriately resourced from the outset both to develop an equity strategy and for its implementation. </w:t>
      </w:r>
    </w:p>
    <w:p w:rsidR="0021090D" w:rsidRDefault="0021090D" w:rsidP="0021090D">
      <w:pPr>
        <w:pStyle w:val="Quote"/>
      </w:pPr>
      <w:r>
        <w:t>Really strong analytical power particularly when it comes to equity. Having that resource built into the programme. (Stakeholder)</w:t>
      </w:r>
    </w:p>
    <w:p w:rsidR="00C37C0C" w:rsidRDefault="00C37C0C" w:rsidP="00C37C0C">
      <w:r w:rsidRPr="0043537C">
        <w:rPr>
          <w:b/>
        </w:rPr>
        <w:t>Structural and system focus</w:t>
      </w:r>
      <w:r w:rsidRPr="00D818B7">
        <w:rPr>
          <w:b/>
        </w:rPr>
        <w:t>:</w:t>
      </w:r>
      <w:r>
        <w:t xml:space="preserve">  A continuous quality improvement process is required that seeks to strengthen access to screening and the screening pathway to achieve equity.  Where appropriate, screening pathways need to be simplified making them easy and stress free so people move easily along the</w:t>
      </w:r>
      <w:r w:rsidR="00D818B7">
        <w:t>m</w:t>
      </w:r>
      <w:r>
        <w:t xml:space="preserve">.  </w:t>
      </w:r>
    </w:p>
    <w:p w:rsidR="00C37C0C" w:rsidRDefault="00C37C0C" w:rsidP="00CF0E83">
      <w:pPr>
        <w:pStyle w:val="Quote"/>
      </w:pPr>
      <w:r>
        <w:t>System responsibility to deliver a quality programme... using appropriate follow-up systems; that engagement processes and communications were orientated in the right way; that people were ensured that the quality of follow-up and treatment was appropriate; that they have mechanisms to engage that were outside of the ‘I will send you a let</w:t>
      </w:r>
      <w:r w:rsidR="00C12ABE">
        <w:t>ter and then I will follow-up la</w:t>
      </w:r>
      <w:r>
        <w:t xml:space="preserve">ter’ – there are mechanisms to respond to the community and their expectations of services. </w:t>
      </w:r>
      <w:r w:rsidR="00CF0E83">
        <w:t>(Stakeholder)</w:t>
      </w:r>
    </w:p>
    <w:p w:rsidR="00C37C0C" w:rsidRDefault="00C37C0C" w:rsidP="00C37C0C">
      <w:r>
        <w:rPr>
          <w:b/>
          <w:lang w:eastAsia="ar-SA"/>
        </w:rPr>
        <w:t>Multifaceted and</w:t>
      </w:r>
      <w:r w:rsidRPr="0030633A">
        <w:rPr>
          <w:b/>
          <w:lang w:eastAsia="ar-SA"/>
        </w:rPr>
        <w:t xml:space="preserve"> multidisciplinary approaches</w:t>
      </w:r>
      <w:r>
        <w:rPr>
          <w:b/>
          <w:lang w:eastAsia="ar-SA"/>
        </w:rPr>
        <w:t>:</w:t>
      </w:r>
      <w:r>
        <w:rPr>
          <w:b/>
        </w:rPr>
        <w:t xml:space="preserve"> </w:t>
      </w:r>
      <w:r>
        <w:t>A range of approaches are needed to achieve equity such as CAR, letter reminders, active follow-up</w:t>
      </w:r>
      <w:r w:rsidR="003B7805">
        <w:t xml:space="preserve"> using phone and face-to-face approaches</w:t>
      </w:r>
      <w:r>
        <w:t>, opportunistic and systematic reminders by general practice and M</w:t>
      </w:r>
      <w:r>
        <w:rPr>
          <w:rFonts w:cs="Arial"/>
        </w:rPr>
        <w:t>ā</w:t>
      </w:r>
      <w:r>
        <w:t xml:space="preserve">ori and Pacific health </w:t>
      </w:r>
      <w:r w:rsidR="00346925">
        <w:t xml:space="preserve">and community </w:t>
      </w:r>
      <w:r>
        <w:t xml:space="preserve">providers. All initiatives undertaken need </w:t>
      </w:r>
      <w:r w:rsidR="00D818B7">
        <w:t xml:space="preserve">to be </w:t>
      </w:r>
      <w:r w:rsidR="00A232F4">
        <w:t xml:space="preserve">tailored to the region and local populations and </w:t>
      </w:r>
      <w:r>
        <w:t>monitored with KPIs for equity along the whole screening pathway</w:t>
      </w:r>
      <w:r w:rsidR="00D818B7">
        <w:t>,</w:t>
      </w:r>
      <w:r>
        <w:t xml:space="preserve"> not just at participation.  </w:t>
      </w:r>
    </w:p>
    <w:p w:rsidR="00C37C0C" w:rsidRDefault="00C37C0C" w:rsidP="00C37C0C">
      <w:r>
        <w:t>Approaches used to increase awareness and support participation need to demysti</w:t>
      </w:r>
      <w:r w:rsidR="00CF0E83">
        <w:t xml:space="preserve">fy </w:t>
      </w:r>
      <w:r>
        <w:t xml:space="preserve">bowel screening as </w:t>
      </w:r>
      <w:r w:rsidR="00CF0E83">
        <w:t>eligible participants can</w:t>
      </w:r>
      <w:r w:rsidR="001B414F">
        <w:t>,</w:t>
      </w:r>
      <w:r w:rsidR="00CF0E83">
        <w:t xml:space="preserve"> without engaging with written material </w:t>
      </w:r>
      <w:r w:rsidR="001B414F">
        <w:t xml:space="preserve">received, </w:t>
      </w:r>
      <w:r>
        <w:t>misunderst</w:t>
      </w:r>
      <w:r w:rsidR="00CF0E83">
        <w:t xml:space="preserve">and </w:t>
      </w:r>
      <w:r>
        <w:t>what is required</w:t>
      </w:r>
      <w:r w:rsidR="00CF0E83">
        <w:t xml:space="preserve"> to complete the test</w:t>
      </w:r>
      <w:r>
        <w:t>.  Further, previous experience of M</w:t>
      </w:r>
      <w:r>
        <w:rPr>
          <w:rFonts w:cs="Arial"/>
        </w:rPr>
        <w:t>ā</w:t>
      </w:r>
      <w:r>
        <w:t xml:space="preserve">ori and Pacific people in the health system may </w:t>
      </w:r>
      <w:r w:rsidR="005C5138">
        <w:t xml:space="preserve">influence </w:t>
      </w:r>
      <w:r>
        <w:t xml:space="preserve">their receptiveness to bowel screening.  Recognition is also needed of the wider context of Māori and Pacific lives and the impact on participation.  Bowel screening may be a low priority. </w:t>
      </w:r>
    </w:p>
    <w:p w:rsidR="00CF0E83" w:rsidRDefault="00CF0E83" w:rsidP="00505053">
      <w:pPr>
        <w:pStyle w:val="Quote"/>
      </w:pPr>
      <w:r w:rsidRPr="004022D1">
        <w:t xml:space="preserve">It was </w:t>
      </w:r>
      <w:r>
        <w:t xml:space="preserve">about </w:t>
      </w:r>
      <w:r w:rsidRPr="004022D1">
        <w:t>getting my head around</w:t>
      </w:r>
      <w:r>
        <w:t xml:space="preserve"> it</w:t>
      </w:r>
      <w:r w:rsidRPr="004022D1">
        <w:t>, I mean I’ve</w:t>
      </w:r>
      <w:r>
        <w:t xml:space="preserve"> heard other people talk about ‘</w:t>
      </w:r>
      <w:r w:rsidRPr="004022D1">
        <w:t>Oh they want me to put my s</w:t>
      </w:r>
      <w:r>
        <w:t>**</w:t>
      </w:r>
      <w:r w:rsidRPr="004022D1">
        <w:t>t in a bag</w:t>
      </w:r>
      <w:r>
        <w:t xml:space="preserve">’ </w:t>
      </w:r>
      <w:r w:rsidRPr="004022D1">
        <w:t xml:space="preserve">… Cause they think that’s what you’ve got to </w:t>
      </w:r>
      <w:r>
        <w:t xml:space="preserve">do; </w:t>
      </w:r>
      <w:r w:rsidRPr="004022D1">
        <w:t>take a whole piece out of the toilet and put it in a bag and send it</w:t>
      </w:r>
      <w:r>
        <w:rPr>
          <w:highlight w:val="white"/>
        </w:rPr>
        <w:t>.</w:t>
      </w:r>
      <w:r>
        <w:t xml:space="preserve"> </w:t>
      </w:r>
      <w:r w:rsidRPr="00AE2705">
        <w:rPr>
          <w:i w:val="0"/>
        </w:rPr>
        <w:t>(</w:t>
      </w:r>
      <w:r>
        <w:rPr>
          <w:i w:val="0"/>
        </w:rPr>
        <w:t>BSP participant</w:t>
      </w:r>
      <w:r w:rsidRPr="00AE2705">
        <w:rPr>
          <w:i w:val="0"/>
        </w:rPr>
        <w:t>)</w:t>
      </w:r>
    </w:p>
    <w:p w:rsidR="00C37C0C" w:rsidRDefault="00C37C0C" w:rsidP="00C37C0C">
      <w:r>
        <w:rPr>
          <w:b/>
        </w:rPr>
        <w:t xml:space="preserve">Clarity of bowel screening </w:t>
      </w:r>
      <w:r w:rsidRPr="007245CA">
        <w:rPr>
          <w:b/>
        </w:rPr>
        <w:t>messages and instructions</w:t>
      </w:r>
      <w:r w:rsidRPr="00D818B7">
        <w:rPr>
          <w:b/>
        </w:rPr>
        <w:t>:</w:t>
      </w:r>
      <w:r>
        <w:t xml:space="preserve">  The distribution of the iFOBT kit and completion requires a level of literacy and self-efficacy to complete.  Work has been undertaken in the BSP to </w:t>
      </w:r>
      <w:r w:rsidR="001B414F">
        <w:t>improve</w:t>
      </w:r>
      <w:r>
        <w:t xml:space="preserve"> the accessibility of the letter and kit instructions, and active follow-up scripts.  Ongoing focus will be needed to ensure communications at a national level retain a level of rigour on literacy level and clarity and consistency of message. </w:t>
      </w:r>
    </w:p>
    <w:p w:rsidR="00C37C0C" w:rsidRDefault="00C37C0C" w:rsidP="00C37C0C">
      <w:r>
        <w:rPr>
          <w:b/>
          <w:lang w:eastAsia="ar-SA"/>
        </w:rPr>
        <w:t xml:space="preserve">Integrated Register: </w:t>
      </w:r>
      <w:r>
        <w:t xml:space="preserve">The Register needs to be up-to-date and invite all those eligible to take part.  The Register needs to inform ‘real time’ follow-up activities and support reminder processes through interfacing with existing primary care systems. Further, the Register needs to enable the monitoring of uptake and equity across the pathway.  </w:t>
      </w:r>
    </w:p>
    <w:p w:rsidR="00CF0E83" w:rsidRDefault="00C37C0C" w:rsidP="00CF0E83">
      <w:pPr>
        <w:pStyle w:val="Quote"/>
      </w:pPr>
      <w:r>
        <w:t>The ability to connect systems and talk across systems so that we can get the best efficiency out of communicating with people and follow-up systems if they are required.  So that we are not having to create new systems to do this work.</w:t>
      </w:r>
      <w:r w:rsidR="00CF0E83" w:rsidRPr="00CF0E83">
        <w:t xml:space="preserve"> </w:t>
      </w:r>
      <w:r w:rsidR="00CF0E83">
        <w:t>(Stakeholder)</w:t>
      </w:r>
    </w:p>
    <w:p w:rsidR="00C37C0C" w:rsidRDefault="00C37C0C" w:rsidP="00C37C0C">
      <w:r w:rsidRPr="000B396F">
        <w:rPr>
          <w:b/>
        </w:rPr>
        <w:t>Monitoring data and KPIs</w:t>
      </w:r>
      <w:r w:rsidRPr="00D818B7">
        <w:rPr>
          <w:b/>
        </w:rPr>
        <w:t>:</w:t>
      </w:r>
      <w:r>
        <w:t xml:space="preserve">  Close monitoring, target setting and accountability is important to determine whether or not equity is being achieved.  Ideally, an independent M</w:t>
      </w:r>
      <w:r>
        <w:rPr>
          <w:rFonts w:cs="Arial"/>
        </w:rPr>
        <w:t>ā</w:t>
      </w:r>
      <w:r>
        <w:t>ori and Pacific monitoring group will be established to assess the KPIs by ethnicity, age, gender and deprivation and receive reports annually.  As similar to breast screening, the group will be able to request corrective action where KPIs demonstrate inequity</w:t>
      </w:r>
      <w:r w:rsidR="001B414F">
        <w:t xml:space="preserve"> (Hill et al 2012)</w:t>
      </w:r>
      <w:r>
        <w:t xml:space="preserve">.  Using this governance approach to monitoring in breast screening has resulted in a narrowing of screening inequities. </w:t>
      </w:r>
    </w:p>
    <w:p w:rsidR="003B7805" w:rsidRDefault="00C37C0C" w:rsidP="003B7805">
      <w:r>
        <w:rPr>
          <w:b/>
        </w:rPr>
        <w:t>Workforce capability building:</w:t>
      </w:r>
      <w:r>
        <w:t xml:space="preserve">  </w:t>
      </w:r>
      <w:r w:rsidR="003B7805">
        <w:t>All bowel screening providers have a responsibility for equity of access to and participation along the bowel screening pathway.  To complement and support the work of M</w:t>
      </w:r>
      <w:r w:rsidR="003B7805" w:rsidRPr="003B7805">
        <w:t>ā</w:t>
      </w:r>
      <w:r w:rsidR="003B7805">
        <w:t>ori and Pacific equity roles, t</w:t>
      </w:r>
      <w:r>
        <w:t xml:space="preserve">raining </w:t>
      </w:r>
      <w:r w:rsidR="003B7805">
        <w:t>is important to</w:t>
      </w:r>
      <w:r>
        <w:t xml:space="preserve"> b</w:t>
      </w:r>
      <w:r w:rsidR="003B7805">
        <w:t>uild</w:t>
      </w:r>
      <w:r>
        <w:t xml:space="preserve"> the </w:t>
      </w:r>
      <w:r w:rsidR="003B7805">
        <w:t>capability</w:t>
      </w:r>
      <w:r>
        <w:t xml:space="preserve"> of the bowel screening </w:t>
      </w:r>
      <w:r w:rsidR="003B7805">
        <w:t>providers to work effectively with M</w:t>
      </w:r>
      <w:r w:rsidR="003B7805">
        <w:rPr>
          <w:rFonts w:cs="Arial"/>
        </w:rPr>
        <w:t>ā</w:t>
      </w:r>
      <w:r w:rsidR="003B7805" w:rsidRPr="003B7805">
        <w:t xml:space="preserve">ori and Pacific </w:t>
      </w:r>
      <w:r w:rsidR="003B7805">
        <w:t xml:space="preserve">people </w:t>
      </w:r>
      <w:r>
        <w:t xml:space="preserve">across the </w:t>
      </w:r>
      <w:r w:rsidR="003B7805">
        <w:t xml:space="preserve">screening pathway.   </w:t>
      </w:r>
    </w:p>
    <w:p w:rsidR="00C37C0C" w:rsidRDefault="00C37C0C" w:rsidP="00C37C0C">
      <w:r w:rsidRPr="008F0D32">
        <w:rPr>
          <w:b/>
        </w:rPr>
        <w:t>M</w:t>
      </w:r>
      <w:r>
        <w:rPr>
          <w:rFonts w:cs="Arial"/>
          <w:b/>
        </w:rPr>
        <w:t>ā</w:t>
      </w:r>
      <w:r w:rsidRPr="008F0D32">
        <w:rPr>
          <w:b/>
        </w:rPr>
        <w:t xml:space="preserve">ori and Pacific primary </w:t>
      </w:r>
      <w:r>
        <w:rPr>
          <w:b/>
        </w:rPr>
        <w:t xml:space="preserve">health </w:t>
      </w:r>
      <w:r w:rsidRPr="008F0D32">
        <w:rPr>
          <w:b/>
        </w:rPr>
        <w:t>care</w:t>
      </w:r>
      <w:r>
        <w:rPr>
          <w:b/>
        </w:rPr>
        <w:t xml:space="preserve"> and other community providers: </w:t>
      </w:r>
      <w:r>
        <w:t xml:space="preserve"> A national bowel screening programme needs to connect into a wide range of communities in ways they want to be connected with.  The BSP </w:t>
      </w:r>
      <w:r w:rsidR="00CF0E83">
        <w:t xml:space="preserve">was </w:t>
      </w:r>
      <w:r w:rsidR="00A232F4">
        <w:t xml:space="preserve">located </w:t>
      </w:r>
      <w:r w:rsidR="00CF0E83">
        <w:t>in</w:t>
      </w:r>
      <w:r>
        <w:t xml:space="preserve"> a primarily urbanised community and it is likely that different issues will arise for rural communities. The bowel screening programme needs to determine how it will work with </w:t>
      </w:r>
      <w:r w:rsidRPr="00627BAB">
        <w:t xml:space="preserve">Māori and Pacific primary health care </w:t>
      </w:r>
      <w:r w:rsidR="00FB25E9">
        <w:t xml:space="preserve">and community </w:t>
      </w:r>
      <w:r w:rsidRPr="00627BAB">
        <w:t>provider</w:t>
      </w:r>
      <w:r>
        <w:t xml:space="preserve">s who have a proven track record with their communities to promote bowel screening and participation through active follow-up and other engagements. </w:t>
      </w:r>
    </w:p>
    <w:p w:rsidR="00CF0E83" w:rsidRDefault="00C37C0C" w:rsidP="00CF0E83">
      <w:pPr>
        <w:pStyle w:val="Quote"/>
      </w:pPr>
      <w:r>
        <w:t>It is unrealistic to think that one person can take on a role, or a small group of people can take on a role for such diverse communities and needs</w:t>
      </w:r>
      <w:r w:rsidR="00CF0E83">
        <w:t>. (Stakeholder)</w:t>
      </w:r>
    </w:p>
    <w:p w:rsidR="00C37C0C" w:rsidRDefault="00C37C0C" w:rsidP="00C37C0C">
      <w:r w:rsidRPr="00C9106A">
        <w:rPr>
          <w:b/>
        </w:rPr>
        <w:t xml:space="preserve">Symptomatic pathway: </w:t>
      </w:r>
      <w:r>
        <w:rPr>
          <w:b/>
        </w:rPr>
        <w:t xml:space="preserve"> </w:t>
      </w:r>
      <w:r>
        <w:t xml:space="preserve">An equity focus is also required for the symptomatic pathway to ensure equity in all bowel cancer pathways. </w:t>
      </w:r>
    </w:p>
    <w:p w:rsidR="00A232F4" w:rsidRDefault="00A232F4" w:rsidP="00C37C0C"/>
    <w:p w:rsidR="00C37C0C" w:rsidRPr="003326E9" w:rsidRDefault="00C37C0C" w:rsidP="00666B20">
      <w:pPr>
        <w:pStyle w:val="Quote"/>
        <w:jc w:val="center"/>
        <w:rPr>
          <w:b/>
          <w:color w:val="C00000"/>
        </w:rPr>
      </w:pPr>
      <w:r w:rsidRPr="003326E9">
        <w:rPr>
          <w:b/>
          <w:color w:val="C00000"/>
        </w:rPr>
        <w:t>Equity focused and prioritised…We need to look at this wonderful opportunity and lead the world.</w:t>
      </w:r>
    </w:p>
    <w:p w:rsidR="00A232F4" w:rsidRDefault="00A232F4" w:rsidP="00F2473C">
      <w:pPr>
        <w:pStyle w:val="Heading1"/>
      </w:pPr>
      <w:bookmarkStart w:id="215" w:name="_Toc448760517"/>
      <w:r>
        <w:br/>
      </w:r>
      <w:r>
        <w:br/>
      </w:r>
    </w:p>
    <w:p w:rsidR="00A232F4" w:rsidRDefault="00A232F4">
      <w:pPr>
        <w:spacing w:before="0"/>
        <w:ind w:left="0"/>
        <w:rPr>
          <w:b/>
          <w:sz w:val="36"/>
          <w:szCs w:val="36"/>
        </w:rPr>
      </w:pPr>
      <w:r>
        <w:br w:type="page"/>
      </w:r>
    </w:p>
    <w:p w:rsidR="00F2473C" w:rsidRPr="000D2864" w:rsidRDefault="00F2473C" w:rsidP="00F2473C">
      <w:pPr>
        <w:pStyle w:val="Heading1"/>
      </w:pPr>
      <w:bookmarkStart w:id="216" w:name="_Toc457842147"/>
      <w:r>
        <w:t>6.</w:t>
      </w:r>
      <w:r>
        <w:tab/>
      </w:r>
      <w:r w:rsidRPr="000D2864">
        <w:t>Safety and acceptability</w:t>
      </w:r>
      <w:bookmarkEnd w:id="215"/>
      <w:bookmarkEnd w:id="216"/>
      <w:r w:rsidRPr="000D2864">
        <w:t xml:space="preserve"> </w:t>
      </w:r>
    </w:p>
    <w:p w:rsidR="00F2473C" w:rsidRPr="00F2473C" w:rsidRDefault="00F2473C" w:rsidP="0006735F">
      <w:pPr>
        <w:pBdr>
          <w:top w:val="single" w:sz="4" w:space="1" w:color="auto"/>
          <w:left w:val="single" w:sz="4" w:space="4" w:color="auto"/>
          <w:bottom w:val="single" w:sz="4" w:space="1" w:color="auto"/>
          <w:right w:val="single" w:sz="4" w:space="4" w:color="auto"/>
        </w:pBdr>
        <w:rPr>
          <w:b/>
        </w:rPr>
      </w:pPr>
      <w:r w:rsidRPr="00F2473C">
        <w:rPr>
          <w:b/>
        </w:rPr>
        <w:t xml:space="preserve">Evaluation aim addressed in this section </w:t>
      </w:r>
    </w:p>
    <w:p w:rsidR="00F2473C" w:rsidRDefault="00F2473C" w:rsidP="0006735F">
      <w:pPr>
        <w:pBdr>
          <w:top w:val="single" w:sz="4" w:space="1" w:color="auto"/>
          <w:left w:val="single" w:sz="4" w:space="4" w:color="auto"/>
          <w:bottom w:val="single" w:sz="4" w:space="1" w:color="auto"/>
          <w:right w:val="single" w:sz="4" w:space="4" w:color="auto"/>
        </w:pBdr>
      </w:pPr>
      <w:r w:rsidRPr="00B256E0">
        <w:rPr>
          <w:b/>
        </w:rPr>
        <w:t>Safety and acceptability:</w:t>
      </w:r>
      <w:r w:rsidRPr="00C95C03">
        <w:t xml:space="preserve"> Can a national bowel screening programme be delivered in a manner that is safe and acceptable?</w:t>
      </w:r>
    </w:p>
    <w:p w:rsidR="00F2473C" w:rsidRDefault="007B7FB7" w:rsidP="007B7FB7">
      <w:pPr>
        <w:pStyle w:val="Heading2"/>
      </w:pPr>
      <w:bookmarkStart w:id="217" w:name="_Toc457842148"/>
      <w:r>
        <w:t>6.1</w:t>
      </w:r>
      <w:r>
        <w:tab/>
        <w:t>Safety: c</w:t>
      </w:r>
      <w:r w:rsidRPr="00C95C03">
        <w:t>an a national bowel screening programme be delivered in a manner that is safe</w:t>
      </w:r>
      <w:r>
        <w:t>?</w:t>
      </w:r>
      <w:bookmarkEnd w:id="217"/>
    </w:p>
    <w:p w:rsidR="007B7FB7" w:rsidRDefault="00F34D70" w:rsidP="007B7FB7">
      <w:pPr>
        <w:pStyle w:val="Heading3"/>
      </w:pPr>
      <w:r>
        <w:t>Assessing s</w:t>
      </w:r>
      <w:r w:rsidR="007B7FB7">
        <w:t xml:space="preserve">afety in screening </w:t>
      </w:r>
      <w:r w:rsidR="00847FDF">
        <w:t xml:space="preserve">programmes </w:t>
      </w:r>
    </w:p>
    <w:p w:rsidR="00F34D70" w:rsidRDefault="00CA77D8" w:rsidP="00F34D70">
      <w:r>
        <w:t>The National Screening Unit (2005</w:t>
      </w:r>
      <w:r w:rsidR="00BA6E90">
        <w:t xml:space="preserve"> p.10</w:t>
      </w:r>
      <w:r w:rsidR="00206B9C">
        <w:t>) states</w:t>
      </w:r>
      <w:r>
        <w:t xml:space="preserve"> that safety</w:t>
      </w:r>
      <w:r w:rsidR="00D16A17">
        <w:t>,</w:t>
      </w:r>
      <w:r>
        <w:t xml:space="preserve"> defined as the extent to which harm is kept to a minimum</w:t>
      </w:r>
      <w:r w:rsidR="00D16A17">
        <w:t>,</w:t>
      </w:r>
      <w:r>
        <w:t xml:space="preserve"> is one of the four dimension</w:t>
      </w:r>
      <w:r w:rsidR="0060370C">
        <w:t>s</w:t>
      </w:r>
      <w:r>
        <w:t xml:space="preserve"> of quality for a screening programme.  The other dimensions of quality are equity and access (</w:t>
      </w:r>
      <w:r w:rsidR="00BA6E90">
        <w:t xml:space="preserve">refer </w:t>
      </w:r>
      <w:r>
        <w:t>section 5), efficiency and effectiveness (</w:t>
      </w:r>
      <w:r w:rsidR="00BA6E90">
        <w:t xml:space="preserve">refer </w:t>
      </w:r>
      <w:r>
        <w:t xml:space="preserve">section 4).  </w:t>
      </w:r>
      <w:r w:rsidR="00BA6E90">
        <w:t>Safety is multi-dimensional</w:t>
      </w:r>
      <w:r w:rsidR="0006735F">
        <w:t xml:space="preserve"> and</w:t>
      </w:r>
      <w:r w:rsidR="00BA6E90">
        <w:t xml:space="preserve"> incorporat</w:t>
      </w:r>
      <w:r w:rsidR="0006735F">
        <w:t>es</w:t>
      </w:r>
      <w:r w:rsidR="00BA6E90">
        <w:t xml:space="preserve"> perspectives such as cultural</w:t>
      </w:r>
      <w:r w:rsidR="00F34D70">
        <w:t xml:space="preserve"> (</w:t>
      </w:r>
      <w:r w:rsidR="00451E42">
        <w:t>i.e.</w:t>
      </w:r>
      <w:r w:rsidR="00F34D70">
        <w:t xml:space="preserve"> the screening programme operates in a cultural context that makes sense to participants)</w:t>
      </w:r>
      <w:r w:rsidR="00BA6E90">
        <w:t xml:space="preserve">, environmental </w:t>
      </w:r>
      <w:r w:rsidR="00F34D70">
        <w:t>(</w:t>
      </w:r>
      <w:r w:rsidR="00451E42">
        <w:t>e.g.</w:t>
      </w:r>
      <w:r w:rsidR="00F34D70">
        <w:t xml:space="preserve"> test, facility, and equipment), </w:t>
      </w:r>
      <w:r w:rsidR="00BA6E90">
        <w:t xml:space="preserve">and clinical safety (National Screening Unit 2005 p.15). </w:t>
      </w:r>
      <w:r w:rsidR="00F34D70">
        <w:t xml:space="preserve"> In this context, the screening pathway of the BSP is assessed to determine whether it is safe, and thus address</w:t>
      </w:r>
      <w:r w:rsidR="00BE398D">
        <w:t>es</w:t>
      </w:r>
      <w:r w:rsidR="00206B9C">
        <w:t xml:space="preserve"> </w:t>
      </w:r>
      <w:r w:rsidR="00F34D70">
        <w:t xml:space="preserve">whether </w:t>
      </w:r>
      <w:r w:rsidR="0060370C">
        <w:t xml:space="preserve">a national bowel programme </w:t>
      </w:r>
      <w:r w:rsidR="00F34D70">
        <w:t xml:space="preserve">can be delivered in a way that is safe. </w:t>
      </w:r>
      <w:r w:rsidR="00EF5CFC">
        <w:t xml:space="preserve"> </w:t>
      </w:r>
    </w:p>
    <w:p w:rsidR="007B7FB7" w:rsidRPr="0069220B" w:rsidRDefault="00F34D70" w:rsidP="007B7FB7">
      <w:pPr>
        <w:pStyle w:val="Heading3"/>
      </w:pPr>
      <w:r w:rsidRPr="0069220B">
        <w:t>Assessing s</w:t>
      </w:r>
      <w:r w:rsidR="007B7FB7" w:rsidRPr="0069220B">
        <w:t xml:space="preserve">afety in the BSP </w:t>
      </w:r>
    </w:p>
    <w:p w:rsidR="006F7EA3" w:rsidRDefault="00400F7F" w:rsidP="005B103A">
      <w:pPr>
        <w:pStyle w:val="Heading4"/>
        <w:spacing w:after="120"/>
      </w:pPr>
      <w:r w:rsidRPr="0069220B">
        <w:t>Governance</w:t>
      </w:r>
      <w:r w:rsidR="00451E42" w:rsidRPr="0069220B">
        <w:t xml:space="preserve"> and leadership</w:t>
      </w:r>
    </w:p>
    <w:p w:rsidR="00400F7F" w:rsidRDefault="006F7EA3" w:rsidP="005B103A">
      <w:pPr>
        <w:spacing w:before="120"/>
      </w:pPr>
      <w:r>
        <w:rPr>
          <w:lang w:eastAsia="ar-SA"/>
        </w:rPr>
        <w:t xml:space="preserve">Governance and leadership have important roles in monitoring the safety of the BSP.  </w:t>
      </w:r>
      <w:r w:rsidR="00451E42">
        <w:rPr>
          <w:lang w:eastAsia="ar-SA"/>
        </w:rPr>
        <w:t xml:space="preserve">Feedback indicates the governance and leadership </w:t>
      </w:r>
      <w:r w:rsidR="00400F7F">
        <w:rPr>
          <w:lang w:eastAsia="ar-SA"/>
        </w:rPr>
        <w:t>structures of the BSP have</w:t>
      </w:r>
      <w:r w:rsidR="00451E42">
        <w:rPr>
          <w:lang w:eastAsia="ar-SA"/>
        </w:rPr>
        <w:t xml:space="preserve"> worked well across the pilot duration with robust and constructive discussions at the Ministry</w:t>
      </w:r>
      <w:r w:rsidR="00293577">
        <w:rPr>
          <w:lang w:eastAsia="ar-SA"/>
        </w:rPr>
        <w:t xml:space="preserve"> of Health</w:t>
      </w:r>
      <w:r w:rsidR="00451E42">
        <w:rPr>
          <w:lang w:eastAsia="ar-SA"/>
        </w:rPr>
        <w:t xml:space="preserve">, WDHB Steering Group and with </w:t>
      </w:r>
      <w:r w:rsidR="001423A0">
        <w:t>Bowel Screening Advisory Group</w:t>
      </w:r>
      <w:r w:rsidR="00451E42">
        <w:rPr>
          <w:lang w:eastAsia="ar-SA"/>
        </w:rPr>
        <w:t xml:space="preserve"> and the Bowel Cancer</w:t>
      </w:r>
      <w:r w:rsidR="000873B6">
        <w:rPr>
          <w:lang w:eastAsia="ar-SA"/>
        </w:rPr>
        <w:t xml:space="preserve"> Working Group </w:t>
      </w:r>
      <w:r>
        <w:rPr>
          <w:lang w:eastAsia="ar-SA"/>
        </w:rPr>
        <w:t>(Litmus 2016a)</w:t>
      </w:r>
      <w:r w:rsidR="00451E42">
        <w:rPr>
          <w:lang w:eastAsia="ar-SA"/>
        </w:rPr>
        <w:t xml:space="preserve">.  </w:t>
      </w:r>
      <w:r w:rsidR="00400F7F">
        <w:t xml:space="preserve">In </w:t>
      </w:r>
      <w:r w:rsidR="00F72955">
        <w:t>Round 2</w:t>
      </w:r>
      <w:r w:rsidR="00400F7F">
        <w:t>, M</w:t>
      </w:r>
      <w:r w:rsidR="00400F7F">
        <w:rPr>
          <w:rFonts w:cs="Arial"/>
        </w:rPr>
        <w:t>ā</w:t>
      </w:r>
      <w:r w:rsidR="00400F7F">
        <w:t xml:space="preserve">ori leadership </w:t>
      </w:r>
      <w:r w:rsidR="006B18A6">
        <w:t xml:space="preserve">in particular </w:t>
      </w:r>
      <w:r w:rsidR="00400F7F">
        <w:t>was strengthened including those with a depth of clinical</w:t>
      </w:r>
      <w:r w:rsidR="006B18A6">
        <w:t>,</w:t>
      </w:r>
      <w:r w:rsidR="00400F7F">
        <w:t xml:space="preserve"> screening and community knowledge, and having representation on key governance groups.  Pacific leadership was enhanced</w:t>
      </w:r>
      <w:r w:rsidR="006B18A6">
        <w:t>,</w:t>
      </w:r>
      <w:r w:rsidR="00400F7F">
        <w:t xml:space="preserve"> but involvement continues to be </w:t>
      </w:r>
      <w:r w:rsidR="0059179A">
        <w:t>ad hoc</w:t>
      </w:r>
      <w:r w:rsidR="00400F7F">
        <w:t xml:space="preserve"> due to the significant demands on their capacity.  </w:t>
      </w:r>
    </w:p>
    <w:p w:rsidR="00451E42" w:rsidRDefault="000873B6" w:rsidP="00451E42">
      <w:pPr>
        <w:rPr>
          <w:lang w:eastAsia="ar-SA"/>
        </w:rPr>
      </w:pPr>
      <w:r>
        <w:rPr>
          <w:lang w:eastAsia="ar-SA"/>
        </w:rPr>
        <w:t xml:space="preserve">In </w:t>
      </w:r>
      <w:r w:rsidR="00F72955">
        <w:rPr>
          <w:lang w:eastAsia="ar-SA"/>
        </w:rPr>
        <w:t>Round 2</w:t>
      </w:r>
      <w:r>
        <w:rPr>
          <w:lang w:eastAsia="ar-SA"/>
        </w:rPr>
        <w:t>, t</w:t>
      </w:r>
      <w:r w:rsidR="00206B9C">
        <w:rPr>
          <w:lang w:eastAsia="ar-SA"/>
        </w:rPr>
        <w:t xml:space="preserve">he </w:t>
      </w:r>
      <w:r w:rsidR="00451E42">
        <w:rPr>
          <w:lang w:eastAsia="ar-SA"/>
        </w:rPr>
        <w:t xml:space="preserve">role of endoscopy governance has been debated at a sector-wide level.  For a national </w:t>
      </w:r>
      <w:r w:rsidR="00206B9C">
        <w:rPr>
          <w:lang w:eastAsia="ar-SA"/>
        </w:rPr>
        <w:t>screening programme</w:t>
      </w:r>
      <w:r w:rsidR="00451E42">
        <w:rPr>
          <w:lang w:eastAsia="ar-SA"/>
        </w:rPr>
        <w:t>, the Ministry</w:t>
      </w:r>
      <w:r w:rsidR="003B7805">
        <w:rPr>
          <w:lang w:eastAsia="ar-SA"/>
        </w:rPr>
        <w:t xml:space="preserve"> of H</w:t>
      </w:r>
      <w:r w:rsidR="00293577">
        <w:rPr>
          <w:lang w:eastAsia="ar-SA"/>
        </w:rPr>
        <w:t>ealth</w:t>
      </w:r>
      <w:r w:rsidR="00451E42">
        <w:rPr>
          <w:lang w:eastAsia="ar-SA"/>
        </w:rPr>
        <w:t xml:space="preserve"> wants to ensure there are consistent quality standards and ways of accrediting and credentialing staff to ensure parity in quality between the symptomatic and screening endoscopies.  The Royal Australasian College of Surgeons and the Royal Australasian College of Physicians currently have differing approaches to endoscopy training.  There appears to be broad agreement on the need for a comprehensive endoscopy governance group that covers endoscopy training, credentialing and governance, and the management of the Global Rating Scale (GRS).</w:t>
      </w:r>
      <w:r w:rsidR="006B18A6">
        <w:rPr>
          <w:rStyle w:val="FootnoteReference"/>
          <w:lang w:eastAsia="ar-SA"/>
        </w:rPr>
        <w:footnoteReference w:id="55"/>
      </w:r>
      <w:r w:rsidR="00451E42">
        <w:rPr>
          <w:lang w:eastAsia="ar-SA"/>
        </w:rPr>
        <w:t xml:space="preserve">  However, there are differing opinions on where this endoscopy governance group sits in the sector and who funds it</w:t>
      </w:r>
      <w:r w:rsidR="00BE398D">
        <w:rPr>
          <w:lang w:eastAsia="ar-SA"/>
        </w:rPr>
        <w:t>,</w:t>
      </w:r>
      <w:r>
        <w:rPr>
          <w:lang w:eastAsia="ar-SA"/>
        </w:rPr>
        <w:t xml:space="preserve"> which </w:t>
      </w:r>
      <w:r w:rsidR="00D85A9A">
        <w:rPr>
          <w:lang w:eastAsia="ar-SA"/>
        </w:rPr>
        <w:t xml:space="preserve">will </w:t>
      </w:r>
      <w:r>
        <w:rPr>
          <w:lang w:eastAsia="ar-SA"/>
        </w:rPr>
        <w:t>require resolution for a national programme</w:t>
      </w:r>
      <w:r w:rsidR="00451E42">
        <w:rPr>
          <w:lang w:eastAsia="ar-SA"/>
        </w:rPr>
        <w:t xml:space="preserve">.  </w:t>
      </w:r>
    </w:p>
    <w:p w:rsidR="00D63696" w:rsidRDefault="00400F7F" w:rsidP="005B103A">
      <w:pPr>
        <w:pStyle w:val="Heading4"/>
        <w:spacing w:after="120"/>
      </w:pPr>
      <w:r>
        <w:t>Q</w:t>
      </w:r>
      <w:r w:rsidR="00D63696">
        <w:t xml:space="preserve">uality </w:t>
      </w:r>
      <w:r w:rsidR="00CA77D8">
        <w:t>standards</w:t>
      </w:r>
      <w:r w:rsidR="006D4877">
        <w:t xml:space="preserve"> and </w:t>
      </w:r>
      <w:r w:rsidR="00CA77D8">
        <w:t xml:space="preserve">assurance and improvement </w:t>
      </w:r>
      <w:r w:rsidR="006D4877">
        <w:t>processes</w:t>
      </w:r>
    </w:p>
    <w:p w:rsidR="00451E42" w:rsidRDefault="006F7EA3" w:rsidP="005B103A">
      <w:pPr>
        <w:spacing w:before="120"/>
        <w:rPr>
          <w:lang w:eastAsia="en-US"/>
        </w:rPr>
      </w:pPr>
      <w:r>
        <w:rPr>
          <w:lang w:eastAsia="en-US"/>
        </w:rPr>
        <w:t xml:space="preserve">Standards are the backbone of </w:t>
      </w:r>
      <w:r w:rsidR="003B3AF9">
        <w:rPr>
          <w:lang w:eastAsia="en-US"/>
        </w:rPr>
        <w:t>quality management in a screening programme (National Screening Unit 2005)</w:t>
      </w:r>
      <w:r w:rsidR="001A4BF2">
        <w:rPr>
          <w:lang w:eastAsia="en-US"/>
        </w:rPr>
        <w:t>, and an important tool to monitor safety across the screening pathway</w:t>
      </w:r>
      <w:r w:rsidR="003B3AF9">
        <w:rPr>
          <w:lang w:eastAsia="en-US"/>
        </w:rPr>
        <w:t xml:space="preserve">. </w:t>
      </w:r>
      <w:r w:rsidR="000873B6">
        <w:rPr>
          <w:lang w:eastAsia="en-US"/>
        </w:rPr>
        <w:t xml:space="preserve"> </w:t>
      </w:r>
      <w:r w:rsidR="003B3AF9">
        <w:rPr>
          <w:lang w:eastAsia="en-US"/>
        </w:rPr>
        <w:t>T</w:t>
      </w:r>
      <w:r w:rsidR="00451E42">
        <w:rPr>
          <w:lang w:eastAsia="en-US"/>
        </w:rPr>
        <w:t>he BSP is a population-based pilot, the design of which draws on the European Guidelines for Quality Assurance in Colorectal Cancer Screening and Diagnosis (</w:t>
      </w:r>
      <w:r w:rsidR="006A3E16">
        <w:rPr>
          <w:lang w:eastAsia="en-US"/>
        </w:rPr>
        <w:t>Seagan</w:t>
      </w:r>
      <w:r w:rsidR="00451E42">
        <w:rPr>
          <w:lang w:eastAsia="en-US"/>
        </w:rPr>
        <w:t xml:space="preserve"> et al 2010).</w:t>
      </w:r>
      <w:r w:rsidR="00451E42" w:rsidRPr="00187E6F">
        <w:rPr>
          <w:lang w:eastAsia="en-US"/>
        </w:rPr>
        <w:t xml:space="preserve">  The European Guidelines were also used as a guide for the development of the BSP quality standards.  Where no standard exists, </w:t>
      </w:r>
      <w:r w:rsidR="00451E42">
        <w:rPr>
          <w:lang w:eastAsia="en-US"/>
        </w:rPr>
        <w:t xml:space="preserve">the Ministry of Health </w:t>
      </w:r>
      <w:r w:rsidR="00451E42" w:rsidRPr="00187E6F">
        <w:rPr>
          <w:lang w:eastAsia="en-US"/>
        </w:rPr>
        <w:t xml:space="preserve">working with the </w:t>
      </w:r>
      <w:r w:rsidR="00451E42">
        <w:t>Bowel Cancer Taskforce, M</w:t>
      </w:r>
      <w:r w:rsidR="00451E42">
        <w:rPr>
          <w:rFonts w:cs="Arial"/>
        </w:rPr>
        <w:t>ā</w:t>
      </w:r>
      <w:r w:rsidR="00451E42">
        <w:t xml:space="preserve">ori Equity Advisory Group and the </w:t>
      </w:r>
      <w:r w:rsidR="00451E42" w:rsidRPr="00187E6F">
        <w:t xml:space="preserve">Bowel Screening Advisory Group </w:t>
      </w:r>
      <w:r w:rsidR="00451E42" w:rsidRPr="00187E6F">
        <w:rPr>
          <w:lang w:eastAsia="en-US"/>
        </w:rPr>
        <w:t xml:space="preserve">reached a consensus decision based on consultation with experts involved in </w:t>
      </w:r>
      <w:r w:rsidR="00451E42">
        <w:rPr>
          <w:lang w:eastAsia="en-US"/>
        </w:rPr>
        <w:t>pilots u</w:t>
      </w:r>
      <w:r w:rsidR="00451E42" w:rsidRPr="00187E6F">
        <w:rPr>
          <w:lang w:eastAsia="en-US"/>
        </w:rPr>
        <w:t xml:space="preserve">ndertaken in Scotland, England, Wales and Australia, </w:t>
      </w:r>
      <w:r w:rsidR="00451E42">
        <w:rPr>
          <w:lang w:eastAsia="en-US"/>
        </w:rPr>
        <w:t>and</w:t>
      </w:r>
      <w:r w:rsidR="00451E42" w:rsidRPr="00187E6F">
        <w:rPr>
          <w:lang w:eastAsia="en-US"/>
        </w:rPr>
        <w:t xml:space="preserve"> a review of existing evidence.</w:t>
      </w:r>
      <w:r w:rsidR="00451E42">
        <w:rPr>
          <w:lang w:eastAsia="en-US"/>
        </w:rPr>
        <w:t xml:space="preserve"> </w:t>
      </w:r>
    </w:p>
    <w:p w:rsidR="00451E42" w:rsidRPr="005910D4" w:rsidRDefault="00451E42" w:rsidP="00451E42">
      <w:r w:rsidRPr="00372939">
        <w:t>Five key quality documents were developed for the BSP</w:t>
      </w:r>
      <w:r>
        <w:t xml:space="preserve">. </w:t>
      </w:r>
      <w:r w:rsidRPr="005910D4">
        <w:t>These documents are interim</w:t>
      </w:r>
      <w:r w:rsidR="006B18A6">
        <w:t>,</w:t>
      </w:r>
      <w:r w:rsidRPr="005910D4">
        <w:t xml:space="preserve"> reflecting that they are ‘living’ documents</w:t>
      </w:r>
      <w:r>
        <w:rPr>
          <w:rStyle w:val="FootnoteReference"/>
        </w:rPr>
        <w:footnoteReference w:id="56"/>
      </w:r>
      <w:r>
        <w:t>:</w:t>
      </w:r>
      <w:r w:rsidRPr="005910D4">
        <w:t xml:space="preserve"> </w:t>
      </w:r>
    </w:p>
    <w:p w:rsidR="00451E42" w:rsidRPr="00BF1606" w:rsidRDefault="00451E42" w:rsidP="006179C7">
      <w:pPr>
        <w:pStyle w:val="Bullet"/>
        <w:numPr>
          <w:ilvl w:val="0"/>
          <w:numId w:val="15"/>
        </w:numPr>
        <w:rPr>
          <w:lang w:val="en-US"/>
        </w:rPr>
      </w:pPr>
      <w:r w:rsidRPr="00BF1606">
        <w:rPr>
          <w:lang w:val="en-US"/>
        </w:rPr>
        <w:t>BSP Final Service Delivery Mod</w:t>
      </w:r>
      <w:r>
        <w:rPr>
          <w:lang w:val="en-US"/>
        </w:rPr>
        <w:t>el (Ministry of Health 2013</w:t>
      </w:r>
      <w:r w:rsidR="006A3E16">
        <w:rPr>
          <w:lang w:val="en-US"/>
        </w:rPr>
        <w:t>a</w:t>
      </w:r>
      <w:r>
        <w:rPr>
          <w:lang w:val="en-US"/>
        </w:rPr>
        <w:t xml:space="preserve">) </w:t>
      </w:r>
      <w:r w:rsidRPr="00BF1606">
        <w:rPr>
          <w:lang w:val="en-US"/>
        </w:rPr>
        <w:t>details the final Service Delivery Model and outlines the screening pathway for the eligible population in the BSP site at WDHB.</w:t>
      </w:r>
    </w:p>
    <w:p w:rsidR="00451E42" w:rsidRPr="00BF1606" w:rsidRDefault="00451E42" w:rsidP="006179C7">
      <w:pPr>
        <w:pStyle w:val="Bullet"/>
        <w:numPr>
          <w:ilvl w:val="0"/>
          <w:numId w:val="15"/>
        </w:numPr>
        <w:rPr>
          <w:lang w:val="en-US"/>
        </w:rPr>
      </w:pPr>
      <w:r w:rsidRPr="00BF1606">
        <w:rPr>
          <w:lang w:val="en-US"/>
        </w:rPr>
        <w:t xml:space="preserve">Policy and Operational Procedures for the BSP </w:t>
      </w:r>
      <w:r>
        <w:rPr>
          <w:lang w:val="en-US"/>
        </w:rPr>
        <w:t xml:space="preserve">(Ministry of Health 2011) </w:t>
      </w:r>
      <w:r w:rsidRPr="00BF1606">
        <w:rPr>
          <w:lang w:val="en-US"/>
        </w:rPr>
        <w:t>provide</w:t>
      </w:r>
      <w:r>
        <w:rPr>
          <w:lang w:val="en-US"/>
        </w:rPr>
        <w:t>s</w:t>
      </w:r>
      <w:r w:rsidRPr="00BF1606">
        <w:rPr>
          <w:lang w:val="en-US"/>
        </w:rPr>
        <w:t xml:space="preserve"> an overview of business practices and processes for the whole bowel screening process</w:t>
      </w:r>
      <w:r>
        <w:rPr>
          <w:lang w:val="en-US"/>
        </w:rPr>
        <w:t xml:space="preserve">. </w:t>
      </w:r>
    </w:p>
    <w:p w:rsidR="00451E42" w:rsidRPr="00451E42" w:rsidRDefault="00451E42" w:rsidP="006179C7">
      <w:pPr>
        <w:pStyle w:val="Bullet"/>
        <w:numPr>
          <w:ilvl w:val="0"/>
          <w:numId w:val="15"/>
        </w:numPr>
        <w:rPr>
          <w:lang w:val="en-US"/>
        </w:rPr>
      </w:pPr>
      <w:r w:rsidRPr="00451E42">
        <w:rPr>
          <w:lang w:val="en-US"/>
        </w:rPr>
        <w:t xml:space="preserve">BSP Interim Quality Standards (Ministry of Health 2012 and 2013) </w:t>
      </w:r>
      <w:r w:rsidRPr="00451E42">
        <w:rPr>
          <w:rFonts w:cs="Arial"/>
          <w:bCs/>
        </w:rPr>
        <w:t xml:space="preserve">sets out the monitoring, draft quality standards, clinical audit, risk management, and monitoring indicators.  </w:t>
      </w:r>
    </w:p>
    <w:p w:rsidR="00451E42" w:rsidRPr="00451E42" w:rsidRDefault="00451E42" w:rsidP="006179C7">
      <w:pPr>
        <w:pStyle w:val="Bullet"/>
        <w:numPr>
          <w:ilvl w:val="0"/>
          <w:numId w:val="15"/>
        </w:numPr>
        <w:rPr>
          <w:lang w:val="en-US"/>
        </w:rPr>
      </w:pPr>
      <w:r w:rsidRPr="00451E42">
        <w:rPr>
          <w:lang w:val="en-US"/>
        </w:rPr>
        <w:t>BSP iFOBT Draft Performance Quality Standards</w:t>
      </w:r>
      <w:r w:rsidRPr="00451E42">
        <w:rPr>
          <w:b/>
          <w:lang w:val="en-US"/>
        </w:rPr>
        <w:t xml:space="preserve"> </w:t>
      </w:r>
      <w:r w:rsidRPr="00451E42">
        <w:rPr>
          <w:lang w:val="en-US"/>
        </w:rPr>
        <w:t>(Ministry of Health 2011a)</w:t>
      </w:r>
      <w:r>
        <w:rPr>
          <w:lang w:val="en-US"/>
        </w:rPr>
        <w:t xml:space="preserve"> </w:t>
      </w:r>
      <w:r w:rsidRPr="00451E42">
        <w:rPr>
          <w:lang w:val="en-US"/>
        </w:rPr>
        <w:t xml:space="preserve">identifies requirements for manufacture of the test kit and requirements for laboratory testing.  </w:t>
      </w:r>
    </w:p>
    <w:p w:rsidR="00CA77D8" w:rsidRPr="00CA77D8" w:rsidRDefault="00451E42" w:rsidP="006179C7">
      <w:pPr>
        <w:pStyle w:val="Bullet"/>
        <w:keepNext/>
        <w:keepLines/>
        <w:numPr>
          <w:ilvl w:val="0"/>
          <w:numId w:val="15"/>
        </w:numPr>
        <w:ind w:left="1066" w:hanging="357"/>
      </w:pPr>
      <w:r w:rsidRPr="00451E42">
        <w:rPr>
          <w:lang w:val="en-US"/>
        </w:rPr>
        <w:t>Standards for Endoscopy (colonoscopy) Facilities BSP (Ministry of Health 2011b)</w:t>
      </w:r>
      <w:r w:rsidRPr="00697D47">
        <w:rPr>
          <w:rStyle w:val="FootnoteReference"/>
        </w:rPr>
        <w:footnoteReference w:id="57"/>
      </w:r>
      <w:r w:rsidRPr="00451E42">
        <w:rPr>
          <w:lang w:val="en-US"/>
        </w:rPr>
        <w:t xml:space="preserve"> covers service management, quality assurance, participant care, infection control, equipment and participant sedation.  </w:t>
      </w:r>
    </w:p>
    <w:p w:rsidR="00DD7368" w:rsidRDefault="00DD7368" w:rsidP="00DD7368">
      <w:r>
        <w:t>In November 2012, a review of the BSP interim quality sta</w:t>
      </w:r>
      <w:r w:rsidR="003B3AF9">
        <w:t>ndards (Ministry of Health 2012</w:t>
      </w:r>
      <w:r>
        <w:t>) was jointly undertaken by Ministry of Health, WDHB and LabPLUS.  Overall, no substantive issues were identified with the existing quality standards, although refinements and clarifications were made to the interim quality sta</w:t>
      </w:r>
      <w:r w:rsidR="003B3AF9">
        <w:t>ndards (Ministry of Health 2013</w:t>
      </w:r>
      <w:r>
        <w:t xml:space="preserve">).  </w:t>
      </w:r>
    </w:p>
    <w:p w:rsidR="00176F34" w:rsidRDefault="00CA77D8" w:rsidP="00176F34">
      <w:pPr>
        <w:rPr>
          <w:lang w:eastAsia="ar-SA"/>
        </w:rPr>
      </w:pPr>
      <w:r>
        <w:t>Once a screening programme is established, quality assurance and quality improvement activities are essential to ensur</w:t>
      </w:r>
      <w:r w:rsidR="00346925">
        <w:t>e</w:t>
      </w:r>
      <w:r>
        <w:t xml:space="preserve"> the ongoing safety and effectiveness of the programme (National Screening Unit 2005).</w:t>
      </w:r>
      <w:r w:rsidR="003B3AF9">
        <w:t xml:space="preserve">  </w:t>
      </w:r>
      <w:r w:rsidR="00DD7368">
        <w:t xml:space="preserve">In </w:t>
      </w:r>
      <w:r w:rsidR="00F72955">
        <w:t>Round 2</w:t>
      </w:r>
      <w:r w:rsidR="00DD7368">
        <w:t xml:space="preserve">, </w:t>
      </w:r>
      <w:r w:rsidR="00125223">
        <w:t xml:space="preserve">the performance of the BSP against the </w:t>
      </w:r>
      <w:r w:rsidR="003B3AF9">
        <w:rPr>
          <w:lang w:eastAsia="ar-SA"/>
        </w:rPr>
        <w:t>q</w:t>
      </w:r>
      <w:r w:rsidR="00DD7368">
        <w:rPr>
          <w:lang w:eastAsia="ar-SA"/>
        </w:rPr>
        <w:t xml:space="preserve">uality </w:t>
      </w:r>
      <w:r w:rsidR="005D78C1">
        <w:rPr>
          <w:lang w:eastAsia="ar-SA"/>
        </w:rPr>
        <w:t xml:space="preserve">standards </w:t>
      </w:r>
      <w:r w:rsidR="00D85A9A">
        <w:rPr>
          <w:lang w:eastAsia="ar-SA"/>
        </w:rPr>
        <w:t>we</w:t>
      </w:r>
      <w:r w:rsidR="00DD7368">
        <w:rPr>
          <w:lang w:eastAsia="ar-SA"/>
        </w:rPr>
        <w:t xml:space="preserve">re reviewed in every third WDHB Steering Group meeting.  The Endoscopy Review </w:t>
      </w:r>
      <w:r w:rsidR="00346925">
        <w:rPr>
          <w:lang w:eastAsia="ar-SA"/>
        </w:rPr>
        <w:t>G</w:t>
      </w:r>
      <w:r w:rsidR="00DD7368">
        <w:rPr>
          <w:lang w:eastAsia="ar-SA"/>
        </w:rPr>
        <w:t xml:space="preserve">roup met monthly (previously fortnightly) to review all issues relating to the endoscopy services, including the readmissions, incidents and clinical performance data.  All admissions to hospital after a BSP colonoscopy </w:t>
      </w:r>
      <w:r w:rsidR="00D85A9A">
        <w:rPr>
          <w:lang w:eastAsia="ar-SA"/>
        </w:rPr>
        <w:t>we</w:t>
      </w:r>
      <w:r w:rsidR="00DD7368">
        <w:rPr>
          <w:lang w:eastAsia="ar-SA"/>
        </w:rPr>
        <w:t>re</w:t>
      </w:r>
      <w:r w:rsidR="00DD7368">
        <w:rPr>
          <w:color w:val="FF0000"/>
          <w:lang w:eastAsia="ar-SA"/>
        </w:rPr>
        <w:t xml:space="preserve"> </w:t>
      </w:r>
      <w:r w:rsidR="00DD7368">
        <w:rPr>
          <w:lang w:eastAsia="ar-SA"/>
        </w:rPr>
        <w:t xml:space="preserve">reviewed at the fortnightly (changed to monthly in late 2015) </w:t>
      </w:r>
      <w:r w:rsidR="00346925">
        <w:rPr>
          <w:lang w:eastAsia="ar-SA"/>
        </w:rPr>
        <w:t>E</w:t>
      </w:r>
      <w:r w:rsidR="00DD7368">
        <w:rPr>
          <w:lang w:eastAsia="ar-SA"/>
        </w:rPr>
        <w:t xml:space="preserve">ndoscopy </w:t>
      </w:r>
      <w:r w:rsidR="00346925">
        <w:rPr>
          <w:lang w:eastAsia="ar-SA"/>
        </w:rPr>
        <w:t>R</w:t>
      </w:r>
      <w:r w:rsidR="00DD7368">
        <w:rPr>
          <w:lang w:eastAsia="ar-SA"/>
        </w:rPr>
        <w:t xml:space="preserve">eview </w:t>
      </w:r>
      <w:r w:rsidR="00346925">
        <w:rPr>
          <w:lang w:eastAsia="ar-SA"/>
        </w:rPr>
        <w:t>G</w:t>
      </w:r>
      <w:r w:rsidR="00DD7368">
        <w:rPr>
          <w:lang w:eastAsia="ar-SA"/>
        </w:rPr>
        <w:t xml:space="preserve">roup meetings. Each admission </w:t>
      </w:r>
      <w:r w:rsidR="00D85A9A">
        <w:rPr>
          <w:lang w:eastAsia="ar-SA"/>
        </w:rPr>
        <w:t>wa</w:t>
      </w:r>
      <w:r w:rsidR="00DD7368">
        <w:rPr>
          <w:lang w:eastAsia="ar-SA"/>
        </w:rPr>
        <w:t xml:space="preserve">s categorised as mild, intermediate or severe according to the UK Quality Assurance Guidelines for Colonoscopy (Chilton and Rutter 2011). </w:t>
      </w:r>
      <w:r w:rsidR="00176F34">
        <w:rPr>
          <w:lang w:eastAsia="ar-SA"/>
        </w:rPr>
        <w:t xml:space="preserve">Readmission analysis was used to inform quality improvements to practices or processes to reduce the number of readmissions. </w:t>
      </w:r>
    </w:p>
    <w:p w:rsidR="006D4877" w:rsidRDefault="00176F34" w:rsidP="006D4877">
      <w:pPr>
        <w:rPr>
          <w:lang w:eastAsia="ar-SA"/>
        </w:rPr>
      </w:pPr>
      <w:r>
        <w:rPr>
          <w:lang w:eastAsia="ar-SA"/>
        </w:rPr>
        <w:t xml:space="preserve">An </w:t>
      </w:r>
      <w:r w:rsidR="00DD7368">
        <w:rPr>
          <w:lang w:eastAsia="ar-SA"/>
        </w:rPr>
        <w:t xml:space="preserve">issues register </w:t>
      </w:r>
      <w:r>
        <w:rPr>
          <w:lang w:eastAsia="ar-SA"/>
        </w:rPr>
        <w:t>is maintained and issues are reviewed a</w:t>
      </w:r>
      <w:r w:rsidR="00DD7368">
        <w:rPr>
          <w:lang w:eastAsia="ar-SA"/>
        </w:rPr>
        <w:t xml:space="preserve">t the </w:t>
      </w:r>
      <w:r>
        <w:rPr>
          <w:lang w:eastAsia="ar-SA"/>
        </w:rPr>
        <w:t>w</w:t>
      </w:r>
      <w:r w:rsidR="00DD7368">
        <w:rPr>
          <w:lang w:eastAsia="ar-SA"/>
        </w:rPr>
        <w:t>eekly staff meetings</w:t>
      </w:r>
      <w:r>
        <w:rPr>
          <w:lang w:eastAsia="ar-SA"/>
        </w:rPr>
        <w:t xml:space="preserve">. </w:t>
      </w:r>
      <w:r w:rsidR="00914A77">
        <w:rPr>
          <w:lang w:eastAsia="ar-SA"/>
        </w:rPr>
        <w:t xml:space="preserve">The three risks identified </w:t>
      </w:r>
      <w:r w:rsidR="005D78C1">
        <w:rPr>
          <w:lang w:eastAsia="ar-SA"/>
        </w:rPr>
        <w:t>for</w:t>
      </w:r>
      <w:r w:rsidR="00914A77">
        <w:rPr>
          <w:lang w:eastAsia="ar-SA"/>
        </w:rPr>
        <w:t xml:space="preserve"> the </w:t>
      </w:r>
      <w:r w:rsidR="00346925">
        <w:rPr>
          <w:lang w:eastAsia="ar-SA"/>
        </w:rPr>
        <w:t>p</w:t>
      </w:r>
      <w:r w:rsidR="00914A77">
        <w:rPr>
          <w:lang w:eastAsia="ar-SA"/>
        </w:rPr>
        <w:t xml:space="preserve">ilot are </w:t>
      </w:r>
      <w:r w:rsidR="006D4877">
        <w:rPr>
          <w:lang w:eastAsia="ar-SA"/>
        </w:rPr>
        <w:t>achieving</w:t>
      </w:r>
      <w:r w:rsidR="006D4877" w:rsidRPr="006D4877">
        <w:rPr>
          <w:lang w:eastAsia="ar-SA"/>
        </w:rPr>
        <w:t xml:space="preserve"> equity in the </w:t>
      </w:r>
      <w:r w:rsidR="00346925">
        <w:rPr>
          <w:lang w:eastAsia="ar-SA"/>
        </w:rPr>
        <w:t>p</w:t>
      </w:r>
      <w:r w:rsidR="006D4877" w:rsidRPr="006D4877">
        <w:rPr>
          <w:lang w:eastAsia="ar-SA"/>
        </w:rPr>
        <w:t xml:space="preserve">ilot, the ability to ensure that all eligible people living in WDHB are on the </w:t>
      </w:r>
      <w:r w:rsidR="006D4877">
        <w:rPr>
          <w:lang w:eastAsia="ar-SA"/>
        </w:rPr>
        <w:t>R</w:t>
      </w:r>
      <w:r w:rsidR="006D4877" w:rsidRPr="006D4877">
        <w:rPr>
          <w:lang w:eastAsia="ar-SA"/>
        </w:rPr>
        <w:t>egister</w:t>
      </w:r>
      <w:r w:rsidR="006D4877">
        <w:rPr>
          <w:lang w:eastAsia="ar-SA"/>
        </w:rPr>
        <w:t xml:space="preserve">, and the impact </w:t>
      </w:r>
      <w:r w:rsidR="006D4877" w:rsidRPr="006D4877">
        <w:rPr>
          <w:lang w:eastAsia="ar-SA"/>
        </w:rPr>
        <w:t>BSP surveillance numbers will have on symptomatic waiting times and the delay in timing surveillance procedure</w:t>
      </w:r>
      <w:r w:rsidR="006D4877">
        <w:rPr>
          <w:lang w:eastAsia="ar-SA"/>
        </w:rPr>
        <w:t xml:space="preserve">. </w:t>
      </w:r>
    </w:p>
    <w:p w:rsidR="0028045B" w:rsidRDefault="0028045B" w:rsidP="0028045B">
      <w:r w:rsidRPr="008A1928">
        <w:t xml:space="preserve">From January 2013, </w:t>
      </w:r>
      <w:r w:rsidR="00286D32">
        <w:t xml:space="preserve">the </w:t>
      </w:r>
      <w:r>
        <w:t xml:space="preserve">Ministry of Health </w:t>
      </w:r>
      <w:r w:rsidRPr="008A1928">
        <w:t xml:space="preserve">has been publishing </w:t>
      </w:r>
      <w:r w:rsidR="00286D32">
        <w:t xml:space="preserve">the </w:t>
      </w:r>
      <w:r w:rsidRPr="008A1928">
        <w:t>result</w:t>
      </w:r>
      <w:r>
        <w:t xml:space="preserve">s </w:t>
      </w:r>
      <w:r w:rsidR="00286D32">
        <w:t>of</w:t>
      </w:r>
      <w:r w:rsidRPr="008A1928">
        <w:t xml:space="preserve"> 1</w:t>
      </w:r>
      <w:r>
        <w:t>5</w:t>
      </w:r>
      <w:r w:rsidRPr="008A1928">
        <w:t xml:space="preserve"> key </w:t>
      </w:r>
      <w:r w:rsidRPr="0056360F">
        <w:t>monitoring indicators</w:t>
      </w:r>
      <w:r w:rsidR="004400C2">
        <w:t xml:space="preserve">. </w:t>
      </w:r>
      <w:r w:rsidR="00286D32">
        <w:t xml:space="preserve"> </w:t>
      </w:r>
      <w:r w:rsidR="004400C2">
        <w:t>Appendix 5 provides a</w:t>
      </w:r>
      <w:r w:rsidR="00286D32">
        <w:t>n</w:t>
      </w:r>
      <w:r w:rsidR="004400C2">
        <w:t xml:space="preserve"> overview of the published indicators as at 29 July 2016. </w:t>
      </w:r>
      <w:r w:rsidRPr="0056360F">
        <w:t xml:space="preserve"> </w:t>
      </w:r>
    </w:p>
    <w:p w:rsidR="000873B6" w:rsidRDefault="000873B6" w:rsidP="000873B6">
      <w:r>
        <w:rPr>
          <w:lang w:eastAsia="en-US"/>
        </w:rPr>
        <w:t>The</w:t>
      </w:r>
      <w:r>
        <w:rPr>
          <w:lang w:eastAsia="ar-SA"/>
        </w:rPr>
        <w:t xml:space="preserve"> BSP has a range of quality standards and processes in place that align </w:t>
      </w:r>
      <w:r w:rsidR="004400C2">
        <w:rPr>
          <w:lang w:eastAsia="ar-SA"/>
        </w:rPr>
        <w:t>with international best practice</w:t>
      </w:r>
      <w:r>
        <w:rPr>
          <w:lang w:eastAsia="ar-SA"/>
        </w:rPr>
        <w:t xml:space="preserve">.  Quality standards, risks and issues were actively monitored, reported, discussed and actions taken to address risks of breaching quality standards, and mitigated risks emerging. While </w:t>
      </w:r>
      <w:r>
        <w:t xml:space="preserve">WDHB noted that reporting against all quality standards was now possible (with exception of the timeliness of the histology result letter), data was not sighted by the evaluation team for all quality standards </w:t>
      </w:r>
      <w:r>
        <w:rPr>
          <w:lang w:eastAsia="ar-SA"/>
        </w:rPr>
        <w:t>(Litmus et al 2015, 2016a)</w:t>
      </w:r>
      <w:r>
        <w:t xml:space="preserve">.  </w:t>
      </w:r>
      <w:r w:rsidR="004400C2">
        <w:t xml:space="preserve">Appendix 6 provides an overview of the quality standards and results up to 31 December 2016. </w:t>
      </w:r>
    </w:p>
    <w:p w:rsidR="00D63696" w:rsidRDefault="00914A77" w:rsidP="006B18A6">
      <w:pPr>
        <w:pStyle w:val="Heading4"/>
        <w:spacing w:after="120"/>
      </w:pPr>
      <w:r>
        <w:t xml:space="preserve">Ensuring all </w:t>
      </w:r>
      <w:r w:rsidR="00A65289" w:rsidRPr="00D63696">
        <w:t>eligible participants are invited</w:t>
      </w:r>
      <w:r w:rsidR="003C1CEE">
        <w:t xml:space="preserve"> </w:t>
      </w:r>
    </w:p>
    <w:p w:rsidR="00DD4D22" w:rsidRDefault="00DD4D22" w:rsidP="00DD4D22">
      <w:pPr>
        <w:spacing w:before="0"/>
      </w:pPr>
      <w:r>
        <w:rPr>
          <w:lang w:eastAsia="en-US"/>
        </w:rPr>
        <w:t xml:space="preserve">The BSP is a population-based </w:t>
      </w:r>
      <w:r w:rsidR="005D78C1">
        <w:rPr>
          <w:lang w:eastAsia="en-US"/>
        </w:rPr>
        <w:t xml:space="preserve">screening </w:t>
      </w:r>
      <w:r>
        <w:rPr>
          <w:lang w:eastAsia="en-US"/>
        </w:rPr>
        <w:t>pilot</w:t>
      </w:r>
      <w:r>
        <w:rPr>
          <w:lang w:eastAsia="ar-SA"/>
        </w:rPr>
        <w:t xml:space="preserve"> </w:t>
      </w:r>
      <w:r w:rsidR="005D78C1">
        <w:rPr>
          <w:lang w:eastAsia="ar-SA"/>
        </w:rPr>
        <w:t xml:space="preserve">which therefore </w:t>
      </w:r>
      <w:r>
        <w:rPr>
          <w:lang w:eastAsia="ar-SA"/>
        </w:rPr>
        <w:t xml:space="preserve">requires the means </w:t>
      </w:r>
      <w:r w:rsidR="005D78C1">
        <w:rPr>
          <w:lang w:eastAsia="ar-SA"/>
        </w:rPr>
        <w:t xml:space="preserve">to </w:t>
      </w:r>
      <w:r>
        <w:rPr>
          <w:lang w:eastAsia="ar-SA"/>
        </w:rPr>
        <w:t>id</w:t>
      </w:r>
      <w:r w:rsidR="005D78C1">
        <w:rPr>
          <w:lang w:eastAsia="ar-SA"/>
        </w:rPr>
        <w:t>entify</w:t>
      </w:r>
      <w:r>
        <w:rPr>
          <w:lang w:eastAsia="ar-SA"/>
        </w:rPr>
        <w:t xml:space="preserve"> and </w:t>
      </w:r>
      <w:r w:rsidR="005D78C1">
        <w:rPr>
          <w:lang w:eastAsia="ar-SA"/>
        </w:rPr>
        <w:t>invite</w:t>
      </w:r>
      <w:r>
        <w:rPr>
          <w:lang w:eastAsia="ar-SA"/>
        </w:rPr>
        <w:t xml:space="preserve"> eligible participants to take part.  </w:t>
      </w:r>
      <w:r w:rsidRPr="00EE0D66">
        <w:rPr>
          <w:lang w:eastAsia="ar-SA"/>
        </w:rPr>
        <w:t>The BSP</w:t>
      </w:r>
      <w:r>
        <w:rPr>
          <w:lang w:eastAsia="ar-SA"/>
        </w:rPr>
        <w:t xml:space="preserve"> Population</w:t>
      </w:r>
      <w:r w:rsidRPr="00EE0D66">
        <w:rPr>
          <w:lang w:eastAsia="ar-SA"/>
        </w:rPr>
        <w:t xml:space="preserve"> Register is owned and overseen by </w:t>
      </w:r>
      <w:r w:rsidR="006B18A6">
        <w:rPr>
          <w:lang w:eastAsia="ar-SA"/>
        </w:rPr>
        <w:t xml:space="preserve">the </w:t>
      </w:r>
      <w:r>
        <w:rPr>
          <w:lang w:eastAsia="ar-SA"/>
        </w:rPr>
        <w:t>Ministry of Health.</w:t>
      </w:r>
      <w:r w:rsidRPr="00EE0D66">
        <w:rPr>
          <w:lang w:eastAsia="ar-SA"/>
        </w:rPr>
        <w:t xml:space="preserve"> </w:t>
      </w:r>
      <w:r>
        <w:rPr>
          <w:lang w:eastAsia="ar-SA"/>
        </w:rPr>
        <w:t xml:space="preserve"> </w:t>
      </w:r>
      <w:r w:rsidRPr="00EE0D66">
        <w:rPr>
          <w:lang w:eastAsia="ar-SA"/>
        </w:rPr>
        <w:t>WDHB’s work</w:t>
      </w:r>
      <w:r w:rsidRPr="00624AEA">
        <w:rPr>
          <w:lang w:eastAsia="ar-SA"/>
        </w:rPr>
        <w:t xml:space="preserve"> on the Register is based at the </w:t>
      </w:r>
      <w:r>
        <w:rPr>
          <w:lang w:eastAsia="ar-SA"/>
        </w:rPr>
        <w:t xml:space="preserve">BSP </w:t>
      </w:r>
      <w:r w:rsidRPr="00624AEA">
        <w:rPr>
          <w:lang w:eastAsia="ar-SA"/>
        </w:rPr>
        <w:t>Coordination Centre and</w:t>
      </w:r>
      <w:r>
        <w:rPr>
          <w:lang w:eastAsia="ar-SA"/>
        </w:rPr>
        <w:t xml:space="preserve"> managed by the BSP Data Manager.</w:t>
      </w:r>
      <w:r w:rsidR="000873B6">
        <w:rPr>
          <w:lang w:eastAsia="ar-SA"/>
        </w:rPr>
        <w:t xml:space="preserve"> </w:t>
      </w:r>
    </w:p>
    <w:p w:rsidR="00DD4D22" w:rsidRDefault="00DD4D22" w:rsidP="000873B6">
      <w:r w:rsidRPr="005D7DFE">
        <w:rPr>
          <w:lang w:eastAsia="ar-SA"/>
        </w:rPr>
        <w:t>NHI numbers were selected as the primary source of eligible</w:t>
      </w:r>
      <w:r>
        <w:rPr>
          <w:b/>
        </w:rPr>
        <w:t xml:space="preserve"> </w:t>
      </w:r>
      <w:r w:rsidRPr="005D7DFE">
        <w:rPr>
          <w:lang w:eastAsia="ar-SA"/>
        </w:rPr>
        <w:t>participant information for the Register</w:t>
      </w:r>
      <w:r>
        <w:rPr>
          <w:lang w:eastAsia="ar-SA"/>
        </w:rPr>
        <w:t>.</w:t>
      </w:r>
      <w:r w:rsidRPr="00697D47">
        <w:rPr>
          <w:rStyle w:val="FootnoteReference"/>
        </w:rPr>
        <w:footnoteReference w:id="58"/>
      </w:r>
      <w:r>
        <w:rPr>
          <w:lang w:eastAsia="ar-SA"/>
        </w:rPr>
        <w:t xml:space="preserve">  NHI information provides a population-based data</w:t>
      </w:r>
      <w:r w:rsidR="00495917">
        <w:rPr>
          <w:lang w:eastAsia="ar-SA"/>
        </w:rPr>
        <w:t xml:space="preserve"> </w:t>
      </w:r>
      <w:r>
        <w:rPr>
          <w:lang w:eastAsia="ar-SA"/>
        </w:rPr>
        <w:t>set from which eligible participants can</w:t>
      </w:r>
      <w:r>
        <w:t xml:space="preserve"> be identified and subsequently invited to take part in the BSP.  </w:t>
      </w:r>
    </w:p>
    <w:p w:rsidR="0038014A" w:rsidRDefault="00DD4D22" w:rsidP="0038014A">
      <w:pPr>
        <w:rPr>
          <w:lang w:eastAsia="ar-SA"/>
        </w:rPr>
      </w:pPr>
      <w:r>
        <w:rPr>
          <w:lang w:eastAsia="ar-SA"/>
        </w:rPr>
        <w:t xml:space="preserve">In screening </w:t>
      </w:r>
      <w:r w:rsidR="00F72955">
        <w:rPr>
          <w:lang w:eastAsia="ar-SA"/>
        </w:rPr>
        <w:t>Round 1</w:t>
      </w:r>
      <w:r>
        <w:rPr>
          <w:lang w:eastAsia="ar-SA"/>
        </w:rPr>
        <w:t xml:space="preserve"> u</w:t>
      </w:r>
      <w:r w:rsidRPr="0071497B">
        <w:rPr>
          <w:lang w:eastAsia="ar-SA"/>
        </w:rPr>
        <w:t xml:space="preserve">sing the Register, 136,575 pre-invitation letters </w:t>
      </w:r>
      <w:r>
        <w:rPr>
          <w:lang w:eastAsia="ar-SA"/>
        </w:rPr>
        <w:t xml:space="preserve">and </w:t>
      </w:r>
      <w:r w:rsidRPr="0071497B">
        <w:rPr>
          <w:lang w:eastAsia="ar-SA"/>
        </w:rPr>
        <w:t>143,637 iFOBT kits</w:t>
      </w:r>
      <w:r w:rsidRPr="00697D47">
        <w:rPr>
          <w:rStyle w:val="FootnoteReference"/>
        </w:rPr>
        <w:footnoteReference w:id="59"/>
      </w:r>
      <w:r w:rsidRPr="0071497B">
        <w:rPr>
          <w:lang w:eastAsia="ar-SA"/>
        </w:rPr>
        <w:t xml:space="preserve"> </w:t>
      </w:r>
      <w:r>
        <w:rPr>
          <w:lang w:eastAsia="ar-SA"/>
        </w:rPr>
        <w:t>w</w:t>
      </w:r>
      <w:r w:rsidRPr="0071497B">
        <w:rPr>
          <w:lang w:eastAsia="ar-SA"/>
        </w:rPr>
        <w:t xml:space="preserve">ere distributed, </w:t>
      </w:r>
      <w:r>
        <w:rPr>
          <w:lang w:eastAsia="ar-SA"/>
        </w:rPr>
        <w:t xml:space="preserve">and </w:t>
      </w:r>
      <w:r w:rsidRPr="0071497B">
        <w:rPr>
          <w:lang w:eastAsia="ar-SA"/>
        </w:rPr>
        <w:t>83,</w:t>
      </w:r>
      <w:r>
        <w:rPr>
          <w:lang w:eastAsia="ar-SA"/>
        </w:rPr>
        <w:t>498</w:t>
      </w:r>
      <w:r w:rsidRPr="0071497B">
        <w:rPr>
          <w:lang w:eastAsia="ar-SA"/>
        </w:rPr>
        <w:t xml:space="preserve"> reminder letters were sent at four weeks.</w:t>
      </w:r>
      <w:r w:rsidR="0038014A">
        <w:rPr>
          <w:lang w:eastAsia="ar-SA"/>
        </w:rPr>
        <w:t xml:space="preserve">  </w:t>
      </w:r>
      <w:r w:rsidR="0038014A" w:rsidRPr="0069220B">
        <w:rPr>
          <w:lang w:eastAsia="ar-SA"/>
        </w:rPr>
        <w:t xml:space="preserve">In screening </w:t>
      </w:r>
      <w:r w:rsidR="00F72955" w:rsidRPr="0069220B">
        <w:rPr>
          <w:lang w:eastAsia="ar-SA"/>
        </w:rPr>
        <w:t>Round 2</w:t>
      </w:r>
      <w:r w:rsidR="0038014A" w:rsidRPr="0069220B">
        <w:rPr>
          <w:lang w:eastAsia="ar-SA"/>
        </w:rPr>
        <w:t xml:space="preserve"> using the Register, 29,819 pre-invitation letters and 150,355 iFOBT kits were distributed, and </w:t>
      </w:r>
      <w:r w:rsidR="00897A78" w:rsidRPr="0069220B">
        <w:rPr>
          <w:lang w:eastAsia="ar-SA"/>
        </w:rPr>
        <w:t xml:space="preserve">106,228 </w:t>
      </w:r>
      <w:r w:rsidR="0038014A" w:rsidRPr="0069220B">
        <w:rPr>
          <w:lang w:eastAsia="ar-SA"/>
        </w:rPr>
        <w:t xml:space="preserve">reminder letters were sent at four </w:t>
      </w:r>
      <w:r w:rsidR="0038014A" w:rsidRPr="00BD2935">
        <w:rPr>
          <w:lang w:eastAsia="ar-SA"/>
        </w:rPr>
        <w:t>weeks (</w:t>
      </w:r>
      <w:r w:rsidR="00B7638C" w:rsidRPr="00BD2935">
        <w:rPr>
          <w:lang w:eastAsia="ar-SA"/>
        </w:rPr>
        <w:t>Blick et al</w:t>
      </w:r>
      <w:r w:rsidR="0038014A" w:rsidRPr="00BD2935">
        <w:rPr>
          <w:lang w:eastAsia="ar-SA"/>
        </w:rPr>
        <w:t xml:space="preserve"> 2016</w:t>
      </w:r>
      <w:r w:rsidR="0038014A" w:rsidRPr="0069220B">
        <w:rPr>
          <w:lang w:eastAsia="ar-SA"/>
        </w:rPr>
        <w:t>).</w:t>
      </w:r>
      <w:r w:rsidR="0038014A">
        <w:rPr>
          <w:lang w:eastAsia="ar-SA"/>
        </w:rPr>
        <w:t xml:space="preserve">  </w:t>
      </w:r>
      <w:r w:rsidR="00D02188">
        <w:rPr>
          <w:lang w:eastAsia="ar-SA"/>
        </w:rPr>
        <w:t xml:space="preserve">Between </w:t>
      </w:r>
      <w:r w:rsidR="00495917">
        <w:rPr>
          <w:lang w:eastAsia="ar-SA"/>
        </w:rPr>
        <w:t>r</w:t>
      </w:r>
      <w:r w:rsidR="00D02188">
        <w:rPr>
          <w:lang w:eastAsia="ar-SA"/>
        </w:rPr>
        <w:t>ound</w:t>
      </w:r>
      <w:r w:rsidR="00495917">
        <w:rPr>
          <w:lang w:eastAsia="ar-SA"/>
        </w:rPr>
        <w:t>s</w:t>
      </w:r>
      <w:r w:rsidR="00D02188">
        <w:rPr>
          <w:lang w:eastAsia="ar-SA"/>
        </w:rPr>
        <w:t xml:space="preserve"> 1 and 2, the proportion of participants requiring a reminder letter has increased from approximately 58% to 71%.  Consideration is needed on ways to encourage participants to complete their kit in a timely manner.</w:t>
      </w:r>
    </w:p>
    <w:p w:rsidR="006F0FA9" w:rsidRDefault="00DD4D22" w:rsidP="006F0FA9">
      <w:pPr>
        <w:rPr>
          <w:lang w:eastAsia="ar-SA"/>
        </w:rPr>
      </w:pPr>
      <w:r>
        <w:rPr>
          <w:lang w:eastAsia="ar-SA"/>
        </w:rPr>
        <w:t xml:space="preserve">Having an eligible population database (the Register) </w:t>
      </w:r>
      <w:r w:rsidR="0038014A">
        <w:rPr>
          <w:lang w:eastAsia="ar-SA"/>
        </w:rPr>
        <w:t>is</w:t>
      </w:r>
      <w:r>
        <w:rPr>
          <w:lang w:eastAsia="ar-SA"/>
        </w:rPr>
        <w:t xml:space="preserve"> </w:t>
      </w:r>
      <w:r w:rsidR="005D78C1">
        <w:rPr>
          <w:lang w:eastAsia="ar-SA"/>
        </w:rPr>
        <w:t xml:space="preserve">seen by stakeholders as </w:t>
      </w:r>
      <w:r>
        <w:rPr>
          <w:lang w:eastAsia="ar-SA"/>
        </w:rPr>
        <w:t>a strength of the BSP</w:t>
      </w:r>
      <w:r w:rsidR="00D02188">
        <w:rPr>
          <w:lang w:eastAsia="ar-SA"/>
        </w:rPr>
        <w:t>.  The Register</w:t>
      </w:r>
      <w:r>
        <w:rPr>
          <w:lang w:eastAsia="ar-SA"/>
        </w:rPr>
        <w:t xml:space="preserve"> enabl</w:t>
      </w:r>
      <w:r w:rsidR="00D02188">
        <w:rPr>
          <w:lang w:eastAsia="ar-SA"/>
        </w:rPr>
        <w:t>es</w:t>
      </w:r>
      <w:r>
        <w:rPr>
          <w:lang w:eastAsia="ar-SA"/>
        </w:rPr>
        <w:t xml:space="preserve"> the identification of the eligible population, the distribution of kits a</w:t>
      </w:r>
      <w:r w:rsidR="00346925">
        <w:rPr>
          <w:lang w:eastAsia="ar-SA"/>
        </w:rPr>
        <w:t xml:space="preserve">nd monitoring of participation </w:t>
      </w:r>
      <w:r w:rsidR="00293577">
        <w:rPr>
          <w:lang w:eastAsia="ar-SA"/>
        </w:rPr>
        <w:t>(</w:t>
      </w:r>
      <w:r w:rsidR="0038014A">
        <w:rPr>
          <w:lang w:eastAsia="ar-SA"/>
        </w:rPr>
        <w:t>Litmus et al 2015, 2016a)</w:t>
      </w:r>
      <w:r>
        <w:rPr>
          <w:lang w:eastAsia="ar-SA"/>
        </w:rPr>
        <w:t xml:space="preserve">.  </w:t>
      </w:r>
      <w:r w:rsidR="000873B6">
        <w:rPr>
          <w:lang w:eastAsia="ar-SA"/>
        </w:rPr>
        <w:t>However, t</w:t>
      </w:r>
      <w:r w:rsidR="005D78C1">
        <w:rPr>
          <w:lang w:eastAsia="ar-SA"/>
        </w:rPr>
        <w:t>he interim evaluation report question</w:t>
      </w:r>
      <w:r w:rsidR="00D65E1F">
        <w:rPr>
          <w:lang w:eastAsia="ar-SA"/>
        </w:rPr>
        <w:t>ed</w:t>
      </w:r>
      <w:r w:rsidR="005D78C1">
        <w:rPr>
          <w:lang w:eastAsia="ar-SA"/>
        </w:rPr>
        <w:t xml:space="preserve"> </w:t>
      </w:r>
      <w:r w:rsidR="00D65E1F">
        <w:rPr>
          <w:lang w:eastAsia="ar-SA"/>
        </w:rPr>
        <w:t xml:space="preserve">the </w:t>
      </w:r>
      <w:r w:rsidR="005D78C1">
        <w:rPr>
          <w:lang w:eastAsia="ar-SA"/>
        </w:rPr>
        <w:t>completeness</w:t>
      </w:r>
      <w:r w:rsidR="003C1CEE">
        <w:rPr>
          <w:lang w:eastAsia="ar-SA"/>
        </w:rPr>
        <w:t xml:space="preserve"> of the Register,</w:t>
      </w:r>
      <w:r w:rsidR="005D78C1">
        <w:rPr>
          <w:lang w:eastAsia="ar-SA"/>
        </w:rPr>
        <w:t xml:space="preserve"> data and IT resource to support </w:t>
      </w:r>
      <w:r w:rsidR="000873B6">
        <w:rPr>
          <w:lang w:eastAsia="ar-SA"/>
        </w:rPr>
        <w:t>it</w:t>
      </w:r>
      <w:r w:rsidR="005D78C1">
        <w:rPr>
          <w:lang w:eastAsia="ar-SA"/>
        </w:rPr>
        <w:t xml:space="preserve">, and the ability to effectively assess participation and outcomes (Litmus et al 2015).  </w:t>
      </w:r>
      <w:r w:rsidR="000873B6">
        <w:rPr>
          <w:lang w:eastAsia="ar-SA"/>
        </w:rPr>
        <w:t>To address these concerns, t</w:t>
      </w:r>
      <w:r w:rsidR="005D78C1">
        <w:rPr>
          <w:lang w:eastAsia="ar-SA"/>
        </w:rPr>
        <w:t xml:space="preserve">he Ministry undertook two reviews of the BSP Register </w:t>
      </w:r>
      <w:r w:rsidR="006F0FA9">
        <w:rPr>
          <w:lang w:eastAsia="ar-SA"/>
        </w:rPr>
        <w:t>to assess completeness of the eligible population listed in the Register</w:t>
      </w:r>
      <w:r w:rsidR="006D02BB">
        <w:rPr>
          <w:lang w:eastAsia="ar-SA"/>
        </w:rPr>
        <w:t>, and data quality</w:t>
      </w:r>
      <w:r w:rsidR="006F0FA9">
        <w:rPr>
          <w:lang w:eastAsia="ar-SA"/>
        </w:rPr>
        <w:t xml:space="preserve">.  </w:t>
      </w:r>
    </w:p>
    <w:p w:rsidR="006F0FA9" w:rsidRDefault="006F0FA9" w:rsidP="006F0FA9">
      <w:pPr>
        <w:rPr>
          <w:lang w:eastAsia="ar-SA"/>
        </w:rPr>
      </w:pPr>
      <w:r>
        <w:rPr>
          <w:lang w:eastAsia="ar-SA"/>
        </w:rPr>
        <w:t>The review of completeness concluded there are 2</w:t>
      </w:r>
      <w:r w:rsidR="00495917">
        <w:rPr>
          <w:lang w:eastAsia="ar-SA"/>
        </w:rPr>
        <w:t>–</w:t>
      </w:r>
      <w:r>
        <w:rPr>
          <w:lang w:eastAsia="ar-SA"/>
        </w:rPr>
        <w:t>5% of eligible people not on the BSP Register when comparing the population count on the Register to the Census 2013 count and the PHO register count (Lee 2014).  This is at the lower end of that estimated in the interim evaluation report (Litmus et al 2015).  However, the review also found a</w:t>
      </w:r>
      <w:r w:rsidRPr="0013173C">
        <w:rPr>
          <w:lang w:eastAsia="ar-SA"/>
        </w:rPr>
        <w:t xml:space="preserve"> lack of currency of </w:t>
      </w:r>
      <w:r>
        <w:rPr>
          <w:lang w:eastAsia="ar-SA"/>
        </w:rPr>
        <w:t xml:space="preserve">participant </w:t>
      </w:r>
      <w:r w:rsidRPr="0013173C">
        <w:rPr>
          <w:lang w:eastAsia="ar-SA"/>
        </w:rPr>
        <w:t xml:space="preserve">contact details </w:t>
      </w:r>
      <w:r>
        <w:rPr>
          <w:lang w:eastAsia="ar-SA"/>
        </w:rPr>
        <w:t>which may mean some</w:t>
      </w:r>
      <w:r w:rsidRPr="0013173C">
        <w:rPr>
          <w:lang w:eastAsia="ar-SA"/>
        </w:rPr>
        <w:t xml:space="preserve"> people may not receive an invite</w:t>
      </w:r>
      <w:r>
        <w:rPr>
          <w:lang w:eastAsia="ar-SA"/>
        </w:rPr>
        <w:t xml:space="preserve"> (Lee 2014)</w:t>
      </w:r>
      <w:r w:rsidRPr="0013173C">
        <w:rPr>
          <w:lang w:eastAsia="ar-SA"/>
        </w:rPr>
        <w:t xml:space="preserve">.  </w:t>
      </w:r>
      <w:r>
        <w:t>It is estimated that in 2014 the BSP Coordination Centre received 3,528 returned items</w:t>
      </w:r>
      <w:r w:rsidR="00495917">
        <w:t xml:space="preserve"> compared with 5,727 in</w:t>
      </w:r>
      <w:r>
        <w:t xml:space="preserve"> 2015 (approximately 6% of the 146,131 people </w:t>
      </w:r>
      <w:r w:rsidR="00495917">
        <w:t xml:space="preserve">who were </w:t>
      </w:r>
      <w:r>
        <w:t xml:space="preserve">sent </w:t>
      </w:r>
      <w:r w:rsidR="00BE398D">
        <w:t>items</w:t>
      </w:r>
      <w:r>
        <w:t xml:space="preserve">).  </w:t>
      </w:r>
      <w:r>
        <w:rPr>
          <w:lang w:eastAsia="ar-SA"/>
        </w:rPr>
        <w:t xml:space="preserve">In this context, most but not all eligible participants are being invited to participate in the BSP.  </w:t>
      </w:r>
    </w:p>
    <w:p w:rsidR="006F0FA9" w:rsidRDefault="00400F7F" w:rsidP="00495917">
      <w:pPr>
        <w:pStyle w:val="Heading4"/>
        <w:spacing w:after="120"/>
        <w:rPr>
          <w:lang w:eastAsia="ar-SA"/>
        </w:rPr>
      </w:pPr>
      <w:r>
        <w:rPr>
          <w:lang w:eastAsia="ar-SA"/>
        </w:rPr>
        <w:t>D</w:t>
      </w:r>
      <w:r w:rsidR="006F0FA9">
        <w:rPr>
          <w:lang w:eastAsia="ar-SA"/>
        </w:rPr>
        <w:t xml:space="preserve">ata quality and monitoring of participation and outcomes </w:t>
      </w:r>
    </w:p>
    <w:p w:rsidR="006F0FA9" w:rsidRDefault="006F0FA9" w:rsidP="00495917">
      <w:pPr>
        <w:spacing w:before="120"/>
        <w:rPr>
          <w:rFonts w:cs="Arial"/>
        </w:rPr>
      </w:pPr>
      <w:r w:rsidRPr="005D78C1">
        <w:rPr>
          <w:lang w:eastAsia="ar-SA"/>
        </w:rPr>
        <w:t xml:space="preserve">Data quality </w:t>
      </w:r>
      <w:r>
        <w:rPr>
          <w:lang w:eastAsia="ar-SA"/>
        </w:rPr>
        <w:t xml:space="preserve">is </w:t>
      </w:r>
      <w:r w:rsidRPr="005D78C1">
        <w:rPr>
          <w:lang w:eastAsia="ar-SA"/>
        </w:rPr>
        <w:t xml:space="preserve">essential to ensure the effectiveness of the BSP processes and to enable quality monitoring.  </w:t>
      </w:r>
      <w:r>
        <w:rPr>
          <w:lang w:eastAsia="ar-SA"/>
        </w:rPr>
        <w:t xml:space="preserve">The 2014 review estimated that 0.03% of records in the Register were affected by a </w:t>
      </w:r>
      <w:r>
        <w:rPr>
          <w:rFonts w:cs="Arial"/>
        </w:rPr>
        <w:t>data quality issue (</w:t>
      </w:r>
      <w:r>
        <w:rPr>
          <w:szCs w:val="24"/>
        </w:rPr>
        <w:t>Karalic 2014)</w:t>
      </w:r>
      <w:r>
        <w:rPr>
          <w:lang w:eastAsia="ar-SA"/>
        </w:rPr>
        <w:t xml:space="preserve">.  </w:t>
      </w:r>
      <w:r>
        <w:rPr>
          <w:rFonts w:cs="Arial"/>
        </w:rPr>
        <w:t>The review concluded that this figure is not high and is an ‘</w:t>
      </w:r>
      <w:r w:rsidRPr="006F0FA9">
        <w:rPr>
          <w:rFonts w:cs="Arial"/>
          <w:i/>
        </w:rPr>
        <w:t>excellent result’</w:t>
      </w:r>
      <w:r>
        <w:rPr>
          <w:rFonts w:cs="Arial"/>
        </w:rPr>
        <w:t xml:space="preserve"> when placed in the context that this is ‘</w:t>
      </w:r>
      <w:r>
        <w:rPr>
          <w:rFonts w:cs="Arial"/>
          <w:i/>
        </w:rPr>
        <w:t>a pilot, operating on newly developed processes and procedures, and using newly developed bespoke software</w:t>
      </w:r>
      <w:r>
        <w:rPr>
          <w:rFonts w:cs="Arial"/>
        </w:rPr>
        <w:t xml:space="preserve"> (</w:t>
      </w:r>
      <w:r>
        <w:rPr>
          <w:szCs w:val="24"/>
        </w:rPr>
        <w:t>Karalic 2014 p7)</w:t>
      </w:r>
      <w:r>
        <w:rPr>
          <w:rFonts w:cs="Arial"/>
        </w:rPr>
        <w:t xml:space="preserve">.  The review found that reported quality issues were due to the use of the transactional database for reporting purposes.  </w:t>
      </w:r>
    </w:p>
    <w:p w:rsidR="006F0FA9" w:rsidRDefault="006F0FA9" w:rsidP="006F0FA9">
      <w:pPr>
        <w:rPr>
          <w:lang w:eastAsia="ar-SA"/>
        </w:rPr>
      </w:pPr>
      <w:r>
        <w:rPr>
          <w:rFonts w:cs="Arial"/>
        </w:rPr>
        <w:t xml:space="preserve">The review also identified </w:t>
      </w:r>
      <w:r w:rsidR="00495917">
        <w:rPr>
          <w:rFonts w:cs="Arial"/>
        </w:rPr>
        <w:t xml:space="preserve">that </w:t>
      </w:r>
      <w:r>
        <w:rPr>
          <w:rFonts w:cs="Arial"/>
        </w:rPr>
        <w:t xml:space="preserve">a significant </w:t>
      </w:r>
      <w:r w:rsidR="00F72955">
        <w:rPr>
          <w:rFonts w:cs="Arial"/>
        </w:rPr>
        <w:t>Round 2</w:t>
      </w:r>
      <w:r>
        <w:rPr>
          <w:rFonts w:cs="Arial"/>
        </w:rPr>
        <w:t xml:space="preserve"> issue was the lack of a reporting </w:t>
      </w:r>
      <w:r w:rsidR="00EE1BDB">
        <w:rPr>
          <w:rFonts w:cs="Arial"/>
        </w:rPr>
        <w:t>layer</w:t>
      </w:r>
      <w:r>
        <w:rPr>
          <w:rFonts w:cs="Arial"/>
        </w:rPr>
        <w:t xml:space="preserve">, and inability to relate with certainty all events to the screening episode they occurred under. </w:t>
      </w:r>
      <w:r w:rsidR="0099488E">
        <w:rPr>
          <w:rFonts w:cs="Arial"/>
        </w:rPr>
        <w:t xml:space="preserve"> </w:t>
      </w:r>
      <w:r>
        <w:rPr>
          <w:rFonts w:cs="Arial"/>
        </w:rPr>
        <w:t xml:space="preserve">To resolve this issue, a reporting layer was developed </w:t>
      </w:r>
      <w:r>
        <w:rPr>
          <w:lang w:eastAsia="ar-SA"/>
        </w:rPr>
        <w:t>for the Register to enable the easy output of a flat file for reporting of participation and screening outcomes.  The BSP Coordination Centre and Massey University noted that the reporting template is useful and has made reporting a more efficient process</w:t>
      </w:r>
      <w:r w:rsidR="0099488E">
        <w:rPr>
          <w:lang w:eastAsia="ar-SA"/>
        </w:rPr>
        <w:t xml:space="preserve"> (Litmus 2016a)</w:t>
      </w:r>
      <w:r>
        <w:rPr>
          <w:lang w:eastAsia="ar-SA"/>
        </w:rPr>
        <w:t xml:space="preserve">. </w:t>
      </w:r>
    </w:p>
    <w:p w:rsidR="006F0FA9" w:rsidRDefault="006F0FA9" w:rsidP="00495917">
      <w:pPr>
        <w:pStyle w:val="Heading4"/>
        <w:spacing w:after="120"/>
        <w:rPr>
          <w:lang w:eastAsia="ar-SA"/>
        </w:rPr>
      </w:pPr>
      <w:r>
        <w:rPr>
          <w:lang w:eastAsia="ar-SA"/>
        </w:rPr>
        <w:t xml:space="preserve">Having </w:t>
      </w:r>
      <w:r w:rsidR="00EE1BDB">
        <w:rPr>
          <w:lang w:eastAsia="ar-SA"/>
        </w:rPr>
        <w:t>an operationally efficient Register</w:t>
      </w:r>
      <w:r>
        <w:rPr>
          <w:lang w:eastAsia="ar-SA"/>
        </w:rPr>
        <w:t xml:space="preserve"> </w:t>
      </w:r>
    </w:p>
    <w:p w:rsidR="00AB5107" w:rsidRDefault="00EE1BDB" w:rsidP="00495917">
      <w:pPr>
        <w:spacing w:before="120"/>
        <w:rPr>
          <w:lang w:eastAsia="ar-SA"/>
        </w:rPr>
      </w:pPr>
      <w:r>
        <w:rPr>
          <w:lang w:eastAsia="ar-SA"/>
        </w:rPr>
        <w:t>The BS</w:t>
      </w:r>
      <w:r w:rsidR="00346925">
        <w:rPr>
          <w:lang w:eastAsia="ar-SA"/>
        </w:rPr>
        <w:t>P Coordination Centre identified</w:t>
      </w:r>
      <w:r w:rsidR="00AB5107">
        <w:rPr>
          <w:lang w:eastAsia="ar-SA"/>
        </w:rPr>
        <w:t xml:space="preserve"> issues relating to the Register’s functionality</w:t>
      </w:r>
      <w:r>
        <w:rPr>
          <w:lang w:eastAsia="ar-SA"/>
        </w:rPr>
        <w:t xml:space="preserve">, through its day-to-day </w:t>
      </w:r>
      <w:r w:rsidR="00BE398D">
        <w:rPr>
          <w:lang w:eastAsia="ar-SA"/>
        </w:rPr>
        <w:t>operation</w:t>
      </w:r>
      <w:r>
        <w:rPr>
          <w:lang w:eastAsia="ar-SA"/>
        </w:rPr>
        <w:t xml:space="preserve">.  The Ministry is informed about the functional issues through </w:t>
      </w:r>
      <w:r w:rsidR="00AB5107">
        <w:rPr>
          <w:lang w:eastAsia="ar-SA"/>
        </w:rPr>
        <w:t xml:space="preserve">Register </w:t>
      </w:r>
      <w:r>
        <w:rPr>
          <w:lang w:eastAsia="ar-SA"/>
        </w:rPr>
        <w:t xml:space="preserve">upgrade requests.  Over the course of the pilot, there have been five upgrades to the Register; although due to constrained IT resources at the Ministry not all functional issues have been addressed. </w:t>
      </w:r>
    </w:p>
    <w:p w:rsidR="00D65E1F" w:rsidRDefault="0099488E" w:rsidP="00D65E1F">
      <w:pPr>
        <w:rPr>
          <w:lang w:eastAsia="ar-SA"/>
        </w:rPr>
      </w:pPr>
      <w:r>
        <w:t>Operational</w:t>
      </w:r>
      <w:r w:rsidR="00B64372">
        <w:t xml:space="preserve">ly, the BSP Coordination Centre </w:t>
      </w:r>
      <w:r>
        <w:t>use</w:t>
      </w:r>
      <w:r w:rsidR="00BE398D">
        <w:t>s</w:t>
      </w:r>
      <w:r>
        <w:t xml:space="preserve"> a number of manual processes to deliver components of the screening programme.  </w:t>
      </w:r>
      <w:r w:rsidR="00495917">
        <w:t>For e</w:t>
      </w:r>
      <w:r w:rsidR="00EE1BDB">
        <w:t>xample</w:t>
      </w:r>
      <w:r w:rsidR="00495917">
        <w:t xml:space="preserve">, </w:t>
      </w:r>
      <w:r w:rsidR="00EE1BDB">
        <w:t xml:space="preserve">the </w:t>
      </w:r>
      <w:r w:rsidR="00EE1BDB" w:rsidRPr="00DE6782">
        <w:t xml:space="preserve">Register </w:t>
      </w:r>
      <w:r w:rsidR="00EE1BDB">
        <w:t>do</w:t>
      </w:r>
      <w:r w:rsidR="00EE1BDB" w:rsidRPr="00DE6782">
        <w:t xml:space="preserve">es not </w:t>
      </w:r>
      <w:r w:rsidR="00EE1BDB">
        <w:t xml:space="preserve">inform or monitor the </w:t>
      </w:r>
      <w:r w:rsidR="00EE1BDB" w:rsidRPr="00DE6782">
        <w:t>active follow-up process,</w:t>
      </w:r>
      <w:r w:rsidR="00495917">
        <w:rPr>
          <w:rStyle w:val="FootnoteReference"/>
        </w:rPr>
        <w:footnoteReference w:id="60"/>
      </w:r>
      <w:r w:rsidR="00EE1BDB" w:rsidRPr="00DE6782">
        <w:t xml:space="preserve"> record adverse events or </w:t>
      </w:r>
      <w:r w:rsidR="00EE1BDB">
        <w:t>record the surveillance period.</w:t>
      </w:r>
      <w:r w:rsidR="00EE1BDB" w:rsidRPr="00DE6782">
        <w:t xml:space="preserve">  </w:t>
      </w:r>
      <w:r w:rsidR="00EE1BDB">
        <w:rPr>
          <w:rStyle w:val="FootnoteReference"/>
        </w:rPr>
        <w:t>.</w:t>
      </w:r>
      <w:r w:rsidR="00EE1BDB">
        <w:t>T</w:t>
      </w:r>
      <w:r w:rsidR="00EE1BDB">
        <w:rPr>
          <w:lang w:eastAsia="ar-SA"/>
        </w:rPr>
        <w:t>he manual nature of the work</w:t>
      </w:r>
      <w:r w:rsidR="00291697">
        <w:rPr>
          <w:lang w:eastAsia="ar-SA"/>
        </w:rPr>
        <w:t xml:space="preserve"> </w:t>
      </w:r>
      <w:r w:rsidR="00EE1BDB" w:rsidRPr="00DE6782">
        <w:rPr>
          <w:lang w:eastAsia="ar-SA"/>
        </w:rPr>
        <w:t>plac</w:t>
      </w:r>
      <w:r w:rsidR="00495917">
        <w:rPr>
          <w:lang w:eastAsia="ar-SA"/>
        </w:rPr>
        <w:t>es</w:t>
      </w:r>
      <w:r w:rsidR="00EE1BDB" w:rsidRPr="00DE6782">
        <w:rPr>
          <w:lang w:eastAsia="ar-SA"/>
        </w:rPr>
        <w:t xml:space="preserve"> more demands on the available BSP Coordination</w:t>
      </w:r>
      <w:r w:rsidR="00B64372">
        <w:rPr>
          <w:lang w:eastAsia="ar-SA"/>
        </w:rPr>
        <w:t xml:space="preserve"> Centre data management</w:t>
      </w:r>
      <w:r w:rsidR="00346925">
        <w:rPr>
          <w:lang w:eastAsia="ar-SA"/>
        </w:rPr>
        <w:t xml:space="preserve"> capacity</w:t>
      </w:r>
      <w:r w:rsidR="00B64372">
        <w:rPr>
          <w:lang w:eastAsia="ar-SA"/>
        </w:rPr>
        <w:t xml:space="preserve">.  </w:t>
      </w:r>
    </w:p>
    <w:p w:rsidR="00EE1BDB" w:rsidRDefault="00EE1BDB" w:rsidP="006F0FA9">
      <w:pPr>
        <w:rPr>
          <w:lang w:eastAsia="ar-SA"/>
        </w:rPr>
      </w:pPr>
      <w:r>
        <w:t xml:space="preserve">Not having regular PHO enrolment updates means that contact details on the Register may be out of date or an incorrect GP may be listed.  Where an incorrect GP is listed, a result from the lab will not be sent automatically to the GP using the HL-7 message.  When </w:t>
      </w:r>
      <w:r w:rsidR="00495917">
        <w:t xml:space="preserve">a </w:t>
      </w:r>
      <w:r>
        <w:t>consent form is returned, the BSP Coordination Centre manually checks the consent against the Register.  As the information on the Register is not up</w:t>
      </w:r>
      <w:r w:rsidR="00495917">
        <w:t xml:space="preserve"> </w:t>
      </w:r>
      <w:r>
        <w:t>to</w:t>
      </w:r>
      <w:r w:rsidR="00495917">
        <w:t xml:space="preserve"> </w:t>
      </w:r>
      <w:r>
        <w:t xml:space="preserve">date, many changes are being made to update </w:t>
      </w:r>
      <w:r w:rsidR="00BE398D">
        <w:t>it</w:t>
      </w:r>
      <w:r>
        <w:t>.  As a result, the BSP Coordination Centre has established a</w:t>
      </w:r>
      <w:r>
        <w:rPr>
          <w:lang w:eastAsia="ar-SA"/>
        </w:rPr>
        <w:t xml:space="preserve"> student workforce which offers flexible hours on an as-needs-basis for data administration tasks.  </w:t>
      </w:r>
    </w:p>
    <w:p w:rsidR="00AB5107" w:rsidRDefault="00AB5107" w:rsidP="00AB5107">
      <w:r>
        <w:rPr>
          <w:lang w:eastAsia="ar-SA"/>
        </w:rPr>
        <w:t xml:space="preserve">The Register does not link </w:t>
      </w:r>
      <w:r w:rsidR="00346925">
        <w:rPr>
          <w:lang w:eastAsia="ar-SA"/>
        </w:rPr>
        <w:t xml:space="preserve">on a regular basis </w:t>
      </w:r>
      <w:r>
        <w:rPr>
          <w:lang w:eastAsia="ar-SA"/>
        </w:rPr>
        <w:t xml:space="preserve">to other health systems.  </w:t>
      </w:r>
      <w:r w:rsidR="00346925">
        <w:rPr>
          <w:lang w:eastAsia="ar-SA"/>
        </w:rPr>
        <w:t>As a result, p</w:t>
      </w:r>
      <w:r>
        <w:rPr>
          <w:lang w:eastAsia="ar-SA"/>
        </w:rPr>
        <w:t>articipant eligibility cannot be checked</w:t>
      </w:r>
      <w:r w:rsidR="00346925">
        <w:rPr>
          <w:lang w:eastAsia="ar-SA"/>
        </w:rPr>
        <w:t xml:space="preserve"> to determine i</w:t>
      </w:r>
      <w:r>
        <w:rPr>
          <w:lang w:eastAsia="ar-SA"/>
        </w:rPr>
        <w:t>f a person has had a colonoscopy recently and is therefore ineligible to take part</w:t>
      </w:r>
      <w:r w:rsidR="00346925">
        <w:rPr>
          <w:lang w:eastAsia="ar-SA"/>
        </w:rPr>
        <w:t xml:space="preserve">.  </w:t>
      </w:r>
      <w:r>
        <w:t>Feedback indicates that</w:t>
      </w:r>
      <w:r w:rsidR="00AE2F54">
        <w:t xml:space="preserve"> </w:t>
      </w:r>
      <w:r w:rsidR="00AE2F54" w:rsidRPr="002558F1">
        <w:t>updates</w:t>
      </w:r>
      <w:r w:rsidR="00AE2F54">
        <w:t xml:space="preserve"> from the</w:t>
      </w:r>
      <w:r>
        <w:t xml:space="preserve"> </w:t>
      </w:r>
      <w:r w:rsidR="00AE2F54">
        <w:t>N</w:t>
      </w:r>
      <w:r w:rsidRPr="002558F1">
        <w:t xml:space="preserve">ational </w:t>
      </w:r>
      <w:r w:rsidR="00AE2F54">
        <w:t>C</w:t>
      </w:r>
      <w:r w:rsidRPr="002558F1">
        <w:t xml:space="preserve">ancer </w:t>
      </w:r>
      <w:r w:rsidR="00AE2F54">
        <w:t>R</w:t>
      </w:r>
      <w:r w:rsidRPr="002558F1">
        <w:t xml:space="preserve">egister </w:t>
      </w:r>
      <w:r w:rsidR="00AE2F54">
        <w:t xml:space="preserve">and </w:t>
      </w:r>
      <w:r w:rsidR="00AE2F54">
        <w:rPr>
          <w:lang w:eastAsia="ar-SA"/>
        </w:rPr>
        <w:t>Births and Deaths Register</w:t>
      </w:r>
      <w:r w:rsidR="00AE2F54" w:rsidRPr="002558F1">
        <w:t xml:space="preserve"> </w:t>
      </w:r>
      <w:r w:rsidRPr="002558F1">
        <w:t xml:space="preserve">are </w:t>
      </w:r>
      <w:r>
        <w:t xml:space="preserve">infrequent.  </w:t>
      </w:r>
      <w:r w:rsidR="00BE398D">
        <w:t>P</w:t>
      </w:r>
      <w:r w:rsidRPr="002558F1">
        <w:t xml:space="preserve">eople </w:t>
      </w:r>
      <w:r>
        <w:t>can be</w:t>
      </w:r>
      <w:r w:rsidRPr="00EE5F65">
        <w:t xml:space="preserve"> invited that have been diagnosed with bowel cancer or</w:t>
      </w:r>
      <w:r w:rsidR="00AE2F54">
        <w:t xml:space="preserve"> who have</w:t>
      </w:r>
      <w:r w:rsidRPr="00EE5F65">
        <w:t xml:space="preserve"> died.</w:t>
      </w:r>
      <w:r>
        <w:t xml:space="preserve">  This can be distressing for families and CAR staff who follow-up non-responders. </w:t>
      </w:r>
    </w:p>
    <w:p w:rsidR="006F0FA9" w:rsidRDefault="00FB25E9" w:rsidP="006F0FA9">
      <w:pPr>
        <w:rPr>
          <w:lang w:eastAsia="ar-SA"/>
        </w:rPr>
      </w:pPr>
      <w:r>
        <w:rPr>
          <w:lang w:eastAsia="ar-SA"/>
        </w:rPr>
        <w:t>Data should be collected once and validated at source (National Screening Unit 2005 p</w:t>
      </w:r>
      <w:r w:rsidR="00BC7386">
        <w:rPr>
          <w:lang w:eastAsia="ar-SA"/>
        </w:rPr>
        <w:t>.</w:t>
      </w:r>
      <w:r>
        <w:rPr>
          <w:lang w:eastAsia="ar-SA"/>
        </w:rPr>
        <w:t xml:space="preserve">21).  </w:t>
      </w:r>
      <w:r w:rsidR="006F0FA9">
        <w:t>Data validation does occur at the BSP Coordination Centre but due to limited capacity it is ad</w:t>
      </w:r>
      <w:r w:rsidR="00BC7386">
        <w:t xml:space="preserve"> </w:t>
      </w:r>
      <w:r w:rsidR="006F0FA9">
        <w:t xml:space="preserve">hoc.  Spot checks are undertaken of data entry by pulling consent forms and checking the data has been entered correctly.  </w:t>
      </w:r>
      <w:r w:rsidR="006F0FA9">
        <w:rPr>
          <w:lang w:eastAsia="ar-SA"/>
        </w:rPr>
        <w:t>Histopathology results are entered by clinicians and no validation is done on the results entered.  Stakeholders’ perceptions are that data quality is good, as business rules in the Register tend to highlight if issues arise.  This reflects the findings of the Ministry’s review (</w:t>
      </w:r>
      <w:r w:rsidR="006F0FA9">
        <w:rPr>
          <w:szCs w:val="24"/>
        </w:rPr>
        <w:t>Karalic 2014)</w:t>
      </w:r>
      <w:r w:rsidR="0099488E">
        <w:rPr>
          <w:lang w:eastAsia="ar-SA"/>
        </w:rPr>
        <w:t xml:space="preserve">.  </w:t>
      </w:r>
    </w:p>
    <w:p w:rsidR="00AB5107" w:rsidRDefault="00AB5107" w:rsidP="00AB5107">
      <w:pPr>
        <w:rPr>
          <w:lang w:eastAsia="ar-SA"/>
        </w:rPr>
      </w:pPr>
      <w:r>
        <w:rPr>
          <w:lang w:eastAsia="ar-SA"/>
        </w:rPr>
        <w:t>Feedback on the operational functionality of the Register highlights the need for a systematic review of its functionality to determine whether it can work efficiently for a national bowel screening programme.</w:t>
      </w:r>
      <w:r w:rsidR="00804EDA">
        <w:rPr>
          <w:lang w:eastAsia="ar-SA"/>
        </w:rPr>
        <w:t xml:space="preserve">  </w:t>
      </w:r>
    </w:p>
    <w:p w:rsidR="00D63696" w:rsidRDefault="006D4877" w:rsidP="00D1688D">
      <w:pPr>
        <w:pStyle w:val="Heading4"/>
        <w:spacing w:after="120"/>
      </w:pPr>
      <w:r>
        <w:t>Enabling i</w:t>
      </w:r>
      <w:r w:rsidR="00A65289" w:rsidRPr="00D63696">
        <w:t>nformed decision</w:t>
      </w:r>
      <w:r>
        <w:t xml:space="preserve">s and managing emotional anxiety </w:t>
      </w:r>
    </w:p>
    <w:p w:rsidR="006D02BB" w:rsidRDefault="000B6A0F" w:rsidP="00D1688D">
      <w:pPr>
        <w:spacing w:before="120"/>
      </w:pPr>
      <w:r>
        <w:t>A</w:t>
      </w:r>
      <w:r w:rsidR="00584A70">
        <w:t xml:space="preserve">ll screening programmes </w:t>
      </w:r>
      <w:r>
        <w:t xml:space="preserve">face the challenge of </w:t>
      </w:r>
      <w:r w:rsidR="00584A70">
        <w:t>ensuring healthy asymptomatic p</w:t>
      </w:r>
      <w:r>
        <w:t xml:space="preserve">eople are </w:t>
      </w:r>
      <w:r w:rsidR="00E47949">
        <w:t xml:space="preserve">aware of the limitations of screening and </w:t>
      </w:r>
      <w:r w:rsidR="005C793E">
        <w:t xml:space="preserve">the </w:t>
      </w:r>
      <w:r w:rsidR="00E47949">
        <w:t xml:space="preserve">uncertainties of false positive and false negative results.  </w:t>
      </w:r>
      <w:r w:rsidR="006D02BB">
        <w:t xml:space="preserve">All screening programmes create a level of emotional anxiety for participants which needs to be managed as most participants will not have the disease being tested for.  </w:t>
      </w:r>
    </w:p>
    <w:p w:rsidR="006D02BB" w:rsidRDefault="00EB2875" w:rsidP="00EB2875">
      <w:r w:rsidRPr="005B77C4">
        <w:t xml:space="preserve">The participation rate in bowel screening is a critical determinant of the magnitude of the screening impact on bowel cancer incidence and mortality (Senore et al 2010).  The literature highlights a potential conflict between promoting high participation rates and the need for people to make an informed choice about whether or not they want to be screened.  Strategies to promote participation </w:t>
      </w:r>
      <w:r w:rsidR="00010154">
        <w:t xml:space="preserve">therefore </w:t>
      </w:r>
      <w:r w:rsidRPr="005B77C4">
        <w:t>need to be balanced with information on the risks and benefits of screening (Weller et al 2009).</w:t>
      </w:r>
      <w:r>
        <w:t xml:space="preserve"> </w:t>
      </w:r>
      <w:r w:rsidR="000D11C6">
        <w:t xml:space="preserve"> </w:t>
      </w:r>
    </w:p>
    <w:p w:rsidR="004F0A89" w:rsidRDefault="00E47949" w:rsidP="00EB2875">
      <w:r>
        <w:t xml:space="preserve">The BSP has in place information and processes that support informed </w:t>
      </w:r>
      <w:r w:rsidR="004F0A89">
        <w:t>decision</w:t>
      </w:r>
      <w:r w:rsidR="00D1688D">
        <w:t xml:space="preserve"> </w:t>
      </w:r>
      <w:r w:rsidR="005C793E">
        <w:t>making</w:t>
      </w:r>
      <w:r>
        <w:t xml:space="preserve"> and </w:t>
      </w:r>
      <w:r w:rsidR="004F0A89">
        <w:t xml:space="preserve">proactively </w:t>
      </w:r>
      <w:r w:rsidR="00BE398D">
        <w:t>seek</w:t>
      </w:r>
      <w:r>
        <w:t xml:space="preserve"> to miminise emotional </w:t>
      </w:r>
      <w:r w:rsidR="005C793E">
        <w:t>anxiety</w:t>
      </w:r>
      <w:r w:rsidR="007B44DA">
        <w:t xml:space="preserve"> for BSP participants.  The BSP</w:t>
      </w:r>
      <w:r>
        <w:t xml:space="preserve"> invitation letter and supporting collateral, CAR and follow-up processes</w:t>
      </w:r>
      <w:r w:rsidR="007B44DA">
        <w:t>,</w:t>
      </w:r>
      <w:r>
        <w:t xml:space="preserve"> and result letters make clear both the benefits and the</w:t>
      </w:r>
      <w:r w:rsidR="00BE398D">
        <w:t xml:space="preserve"> limitations of bowel screening</w:t>
      </w:r>
      <w:r>
        <w:t xml:space="preserve">.  </w:t>
      </w:r>
    </w:p>
    <w:p w:rsidR="00280E09" w:rsidRDefault="001724FF" w:rsidP="001724FF">
      <w:r>
        <w:t>In</w:t>
      </w:r>
      <w:r w:rsidR="00E96127">
        <w:t xml:space="preserve"> BSP</w:t>
      </w:r>
      <w:r>
        <w:t xml:space="preserve"> </w:t>
      </w:r>
      <w:r w:rsidR="00F72955">
        <w:t>Round 1</w:t>
      </w:r>
      <w:r>
        <w:t>, general practice</w:t>
      </w:r>
      <w:r w:rsidR="00F373E0">
        <w:t>s</w:t>
      </w:r>
      <w:r>
        <w:t xml:space="preserve"> w</w:t>
      </w:r>
      <w:r w:rsidR="00F373E0">
        <w:t>ere</w:t>
      </w:r>
      <w:r>
        <w:t xml:space="preserve"> unable to identify the eligible BSP participants in their practice who had received an iFOBT kit and not completed it.  In 2015, DRINFO and Patient Dashboard were updated to enable opportunistic and systematic patient reminders on completing their iFOBT kit in general practice. </w:t>
      </w:r>
      <w:r w:rsidR="00280E09">
        <w:t xml:space="preserve"> </w:t>
      </w:r>
      <w:r w:rsidR="00F373E0">
        <w:t>Reflecting their recent introduction, th</w:t>
      </w:r>
      <w:r w:rsidR="00280E09">
        <w:t xml:space="preserve">ese tools are not </w:t>
      </w:r>
      <w:r w:rsidR="00010154">
        <w:t xml:space="preserve">yet </w:t>
      </w:r>
      <w:r w:rsidR="00280E09">
        <w:t>being consistently used in all general practices.  However, when used they are supporting people to consider bowel screening and to take part (Litmus 2016).</w:t>
      </w:r>
      <w:r w:rsidR="00D1688D">
        <w:rPr>
          <w:rStyle w:val="FootnoteReference"/>
        </w:rPr>
        <w:footnoteReference w:id="61"/>
      </w:r>
      <w:r w:rsidR="00280E09">
        <w:t xml:space="preserve">  </w:t>
      </w:r>
    </w:p>
    <w:p w:rsidR="00211576" w:rsidRDefault="000D11C6" w:rsidP="007B44DA">
      <w:r>
        <w:rPr>
          <w:lang w:val="en-US"/>
        </w:rPr>
        <w:t xml:space="preserve">General practice has the </w:t>
      </w:r>
      <w:r w:rsidR="000F2E64">
        <w:rPr>
          <w:lang w:val="en-US"/>
        </w:rPr>
        <w:t xml:space="preserve">uncommon </w:t>
      </w:r>
      <w:r>
        <w:rPr>
          <w:lang w:val="en-US"/>
        </w:rPr>
        <w:t xml:space="preserve">role in the BSP of informing and discussing positive iFOBT </w:t>
      </w:r>
      <w:r w:rsidR="00211576">
        <w:rPr>
          <w:lang w:val="en-US"/>
        </w:rPr>
        <w:t xml:space="preserve">results with their patients </w:t>
      </w:r>
      <w:r>
        <w:rPr>
          <w:lang w:val="en-US"/>
        </w:rPr>
        <w:t xml:space="preserve">and referring to BSP </w:t>
      </w:r>
      <w:r w:rsidRPr="00375A28">
        <w:rPr>
          <w:lang w:eastAsia="ar-SA"/>
        </w:rPr>
        <w:t xml:space="preserve">colonoscopy within </w:t>
      </w:r>
      <w:r>
        <w:rPr>
          <w:lang w:eastAsia="ar-SA"/>
        </w:rPr>
        <w:t xml:space="preserve">ten </w:t>
      </w:r>
      <w:r w:rsidRPr="00375A28">
        <w:rPr>
          <w:lang w:eastAsia="ar-SA"/>
        </w:rPr>
        <w:t>day</w:t>
      </w:r>
      <w:r>
        <w:rPr>
          <w:lang w:val="en-US"/>
        </w:rPr>
        <w:t>s</w:t>
      </w:r>
      <w:r>
        <w:t xml:space="preserve">.  </w:t>
      </w:r>
      <w:r w:rsidR="00D1688D">
        <w:t>G</w:t>
      </w:r>
      <w:r w:rsidR="00211576">
        <w:t xml:space="preserve">eneral practices in WDHB </w:t>
      </w:r>
      <w:r>
        <w:t xml:space="preserve">are </w:t>
      </w:r>
      <w:r w:rsidR="00D1688D">
        <w:t xml:space="preserve">mostly </w:t>
      </w:r>
      <w:r>
        <w:t xml:space="preserve">undertaking their role as intended (Litmus 2014b).  </w:t>
      </w:r>
      <w:r w:rsidR="004F0A89">
        <w:rPr>
          <w:lang w:val="en-US"/>
        </w:rPr>
        <w:t xml:space="preserve">BSP participants interviewed who were anxious, had other health conditions or were reluctant to have a colonoscopy, </w:t>
      </w:r>
      <w:r w:rsidR="00010154">
        <w:rPr>
          <w:lang w:val="en-US"/>
        </w:rPr>
        <w:t xml:space="preserve">stated they felt </w:t>
      </w:r>
      <w:r w:rsidR="004F0A89">
        <w:rPr>
          <w:lang w:val="en-US"/>
        </w:rPr>
        <w:t xml:space="preserve">reassured following the consultation with their GP about their positive result (Litmus 2014c).  </w:t>
      </w:r>
    </w:p>
    <w:p w:rsidR="000D67FA" w:rsidRDefault="000D11C6" w:rsidP="000D67FA">
      <w:pPr>
        <w:rPr>
          <w:lang w:eastAsia="ar-SA"/>
        </w:rPr>
      </w:pPr>
      <w:r>
        <w:t xml:space="preserve">Where a BSP participant does not have a GP, </w:t>
      </w:r>
      <w:r w:rsidR="00F54ACF">
        <w:t xml:space="preserve">the </w:t>
      </w:r>
      <w:r w:rsidR="00F54ACF" w:rsidRPr="00AC37EF">
        <w:t xml:space="preserve">BSP </w:t>
      </w:r>
      <w:r w:rsidR="00F54ACF">
        <w:t>e</w:t>
      </w:r>
      <w:r w:rsidR="00F54ACF" w:rsidRPr="00AC37EF">
        <w:t xml:space="preserve">ndoscopy </w:t>
      </w:r>
      <w:r w:rsidR="00F54ACF" w:rsidRPr="00AC37EF">
        <w:rPr>
          <w:lang w:eastAsia="ar-SA"/>
        </w:rPr>
        <w:t xml:space="preserve">CNS </w:t>
      </w:r>
      <w:r>
        <w:t>will contact</w:t>
      </w:r>
      <w:r w:rsidR="00984E16">
        <w:t xml:space="preserve"> the participant</w:t>
      </w:r>
      <w:r>
        <w:t xml:space="preserve"> to inform</w:t>
      </w:r>
      <w:r w:rsidR="00984E16">
        <w:t xml:space="preserve"> them</w:t>
      </w:r>
      <w:r>
        <w:t xml:space="preserve"> of the positive result</w:t>
      </w:r>
      <w:r w:rsidR="00010154">
        <w:t xml:space="preserve"> and will offer reassurance about the result and its implications</w:t>
      </w:r>
      <w:r>
        <w:t xml:space="preserve">.  </w:t>
      </w:r>
      <w:r w:rsidR="000D67FA" w:rsidRPr="000D67FA">
        <w:t>Participants with a positive result</w:t>
      </w:r>
      <w:r w:rsidR="000D67FA" w:rsidRPr="00AC37EF">
        <w:t xml:space="preserve"> who do not have an identified GP or who have not</w:t>
      </w:r>
      <w:r w:rsidR="000D67FA" w:rsidRPr="00AC37EF">
        <w:rPr>
          <w:lang w:eastAsia="ar-SA"/>
        </w:rPr>
        <w:t xml:space="preserve"> been contacted by their </w:t>
      </w:r>
      <w:r w:rsidR="000D67FA">
        <w:rPr>
          <w:lang w:eastAsia="ar-SA"/>
        </w:rPr>
        <w:t xml:space="preserve">general practice </w:t>
      </w:r>
      <w:r w:rsidR="00D1688D">
        <w:rPr>
          <w:lang w:eastAsia="ar-SA"/>
        </w:rPr>
        <w:t>within the ten-</w:t>
      </w:r>
      <w:r w:rsidR="000D67FA" w:rsidRPr="00AC37EF">
        <w:rPr>
          <w:lang w:eastAsia="ar-SA"/>
        </w:rPr>
        <w:t xml:space="preserve">day period, are contacted by the </w:t>
      </w:r>
      <w:r w:rsidR="000D67FA" w:rsidRPr="00AC37EF">
        <w:t xml:space="preserve">BSP </w:t>
      </w:r>
      <w:r w:rsidR="00F54ACF">
        <w:t>e</w:t>
      </w:r>
      <w:r w:rsidR="000D67FA" w:rsidRPr="00AC37EF">
        <w:t xml:space="preserve">ndoscopy </w:t>
      </w:r>
      <w:r w:rsidR="000D67FA" w:rsidRPr="00AC37EF">
        <w:rPr>
          <w:lang w:eastAsia="ar-SA"/>
        </w:rPr>
        <w:t xml:space="preserve">CNS within 15 working days of a positive result.  </w:t>
      </w:r>
      <w:r w:rsidR="000D67FA">
        <w:rPr>
          <w:lang w:eastAsia="ar-SA"/>
        </w:rPr>
        <w:t xml:space="preserve">The endoscopy nurse </w:t>
      </w:r>
      <w:r w:rsidR="000D67FA">
        <w:t xml:space="preserve">offers reassurance about the result, its implications and the next steps in the screening pathway.  </w:t>
      </w:r>
      <w:r w:rsidR="000D67FA" w:rsidRPr="00AC37EF">
        <w:rPr>
          <w:lang w:eastAsia="ar-SA"/>
        </w:rPr>
        <w:t xml:space="preserve">If the </w:t>
      </w:r>
      <w:r w:rsidR="000D67FA">
        <w:rPr>
          <w:lang w:eastAsia="ar-SA"/>
        </w:rPr>
        <w:t xml:space="preserve">CNS </w:t>
      </w:r>
      <w:r w:rsidR="000D67FA" w:rsidRPr="00AC37EF">
        <w:rPr>
          <w:lang w:eastAsia="ar-SA"/>
        </w:rPr>
        <w:t>is unable to contact a participant with a positive iFOBT,</w:t>
      </w:r>
      <w:r w:rsidR="00D1688D">
        <w:rPr>
          <w:rStyle w:val="FootnoteReference"/>
          <w:lang w:eastAsia="ar-SA"/>
        </w:rPr>
        <w:footnoteReference w:id="62"/>
      </w:r>
      <w:r w:rsidR="000D67FA" w:rsidRPr="00AC37EF">
        <w:rPr>
          <w:lang w:eastAsia="ar-SA"/>
        </w:rPr>
        <w:t xml:space="preserve"> the CNS sends the participant a letter, outlining the positive result</w:t>
      </w:r>
      <w:r w:rsidR="000D67FA">
        <w:rPr>
          <w:lang w:eastAsia="ar-SA"/>
        </w:rPr>
        <w:t xml:space="preserve">, informing that the result </w:t>
      </w:r>
      <w:r w:rsidR="000D67FA">
        <w:t>is unlikely to mean bowel cancer</w:t>
      </w:r>
      <w:r w:rsidR="000D67FA">
        <w:rPr>
          <w:lang w:eastAsia="ar-SA"/>
        </w:rPr>
        <w:t xml:space="preserve"> </w:t>
      </w:r>
      <w:r w:rsidR="000D67FA" w:rsidRPr="00AC37EF">
        <w:rPr>
          <w:lang w:eastAsia="ar-SA"/>
        </w:rPr>
        <w:t xml:space="preserve">and encouraging the participant to contact their GP or the </w:t>
      </w:r>
      <w:r w:rsidR="00297554">
        <w:rPr>
          <w:lang w:eastAsia="ar-SA"/>
        </w:rPr>
        <w:t xml:space="preserve">BSP </w:t>
      </w:r>
      <w:r w:rsidR="000D67FA" w:rsidRPr="00AC37EF">
        <w:rPr>
          <w:lang w:eastAsia="ar-SA"/>
        </w:rPr>
        <w:t>Coordination Centre.  If no contact is made, the participant is placed on the iFOBT recall system and remains on the BSP Register.</w:t>
      </w:r>
    </w:p>
    <w:p w:rsidR="007B44DA" w:rsidRDefault="00E47949" w:rsidP="007B44DA">
      <w:pPr>
        <w:rPr>
          <w:lang w:eastAsia="ar-SA"/>
        </w:rPr>
      </w:pPr>
      <w:r>
        <w:t>During the pre-assessment phone</w:t>
      </w:r>
      <w:r w:rsidR="00EB2875">
        <w:t xml:space="preserve"> </w:t>
      </w:r>
      <w:r w:rsidR="00F373E0">
        <w:t xml:space="preserve">call </w:t>
      </w:r>
      <w:r w:rsidR="00EB2875">
        <w:t>and informed consent process for the colonoscopy</w:t>
      </w:r>
      <w:r>
        <w:t xml:space="preserve">, </w:t>
      </w:r>
      <w:r w:rsidR="00211576">
        <w:t xml:space="preserve">reassurance </w:t>
      </w:r>
      <w:r>
        <w:t xml:space="preserve">is again </w:t>
      </w:r>
      <w:r w:rsidR="00010154">
        <w:t>offere</w:t>
      </w:r>
      <w:r>
        <w:t xml:space="preserve">d.  To minimise emotional anxiety, </w:t>
      </w:r>
      <w:r w:rsidR="00EB2875">
        <w:t xml:space="preserve">quality standards for colonoscopy wait times have been set at 95% </w:t>
      </w:r>
      <w:r w:rsidR="00F373E0">
        <w:t xml:space="preserve">of </w:t>
      </w:r>
      <w:r w:rsidR="00EB2875">
        <w:t xml:space="preserve">participants receiving </w:t>
      </w:r>
      <w:r w:rsidR="00EB2875">
        <w:rPr>
          <w:lang w:val="en-US"/>
        </w:rPr>
        <w:t>their colonoscopy within 55 days.  These standards a</w:t>
      </w:r>
      <w:r w:rsidR="00EB2875">
        <w:t xml:space="preserve">re closely monitored and </w:t>
      </w:r>
      <w:r w:rsidR="00AE2F54">
        <w:t xml:space="preserve">were met </w:t>
      </w:r>
      <w:r w:rsidR="00EB2875">
        <w:t xml:space="preserve">in </w:t>
      </w:r>
      <w:r w:rsidR="00F72955">
        <w:t>Round 2</w:t>
      </w:r>
      <w:r w:rsidR="00EB2875">
        <w:t xml:space="preserve">.  </w:t>
      </w:r>
      <w:r w:rsidR="00137702">
        <w:t>Another example of proactively managing participant anxiety is</w:t>
      </w:r>
      <w:r w:rsidR="00D1688D">
        <w:t xml:space="preserve"> that</w:t>
      </w:r>
      <w:r w:rsidR="00137702">
        <w:t xml:space="preserve"> on the day of the procedure, </w:t>
      </w:r>
      <w:r w:rsidR="007B44DA">
        <w:t>the endoscopist u</w:t>
      </w:r>
      <w:r w:rsidR="007B44DA">
        <w:rPr>
          <w:lang w:eastAsia="ar-SA"/>
        </w:rPr>
        <w:t>sually meets with the BSP participant after the colonoscopy to discuss the outcome; the endoscopist always meets with a participant if the outcome is abnormal.</w:t>
      </w:r>
    </w:p>
    <w:p w:rsidR="00010154" w:rsidRDefault="00137702" w:rsidP="00010154">
      <w:r>
        <w:rPr>
          <w:lang w:eastAsia="ar-SA"/>
        </w:rPr>
        <w:t xml:space="preserve">Feedback from </w:t>
      </w:r>
      <w:r w:rsidR="00010154">
        <w:rPr>
          <w:lang w:eastAsia="ar-SA"/>
        </w:rPr>
        <w:t>P</w:t>
      </w:r>
      <w:r w:rsidR="00010154">
        <w:rPr>
          <w:rFonts w:cs="Arial"/>
          <w:lang w:eastAsia="ar-SA"/>
        </w:rPr>
        <w:t>ā</w:t>
      </w:r>
      <w:r w:rsidR="00010154">
        <w:rPr>
          <w:lang w:eastAsia="ar-SA"/>
        </w:rPr>
        <w:t>keh</w:t>
      </w:r>
      <w:r w:rsidR="00010154">
        <w:rPr>
          <w:rFonts w:cs="Arial"/>
          <w:lang w:eastAsia="ar-SA"/>
        </w:rPr>
        <w:t>ā</w:t>
      </w:r>
      <w:r w:rsidR="00010154">
        <w:rPr>
          <w:lang w:eastAsia="ar-SA"/>
        </w:rPr>
        <w:t>, M</w:t>
      </w:r>
      <w:r w:rsidR="00010154">
        <w:rPr>
          <w:rFonts w:cs="Arial"/>
          <w:lang w:eastAsia="ar-SA"/>
        </w:rPr>
        <w:t>ā</w:t>
      </w:r>
      <w:r w:rsidR="00010154">
        <w:rPr>
          <w:lang w:eastAsia="ar-SA"/>
        </w:rPr>
        <w:t xml:space="preserve">ori and Pacific BSP participants interviewed with a positive iFOBT results described the communication about their results as reassuring, and their colonoscopy experience as timely and respectful </w:t>
      </w:r>
      <w:r w:rsidR="00010154" w:rsidRPr="00935D46">
        <w:t>(Litmus 2013</w:t>
      </w:r>
      <w:r w:rsidR="00010154">
        <w:t>, 2014c, 2016)</w:t>
      </w:r>
    </w:p>
    <w:p w:rsidR="005D605E" w:rsidRDefault="005D605E" w:rsidP="002F6D61">
      <w:pPr>
        <w:pStyle w:val="Heading4"/>
        <w:spacing w:after="120"/>
      </w:pPr>
      <w:r>
        <w:t>iFOBT results</w:t>
      </w:r>
    </w:p>
    <w:p w:rsidR="005D605E" w:rsidRDefault="00F9512E" w:rsidP="002F6D61">
      <w:pPr>
        <w:spacing w:before="120"/>
        <w:rPr>
          <w:lang w:eastAsia="ar-SA"/>
        </w:rPr>
      </w:pPr>
      <w:r w:rsidRPr="00D059CE">
        <w:rPr>
          <w:lang w:eastAsia="ar-SA"/>
        </w:rPr>
        <w:t xml:space="preserve">WDHB has a </w:t>
      </w:r>
      <w:r>
        <w:rPr>
          <w:lang w:eastAsia="ar-SA"/>
        </w:rPr>
        <w:t>Service Level Agreement</w:t>
      </w:r>
      <w:r w:rsidRPr="00D059CE">
        <w:rPr>
          <w:lang w:eastAsia="ar-SA"/>
        </w:rPr>
        <w:t xml:space="preserve"> with LabPLUS (which is an </w:t>
      </w:r>
      <w:r w:rsidR="00FF0997" w:rsidRPr="00547801">
        <w:rPr>
          <w:lang w:eastAsia="ar-SA"/>
        </w:rPr>
        <w:t>A</w:t>
      </w:r>
      <w:r w:rsidR="00FF0997">
        <w:rPr>
          <w:lang w:eastAsia="ar-SA"/>
        </w:rPr>
        <w:t>uckland District Health Board</w:t>
      </w:r>
      <w:r w:rsidRPr="00D059CE">
        <w:rPr>
          <w:lang w:eastAsia="ar-SA"/>
        </w:rPr>
        <w:t xml:space="preserve"> service).</w:t>
      </w:r>
      <w:r>
        <w:rPr>
          <w:lang w:eastAsia="ar-SA"/>
        </w:rPr>
        <w:t xml:space="preserve"> </w:t>
      </w:r>
      <w:r w:rsidR="00297554">
        <w:rPr>
          <w:lang w:eastAsia="ar-SA"/>
        </w:rPr>
        <w:t xml:space="preserve"> </w:t>
      </w:r>
      <w:r w:rsidR="005D605E">
        <w:rPr>
          <w:lang w:eastAsia="ar-SA"/>
        </w:rPr>
        <w:t>The processing and testing of iFOBTs is described by stakeholders as timely with the appropriate quality checks and reporting in place.  The relationship between the BSP Coordination Centre and LabP</w:t>
      </w:r>
      <w:r w:rsidR="008E4A3C">
        <w:rPr>
          <w:lang w:eastAsia="ar-SA"/>
        </w:rPr>
        <w:t>LUS</w:t>
      </w:r>
      <w:r w:rsidR="005D605E">
        <w:rPr>
          <w:lang w:eastAsia="ar-SA"/>
        </w:rPr>
        <w:t xml:space="preserve"> continues to be effective wi</w:t>
      </w:r>
      <w:r w:rsidR="002F6D61">
        <w:rPr>
          <w:lang w:eastAsia="ar-SA"/>
        </w:rPr>
        <w:t>th clear lines of communication</w:t>
      </w:r>
      <w:r w:rsidR="005D605E">
        <w:rPr>
          <w:lang w:eastAsia="ar-SA"/>
        </w:rPr>
        <w:t xml:space="preserve"> (Litmus 2016a).  WDHB (2016) notes that </w:t>
      </w:r>
      <w:r w:rsidR="008E4A3C">
        <w:rPr>
          <w:lang w:eastAsia="ar-SA"/>
        </w:rPr>
        <w:t xml:space="preserve">LabPLUS </w:t>
      </w:r>
      <w:r w:rsidR="005D605E" w:rsidRPr="005D605E">
        <w:rPr>
          <w:lang w:eastAsia="ar-SA"/>
        </w:rPr>
        <w:t xml:space="preserve">continues to meet all quality standards.   </w:t>
      </w:r>
    </w:p>
    <w:p w:rsidR="005D605E" w:rsidRDefault="00F9512E" w:rsidP="00F9512E">
      <w:r>
        <w:t>During the pilot,</w:t>
      </w:r>
      <w:r w:rsidR="00A3302D">
        <w:t xml:space="preserve"> the issues of </w:t>
      </w:r>
      <w:r>
        <w:t>manag</w:t>
      </w:r>
      <w:r w:rsidR="00A3302D">
        <w:t>ing</w:t>
      </w:r>
      <w:r>
        <w:t xml:space="preserve"> incorrectly completed iFOBT kits and expired kits arose.  Actions were taken to minimise these occurring</w:t>
      </w:r>
      <w:r w:rsidR="002F6D61">
        <w:t>,</w:t>
      </w:r>
      <w:r>
        <w:t xml:space="preserve"> including more pictorial kit instructions and ensuring all kits sent out have at least six months before expiring.  Policies were also develop</w:t>
      </w:r>
      <w:r w:rsidR="00F373E0">
        <w:t>ed</w:t>
      </w:r>
      <w:r>
        <w:t xml:space="preserve"> to manage any incorrectly completed or expired kits received (Litmus et al 2015). </w:t>
      </w:r>
    </w:p>
    <w:p w:rsidR="00300220" w:rsidRDefault="005D605E" w:rsidP="00300220">
      <w:r>
        <w:t>BSP participants with a negat</w:t>
      </w:r>
      <w:r w:rsidR="00F9512E">
        <w:t xml:space="preserve">ive iFOBT result are recalled to complete another iFOBT in two years.  </w:t>
      </w:r>
      <w:r w:rsidR="00FF2868">
        <w:t>The negative result letter informs these participants that they will be recalled in two years</w:t>
      </w:r>
      <w:r w:rsidR="002F6D61">
        <w:t>’</w:t>
      </w:r>
      <w:r w:rsidR="00FF2868">
        <w:t xml:space="preserve"> time.  </w:t>
      </w:r>
      <w:r w:rsidR="00300220">
        <w:t>Around 8 in 10 p</w:t>
      </w:r>
      <w:r w:rsidR="00300220" w:rsidRPr="00A764FC">
        <w:rPr>
          <w:rFonts w:cs="Arial"/>
          <w:noProof/>
        </w:rPr>
        <w:t>eople</w:t>
      </w:r>
      <w:r w:rsidR="00300220" w:rsidRPr="00693941">
        <w:rPr>
          <w:rFonts w:cs="Arial"/>
        </w:rPr>
        <w:t xml:space="preserve"> with a negative iFOBT result in </w:t>
      </w:r>
      <w:r w:rsidR="00F72955">
        <w:rPr>
          <w:rFonts w:cs="Arial"/>
        </w:rPr>
        <w:t>Round 1</w:t>
      </w:r>
      <w:r w:rsidR="00297554">
        <w:rPr>
          <w:rFonts w:cs="Arial"/>
        </w:rPr>
        <w:t>,</w:t>
      </w:r>
      <w:r w:rsidR="00300220">
        <w:rPr>
          <w:rFonts w:cs="Arial"/>
        </w:rPr>
        <w:t xml:space="preserve"> who </w:t>
      </w:r>
      <w:r w:rsidR="00300220" w:rsidRPr="00A764FC">
        <w:rPr>
          <w:rFonts w:cs="Arial"/>
          <w:noProof/>
        </w:rPr>
        <w:t>were invited</w:t>
      </w:r>
      <w:r w:rsidR="00300220">
        <w:rPr>
          <w:rFonts w:cs="Arial"/>
        </w:rPr>
        <w:t xml:space="preserve"> in </w:t>
      </w:r>
      <w:r w:rsidR="00F72955">
        <w:rPr>
          <w:rFonts w:cs="Arial"/>
        </w:rPr>
        <w:t>Round 2</w:t>
      </w:r>
      <w:r w:rsidR="00297554">
        <w:rPr>
          <w:rFonts w:cs="Arial"/>
        </w:rPr>
        <w:t>,</w:t>
      </w:r>
      <w:r w:rsidR="00300220">
        <w:rPr>
          <w:rFonts w:cs="Arial"/>
        </w:rPr>
        <w:t xml:space="preserve"> completed their iFOBT (refer section 3.3).  </w:t>
      </w:r>
      <w:r w:rsidR="00300220">
        <w:t>Bobridge et al (2014) highlighted that people w</w:t>
      </w:r>
      <w:r w:rsidR="002F6D61">
        <w:t>ho have a negative iFOBT result</w:t>
      </w:r>
      <w:r w:rsidR="00300220">
        <w:t xml:space="preserve"> have a perceived lower bowel cancer risk and thus may be less likely to take part in screening.  As indicated in the converted non-responder survey</w:t>
      </w:r>
      <w:r w:rsidR="002F6D61">
        <w:t>,</w:t>
      </w:r>
      <w:r w:rsidR="00300220">
        <w:t xml:space="preserve"> a third are not a</w:t>
      </w:r>
      <w:r w:rsidR="002F6D61">
        <w:t>ware they need to undertake two-</w:t>
      </w:r>
      <w:r w:rsidR="00300220">
        <w:t xml:space="preserve">yearly screening </w:t>
      </w:r>
      <w:r w:rsidR="002F6D61">
        <w:t>if they have</w:t>
      </w:r>
      <w:r w:rsidR="00300220">
        <w:t xml:space="preserve"> a negative result.</w:t>
      </w:r>
      <w:r w:rsidR="002F6D61">
        <w:rPr>
          <w:rStyle w:val="FootnoteReference"/>
        </w:rPr>
        <w:footnoteReference w:id="63"/>
      </w:r>
      <w:r w:rsidR="00300220">
        <w:t xml:space="preserve">  To encourage future participation in bowel screening, more education is needed on bowel cancer risks</w:t>
      </w:r>
      <w:r w:rsidR="00F373E0">
        <w:t xml:space="preserve"> and the </w:t>
      </w:r>
      <w:r w:rsidR="00FB25E9">
        <w:t xml:space="preserve">ongoing </w:t>
      </w:r>
      <w:r w:rsidR="00F373E0">
        <w:t>role of bowel screening</w:t>
      </w:r>
      <w:r w:rsidR="00FB25E9">
        <w:t xml:space="preserve"> across time</w:t>
      </w:r>
      <w:r w:rsidR="00300220">
        <w:t xml:space="preserve">. </w:t>
      </w:r>
    </w:p>
    <w:p w:rsidR="00F9512E" w:rsidRDefault="000104FD" w:rsidP="005D605E">
      <w:r>
        <w:t xml:space="preserve">As noted above, processes and monitoring are in place to ensure BSP participants are informed about a positive iFOBT result by their GP, and there are failsafe mechanisms that occur if there is no GP or the GP cannot contact the patient within </w:t>
      </w:r>
      <w:r w:rsidR="001A7F54">
        <w:t>ten</w:t>
      </w:r>
      <w:r>
        <w:t xml:space="preserve"> days.  Most general practices interviewed noted that they can </w:t>
      </w:r>
      <w:r w:rsidR="001A7F54">
        <w:t>usually</w:t>
      </w:r>
      <w:r>
        <w:t xml:space="preserve"> contact their patients within the </w:t>
      </w:r>
      <w:r w:rsidR="001A7F54">
        <w:t>ten-</w:t>
      </w:r>
      <w:r>
        <w:t xml:space="preserve">day period (Litmus 2014c).  Practices with a high proportion of patients living in areas of high deprivation </w:t>
      </w:r>
      <w:r w:rsidR="00A82F65">
        <w:t>can find the ten-</w:t>
      </w:r>
      <w:r>
        <w:t xml:space="preserve">day period challenging </w:t>
      </w:r>
      <w:r w:rsidR="00F54ACF">
        <w:t>if their patients are transient</w:t>
      </w:r>
      <w:r>
        <w:t xml:space="preserve"> (Litmus 2016). </w:t>
      </w:r>
    </w:p>
    <w:p w:rsidR="00D63696" w:rsidRDefault="00A65289" w:rsidP="00A82F65">
      <w:pPr>
        <w:pStyle w:val="Heading4"/>
        <w:spacing w:after="120"/>
      </w:pPr>
      <w:r>
        <w:t>Diagnostic procedure</w:t>
      </w:r>
    </w:p>
    <w:p w:rsidR="008758A7" w:rsidRPr="008758A7" w:rsidRDefault="008758A7" w:rsidP="00A82F65">
      <w:pPr>
        <w:spacing w:before="120"/>
      </w:pPr>
      <w:r>
        <w:t xml:space="preserve">In the BSP, key safety considerations for colonoscopy are the acceptance of the test (discussed in section 6.2), </w:t>
      </w:r>
      <w:r w:rsidR="0003082A">
        <w:t>capacity to meet demand, avoidance of excessive wait times to minimise anxiety</w:t>
      </w:r>
      <w:r w:rsidR="00297554">
        <w:t>,</w:t>
      </w:r>
      <w:r w:rsidR="0003082A">
        <w:t xml:space="preserve"> and monitoring and adherence to quality standards for the endoscopy unit and endoscopists.  </w:t>
      </w:r>
    </w:p>
    <w:p w:rsidR="00BD2653" w:rsidRDefault="00BD2653" w:rsidP="00BD2653">
      <w:r>
        <w:t xml:space="preserve">Pre-BSP research highlights a significant gap between colonoscopy demand and provision, and that population screening would require a significant increase in colonoscopy capacity (Yeoman and Parry 2007).  In </w:t>
      </w:r>
      <w:r w:rsidR="00F72955">
        <w:t>Round 1</w:t>
      </w:r>
      <w:r>
        <w:t>, having adequate colonoscopy capacity to meet BSP quality standards was identified as a key challenge (both for endoscopists and endoscopy nurses)</w:t>
      </w:r>
      <w:r>
        <w:rPr>
          <w:lang w:val="en-US"/>
        </w:rPr>
        <w:t xml:space="preserve">.  In </w:t>
      </w:r>
      <w:r w:rsidR="00F72955">
        <w:rPr>
          <w:lang w:val="en-US"/>
        </w:rPr>
        <w:t>Round 2</w:t>
      </w:r>
      <w:r>
        <w:rPr>
          <w:lang w:val="en-US"/>
        </w:rPr>
        <w:t xml:space="preserve">, having adequate colonoscopy capacity has continued as a challenge but it is not as great as in </w:t>
      </w:r>
      <w:r w:rsidR="00F72955">
        <w:rPr>
          <w:lang w:val="en-US"/>
        </w:rPr>
        <w:t>Round 1</w:t>
      </w:r>
      <w:r>
        <w:rPr>
          <w:lang w:val="en-US"/>
        </w:rPr>
        <w:t xml:space="preserve">.  </w:t>
      </w:r>
      <w:r>
        <w:t xml:space="preserve">In </w:t>
      </w:r>
      <w:r w:rsidR="00F72955">
        <w:t>Round 2</w:t>
      </w:r>
      <w:r>
        <w:t xml:space="preserve">, the BSP Coordination Centre achieved its target of having 80% of colonoscopies provided by WDHB staff, and the remaining 20% are fee-for-service providers.  This is a significant reversal from early in Round </w:t>
      </w:r>
      <w:r w:rsidR="00A82F65">
        <w:t>1</w:t>
      </w:r>
      <w:r>
        <w:t xml:space="preserve"> where </w:t>
      </w:r>
      <w:r w:rsidR="00675E78">
        <w:t>8</w:t>
      </w:r>
      <w:r>
        <w:t>0% were fee-for-service providers.  This transition has occurred through the inclusion of the BSP colonoscopy demand into the wider colonoscopy service for WDHB and including BSP colonoscopies within the clinician’s job description</w:t>
      </w:r>
      <w:r w:rsidR="008758A7">
        <w:t xml:space="preserve"> (Litmus 2016a)</w:t>
      </w:r>
      <w:r>
        <w:t xml:space="preserve">.  </w:t>
      </w:r>
    </w:p>
    <w:p w:rsidR="00BD2653" w:rsidRDefault="00BD2653" w:rsidP="00BD2653">
      <w:r>
        <w:t xml:space="preserve">In </w:t>
      </w:r>
      <w:r w:rsidR="00F72955">
        <w:t>Round 2</w:t>
      </w:r>
      <w:r w:rsidR="00F54ACF">
        <w:t xml:space="preserve">, </w:t>
      </w:r>
      <w:r w:rsidR="00AE7500">
        <w:t xml:space="preserve">the </w:t>
      </w:r>
      <w:r w:rsidR="00F54ACF">
        <w:t>wait time standard</w:t>
      </w:r>
      <w:r>
        <w:t xml:space="preserve"> for colonoscopies </w:t>
      </w:r>
      <w:r w:rsidR="00F54ACF">
        <w:t xml:space="preserve">is </w:t>
      </w:r>
      <w:r>
        <w:t xml:space="preserve">being met. </w:t>
      </w:r>
      <w:r w:rsidR="00F54ACF">
        <w:t xml:space="preserve"> </w:t>
      </w:r>
      <w:r>
        <w:t xml:space="preserve">In </w:t>
      </w:r>
      <w:r w:rsidR="00F72955">
        <w:t>Round 2</w:t>
      </w:r>
      <w:r>
        <w:t xml:space="preserve">, between 97% and </w:t>
      </w:r>
      <w:r>
        <w:rPr>
          <w:lang w:val="en-US"/>
        </w:rPr>
        <w:t xml:space="preserve">99.6% of BSP participants with a positive iFOBT had their colonoscopy within the quality standard of </w:t>
      </w:r>
      <w:r w:rsidR="008758A7">
        <w:rPr>
          <w:lang w:val="en-US"/>
        </w:rPr>
        <w:t xml:space="preserve">95% within </w:t>
      </w:r>
      <w:r>
        <w:rPr>
          <w:lang w:val="en-US"/>
        </w:rPr>
        <w:t>55 days (1 July 2014 to 30 December 2015)</w:t>
      </w:r>
      <w:r>
        <w:t>.</w:t>
      </w:r>
      <w:r w:rsidR="00A82F65">
        <w:rPr>
          <w:rStyle w:val="FootnoteReference"/>
          <w:lang w:val="en-US"/>
        </w:rPr>
        <w:footnoteReference w:id="64"/>
      </w:r>
      <w:r>
        <w:t xml:space="preserve">  </w:t>
      </w:r>
    </w:p>
    <w:p w:rsidR="009243C1" w:rsidRDefault="008758A7" w:rsidP="009243C1">
      <w:r>
        <w:t xml:space="preserve">Quality standards for colonoscopy continue to be regularly monitored and reviewed by the WDHB </w:t>
      </w:r>
      <w:r>
        <w:rPr>
          <w:lang w:eastAsia="ar-SA"/>
        </w:rPr>
        <w:t>BSP Clinical Director and/or WDHB BSP Lead Endoscopist</w:t>
      </w:r>
      <w:r>
        <w:t xml:space="preserve">.  Quality monitoring also continues for individual endoscopists </w:t>
      </w:r>
      <w:r w:rsidR="00541E02">
        <w:t xml:space="preserve">who receive a copy of their </w:t>
      </w:r>
      <w:r>
        <w:t xml:space="preserve">quality results </w:t>
      </w:r>
      <w:r w:rsidR="00541E02">
        <w:t xml:space="preserve">compared in an anonymous format </w:t>
      </w:r>
      <w:r>
        <w:t xml:space="preserve">with </w:t>
      </w:r>
      <w:r w:rsidR="00541E02">
        <w:t>other endoscopists</w:t>
      </w:r>
      <w:r>
        <w:t xml:space="preserve">.  </w:t>
      </w:r>
      <w:r w:rsidR="009243C1">
        <w:t>T</w:t>
      </w:r>
      <w:r>
        <w:t xml:space="preserve">he BSP does not have an agreed quality standard for the adenoma detection rate per endoscopist.  </w:t>
      </w:r>
      <w:r w:rsidR="00F373E0">
        <w:t>Q</w:t>
      </w:r>
      <w:r w:rsidR="009243C1">
        <w:t xml:space="preserve">uality improvement initiatives </w:t>
      </w:r>
      <w:r w:rsidR="00F373E0">
        <w:t xml:space="preserve">are evident and </w:t>
      </w:r>
      <w:r w:rsidR="009243C1">
        <w:t>include</w:t>
      </w:r>
      <w:r w:rsidR="009243C1" w:rsidRPr="00697D47">
        <w:rPr>
          <w:rStyle w:val="FootnoteReference"/>
        </w:rPr>
        <w:footnoteReference w:id="65"/>
      </w:r>
      <w:r w:rsidR="009243C1" w:rsidRPr="008A1928">
        <w:t xml:space="preserve">: </w:t>
      </w:r>
    </w:p>
    <w:p w:rsidR="009243C1" w:rsidRPr="00007C01" w:rsidRDefault="009243C1" w:rsidP="006179C7">
      <w:pPr>
        <w:numPr>
          <w:ilvl w:val="0"/>
          <w:numId w:val="6"/>
        </w:numPr>
        <w:autoSpaceDE w:val="0"/>
        <w:autoSpaceDN w:val="0"/>
        <w:adjustRightInd w:val="0"/>
        <w:spacing w:before="60" w:after="120"/>
        <w:ind w:left="1134" w:hanging="425"/>
        <w:rPr>
          <w:lang w:val="en-US"/>
        </w:rPr>
      </w:pPr>
      <w:r w:rsidRPr="00007C01">
        <w:rPr>
          <w:lang w:val="en-US"/>
        </w:rPr>
        <w:t xml:space="preserve">review of bowel preparation for colonoscopy which resulted in revised afternoon and morning information sheets accompanied by a low fibre diet sheet </w:t>
      </w:r>
    </w:p>
    <w:p w:rsidR="009243C1" w:rsidRPr="00007C01" w:rsidRDefault="009243C1" w:rsidP="006179C7">
      <w:pPr>
        <w:numPr>
          <w:ilvl w:val="0"/>
          <w:numId w:val="6"/>
        </w:numPr>
        <w:autoSpaceDE w:val="0"/>
        <w:autoSpaceDN w:val="0"/>
        <w:adjustRightInd w:val="0"/>
        <w:spacing w:before="60" w:after="120"/>
        <w:ind w:left="1134" w:hanging="425"/>
        <w:rPr>
          <w:lang w:val="en-US"/>
        </w:rPr>
      </w:pPr>
      <w:r w:rsidRPr="00007C01">
        <w:rPr>
          <w:lang w:val="en-US"/>
        </w:rPr>
        <w:t xml:space="preserve">review of readmission data which resulted in further training for endoscopists about polyp removal and the removal of hot biopsies forceps  </w:t>
      </w:r>
    </w:p>
    <w:p w:rsidR="009243C1" w:rsidRPr="00007C01" w:rsidRDefault="009243C1" w:rsidP="006179C7">
      <w:pPr>
        <w:numPr>
          <w:ilvl w:val="0"/>
          <w:numId w:val="6"/>
        </w:numPr>
        <w:autoSpaceDE w:val="0"/>
        <w:autoSpaceDN w:val="0"/>
        <w:adjustRightInd w:val="0"/>
        <w:spacing w:before="60" w:after="120"/>
        <w:ind w:left="1134" w:hanging="425"/>
        <w:rPr>
          <w:lang w:val="en-US"/>
        </w:rPr>
      </w:pPr>
      <w:r w:rsidRPr="00007C01">
        <w:rPr>
          <w:lang w:val="en-US"/>
        </w:rPr>
        <w:t xml:space="preserve">review of anticoagulant policy </w:t>
      </w:r>
    </w:p>
    <w:p w:rsidR="009243C1" w:rsidRDefault="009243C1" w:rsidP="006179C7">
      <w:pPr>
        <w:numPr>
          <w:ilvl w:val="0"/>
          <w:numId w:val="6"/>
        </w:numPr>
        <w:autoSpaceDE w:val="0"/>
        <w:autoSpaceDN w:val="0"/>
        <w:adjustRightInd w:val="0"/>
        <w:spacing w:before="60" w:after="120"/>
        <w:ind w:left="1134" w:hanging="425"/>
        <w:rPr>
          <w:lang w:val="en-AU"/>
        </w:rPr>
      </w:pPr>
      <w:r w:rsidRPr="00007C01">
        <w:rPr>
          <w:lang w:val="en-US"/>
        </w:rPr>
        <w:t>BSP participant survey findings being used to identify further improvement areas to enhance participant exp</w:t>
      </w:r>
      <w:r w:rsidR="00297554">
        <w:rPr>
          <w:lang w:val="en-AU"/>
        </w:rPr>
        <w:t>erience</w:t>
      </w:r>
    </w:p>
    <w:p w:rsidR="0010150B" w:rsidRPr="0005735F" w:rsidRDefault="0010150B" w:rsidP="006179C7">
      <w:pPr>
        <w:numPr>
          <w:ilvl w:val="0"/>
          <w:numId w:val="6"/>
        </w:numPr>
        <w:autoSpaceDE w:val="0"/>
        <w:autoSpaceDN w:val="0"/>
        <w:adjustRightInd w:val="0"/>
        <w:spacing w:before="60" w:after="120"/>
        <w:ind w:left="1134" w:hanging="425"/>
        <w:rPr>
          <w:lang w:val="en-AU"/>
        </w:rPr>
      </w:pPr>
      <w:r>
        <w:t>the introduction of split bowel preparation to improve bowel preparation (i.e.</w:t>
      </w:r>
      <w:r w:rsidR="0005735F">
        <w:t xml:space="preserve"> the participant takes the first dose of </w:t>
      </w:r>
      <w:r w:rsidR="0005735F" w:rsidRPr="00312F79">
        <w:t>Glycoprep-C</w:t>
      </w:r>
      <w:r w:rsidR="0005735F">
        <w:t xml:space="preserve"> the day before the procedure and the second dose on the day of the procedure).  </w:t>
      </w:r>
      <w:r>
        <w:rPr>
          <w:lang w:eastAsia="ar-SA"/>
        </w:rPr>
        <w:t>The evidence shows that doing a quality colonoscopy in a well prepared bowel with a good adenoma detection rate is associated with a reduced rate of interval cancer (</w:t>
      </w:r>
      <w:hyperlink r:id="rId37" w:history="1">
        <w:r w:rsidRPr="00412672">
          <w:t>Anderson</w:t>
        </w:r>
      </w:hyperlink>
      <w:r>
        <w:t xml:space="preserve"> and</w:t>
      </w:r>
      <w:hyperlink r:id="rId38" w:history="1">
        <w:r>
          <w:t xml:space="preserve"> </w:t>
        </w:r>
        <w:r w:rsidRPr="00412672">
          <w:t>Butterly</w:t>
        </w:r>
      </w:hyperlink>
      <w:r>
        <w:t xml:space="preserve"> 2015</w:t>
      </w:r>
      <w:r>
        <w:rPr>
          <w:lang w:eastAsia="ar-SA"/>
        </w:rPr>
        <w:t xml:space="preserve">).  </w:t>
      </w:r>
    </w:p>
    <w:p w:rsidR="00BD2653" w:rsidRDefault="00BD2653" w:rsidP="00A82F65">
      <w:pPr>
        <w:pStyle w:val="Heading4"/>
        <w:spacing w:after="120"/>
      </w:pPr>
      <w:r>
        <w:t xml:space="preserve">Histopathology </w:t>
      </w:r>
    </w:p>
    <w:p w:rsidR="00BD2653" w:rsidRDefault="00BD2653" w:rsidP="00A82F65">
      <w:pPr>
        <w:spacing w:before="120"/>
      </w:pPr>
      <w:r>
        <w:t>LabPLUS is required to provide histopathology results within ten working days.</w:t>
      </w:r>
      <w:r w:rsidRPr="00541E02">
        <w:t xml:space="preserve">  </w:t>
      </w:r>
      <w:r>
        <w:t>LabPLUS</w:t>
      </w:r>
      <w:r>
        <w:rPr>
          <w:lang w:eastAsia="ar-SA"/>
        </w:rPr>
        <w:t xml:space="preserve"> reports histopathology results directly into Concerto (the WDHB patient record system) using a standardised reporting template.  </w:t>
      </w:r>
      <w:r>
        <w:t xml:space="preserve">There continues to be an effective working relationship between LabPLUS histopathology, BSP </w:t>
      </w:r>
      <w:r w:rsidR="00206E72">
        <w:t>WHEU</w:t>
      </w:r>
      <w:r>
        <w:t xml:space="preserve"> and the BSP Coordination Centre.  Pathologists </w:t>
      </w:r>
      <w:r w:rsidR="00804EDA">
        <w:t xml:space="preserve">are supportive of </w:t>
      </w:r>
      <w:r>
        <w:t xml:space="preserve">the quality control processes in place including the checking process used by the </w:t>
      </w:r>
      <w:r w:rsidR="00206E72">
        <w:t>BSP WHEU</w:t>
      </w:r>
      <w:r>
        <w:t xml:space="preserve"> of faxing over the list of cases with the number of pots sent, and having one polyp per pot.  The lat</w:t>
      </w:r>
      <w:r w:rsidR="004F5859">
        <w:t>t</w:t>
      </w:r>
      <w:r>
        <w:t>er enables pathologists to easily determine frequency of rescreening by the number, size and type of polyps</w:t>
      </w:r>
      <w:r w:rsidR="008758A7">
        <w:t xml:space="preserve"> (Litmus 2016a)</w:t>
      </w:r>
      <w:r>
        <w:t xml:space="preserve">. </w:t>
      </w:r>
    </w:p>
    <w:p w:rsidR="009243C1" w:rsidRDefault="00BD2653" w:rsidP="009243C1">
      <w:pPr>
        <w:rPr>
          <w:lang w:eastAsia="ar-SA"/>
        </w:rPr>
      </w:pPr>
      <w:r>
        <w:t xml:space="preserve">LabPLUS continue to be seen as having quality processes in place, being timely in their delivery, and engaged with the wider BSP screening pathway.  </w:t>
      </w:r>
      <w:r w:rsidR="009243C1">
        <w:rPr>
          <w:lang w:eastAsia="ar-SA"/>
        </w:rPr>
        <w:t>WDHB (2016) note</w:t>
      </w:r>
      <w:r w:rsidR="00C80E97">
        <w:rPr>
          <w:lang w:eastAsia="ar-SA"/>
        </w:rPr>
        <w:t>s</w:t>
      </w:r>
      <w:r w:rsidR="009243C1">
        <w:rPr>
          <w:lang w:eastAsia="ar-SA"/>
        </w:rPr>
        <w:t xml:space="preserve"> that </w:t>
      </w:r>
      <w:r w:rsidR="009243C1" w:rsidRPr="005D605E">
        <w:rPr>
          <w:lang w:eastAsia="ar-SA"/>
        </w:rPr>
        <w:t>LabP</w:t>
      </w:r>
      <w:r w:rsidR="008E4A3C">
        <w:rPr>
          <w:lang w:eastAsia="ar-SA"/>
        </w:rPr>
        <w:t>LUS</w:t>
      </w:r>
      <w:r w:rsidR="009243C1" w:rsidRPr="005D605E">
        <w:rPr>
          <w:lang w:eastAsia="ar-SA"/>
        </w:rPr>
        <w:t xml:space="preserve"> continues t</w:t>
      </w:r>
      <w:r w:rsidR="009243C1">
        <w:rPr>
          <w:lang w:eastAsia="ar-SA"/>
        </w:rPr>
        <w:t xml:space="preserve">o meet all quality standards.  </w:t>
      </w:r>
      <w:r>
        <w:t xml:space="preserve">Pathologists are joining MDMs via video conference which is more time efficient.  </w:t>
      </w:r>
    </w:p>
    <w:p w:rsidR="00DF0EC0" w:rsidRDefault="00DF0EC0" w:rsidP="00DF0EC0">
      <w:r>
        <w:t xml:space="preserve">Ongoing </w:t>
      </w:r>
      <w:r w:rsidR="00804EDA">
        <w:t xml:space="preserve">suggested </w:t>
      </w:r>
      <w:r>
        <w:t xml:space="preserve">improvements related to histopathology are: </w:t>
      </w:r>
    </w:p>
    <w:p w:rsidR="00DF0EC0" w:rsidRDefault="00DF0EC0" w:rsidP="006179C7">
      <w:pPr>
        <w:pStyle w:val="Bullet"/>
        <w:numPr>
          <w:ilvl w:val="0"/>
          <w:numId w:val="10"/>
        </w:numPr>
        <w:tabs>
          <w:tab w:val="num" w:pos="6663"/>
        </w:tabs>
        <w:ind w:left="1069"/>
      </w:pPr>
      <w:r w:rsidRPr="003963D4">
        <w:t>Proforma reporting</w:t>
      </w:r>
      <w:r>
        <w:t xml:space="preserve"> required by the Ministry is different from LabP</w:t>
      </w:r>
      <w:r w:rsidR="008E4A3C">
        <w:t>LUS</w:t>
      </w:r>
      <w:r>
        <w:t xml:space="preserve">’ usual reporting as the form requires reporting on one polyp per page.  The report is long and cannot be sent through the standard </w:t>
      </w:r>
      <w:r>
        <w:rPr>
          <w:lang w:eastAsia="ar-SA"/>
        </w:rPr>
        <w:t>HL</w:t>
      </w:r>
      <w:r w:rsidR="00A82F65">
        <w:rPr>
          <w:lang w:eastAsia="ar-SA"/>
        </w:rPr>
        <w:t>-</w:t>
      </w:r>
      <w:r>
        <w:rPr>
          <w:lang w:eastAsia="ar-SA"/>
        </w:rPr>
        <w:t>7 messaging on Healthlink</w:t>
      </w:r>
      <w:r>
        <w:t xml:space="preserve"> to GPs.  The proforma report</w:t>
      </w:r>
      <w:r w:rsidR="00716C08">
        <w:t xml:space="preserve"> make</w:t>
      </w:r>
      <w:r w:rsidR="004F5859">
        <w:t>s</w:t>
      </w:r>
      <w:r>
        <w:t xml:space="preserve"> it difficult to find the most relevant information. To address this, pathologist</w:t>
      </w:r>
      <w:r w:rsidR="00716C08">
        <w:t>s</w:t>
      </w:r>
      <w:r>
        <w:t xml:space="preserve"> are flagging the most severe polyp and putting a summary of key information on the front of the form to </w:t>
      </w:r>
      <w:r w:rsidR="00541E02">
        <w:t>inform</w:t>
      </w:r>
      <w:r>
        <w:t xml:space="preserve"> clin</w:t>
      </w:r>
      <w:r w:rsidR="00A82F65">
        <w:t>ic</w:t>
      </w:r>
      <w:r>
        <w:t>al decision making.  Further, using the proforma approach means it is difficult for LabP</w:t>
      </w:r>
      <w:r w:rsidR="008E4A3C">
        <w:t>LUS</w:t>
      </w:r>
      <w:r>
        <w:t xml:space="preserve"> to pull collated reports from their system as it is not designed to be a reporting database. </w:t>
      </w:r>
    </w:p>
    <w:p w:rsidR="00DF0EC0" w:rsidRDefault="00DF0EC0" w:rsidP="006179C7">
      <w:pPr>
        <w:pStyle w:val="Bullet"/>
        <w:numPr>
          <w:ilvl w:val="0"/>
          <w:numId w:val="10"/>
        </w:numPr>
        <w:tabs>
          <w:tab w:val="num" w:pos="6663"/>
        </w:tabs>
        <w:ind w:left="1069"/>
      </w:pPr>
      <w:r>
        <w:t xml:space="preserve">Streamlining the results letter process as it is labour intensive (e.g. a process that can take up to three weeks with the steps of histology review, information sent to clerk, letter generated on Soprano, approval and then sent out). </w:t>
      </w:r>
    </w:p>
    <w:p w:rsidR="00AB5107" w:rsidRDefault="00AB5107" w:rsidP="006179C7">
      <w:pPr>
        <w:pStyle w:val="Bullet"/>
        <w:numPr>
          <w:ilvl w:val="0"/>
          <w:numId w:val="10"/>
        </w:numPr>
        <w:tabs>
          <w:tab w:val="num" w:pos="6663"/>
        </w:tabs>
        <w:ind w:left="1069"/>
      </w:pPr>
      <w:r>
        <w:rPr>
          <w:lang w:eastAsia="ar-SA"/>
        </w:rPr>
        <w:t xml:space="preserve">Recording all significant polyps on the Register. </w:t>
      </w:r>
      <w:r w:rsidR="00B64372">
        <w:rPr>
          <w:lang w:eastAsia="ar-SA"/>
        </w:rPr>
        <w:t xml:space="preserve"> Currently, the Register only allows for the histology relating to the most significant polyp to be entered, which can be limiting if a BSP participant has multiple polyps.  </w:t>
      </w:r>
    </w:p>
    <w:p w:rsidR="008758A7" w:rsidRPr="00FF24B8" w:rsidRDefault="008758A7" w:rsidP="008758A7">
      <w:pPr>
        <w:rPr>
          <w:lang w:eastAsia="ar-SA"/>
        </w:rPr>
      </w:pPr>
      <w:r w:rsidRPr="00FF24B8">
        <w:t xml:space="preserve">From 2013, the </w:t>
      </w:r>
      <w:r w:rsidR="004F5859">
        <w:rPr>
          <w:lang w:eastAsia="ar-SA"/>
        </w:rPr>
        <w:t>clinical nurse specialist</w:t>
      </w:r>
      <w:r w:rsidRPr="00FF24B8">
        <w:rPr>
          <w:lang w:eastAsia="ar-SA"/>
        </w:rPr>
        <w:t xml:space="preserve"> (</w:t>
      </w:r>
      <w:r w:rsidRPr="00FF24B8">
        <w:t xml:space="preserve">CNS) has reviewed the colonoscopy reports and the histopatholgy results and advises the BSP administrator the correct letters to send out to participants, their GP, and to WDHB notes.  </w:t>
      </w:r>
      <w:r w:rsidRPr="00FF24B8">
        <w:rPr>
          <w:lang w:eastAsia="ar-SA"/>
        </w:rPr>
        <w:t>A formal policy has been developed (</w:t>
      </w:r>
      <w:r w:rsidRPr="00FF24B8">
        <w:rPr>
          <w:i/>
          <w:lang w:eastAsia="ar-SA"/>
        </w:rPr>
        <w:t xml:space="preserve">Histology Results </w:t>
      </w:r>
      <w:r w:rsidR="00F74AC8" w:rsidRPr="00FF24B8">
        <w:rPr>
          <w:i/>
          <w:lang w:eastAsia="ar-SA"/>
        </w:rPr>
        <w:t>Management</w:t>
      </w:r>
      <w:r w:rsidRPr="00FF24B8">
        <w:rPr>
          <w:lang w:eastAsia="ar-SA"/>
        </w:rPr>
        <w:t xml:space="preserve">) which sets out parameters within which the CNS may make decisions.  This change has streamlined the workload for the </w:t>
      </w:r>
      <w:r w:rsidRPr="00FF24B8">
        <w:t xml:space="preserve">WDHB </w:t>
      </w:r>
      <w:r w:rsidRPr="00FF24B8">
        <w:rPr>
          <w:lang w:eastAsia="ar-SA"/>
        </w:rPr>
        <w:t xml:space="preserve">BSP Clinical Director and WDHB BSP Lead Endoscopist who </w:t>
      </w:r>
      <w:r w:rsidRPr="00FF24B8">
        <w:t xml:space="preserve">provide peer review of actions taken. </w:t>
      </w:r>
      <w:r w:rsidR="00A3302D">
        <w:t xml:space="preserve"> A review has been completed which concluded there was a very high level of compliance with the surveillance guidelines for polyps (</w:t>
      </w:r>
      <w:r w:rsidR="00A3302D" w:rsidRPr="002C254A">
        <w:t>New</w:t>
      </w:r>
      <w:r w:rsidR="00A3302D">
        <w:t xml:space="preserve"> Zealand Guidelines Group 2004).  </w:t>
      </w:r>
    </w:p>
    <w:p w:rsidR="00D63696" w:rsidRPr="00D63696" w:rsidRDefault="00A65289" w:rsidP="00A82F65">
      <w:pPr>
        <w:pStyle w:val="Heading4"/>
        <w:spacing w:after="120"/>
      </w:pPr>
      <w:r w:rsidRPr="00D63696">
        <w:t>Treatment</w:t>
      </w:r>
      <w:r w:rsidRPr="00A65289">
        <w:t xml:space="preserve"> available </w:t>
      </w:r>
    </w:p>
    <w:p w:rsidR="00541E02" w:rsidRDefault="00804EDA" w:rsidP="00A82F65">
      <w:pPr>
        <w:spacing w:before="120"/>
      </w:pPr>
      <w:r>
        <w:t>For the</w:t>
      </w:r>
      <w:r w:rsidR="009243C1">
        <w:t xml:space="preserve"> BSP to be safe, participants identified with cancers require </w:t>
      </w:r>
      <w:r w:rsidR="00541E02">
        <w:t xml:space="preserve">timely </w:t>
      </w:r>
      <w:r w:rsidR="009243C1">
        <w:t>access to treatment.</w:t>
      </w:r>
      <w:r w:rsidR="00A82F65">
        <w:rPr>
          <w:rStyle w:val="FootnoteReference"/>
        </w:rPr>
        <w:footnoteReference w:id="66"/>
      </w:r>
      <w:r w:rsidR="004400C2">
        <w:t xml:space="preserve">  </w:t>
      </w:r>
      <w:r w:rsidR="004400C2" w:rsidRPr="004400C2">
        <w:t xml:space="preserve">40% of </w:t>
      </w:r>
      <w:r w:rsidR="004400C2">
        <w:t xml:space="preserve">BSP </w:t>
      </w:r>
      <w:r w:rsidR="004400C2" w:rsidRPr="004400C2">
        <w:t>participants requ</w:t>
      </w:r>
      <w:r w:rsidR="004400C2">
        <w:t>iring clinical follow up have a first specialist appointment w</w:t>
      </w:r>
      <w:r w:rsidR="004400C2" w:rsidRPr="004400C2">
        <w:t>ithin 10 days</w:t>
      </w:r>
      <w:r w:rsidR="004400C2">
        <w:t>, which is below the standard set of 95%</w:t>
      </w:r>
      <w:r w:rsidR="002503A0">
        <w:t xml:space="preserve"> of BSP participants (refer Appendix 5)</w:t>
      </w:r>
      <w:r w:rsidR="004400C2">
        <w:t xml:space="preserve">.  The BSP Coordination Centre notes this </w:t>
      </w:r>
      <w:r w:rsidR="002503A0">
        <w:t xml:space="preserve">result is mitigated by </w:t>
      </w:r>
      <w:r w:rsidR="00286D32">
        <w:t>the endo</w:t>
      </w:r>
      <w:r w:rsidR="002503A0">
        <w:t xml:space="preserve">scopist meeting with participants to discuss abnormal outcomes at the time of the colonoscopy. </w:t>
      </w:r>
    </w:p>
    <w:p w:rsidR="00BD2653" w:rsidRDefault="00BD2653" w:rsidP="004400C2">
      <w:pPr>
        <w:spacing w:before="120"/>
        <w:rPr>
          <w:lang w:eastAsia="ar-SA"/>
        </w:rPr>
      </w:pPr>
      <w:r>
        <w:t xml:space="preserve">Compared to </w:t>
      </w:r>
      <w:r w:rsidR="00F72955">
        <w:t>Round 1</w:t>
      </w:r>
      <w:r>
        <w:t xml:space="preserve">, the pressure on treatment services has lessened due to lower adenoma detection rates and more colorectal surgeons.  </w:t>
      </w:r>
      <w:r>
        <w:rPr>
          <w:lang w:eastAsia="ar-SA"/>
        </w:rPr>
        <w:t xml:space="preserve">WDHB have estimated workforce requirements based on </w:t>
      </w:r>
      <w:r w:rsidR="00F72955">
        <w:rPr>
          <w:lang w:eastAsia="ar-SA"/>
        </w:rPr>
        <w:t>Round 1</w:t>
      </w:r>
      <w:r>
        <w:rPr>
          <w:lang w:eastAsia="ar-SA"/>
        </w:rPr>
        <w:t xml:space="preserve"> BSP findings to determine </w:t>
      </w:r>
      <w:r>
        <w:t xml:space="preserve">surgical, CNS, and pathology FTEs, and the theatre time required.  In </w:t>
      </w:r>
      <w:r w:rsidR="00F72955">
        <w:t>Round 2</w:t>
      </w:r>
      <w:r>
        <w:t xml:space="preserve">, the transition from the BSP to treatment is working smoothly.  All </w:t>
      </w:r>
      <w:r>
        <w:rPr>
          <w:lang w:eastAsia="ar-SA"/>
        </w:rPr>
        <w:t>BSP participants found to have cancer or advanced adenoma continue to be discussed at MDMs</w:t>
      </w:r>
      <w:r w:rsidR="002503A0">
        <w:rPr>
          <w:lang w:eastAsia="ar-SA"/>
        </w:rPr>
        <w:t xml:space="preserve"> (Litmus 2016a), and for 90% this is within 20 working days</w:t>
      </w:r>
      <w:r>
        <w:rPr>
          <w:lang w:eastAsia="ar-SA"/>
        </w:rPr>
        <w:t xml:space="preserve">.  </w:t>
      </w:r>
    </w:p>
    <w:p w:rsidR="00F556D1" w:rsidRDefault="00F556D1" w:rsidP="005F513A">
      <w:pPr>
        <w:pStyle w:val="Heading4"/>
        <w:spacing w:after="120"/>
      </w:pPr>
      <w:r>
        <w:t>CTC</w:t>
      </w:r>
    </w:p>
    <w:p w:rsidR="00F556D1" w:rsidRPr="00F556D1" w:rsidRDefault="00F556D1" w:rsidP="005F513A">
      <w:pPr>
        <w:spacing w:before="120"/>
      </w:pPr>
      <w:r>
        <w:rPr>
          <w:lang w:eastAsia="ar-SA"/>
        </w:rPr>
        <w:t>BSP p</w:t>
      </w:r>
      <w:r w:rsidRPr="00B57F6C">
        <w:rPr>
          <w:lang w:eastAsia="ar-SA"/>
        </w:rPr>
        <w:t>articipants assessed as unfit for colonoscopy or with an incomplete colonoscopy are offered a CTC investigation. O</w:t>
      </w:r>
      <w:r w:rsidRPr="00B57F6C">
        <w:t xml:space="preserve">ccasionally when a colonoscopy fails, the person may proceed to have a colonoscopy under </w:t>
      </w:r>
      <w:r w:rsidR="005F513A">
        <w:t>g</w:t>
      </w:r>
      <w:r w:rsidRPr="00B57F6C">
        <w:t xml:space="preserve">eneral </w:t>
      </w:r>
      <w:r w:rsidR="005F513A">
        <w:t>a</w:t>
      </w:r>
      <w:r w:rsidRPr="00B57F6C">
        <w:t xml:space="preserve">naesthetic.  </w:t>
      </w:r>
      <w:r>
        <w:t>Across the two screening rounds</w:t>
      </w:r>
      <w:r>
        <w:rPr>
          <w:lang w:eastAsia="ar-SA"/>
        </w:rPr>
        <w:t xml:space="preserve">, 104 CTCs and 86 </w:t>
      </w:r>
      <w:r w:rsidRPr="00B57F6C">
        <w:t>colonoscop</w:t>
      </w:r>
      <w:r>
        <w:t>ies</w:t>
      </w:r>
      <w:r w:rsidRPr="00B57F6C">
        <w:t xml:space="preserve"> under </w:t>
      </w:r>
      <w:r w:rsidR="005F513A">
        <w:t>g</w:t>
      </w:r>
      <w:r w:rsidRPr="00B57F6C">
        <w:t xml:space="preserve">eneral </w:t>
      </w:r>
      <w:r w:rsidR="005F513A">
        <w:t>a</w:t>
      </w:r>
      <w:r w:rsidRPr="00B57F6C">
        <w:t>naesthetic</w:t>
      </w:r>
      <w:r>
        <w:rPr>
          <w:lang w:eastAsia="ar-SA"/>
        </w:rPr>
        <w:t xml:space="preserve"> have been completed. The interface between WHEU and CTC is working well. </w:t>
      </w:r>
    </w:p>
    <w:p w:rsidR="00D63696" w:rsidRDefault="00A65289" w:rsidP="005F513A">
      <w:pPr>
        <w:pStyle w:val="Heading4"/>
        <w:spacing w:after="120"/>
      </w:pPr>
      <w:r w:rsidRPr="00D63696">
        <w:t>Surveillance</w:t>
      </w:r>
    </w:p>
    <w:p w:rsidR="00541E02" w:rsidRDefault="00C80E97" w:rsidP="005F513A">
      <w:pPr>
        <w:spacing w:before="120"/>
      </w:pPr>
      <w:r>
        <w:rPr>
          <w:lang w:eastAsia="ar-SA"/>
        </w:rPr>
        <w:t xml:space="preserve">Adherence to </w:t>
      </w:r>
      <w:r>
        <w:t xml:space="preserve">surveillance colonoscopy guidelines is important to prevent bowel cancer and unnecessary workload (Schreuders et al 2013).  </w:t>
      </w:r>
      <w:r w:rsidR="00541E02">
        <w:rPr>
          <w:lang w:eastAsia="ar-SA"/>
        </w:rPr>
        <w:t xml:space="preserve">WDHB Endoscopy Service is responsible for ensuring participants received their surveillance colonoscopy within the recommended </w:t>
      </w:r>
      <w:r w:rsidR="00541E02" w:rsidRPr="005B103A">
        <w:rPr>
          <w:lang w:eastAsia="ar-SA"/>
        </w:rPr>
        <w:t xml:space="preserve">timeframe (according to guidelines </w:t>
      </w:r>
      <w:r w:rsidR="005B103A" w:rsidRPr="005B103A">
        <w:rPr>
          <w:lang w:eastAsia="ar-SA"/>
        </w:rPr>
        <w:t>in</w:t>
      </w:r>
      <w:r w:rsidR="00541E02" w:rsidRPr="005B103A">
        <w:rPr>
          <w:lang w:eastAsia="ar-SA"/>
        </w:rPr>
        <w:t xml:space="preserve"> </w:t>
      </w:r>
      <w:r w:rsidR="00541E02" w:rsidRPr="005B103A">
        <w:rPr>
          <w:i/>
          <w:lang w:eastAsia="ar-SA"/>
        </w:rPr>
        <w:t>Surveillance and Management of Groups at Increased Risk of Colorectal Cancer, Ministry of Health 2004</w:t>
      </w:r>
      <w:r w:rsidR="00541E02" w:rsidRPr="005B103A">
        <w:rPr>
          <w:lang w:eastAsia="ar-SA"/>
        </w:rPr>
        <w:t>).  The BSP WHEU advised participants</w:t>
      </w:r>
      <w:r w:rsidR="00541E02" w:rsidRPr="000A70B1">
        <w:rPr>
          <w:lang w:eastAsia="ar-SA"/>
        </w:rPr>
        <w:t xml:space="preserve"> they have been referre</w:t>
      </w:r>
      <w:r w:rsidR="00541E02">
        <w:rPr>
          <w:lang w:eastAsia="ar-SA"/>
        </w:rPr>
        <w:t>d for surveillance and notified</w:t>
      </w:r>
      <w:r w:rsidR="00541E02" w:rsidRPr="000A70B1">
        <w:rPr>
          <w:lang w:eastAsia="ar-SA"/>
        </w:rPr>
        <w:t xml:space="preserve"> participants’ GPs.</w:t>
      </w:r>
      <w:r w:rsidR="00541E02">
        <w:rPr>
          <w:b/>
          <w:lang w:eastAsia="ar-SA"/>
        </w:rPr>
        <w:t xml:space="preserve">  </w:t>
      </w:r>
    </w:p>
    <w:p w:rsidR="008D431F" w:rsidRDefault="00BD2653" w:rsidP="00BD2653">
      <w:r>
        <w:t xml:space="preserve">At the end of </w:t>
      </w:r>
      <w:r w:rsidR="00F72955">
        <w:t>Round 2</w:t>
      </w:r>
      <w:r>
        <w:t>, feedback from stakeholders continue</w:t>
      </w:r>
      <w:r w:rsidR="004F5859">
        <w:t>s</w:t>
      </w:r>
      <w:r>
        <w:t xml:space="preserve"> to indicate that surveillance colonoscopies are impacting on the symptomatic list.  Green et al (2012) found that in the first few years of a screening programme the main colonoscopy requirement is for the initial referral after a positive iFOBT.  By year seven, surveillance colonoscopies will have built up and account for 40% of the total colonoscopies.  </w:t>
      </w:r>
    </w:p>
    <w:p w:rsidR="00297554" w:rsidRDefault="008D431F" w:rsidP="00BD2653">
      <w:r>
        <w:t xml:space="preserve">In </w:t>
      </w:r>
      <w:r w:rsidR="00F72955">
        <w:t>Round 2</w:t>
      </w:r>
      <w:r>
        <w:t>, c</w:t>
      </w:r>
      <w:r w:rsidR="00BD2653">
        <w:t>oncerns were raised that BSP participants requiring surveillance colonoscopies at one year are not receiving timely appointments.</w:t>
      </w:r>
      <w:r w:rsidR="009B39CD">
        <w:rPr>
          <w:rStyle w:val="FootnoteReference"/>
        </w:rPr>
        <w:footnoteReference w:id="67"/>
      </w:r>
      <w:r w:rsidR="00BD2653">
        <w:t xml:space="preserve">  </w:t>
      </w:r>
      <w:r w:rsidR="0010150B">
        <w:t xml:space="preserve">The Register does not record the surveillance period.  </w:t>
      </w:r>
      <w:r w:rsidR="00BD2653" w:rsidRPr="000F2E64">
        <w:t xml:space="preserve">The BSP Coordination Centre </w:t>
      </w:r>
      <w:r w:rsidR="000F2E64" w:rsidRPr="000F2E64">
        <w:t>took</w:t>
      </w:r>
      <w:r w:rsidR="00BD2653" w:rsidRPr="000F2E64">
        <w:t xml:space="preserve"> an audit of referrals for surveillance late in 2015 to investigate this issue.</w:t>
      </w:r>
      <w:r w:rsidR="00BD2653">
        <w:t xml:space="preserve">  The purpose </w:t>
      </w:r>
      <w:r w:rsidR="009B39CD">
        <w:t>was</w:t>
      </w:r>
      <w:r w:rsidR="00BD2653">
        <w:t xml:space="preserve"> to find out whether people referred for surveillance during </w:t>
      </w:r>
      <w:r w:rsidR="00F72955">
        <w:t>Round 1</w:t>
      </w:r>
      <w:r w:rsidR="00BD2653">
        <w:t xml:space="preserve"> had a colonoscopy in the required timeframe and the outcome from the procedure.  </w:t>
      </w:r>
    </w:p>
    <w:p w:rsidR="00C73B3F" w:rsidRDefault="00297554" w:rsidP="00BD2653">
      <w:r>
        <w:t xml:space="preserve">Stakeholder feedback </w:t>
      </w:r>
      <w:r w:rsidR="00BD2653">
        <w:t>suggest</w:t>
      </w:r>
      <w:r w:rsidR="007B5BC4">
        <w:t>s</w:t>
      </w:r>
      <w:r w:rsidR="00BD2653">
        <w:t xml:space="preserve"> an area to strengthen is the management of the booking and scheduling process of surveillance colonoscopies for BSP participants. </w:t>
      </w:r>
      <w:r w:rsidR="00C73B3F">
        <w:t xml:space="preserve"> General practice is also seeking greater clarity on the process and responsibility for ensuring BSP participants have surveillance colonoscopies.</w:t>
      </w:r>
    </w:p>
    <w:p w:rsidR="00226E0E" w:rsidRDefault="00226E0E" w:rsidP="007B5BC4">
      <w:pPr>
        <w:pStyle w:val="Heading4"/>
        <w:spacing w:after="120"/>
      </w:pPr>
      <w:r w:rsidRPr="00D63696">
        <w:t>Symptomatic</w:t>
      </w:r>
      <w:r>
        <w:t xml:space="preserve"> </w:t>
      </w:r>
      <w:r w:rsidR="008D431F">
        <w:t>services</w:t>
      </w:r>
    </w:p>
    <w:p w:rsidR="00DE639A" w:rsidRDefault="008D431F" w:rsidP="007B5BC4">
      <w:pPr>
        <w:spacing w:before="120"/>
      </w:pPr>
      <w:r>
        <w:rPr>
          <w:lang w:eastAsia="ar-SA"/>
        </w:rPr>
        <w:t>Introducing a screening programme safely should</w:t>
      </w:r>
      <w:r w:rsidR="00C80E97">
        <w:rPr>
          <w:lang w:eastAsia="ar-SA"/>
        </w:rPr>
        <w:t xml:space="preserve"> not</w:t>
      </w:r>
      <w:r>
        <w:rPr>
          <w:lang w:eastAsia="ar-SA"/>
        </w:rPr>
        <w:t xml:space="preserve"> impact adversely on symptomatic services</w:t>
      </w:r>
      <w:r w:rsidR="00C80E97">
        <w:rPr>
          <w:lang w:eastAsia="ar-SA"/>
        </w:rPr>
        <w:t xml:space="preserve"> </w:t>
      </w:r>
      <w:r w:rsidR="004F5859">
        <w:rPr>
          <w:lang w:eastAsia="ar-SA"/>
        </w:rPr>
        <w:t>nor</w:t>
      </w:r>
      <w:r w:rsidR="00C80E97">
        <w:rPr>
          <w:lang w:eastAsia="ar-SA"/>
        </w:rPr>
        <w:t xml:space="preserve"> create inequities between the two services</w:t>
      </w:r>
      <w:r>
        <w:rPr>
          <w:lang w:eastAsia="ar-SA"/>
        </w:rPr>
        <w:t xml:space="preserve">.  </w:t>
      </w:r>
      <w:r w:rsidR="00DE639A">
        <w:rPr>
          <w:lang w:eastAsia="ar-SA"/>
        </w:rPr>
        <w:t>The BSP Coordination Centre has worked to avoid impact</w:t>
      </w:r>
      <w:r w:rsidR="00C80E97">
        <w:rPr>
          <w:lang w:eastAsia="ar-SA"/>
        </w:rPr>
        <w:t xml:space="preserve">ing </w:t>
      </w:r>
      <w:r w:rsidR="00DE639A">
        <w:rPr>
          <w:lang w:eastAsia="ar-SA"/>
        </w:rPr>
        <w:t xml:space="preserve">symptomatic services, particularly in managing colonoscopy demand in </w:t>
      </w:r>
      <w:r w:rsidR="00F72955">
        <w:rPr>
          <w:lang w:eastAsia="ar-SA"/>
        </w:rPr>
        <w:t>Round 1</w:t>
      </w:r>
      <w:r w:rsidR="00DE639A">
        <w:rPr>
          <w:lang w:eastAsia="ar-SA"/>
        </w:rPr>
        <w:t>.  Feedback from general practice highlights m</w:t>
      </w:r>
      <w:r w:rsidR="00DE639A">
        <w:t xml:space="preserve">ixed perceptions about the potential impact of the BSP on symptomatic services.  Some perceive there has been an overall enhancement in the </w:t>
      </w:r>
      <w:r w:rsidR="00297554">
        <w:t xml:space="preserve">symptomatic </w:t>
      </w:r>
      <w:r w:rsidR="00DE639A">
        <w:t xml:space="preserve">service with a noticeable decrease in wait times over the last three years.  However, it is also noted that the wait times for symptomatic services continue to be longer than for the BSP (Litmus 2016). </w:t>
      </w:r>
    </w:p>
    <w:p w:rsidR="00451E42" w:rsidRDefault="00C80E97" w:rsidP="00C80E97">
      <w:pPr>
        <w:rPr>
          <w:lang w:eastAsia="ar-SA"/>
        </w:rPr>
      </w:pPr>
      <w:r>
        <w:rPr>
          <w:lang w:eastAsia="ar-SA"/>
        </w:rPr>
        <w:t>Acknowledging the need to avoid inequities between the symptomatic and screening services,</w:t>
      </w:r>
      <w:r w:rsidR="00451E42">
        <w:rPr>
          <w:lang w:eastAsia="ar-SA"/>
        </w:rPr>
        <w:t xml:space="preserve"> a number of Ministry-led initiatives</w:t>
      </w:r>
      <w:r>
        <w:rPr>
          <w:lang w:eastAsia="ar-SA"/>
        </w:rPr>
        <w:t xml:space="preserve"> have been undertaken</w:t>
      </w:r>
      <w:r w:rsidR="00451E42">
        <w:rPr>
          <w:lang w:eastAsia="ar-SA"/>
        </w:rPr>
        <w:t xml:space="preserve"> to strengthen the bowel cancer sector and prepare for a possible national bowel screening programme. Wider initiatives include:</w:t>
      </w:r>
    </w:p>
    <w:p w:rsidR="00C80E97" w:rsidRDefault="00451E42" w:rsidP="006179C7">
      <w:pPr>
        <w:pStyle w:val="Bullet"/>
        <w:numPr>
          <w:ilvl w:val="0"/>
          <w:numId w:val="16"/>
        </w:numPr>
        <w:tabs>
          <w:tab w:val="num" w:pos="6663"/>
        </w:tabs>
        <w:ind w:left="1069"/>
        <w:rPr>
          <w:lang w:eastAsia="ar-SA"/>
        </w:rPr>
      </w:pPr>
      <w:r>
        <w:rPr>
          <w:lang w:eastAsia="ar-SA"/>
        </w:rPr>
        <w:t xml:space="preserve">The introduction of colonoscopy wait time indicators which have significantly improved wait times across DHBs, and will require ongoing monitoring. </w:t>
      </w:r>
    </w:p>
    <w:p w:rsidR="00451E42" w:rsidRDefault="00451E42" w:rsidP="006179C7">
      <w:pPr>
        <w:pStyle w:val="Bullet"/>
        <w:numPr>
          <w:ilvl w:val="0"/>
          <w:numId w:val="16"/>
        </w:numPr>
        <w:tabs>
          <w:tab w:val="num" w:pos="6663"/>
        </w:tabs>
        <w:ind w:left="1069"/>
        <w:rPr>
          <w:lang w:eastAsia="ar-SA"/>
        </w:rPr>
      </w:pPr>
      <w:r>
        <w:rPr>
          <w:lang w:eastAsia="ar-SA"/>
        </w:rPr>
        <w:t>Improving the quality of colonoscopies across New Zealand</w:t>
      </w:r>
      <w:r w:rsidR="006260F8">
        <w:rPr>
          <w:lang w:eastAsia="ar-SA"/>
        </w:rPr>
        <w:t>,</w:t>
      </w:r>
      <w:r>
        <w:rPr>
          <w:lang w:eastAsia="ar-SA"/>
        </w:rPr>
        <w:t xml:space="preserve"> reflecting that bowel screening colonoscopies tend to be complex with a high incidence of polyps. </w:t>
      </w:r>
    </w:p>
    <w:p w:rsidR="00451E42" w:rsidRDefault="00451E42" w:rsidP="006179C7">
      <w:pPr>
        <w:pStyle w:val="Bullet"/>
        <w:numPr>
          <w:ilvl w:val="0"/>
          <w:numId w:val="16"/>
        </w:numPr>
        <w:tabs>
          <w:tab w:val="num" w:pos="6663"/>
        </w:tabs>
        <w:ind w:left="1069"/>
        <w:rPr>
          <w:lang w:eastAsia="ar-SA"/>
        </w:rPr>
      </w:pPr>
      <w:r>
        <w:rPr>
          <w:lang w:eastAsia="ar-SA"/>
        </w:rPr>
        <w:t xml:space="preserve">Workforce modelling by Health Workforce New Zealand to look at the impact of a national bowel screening programme on endoscopy, </w:t>
      </w:r>
      <w:r w:rsidR="006260F8">
        <w:rPr>
          <w:lang w:eastAsia="ar-SA"/>
        </w:rPr>
        <w:t>c</w:t>
      </w:r>
      <w:r>
        <w:rPr>
          <w:lang w:eastAsia="ar-SA"/>
        </w:rPr>
        <w:t xml:space="preserve">omputerised </w:t>
      </w:r>
      <w:r w:rsidR="006260F8">
        <w:rPr>
          <w:lang w:eastAsia="ar-SA"/>
        </w:rPr>
        <w:t>t</w:t>
      </w:r>
      <w:r>
        <w:rPr>
          <w:lang w:eastAsia="ar-SA"/>
        </w:rPr>
        <w:t xml:space="preserve">omographic </w:t>
      </w:r>
      <w:r w:rsidR="006260F8">
        <w:rPr>
          <w:lang w:eastAsia="ar-SA"/>
        </w:rPr>
        <w:t>c</w:t>
      </w:r>
      <w:r>
        <w:rPr>
          <w:lang w:eastAsia="ar-SA"/>
        </w:rPr>
        <w:t xml:space="preserve">olonography (CTC), and nurse endoscopy training. </w:t>
      </w:r>
    </w:p>
    <w:p w:rsidR="00AA2461" w:rsidRDefault="00451E42" w:rsidP="006179C7">
      <w:pPr>
        <w:pStyle w:val="Bullet"/>
        <w:numPr>
          <w:ilvl w:val="0"/>
          <w:numId w:val="16"/>
        </w:numPr>
        <w:tabs>
          <w:tab w:val="num" w:pos="6663"/>
        </w:tabs>
        <w:ind w:left="1069"/>
        <w:rPr>
          <w:lang w:eastAsia="ar-SA"/>
        </w:rPr>
      </w:pPr>
      <w:r>
        <w:rPr>
          <w:lang w:eastAsia="ar-SA"/>
        </w:rPr>
        <w:t xml:space="preserve">The introduction of the GRS as a patient-centred quality improvement and assessment tool for the gastrointestinal endoscopy service across New Zealand.  </w:t>
      </w:r>
    </w:p>
    <w:p w:rsidR="008D431F" w:rsidRDefault="00451E42" w:rsidP="00AA2461">
      <w:pPr>
        <w:pStyle w:val="Bullet"/>
        <w:numPr>
          <w:ilvl w:val="0"/>
          <w:numId w:val="0"/>
        </w:numPr>
        <w:ind w:left="1069"/>
        <w:rPr>
          <w:lang w:eastAsia="ar-SA"/>
        </w:rPr>
      </w:pPr>
      <w:r>
        <w:rPr>
          <w:lang w:eastAsia="ar-SA"/>
        </w:rPr>
        <w:t>Feedback suggests that the use of the the GRS across DHBs may be waning with the lack of agreement on endoscopy governance.</w:t>
      </w:r>
      <w:r w:rsidR="008D431F">
        <w:rPr>
          <w:lang w:eastAsia="ar-SA"/>
        </w:rPr>
        <w:t xml:space="preserve">  Further</w:t>
      </w:r>
      <w:r w:rsidR="006260F8">
        <w:rPr>
          <w:lang w:eastAsia="ar-SA"/>
        </w:rPr>
        <w:t>,</w:t>
      </w:r>
      <w:r w:rsidR="008D431F">
        <w:rPr>
          <w:lang w:eastAsia="ar-SA"/>
        </w:rPr>
        <w:t xml:space="preserve"> the GRS is not well embedded into the BSP’s quality standards.  A</w:t>
      </w:r>
      <w:r w:rsidR="008D431F" w:rsidRPr="001040A2">
        <w:rPr>
          <w:lang w:eastAsia="ar-SA"/>
        </w:rPr>
        <w:t xml:space="preserve">mongst clinicians </w:t>
      </w:r>
      <w:r w:rsidR="008D431F">
        <w:rPr>
          <w:lang w:eastAsia="ar-SA"/>
        </w:rPr>
        <w:t xml:space="preserve">the </w:t>
      </w:r>
      <w:r w:rsidR="008D431F" w:rsidRPr="001040A2">
        <w:rPr>
          <w:lang w:eastAsia="ar-SA"/>
        </w:rPr>
        <w:t xml:space="preserve">GRS is </w:t>
      </w:r>
      <w:r w:rsidR="008D431F">
        <w:rPr>
          <w:lang w:eastAsia="ar-SA"/>
        </w:rPr>
        <w:t xml:space="preserve">seen as an </w:t>
      </w:r>
      <w:r w:rsidR="008D431F" w:rsidRPr="001040A2">
        <w:rPr>
          <w:lang w:eastAsia="ar-SA"/>
        </w:rPr>
        <w:t xml:space="preserve">important monitoring </w:t>
      </w:r>
      <w:r w:rsidR="008D431F">
        <w:rPr>
          <w:lang w:eastAsia="ar-SA"/>
        </w:rPr>
        <w:t xml:space="preserve">and audit tool to </w:t>
      </w:r>
      <w:r w:rsidR="008D431F" w:rsidRPr="001040A2">
        <w:rPr>
          <w:lang w:eastAsia="ar-SA"/>
        </w:rPr>
        <w:t>lift unit quality, productivity and unit utilisation, improve the patient experience and ensure consistent training standards</w:t>
      </w:r>
      <w:r w:rsidR="00C80E97">
        <w:rPr>
          <w:lang w:eastAsia="ar-SA"/>
        </w:rPr>
        <w:t xml:space="preserve">, and </w:t>
      </w:r>
      <w:r w:rsidR="008D431F" w:rsidRPr="001040A2">
        <w:rPr>
          <w:lang w:eastAsia="ar-SA"/>
        </w:rPr>
        <w:t xml:space="preserve">avoid creating a two-tiered system. </w:t>
      </w:r>
    </w:p>
    <w:p w:rsidR="00451E42" w:rsidRDefault="00451E42" w:rsidP="006179C7">
      <w:pPr>
        <w:pStyle w:val="Bullet"/>
        <w:numPr>
          <w:ilvl w:val="0"/>
          <w:numId w:val="16"/>
        </w:numPr>
        <w:tabs>
          <w:tab w:val="num" w:pos="6663"/>
        </w:tabs>
        <w:ind w:left="1069"/>
        <w:rPr>
          <w:lang w:eastAsia="ar-SA"/>
        </w:rPr>
      </w:pPr>
      <w:r>
        <w:rPr>
          <w:lang w:eastAsia="ar-SA"/>
        </w:rPr>
        <w:t xml:space="preserve">Establishing the New Zealand Familial Gastro-Intestinal Service which offers assessment, diagnosis and surveillance of inherited gastrointestinal cancer syndromes. </w:t>
      </w:r>
    </w:p>
    <w:p w:rsidR="007B7FB7" w:rsidRDefault="007B7FB7" w:rsidP="007B7FB7">
      <w:pPr>
        <w:pStyle w:val="Heading2"/>
      </w:pPr>
      <w:bookmarkStart w:id="218" w:name="_Toc457842149"/>
      <w:r>
        <w:t>6.2</w:t>
      </w:r>
      <w:r>
        <w:tab/>
        <w:t>Acceptab</w:t>
      </w:r>
      <w:r w:rsidR="006518FE">
        <w:t>ility</w:t>
      </w:r>
      <w:r>
        <w:t>: c</w:t>
      </w:r>
      <w:r w:rsidRPr="00C95C03">
        <w:t xml:space="preserve">an a national bowel screening programme be delivered in a manner that is </w:t>
      </w:r>
      <w:r>
        <w:t>acceptable?</w:t>
      </w:r>
      <w:bookmarkEnd w:id="218"/>
    </w:p>
    <w:p w:rsidR="00EF5CFC" w:rsidRPr="00EF5CFC" w:rsidRDefault="00EF5CFC" w:rsidP="00EF5CFC">
      <w:r>
        <w:t xml:space="preserve">The assessment of the acceptability of the BSP for eligible participants and providers was made in the Interim Evaluation Report (Litmus et al 2015).  Below is a summary of the findings with updated feedback from </w:t>
      </w:r>
      <w:r w:rsidR="003D76D1">
        <w:t xml:space="preserve">qualitative interviews with </w:t>
      </w:r>
      <w:r>
        <w:t>M</w:t>
      </w:r>
      <w:r>
        <w:rPr>
          <w:rFonts w:cs="Arial"/>
        </w:rPr>
        <w:t>ā</w:t>
      </w:r>
      <w:r>
        <w:t>ori and Pacific BSP participants and providers in 2015 (Litmus 2016</w:t>
      </w:r>
      <w:r w:rsidR="006260F8">
        <w:t>,</w:t>
      </w:r>
      <w:r>
        <w:t xml:space="preserve"> 2016a).  For more details on </w:t>
      </w:r>
      <w:r w:rsidR="00313B7B">
        <w:t xml:space="preserve">participant and provider </w:t>
      </w:r>
      <w:r>
        <w:t xml:space="preserve">acceptability refer to the Interim Evaluation Report. </w:t>
      </w:r>
    </w:p>
    <w:p w:rsidR="00243566" w:rsidRPr="0082436D" w:rsidRDefault="00243566" w:rsidP="00243566">
      <w:pPr>
        <w:pStyle w:val="Heading3"/>
        <w:rPr>
          <w:lang w:eastAsia="ar-SA"/>
        </w:rPr>
      </w:pPr>
      <w:r w:rsidRPr="002D4F10">
        <w:t xml:space="preserve">Acceptability </w:t>
      </w:r>
      <w:r w:rsidR="0077714C">
        <w:t>of the BSP t</w:t>
      </w:r>
      <w:r w:rsidRPr="002D4F10">
        <w:t>o the target population</w:t>
      </w:r>
    </w:p>
    <w:p w:rsidR="00243566" w:rsidRDefault="00243566" w:rsidP="00243566">
      <w:pPr>
        <w:spacing w:before="100" w:beforeAutospacing="1" w:after="100" w:afterAutospacing="1"/>
        <w:rPr>
          <w:rFonts w:eastAsiaTheme="minorHAnsi"/>
        </w:rPr>
      </w:pPr>
      <w:r>
        <w:t>The acceptability of the BSP (defined by awareness, attitudes and knowledge) varies amongst the eligible population</w:t>
      </w:r>
      <w:r w:rsidR="006260F8">
        <w:t>,</w:t>
      </w:r>
      <w:r>
        <w:t xml:space="preserve"> reflecting it is not a homogenous group.  Acceptability of the BSP is higher amongst the eligible </w:t>
      </w:r>
      <w:r w:rsidR="00AE7500">
        <w:t>European/Other group (</w:t>
      </w:r>
      <w:r>
        <w:t>non-M</w:t>
      </w:r>
      <w:r w:rsidR="00CB56CB">
        <w:rPr>
          <w:rFonts w:cs="Arial"/>
        </w:rPr>
        <w:t>ā</w:t>
      </w:r>
      <w:r>
        <w:t>ori and non-Pacific</w:t>
      </w:r>
      <w:r w:rsidR="00AE7500">
        <w:t>)</w:t>
      </w:r>
      <w:r>
        <w:t xml:space="preserve">, and lower amongst eligible Māori and Pacific people (Litmus 2014a). </w:t>
      </w:r>
    </w:p>
    <w:p w:rsidR="00243566" w:rsidRDefault="00243566" w:rsidP="00243566">
      <w:pPr>
        <w:spacing w:before="120" w:after="100" w:afterAutospacing="1"/>
      </w:pPr>
      <w:r>
        <w:t xml:space="preserve">Since the launch of the BSP, awareness of </w:t>
      </w:r>
      <w:r w:rsidR="006260F8">
        <w:t>it</w:t>
      </w:r>
      <w:r>
        <w:t xml:space="preserve"> has significantly increased amongst the eligible </w:t>
      </w:r>
      <w:r w:rsidR="00AE7500">
        <w:t>European/Other group</w:t>
      </w:r>
      <w:r>
        <w:t xml:space="preserve">.  Knowledge about bowel cancer risk factors, symptoms and bowel cancer tests has also increased.  Perceptions of the iFOBT have also become more positive with significant increases in disagreement that the iFOBT is painful, embarrassing, inconvenient, messy and inaccurate (Litmus 2014a).   </w:t>
      </w:r>
    </w:p>
    <w:p w:rsidR="00243566" w:rsidRDefault="00243566" w:rsidP="00243566">
      <w:pPr>
        <w:spacing w:before="120" w:after="100" w:afterAutospacing="1"/>
      </w:pPr>
      <w:r>
        <w:t xml:space="preserve">Compared </w:t>
      </w:r>
      <w:r w:rsidR="006260F8">
        <w:t>with</w:t>
      </w:r>
      <w:r>
        <w:t xml:space="preserve"> the </w:t>
      </w:r>
      <w:r w:rsidR="00AE7500">
        <w:t>European/Other group</w:t>
      </w:r>
      <w:r>
        <w:t xml:space="preserve">, Māori and Pacific people have lower awareness of bowel cancer risk factors, symptoms and bowel cancer tests including the iFOBT which may reflect their lower levels of participation.  </w:t>
      </w:r>
      <w:r w:rsidR="00313B7B">
        <w:t>However</w:t>
      </w:r>
      <w:r w:rsidR="006260F8">
        <w:t>,</w:t>
      </w:r>
      <w:r w:rsidR="00313B7B">
        <w:t xml:space="preserve"> awareness and knowledge are </w:t>
      </w:r>
      <w:r w:rsidR="003D76D1">
        <w:t>increasing</w:t>
      </w:r>
      <w:r w:rsidR="00313B7B">
        <w:t xml:space="preserve"> since the launch of the pilot.  </w:t>
      </w:r>
      <w:r>
        <w:t xml:space="preserve">Other barriers to participation include a dislike of bowel screening, a preference for seeing their doctor, not being concerned, a fatalistic attitude of ‘what will be will be’ or not wanting to know, and not wanting to do the test at home.  Pacific people also perceive the iFOBT as messy (Litmus 2014a). </w:t>
      </w:r>
    </w:p>
    <w:p w:rsidR="00243566" w:rsidRDefault="00243566" w:rsidP="00A8377F">
      <w:pPr>
        <w:tabs>
          <w:tab w:val="left" w:pos="7230"/>
        </w:tabs>
        <w:spacing w:before="100" w:beforeAutospacing="1" w:after="100" w:afterAutospacing="1"/>
        <w:rPr>
          <w:szCs w:val="24"/>
        </w:rPr>
      </w:pPr>
      <w:r>
        <w:t>BSP participants’ experience of the BSP</w:t>
      </w:r>
      <w:r w:rsidR="00CB56CB">
        <w:t xml:space="preserve"> screening pathway</w:t>
      </w:r>
      <w:r>
        <w:t xml:space="preserve"> </w:t>
      </w:r>
      <w:r w:rsidR="00CB56CB">
        <w:t>is</w:t>
      </w:r>
      <w:r>
        <w:t xml:space="preserve"> mainly positive.  Pākehā, Māori and Pacific BSP participants interviewed in </w:t>
      </w:r>
      <w:r w:rsidR="00F72955">
        <w:t>Round 1</w:t>
      </w:r>
      <w:r>
        <w:t xml:space="preserve"> consistently described their experience of the BSP as convenient, the iFOBT as easy to do with timely results and progression along the pathway.  For those with a positive iFOBT, the communication about their results was reassuring, and their colonoscopy experience was timely and respectful </w:t>
      </w:r>
      <w:r w:rsidR="006260F8">
        <w:t>(</w:t>
      </w:r>
      <w:r>
        <w:t>Litmus 2013).  M</w:t>
      </w:r>
      <w:r w:rsidR="00CB56CB">
        <w:rPr>
          <w:rFonts w:cs="Arial"/>
        </w:rPr>
        <w:t>ā</w:t>
      </w:r>
      <w:r>
        <w:t xml:space="preserve">ori and Pacific BSP participants interviewed in </w:t>
      </w:r>
      <w:r w:rsidR="00F72955">
        <w:t>Round 2</w:t>
      </w:r>
      <w:r>
        <w:t xml:space="preserve"> also noted that af</w:t>
      </w:r>
      <w:r w:rsidR="00CB56CB">
        <w:t>ter being supported to complete</w:t>
      </w:r>
      <w:r>
        <w:t xml:space="preserve"> the</w:t>
      </w:r>
      <w:r w:rsidR="00CB56CB">
        <w:t>ir</w:t>
      </w:r>
      <w:r>
        <w:t xml:space="preserve"> iFOBT kit, they found the process easy and not </w:t>
      </w:r>
      <w:r>
        <w:rPr>
          <w:szCs w:val="24"/>
        </w:rPr>
        <w:t>as bad as they had first imagined</w:t>
      </w:r>
      <w:r w:rsidR="00CB56CB">
        <w:rPr>
          <w:szCs w:val="24"/>
        </w:rPr>
        <w:t xml:space="preserve"> (Litmus 2016</w:t>
      </w:r>
      <w:r w:rsidR="00830E42">
        <w:rPr>
          <w:szCs w:val="24"/>
        </w:rPr>
        <w:t>)</w:t>
      </w:r>
      <w:r>
        <w:rPr>
          <w:szCs w:val="24"/>
        </w:rPr>
        <w:t xml:space="preserve">.  </w:t>
      </w:r>
    </w:p>
    <w:p w:rsidR="0077714C" w:rsidRDefault="0077714C" w:rsidP="0077714C">
      <w:pPr>
        <w:pStyle w:val="Heading3"/>
      </w:pPr>
      <w:r w:rsidRPr="002D4F10">
        <w:t xml:space="preserve">Acceptability </w:t>
      </w:r>
      <w:r>
        <w:t>of the BSP amongst providers and wider stakeholders</w:t>
      </w:r>
    </w:p>
    <w:p w:rsidR="00407989" w:rsidRDefault="00407989" w:rsidP="00407989">
      <w:r>
        <w:t xml:space="preserve">In </w:t>
      </w:r>
      <w:r w:rsidR="00F72955">
        <w:t>Round 1</w:t>
      </w:r>
      <w:r>
        <w:t xml:space="preserve">, the acceptability of the BSP (defined by awareness, attitudes and knowledge) and its design was high amongst providers in the community, primary care and hospital setting.  There was support for the BSP to be rolled out as a national screening programme, although there </w:t>
      </w:r>
      <w:r w:rsidR="006260F8">
        <w:t>wa</w:t>
      </w:r>
      <w:r>
        <w:t xml:space="preserve">s recognition that further work was required to ensure equity of participation, adequate workforce capacity </w:t>
      </w:r>
      <w:r w:rsidR="006260F8">
        <w:t>(</w:t>
      </w:r>
      <w:r>
        <w:t>particularly colonoscopy capacity</w:t>
      </w:r>
      <w:r w:rsidR="006260F8">
        <w:t>)</w:t>
      </w:r>
      <w:r>
        <w:t xml:space="preserve">, and that bowel screening does not impact on symptomatic services (Litmus et al 2015).   </w:t>
      </w:r>
    </w:p>
    <w:p w:rsidR="00407989" w:rsidRDefault="00407989" w:rsidP="00407989">
      <w:r>
        <w:t xml:space="preserve">In </w:t>
      </w:r>
      <w:r w:rsidR="00F72955">
        <w:t>Round 2</w:t>
      </w:r>
      <w:r>
        <w:t xml:space="preserve">, the acceptability of the BSP and a national bowel screening programme continues to be high amongst key national and regional stakeholders and providers </w:t>
      </w:r>
      <w:r w:rsidR="00830E42">
        <w:t xml:space="preserve">interviewed </w:t>
      </w:r>
      <w:r>
        <w:t>along the screening pathway.  No one interviewed was unsupportive of the BSP or a national bowel screening programme.  Indications from the Ministry</w:t>
      </w:r>
      <w:r w:rsidR="0070229E">
        <w:t xml:space="preserve"> of Health</w:t>
      </w:r>
      <w:r>
        <w:t>’s nationwide consultation also demonstrated wide support for a national bowel screening programme</w:t>
      </w:r>
      <w:r w:rsidR="00830E42">
        <w:t xml:space="preserve"> (Litmus 2016a)</w:t>
      </w:r>
      <w:r>
        <w:t>.</w:t>
      </w:r>
    </w:p>
    <w:p w:rsidR="00407989" w:rsidRDefault="00407989" w:rsidP="00407989">
      <w:pPr>
        <w:rPr>
          <w:lang w:eastAsia="ar-SA"/>
        </w:rPr>
      </w:pPr>
      <w:r>
        <w:t xml:space="preserve">In screening </w:t>
      </w:r>
      <w:r w:rsidR="00F72955">
        <w:t>Round 1</w:t>
      </w:r>
      <w:r>
        <w:t>, the BSP was described has having a h</w:t>
      </w:r>
      <w:r w:rsidRPr="006B25BF">
        <w:t>igh functioning multi-disciplinary team working effectively across the screening pathway, linked together via a range of networked meetings and led by respected and motivated clinical leaders at national and regional levels</w:t>
      </w:r>
      <w:r w:rsidR="00830E42">
        <w:t xml:space="preserve"> (Litmus et al 2015)</w:t>
      </w:r>
      <w:r>
        <w:t xml:space="preserve">.  In </w:t>
      </w:r>
      <w:r w:rsidR="00F72955">
        <w:t>Round 2</w:t>
      </w:r>
      <w:r>
        <w:t xml:space="preserve">, this effective teamwork and transitions across the screening pathway continues.  The integrated and networked BSP team reflects the work of the </w:t>
      </w:r>
      <w:r w:rsidRPr="006E3075">
        <w:rPr>
          <w:lang w:val="en-US"/>
        </w:rPr>
        <w:t xml:space="preserve">BSP Programme Manager </w:t>
      </w:r>
      <w:r>
        <w:rPr>
          <w:lang w:val="en-US"/>
        </w:rPr>
        <w:t xml:space="preserve">supported by the </w:t>
      </w:r>
      <w:r w:rsidRPr="006E3075">
        <w:t>WDHB BSP Clinical Director</w:t>
      </w:r>
      <w:r>
        <w:t xml:space="preserve"> to ensure all providers on the screening pathway are engaged and their contribution is acknowledged.  The BSP </w:t>
      </w:r>
      <w:r>
        <w:rPr>
          <w:lang w:eastAsia="ar-SA"/>
        </w:rPr>
        <w:t>Programme Manager’s weekly communications have been important in keeping diverse providers informed and engaged with the BSP</w:t>
      </w:r>
      <w:r w:rsidR="00830E42">
        <w:rPr>
          <w:lang w:eastAsia="ar-SA"/>
        </w:rPr>
        <w:t xml:space="preserve"> (Litmus 2016a)</w:t>
      </w:r>
      <w:r>
        <w:rPr>
          <w:lang w:eastAsia="ar-SA"/>
        </w:rPr>
        <w:t xml:space="preserve">. </w:t>
      </w:r>
    </w:p>
    <w:p w:rsidR="00AB1EBD" w:rsidRPr="00AB1EBD" w:rsidRDefault="00AB1EBD" w:rsidP="00AB1EBD">
      <w:r w:rsidRPr="00AB1EBD">
        <w:t>General practice</w:t>
      </w:r>
      <w:r w:rsidR="00F126BC">
        <w:t>s</w:t>
      </w:r>
      <w:r w:rsidR="000F2E64">
        <w:t xml:space="preserve"> have a </w:t>
      </w:r>
      <w:r w:rsidRPr="00AB1EBD">
        <w:t xml:space="preserve">role in the BSP of informing participants about a positive iFOBT test within a </w:t>
      </w:r>
      <w:r w:rsidR="006260F8">
        <w:t>ten-</w:t>
      </w:r>
      <w:r w:rsidRPr="00AB1EBD">
        <w:t xml:space="preserve">day window.  General practice, when engaged, have a positive contribution to the BSP by informing their patients about bowel cancer and bowel screening, encouraging the completion of iFOBT kit, informing of positive results and supporting if cancer or other health issues are identified through the screening (Litmus 2016).  </w:t>
      </w:r>
    </w:p>
    <w:p w:rsidR="00AB1EBD" w:rsidRDefault="00AB1EBD" w:rsidP="00407989">
      <w:pPr>
        <w:rPr>
          <w:lang w:eastAsia="ar-SA"/>
        </w:rPr>
      </w:pPr>
      <w:r w:rsidRPr="00AB1EBD">
        <w:t xml:space="preserve">General practice’s </w:t>
      </w:r>
      <w:r>
        <w:t xml:space="preserve">engagement with the BSP reflects the intensive work of the </w:t>
      </w:r>
      <w:r w:rsidRPr="006E3075">
        <w:rPr>
          <w:lang w:val="en-US"/>
        </w:rPr>
        <w:t xml:space="preserve">BSP Programme Manager </w:t>
      </w:r>
      <w:r>
        <w:rPr>
          <w:lang w:val="en-US"/>
        </w:rPr>
        <w:t xml:space="preserve">and </w:t>
      </w:r>
      <w:r w:rsidRPr="006E3075">
        <w:t>WDHB BSP Clinical Director</w:t>
      </w:r>
      <w:r>
        <w:t xml:space="preserve">.  It also reflects the BSP </w:t>
      </w:r>
      <w:r w:rsidR="00FB25E9">
        <w:t xml:space="preserve">Coordination Centre </w:t>
      </w:r>
      <w:r w:rsidR="006260F8">
        <w:t>work</w:t>
      </w:r>
      <w:r>
        <w:t xml:space="preserve"> with PHOs, sought to ensure the BSP dovetailed with existing general practice systems</w:t>
      </w:r>
      <w:r w:rsidR="00804EDA">
        <w:t>,</w:t>
      </w:r>
      <w:r>
        <w:t xml:space="preserve"> and that general practice</w:t>
      </w:r>
      <w:r w:rsidR="00C73B3F">
        <w:t>s were</w:t>
      </w:r>
      <w:r>
        <w:t xml:space="preserve"> reimbursed for their involvement. </w:t>
      </w:r>
    </w:p>
    <w:p w:rsidR="00CB56CB" w:rsidRDefault="00F34D70" w:rsidP="00CB56CB">
      <w:pPr>
        <w:pStyle w:val="Heading2"/>
      </w:pPr>
      <w:bookmarkStart w:id="219" w:name="_Toc457842150"/>
      <w:r>
        <w:t>6.3</w:t>
      </w:r>
      <w:r>
        <w:tab/>
        <w:t>Conclusion</w:t>
      </w:r>
      <w:bookmarkEnd w:id="219"/>
      <w:r>
        <w:t xml:space="preserve"> </w:t>
      </w:r>
    </w:p>
    <w:p w:rsidR="00FB25E9" w:rsidRDefault="00FB25E9" w:rsidP="00FB25E9">
      <w:pPr>
        <w:pStyle w:val="Heading3"/>
      </w:pPr>
      <w:r>
        <w:t>Safety</w:t>
      </w:r>
    </w:p>
    <w:p w:rsidR="00313B7B" w:rsidRPr="000D67FA" w:rsidRDefault="00313B7B" w:rsidP="00313B7B">
      <w:r w:rsidRPr="000D67FA">
        <w:t>Safety is defined as the extent to which harm is kept to a minimum, and i</w:t>
      </w:r>
      <w:r>
        <w:t xml:space="preserve">ncorporates multi-dimensional </w:t>
      </w:r>
      <w:r w:rsidRPr="000D67FA">
        <w:t xml:space="preserve">perspectives such as cultural, environmental, and clinical safety (National Screening Unit 2005 p.15).  Within the scope of the evaluation, no </w:t>
      </w:r>
      <w:r w:rsidR="00C41330">
        <w:t>substantial</w:t>
      </w:r>
      <w:r w:rsidRPr="000D67FA">
        <w:t xml:space="preserve"> </w:t>
      </w:r>
      <w:r w:rsidR="00CB3450">
        <w:t>environmental or clinical safety issues were</w:t>
      </w:r>
      <w:r w:rsidRPr="000D67FA">
        <w:t xml:space="preserve"> identified.</w:t>
      </w:r>
      <w:r w:rsidR="00CB3450">
        <w:t xml:space="preserve">  </w:t>
      </w:r>
      <w:r w:rsidR="00DD34EC">
        <w:t xml:space="preserve">In </w:t>
      </w:r>
      <w:r w:rsidR="00F72955">
        <w:t>Round 2</w:t>
      </w:r>
      <w:r w:rsidR="00DD34EC">
        <w:t xml:space="preserve">, greater focus has been placed on cultural safety with a more systematic and structural focus on seeking to achieve equity </w:t>
      </w:r>
      <w:r w:rsidR="00297554">
        <w:t xml:space="preserve">of participation </w:t>
      </w:r>
      <w:r w:rsidR="00DD34EC">
        <w:t>for M</w:t>
      </w:r>
      <w:r w:rsidR="00DD34EC">
        <w:rPr>
          <w:rFonts w:cs="Arial"/>
        </w:rPr>
        <w:t>ā</w:t>
      </w:r>
      <w:r w:rsidR="00DD34EC">
        <w:t>ori and Pacific people.  If the learnings from the BSP are adopted</w:t>
      </w:r>
      <w:r w:rsidR="006260F8">
        <w:t xml:space="preserve"> –</w:t>
      </w:r>
      <w:r w:rsidR="00DD34EC">
        <w:t xml:space="preserve"> in particular leading with an equity focus, a</w:t>
      </w:r>
      <w:r w:rsidRPr="000D67FA">
        <w:t xml:space="preserve"> national bowel screening programme can be delivered in a manner that is safe.  </w:t>
      </w:r>
    </w:p>
    <w:p w:rsidR="00313B7B" w:rsidRDefault="00313B7B" w:rsidP="00313B7B">
      <w:r w:rsidRPr="000D67FA">
        <w:t xml:space="preserve">The evaluation of the BSP has identified areas of consideration </w:t>
      </w:r>
      <w:r w:rsidR="00804EDA">
        <w:t xml:space="preserve">to support a safe </w:t>
      </w:r>
      <w:r w:rsidRPr="000D67FA">
        <w:t>national bowel screening programme.</w:t>
      </w:r>
    </w:p>
    <w:p w:rsidR="00313B7B" w:rsidRDefault="00313B7B" w:rsidP="006260F8">
      <w:pPr>
        <w:pStyle w:val="Heading4"/>
        <w:spacing w:after="120"/>
        <w:rPr>
          <w:lang w:eastAsia="ar-SA"/>
        </w:rPr>
      </w:pPr>
      <w:r>
        <w:t>Governance and leadership</w:t>
      </w:r>
    </w:p>
    <w:p w:rsidR="00313B7B" w:rsidRDefault="00313B7B" w:rsidP="006260F8">
      <w:pPr>
        <w:spacing w:before="120"/>
        <w:rPr>
          <w:lang w:eastAsia="ar-SA"/>
        </w:rPr>
      </w:pPr>
      <w:r>
        <w:rPr>
          <w:lang w:eastAsia="ar-SA"/>
        </w:rPr>
        <w:t>A national bowel screening programme will need to migrate across to the National Screening Unit to ensure appropriate governance and management structures, a population health focus, and ongoing monitoring of quality standards across New Zealand.  The bowel screening programme will also need to be linked to the Bowel Cancer Working Group to continue the ongoing strengthening of bowel cancer pathways in New Zealand.  Clinical leadership and programme management will be critical in building on and sustaining a quality programme work</w:t>
      </w:r>
      <w:r w:rsidR="006260F8">
        <w:rPr>
          <w:lang w:eastAsia="ar-SA"/>
        </w:rPr>
        <w:t>ing</w:t>
      </w:r>
      <w:r>
        <w:rPr>
          <w:lang w:eastAsia="ar-SA"/>
        </w:rPr>
        <w:t xml:space="preserve"> with a multi-disciplinary team to maintain fidelity to the bowel screening pathway design across regions, and to collectively resolve any issues arising.  An intensity of focus </w:t>
      </w:r>
      <w:r w:rsidR="00804EDA">
        <w:rPr>
          <w:lang w:eastAsia="ar-SA"/>
        </w:rPr>
        <w:t>on</w:t>
      </w:r>
      <w:r>
        <w:rPr>
          <w:lang w:eastAsia="ar-SA"/>
        </w:rPr>
        <w:t xml:space="preserve"> quality improvement will be required in the early implementation phases to replicate the successes of the BSP. </w:t>
      </w:r>
    </w:p>
    <w:p w:rsidR="00313B7B" w:rsidRDefault="00313B7B" w:rsidP="00313B7B">
      <w:pPr>
        <w:rPr>
          <w:lang w:eastAsia="ar-SA"/>
        </w:rPr>
      </w:pPr>
      <w:r>
        <w:rPr>
          <w:lang w:eastAsia="ar-SA"/>
        </w:rPr>
        <w:t xml:space="preserve">Resolution is required on where a national endoscopy governance group sits in the sector and who funds it.  </w:t>
      </w:r>
      <w:r w:rsidR="00543ED6">
        <w:rPr>
          <w:lang w:eastAsia="ar-SA"/>
        </w:rPr>
        <w:t>A</w:t>
      </w:r>
      <w:r>
        <w:rPr>
          <w:lang w:eastAsia="ar-SA"/>
        </w:rPr>
        <w:t xml:space="preserve"> national endoscopy group is important as it covers both environment and c</w:t>
      </w:r>
      <w:r w:rsidR="00297554">
        <w:rPr>
          <w:lang w:eastAsia="ar-SA"/>
        </w:rPr>
        <w:t xml:space="preserve">linical safety in the BSP </w:t>
      </w:r>
      <w:r w:rsidR="00297554" w:rsidRPr="0042549B">
        <w:rPr>
          <w:lang w:eastAsia="ar-SA"/>
        </w:rPr>
        <w:t>WHEU</w:t>
      </w:r>
      <w:r w:rsidR="00297554">
        <w:rPr>
          <w:lang w:eastAsia="ar-SA"/>
        </w:rPr>
        <w:t xml:space="preserve"> </w:t>
      </w:r>
      <w:r>
        <w:rPr>
          <w:lang w:eastAsia="ar-SA"/>
        </w:rPr>
        <w:t xml:space="preserve">and will assist with achieving greater national colonoscopy consistency for both screening and symptomatic services.  </w:t>
      </w:r>
    </w:p>
    <w:p w:rsidR="00313B7B" w:rsidRPr="00300220" w:rsidRDefault="00313B7B" w:rsidP="00313B7B">
      <w:pPr>
        <w:rPr>
          <w:b/>
          <w:lang w:eastAsia="ar-SA"/>
        </w:rPr>
      </w:pPr>
      <w:r w:rsidRPr="00300220">
        <w:rPr>
          <w:b/>
          <w:lang w:eastAsia="ar-SA"/>
        </w:rPr>
        <w:t xml:space="preserve">Quality standards </w:t>
      </w:r>
    </w:p>
    <w:p w:rsidR="00313B7B" w:rsidRDefault="00313B7B" w:rsidP="0077393F">
      <w:pPr>
        <w:spacing w:before="120"/>
        <w:rPr>
          <w:lang w:eastAsia="ar-SA"/>
        </w:rPr>
      </w:pPr>
      <w:r>
        <w:rPr>
          <w:lang w:eastAsia="ar-SA"/>
        </w:rPr>
        <w:t>The quality standards in the BSP are interim and need to be reviewed and finalised for a national bowel screening programme.  Importantly, those with responsibility for a national programme need to understand their importance in monitoring the screening programme and the actions needed, if they are not achieved.</w:t>
      </w:r>
    </w:p>
    <w:p w:rsidR="00313B7B" w:rsidRPr="00300220" w:rsidRDefault="00313B7B" w:rsidP="00313B7B">
      <w:pPr>
        <w:rPr>
          <w:b/>
          <w:lang w:eastAsia="ar-SA"/>
        </w:rPr>
      </w:pPr>
      <w:r w:rsidRPr="00300220">
        <w:rPr>
          <w:b/>
          <w:lang w:eastAsia="ar-SA"/>
        </w:rPr>
        <w:t>The Register</w:t>
      </w:r>
    </w:p>
    <w:p w:rsidR="00297554" w:rsidRDefault="00313B7B" w:rsidP="0077393F">
      <w:pPr>
        <w:spacing w:before="120"/>
        <w:rPr>
          <w:lang w:eastAsia="ar-SA"/>
        </w:rPr>
      </w:pPr>
      <w:r>
        <w:rPr>
          <w:lang w:eastAsia="ar-SA"/>
        </w:rPr>
        <w:t>D</w:t>
      </w:r>
      <w:r w:rsidRPr="006E3075">
        <w:rPr>
          <w:lang w:eastAsia="ar-SA"/>
        </w:rPr>
        <w:t>ata quality and completeness of Register data</w:t>
      </w:r>
      <w:r>
        <w:rPr>
          <w:lang w:eastAsia="ar-SA"/>
        </w:rPr>
        <w:t xml:space="preserve"> are essential to ensure the effectiveness of the BSP processes and to enable quality monitoring</w:t>
      </w:r>
      <w:r w:rsidRPr="006E3075">
        <w:rPr>
          <w:lang w:eastAsia="ar-SA"/>
        </w:rPr>
        <w:t>.</w:t>
      </w:r>
      <w:r>
        <w:rPr>
          <w:lang w:eastAsia="ar-SA"/>
        </w:rPr>
        <w:t xml:space="preserve">  The Ministry’s reviews demonstrated the quality of the data on the BSP Register.  Feedback on the operational functionality of the Register highlights the need for a systematic review to determine whether it can work efficiently for a national bowel screening programme.  </w:t>
      </w:r>
    </w:p>
    <w:p w:rsidR="00B64372" w:rsidRDefault="00313B7B" w:rsidP="00F126BC">
      <w:pPr>
        <w:rPr>
          <w:lang w:eastAsia="ar-SA"/>
        </w:rPr>
      </w:pPr>
      <w:r>
        <w:rPr>
          <w:lang w:eastAsia="ar-SA"/>
        </w:rPr>
        <w:t>A systematic review of functionality will clarify the further updates required</w:t>
      </w:r>
      <w:r w:rsidR="00543ED6">
        <w:rPr>
          <w:lang w:eastAsia="ar-SA"/>
        </w:rPr>
        <w:t>. B</w:t>
      </w:r>
      <w:r>
        <w:rPr>
          <w:lang w:eastAsia="ar-SA"/>
        </w:rPr>
        <w:t>ased on stakeholder feedback this may include: e</w:t>
      </w:r>
      <w:r w:rsidRPr="00FF24B8">
        <w:rPr>
          <w:lang w:eastAsia="ar-SA"/>
        </w:rPr>
        <w:t>nsuring participant and GP information on the Register is up</w:t>
      </w:r>
      <w:r w:rsidR="0077393F">
        <w:rPr>
          <w:lang w:eastAsia="ar-SA"/>
        </w:rPr>
        <w:t xml:space="preserve"> </w:t>
      </w:r>
      <w:r w:rsidRPr="00FF24B8">
        <w:rPr>
          <w:lang w:eastAsia="ar-SA"/>
        </w:rPr>
        <w:t>to</w:t>
      </w:r>
      <w:r w:rsidR="0077393F">
        <w:rPr>
          <w:lang w:eastAsia="ar-SA"/>
        </w:rPr>
        <w:t xml:space="preserve"> </w:t>
      </w:r>
      <w:r w:rsidRPr="00FF24B8">
        <w:rPr>
          <w:lang w:eastAsia="ar-SA"/>
        </w:rPr>
        <w:t>date, increased operational automation and linkages to other health systems,</w:t>
      </w:r>
      <w:r w:rsidR="00297554">
        <w:rPr>
          <w:lang w:eastAsia="ar-SA"/>
        </w:rPr>
        <w:t xml:space="preserve"> and</w:t>
      </w:r>
      <w:r w:rsidRPr="00FF24B8">
        <w:rPr>
          <w:lang w:eastAsia="ar-SA"/>
        </w:rPr>
        <w:t xml:space="preserve"> enhanced reporting templates.  To support the Register in a national programme, clarity is needed on the most appropriate location </w:t>
      </w:r>
      <w:r w:rsidR="0077393F">
        <w:rPr>
          <w:lang w:eastAsia="ar-SA"/>
        </w:rPr>
        <w:t>for</w:t>
      </w:r>
      <w:r w:rsidRPr="00FF24B8">
        <w:rPr>
          <w:lang w:eastAsia="ar-SA"/>
        </w:rPr>
        <w:t xml:space="preserve"> the operational data centre</w:t>
      </w:r>
      <w:r w:rsidR="00F126BC">
        <w:rPr>
          <w:lang w:eastAsia="ar-SA"/>
        </w:rPr>
        <w:t>.</w:t>
      </w:r>
      <w:r w:rsidRPr="00FF24B8">
        <w:rPr>
          <w:lang w:eastAsia="ar-SA"/>
        </w:rPr>
        <w:t xml:space="preserve"> </w:t>
      </w:r>
      <w:r w:rsidR="00F126BC">
        <w:rPr>
          <w:lang w:eastAsia="ar-SA"/>
        </w:rPr>
        <w:t xml:space="preserve">The question was raised of where the responsibility for a national programme </w:t>
      </w:r>
      <w:r w:rsidR="0077393F">
        <w:rPr>
          <w:lang w:eastAsia="ar-SA"/>
        </w:rPr>
        <w:t xml:space="preserve">Register </w:t>
      </w:r>
      <w:r w:rsidR="00F126BC">
        <w:rPr>
          <w:lang w:eastAsia="ar-SA"/>
        </w:rPr>
        <w:t>lies, and whether the Ministry is best placed to manage an operational database.  For a national programme</w:t>
      </w:r>
      <w:r w:rsidR="00543ED6">
        <w:rPr>
          <w:lang w:eastAsia="ar-SA"/>
        </w:rPr>
        <w:t>,</w:t>
      </w:r>
      <w:r w:rsidR="00F126BC">
        <w:rPr>
          <w:lang w:eastAsia="ar-SA"/>
        </w:rPr>
        <w:t xml:space="preserve"> the Register will require a well-resourced development and support team, as well as resourced regional d</w:t>
      </w:r>
      <w:r w:rsidRPr="00FF24B8">
        <w:rPr>
          <w:lang w:eastAsia="ar-SA"/>
        </w:rPr>
        <w:t xml:space="preserve">ata management </w:t>
      </w:r>
      <w:r w:rsidR="00F126BC">
        <w:rPr>
          <w:lang w:eastAsia="ar-SA"/>
        </w:rPr>
        <w:t>and reporting teams to inform</w:t>
      </w:r>
      <w:r w:rsidR="00B64372">
        <w:rPr>
          <w:lang w:eastAsia="ar-SA"/>
        </w:rPr>
        <w:t xml:space="preserve"> decisio</w:t>
      </w:r>
      <w:r w:rsidR="00F126BC">
        <w:rPr>
          <w:lang w:eastAsia="ar-SA"/>
        </w:rPr>
        <w:t xml:space="preserve">n support teams at DHBs. </w:t>
      </w:r>
    </w:p>
    <w:p w:rsidR="00313B7B" w:rsidRDefault="00F126BC" w:rsidP="00313B7B">
      <w:pPr>
        <w:rPr>
          <w:lang w:eastAsia="ar-SA"/>
        </w:rPr>
      </w:pPr>
      <w:r>
        <w:rPr>
          <w:lang w:eastAsia="ar-SA"/>
        </w:rPr>
        <w:t>T</w:t>
      </w:r>
      <w:r w:rsidR="00313B7B">
        <w:rPr>
          <w:lang w:eastAsia="ar-SA"/>
        </w:rPr>
        <w:t xml:space="preserve">o ensure all eligible participants are invited, the Ministry’s review of the Register offered </w:t>
      </w:r>
      <w:r w:rsidR="00313B7B" w:rsidRPr="00300220">
        <w:rPr>
          <w:lang w:eastAsia="ar-SA"/>
        </w:rPr>
        <w:t xml:space="preserve">a preliminary recommendation that for </w:t>
      </w:r>
      <w:r w:rsidR="0077393F">
        <w:rPr>
          <w:lang w:eastAsia="ar-SA"/>
        </w:rPr>
        <w:t>a national bowel screening roll-</w:t>
      </w:r>
      <w:r w:rsidR="00313B7B" w:rsidRPr="00300220">
        <w:rPr>
          <w:lang w:eastAsia="ar-SA"/>
        </w:rPr>
        <w:t xml:space="preserve">out the population register should use the PHO enrolment register as the base and include NHI records verified by use in the National Collections (Lee 2014). </w:t>
      </w:r>
    </w:p>
    <w:p w:rsidR="00313B7B" w:rsidRPr="00941810" w:rsidRDefault="00313B7B" w:rsidP="00313B7B">
      <w:pPr>
        <w:rPr>
          <w:b/>
          <w:lang w:eastAsia="ar-SA"/>
        </w:rPr>
      </w:pPr>
      <w:r w:rsidRPr="00941810">
        <w:rPr>
          <w:b/>
          <w:lang w:eastAsia="ar-SA"/>
        </w:rPr>
        <w:t xml:space="preserve">iFOBT testing options </w:t>
      </w:r>
    </w:p>
    <w:p w:rsidR="00313B7B" w:rsidRDefault="00313B7B" w:rsidP="0077393F">
      <w:pPr>
        <w:spacing w:before="120"/>
        <w:rPr>
          <w:lang w:eastAsia="ar-SA"/>
        </w:rPr>
      </w:pPr>
      <w:r>
        <w:rPr>
          <w:lang w:eastAsia="ar-SA"/>
        </w:rPr>
        <w:t xml:space="preserve">At a national level, the critical workforce issues for testing will be resourcing of the registration process for a much larger number of iFOBT kits.  Those managing this process in the BSP advocate for a dedicated team to ensure smooth processing and quality control at registration.  Capacity for testing is less of a concern as the testing machine, Diana, can process up to 260 iFOBT samples an hour.  </w:t>
      </w:r>
    </w:p>
    <w:p w:rsidR="00313B7B" w:rsidRDefault="00313B7B" w:rsidP="00313B7B">
      <w:pPr>
        <w:rPr>
          <w:lang w:eastAsia="ar-SA"/>
        </w:rPr>
      </w:pPr>
      <w:r>
        <w:rPr>
          <w:lang w:eastAsia="ar-SA"/>
        </w:rPr>
        <w:t>Opinion is mixed on whether iFOBT testing should be centralised nationally in one lab, split across two centres in the North and South Island, or regionalised.  Support for a centralised provision of the testing services for iFOBT reflects the efficiencies gained, and the mitigation of the challenges relating to monitoring quality across a number of lab providers.  Stakeholders commented that ideally iFOBT testing will have a close working relationship with the Bowel Screening Coordination Centre/s to enable follow-up of issues (e.g. incorrect kit completion, error codes, reporting of tests).  The configuration of the lab testing for iFOBT may therefore be determined by the configuration of the Bowel Screening Coordination Centre/s (i.e. national or regional centres).  The lab</w:t>
      </w:r>
      <w:r w:rsidR="00297554">
        <w:rPr>
          <w:lang w:eastAsia="ar-SA"/>
        </w:rPr>
        <w:t>/s</w:t>
      </w:r>
      <w:r>
        <w:rPr>
          <w:lang w:eastAsia="ar-SA"/>
        </w:rPr>
        <w:t xml:space="preserve"> will need to be accredited by </w:t>
      </w:r>
      <w:r w:rsidRPr="00F97AC1">
        <w:rPr>
          <w:rStyle w:val="st"/>
          <w:bCs/>
        </w:rPr>
        <w:t>International Accreditation New Zealand</w:t>
      </w:r>
      <w:r>
        <w:rPr>
          <w:lang w:eastAsia="ar-SA"/>
        </w:rPr>
        <w:t xml:space="preserve">.  </w:t>
      </w:r>
    </w:p>
    <w:p w:rsidR="00313B7B" w:rsidRPr="00941810" w:rsidRDefault="00313B7B" w:rsidP="00313B7B">
      <w:pPr>
        <w:rPr>
          <w:b/>
          <w:lang w:eastAsia="ar-SA"/>
        </w:rPr>
      </w:pPr>
      <w:r w:rsidRPr="00941810">
        <w:rPr>
          <w:b/>
          <w:lang w:eastAsia="ar-SA"/>
        </w:rPr>
        <w:t xml:space="preserve">Colonoscopy capacity </w:t>
      </w:r>
    </w:p>
    <w:p w:rsidR="00313B7B" w:rsidRDefault="00313B7B" w:rsidP="0077393F">
      <w:pPr>
        <w:spacing w:before="120"/>
      </w:pPr>
      <w:r>
        <w:t xml:space="preserve">In the BSP, significant effort was needed to ensure there was adequate colonoscopy capacity to meet the quality standards, particularly in </w:t>
      </w:r>
      <w:r w:rsidR="00F72955">
        <w:t>Round 1</w:t>
      </w:r>
      <w:r>
        <w:t xml:space="preserve">.  Concerns continue about whether this achievement can be replicated sustainably across New Zealand. </w:t>
      </w:r>
      <w:r w:rsidR="0087509F">
        <w:t xml:space="preserve"> </w:t>
      </w:r>
      <w:r w:rsidR="00CA0D4C">
        <w:t xml:space="preserve">A key learning </w:t>
      </w:r>
      <w:r w:rsidR="00C57CB9">
        <w:t xml:space="preserve">from the BSP </w:t>
      </w:r>
      <w:r w:rsidR="00CA0D4C">
        <w:t>is</w:t>
      </w:r>
      <w:r w:rsidR="00C57CB9">
        <w:t xml:space="preserve"> </w:t>
      </w:r>
      <w:r w:rsidR="0087509F">
        <w:t xml:space="preserve">having adequate </w:t>
      </w:r>
      <w:r w:rsidR="00C57CB9">
        <w:t>endoscopist capacity to meet the growing demand for</w:t>
      </w:r>
      <w:r w:rsidR="004F5859">
        <w:t xml:space="preserve"> </w:t>
      </w:r>
      <w:r w:rsidR="00C57CB9">
        <w:t>colonoscopies in screening Round 1, the need to closely monitor capacity to meet quality wait time standards</w:t>
      </w:r>
      <w:r w:rsidR="0087509F">
        <w:t>,</w:t>
      </w:r>
      <w:r w:rsidR="00C57CB9">
        <w:t xml:space="preserve"> and the actions required when these look to be breached. </w:t>
      </w:r>
      <w:r w:rsidR="00CA0D4C">
        <w:t xml:space="preserve"> Consideration is also needed on ensuring adequate colonoscopy capacity for symptomatic colonoscopies, which is projected to increase as the programme progresses.</w:t>
      </w:r>
    </w:p>
    <w:p w:rsidR="00313B7B" w:rsidRDefault="00313B7B" w:rsidP="00313B7B">
      <w:r>
        <w:t>Stakeholders had mixed opinions on whether BSP and symptomatic colonoscopies could be on the same list.  Preference tended towards discreet BSP lists</w:t>
      </w:r>
      <w:r w:rsidR="0077393F">
        <w:t>,</w:t>
      </w:r>
      <w:r>
        <w:t xml:space="preserve"> at least in larger centres, with the sharing of resources between the services.  It was </w:t>
      </w:r>
      <w:r w:rsidR="00297554">
        <w:t>recommend</w:t>
      </w:r>
      <w:r>
        <w:t xml:space="preserve">ed that pre-assessment phone calls are ring-fenced to ensure they occur (Litmus 2016a). </w:t>
      </w:r>
    </w:p>
    <w:p w:rsidR="00313B7B" w:rsidRPr="00FF24B8" w:rsidRDefault="00543ED6" w:rsidP="00313B7B">
      <w:r>
        <w:t>Ensuring access to colonoscopy</w:t>
      </w:r>
      <w:r w:rsidR="00313B7B" w:rsidRPr="00FF24B8">
        <w:t xml:space="preserve"> for people with positive iFOBT results living </w:t>
      </w:r>
      <w:r w:rsidR="00716C08">
        <w:t>i</w:t>
      </w:r>
      <w:r w:rsidR="00313B7B" w:rsidRPr="00FF24B8">
        <w:t>n rural areas w</w:t>
      </w:r>
      <w:r w:rsidR="0077393F">
        <w:t>as</w:t>
      </w:r>
      <w:r w:rsidR="00313B7B" w:rsidRPr="00FF24B8">
        <w:t xml:space="preserve"> </w:t>
      </w:r>
      <w:r>
        <w:t>also raise</w:t>
      </w:r>
      <w:r w:rsidR="00313B7B" w:rsidRPr="00FF24B8">
        <w:t xml:space="preserve">d.  </w:t>
      </w:r>
    </w:p>
    <w:p w:rsidR="00313B7B" w:rsidRPr="00941810" w:rsidRDefault="00313B7B" w:rsidP="00313B7B">
      <w:pPr>
        <w:rPr>
          <w:b/>
          <w:lang w:eastAsia="ar-SA"/>
        </w:rPr>
      </w:pPr>
      <w:r w:rsidRPr="00941810">
        <w:rPr>
          <w:b/>
          <w:lang w:eastAsia="ar-SA"/>
        </w:rPr>
        <w:t xml:space="preserve">Histopathology </w:t>
      </w:r>
    </w:p>
    <w:p w:rsidR="00313B7B" w:rsidRDefault="00313B7B" w:rsidP="0077393F">
      <w:pPr>
        <w:spacing w:before="120"/>
      </w:pPr>
      <w:r>
        <w:t>Key issue for a national programme is adequate histopathology capacity to ensure timely reporting of biopsy specimens from colonoscopies and reporting of specimen</w:t>
      </w:r>
      <w:r w:rsidR="0077393F">
        <w:t>s</w:t>
      </w:r>
      <w:r>
        <w:t xml:space="preserve"> from patients who undergo surgery, and attending MDMs.  On this basis, more labs will need to be involved</w:t>
      </w:r>
      <w:r w:rsidR="0087509F">
        <w:t>.  A</w:t>
      </w:r>
      <w:r>
        <w:t xml:space="preserve"> regional focus is preferred by some stakeholders to build consistent processes, quality monitoring, and interpretations (Litmus 2016a).   </w:t>
      </w:r>
    </w:p>
    <w:p w:rsidR="00313B7B" w:rsidRDefault="00313B7B" w:rsidP="00313B7B">
      <w:r>
        <w:t xml:space="preserve">Guidelines will need to be developed for histopathology, as per cervical screening, that all labs will need to follow (e.g. how many samples have to be processed to maintain competency, what level of complexity to ensure competency in judging cancer).  Quality standards also need to be set for pathologists that can be assessed at an individual level and used to ensure appropriate quality assurance regionally and nationally. </w:t>
      </w:r>
    </w:p>
    <w:p w:rsidR="00313B7B" w:rsidRDefault="00313B7B" w:rsidP="00313B7B">
      <w:pPr>
        <w:rPr>
          <w:lang w:eastAsia="ar-SA"/>
        </w:rPr>
      </w:pPr>
      <w:r>
        <w:rPr>
          <w:lang w:eastAsia="ar-SA"/>
        </w:rPr>
        <w:t xml:space="preserve">Other learnings from the BSP are the need for an efficient, direct and safe transportation process for histology samples to the lab. </w:t>
      </w:r>
    </w:p>
    <w:p w:rsidR="00313B7B" w:rsidRDefault="00313B7B" w:rsidP="00313B7B">
      <w:pPr>
        <w:rPr>
          <w:lang w:eastAsia="ar-SA"/>
        </w:rPr>
      </w:pPr>
      <w:r>
        <w:rPr>
          <w:lang w:eastAsia="ar-SA"/>
        </w:rPr>
        <w:t xml:space="preserve">Feedback from LabPLUS highlights that </w:t>
      </w:r>
      <w:r w:rsidRPr="00855F6E">
        <w:rPr>
          <w:lang w:eastAsia="ar-SA"/>
        </w:rPr>
        <w:t>adequate resource</w:t>
      </w:r>
      <w:r>
        <w:rPr>
          <w:lang w:eastAsia="ar-SA"/>
        </w:rPr>
        <w:t>s</w:t>
      </w:r>
      <w:r w:rsidRPr="00855F6E">
        <w:rPr>
          <w:lang w:eastAsia="ar-SA"/>
        </w:rPr>
        <w:t xml:space="preserve">, time and priority </w:t>
      </w:r>
      <w:r>
        <w:rPr>
          <w:lang w:eastAsia="ar-SA"/>
        </w:rPr>
        <w:t xml:space="preserve">will need to be </w:t>
      </w:r>
      <w:r w:rsidRPr="00855F6E">
        <w:rPr>
          <w:lang w:eastAsia="ar-SA"/>
        </w:rPr>
        <w:t>given to the</w:t>
      </w:r>
      <w:r>
        <w:rPr>
          <w:lang w:eastAsia="ar-SA"/>
        </w:rPr>
        <w:t xml:space="preserve"> development of an </w:t>
      </w:r>
      <w:r w:rsidRPr="00855F6E">
        <w:rPr>
          <w:lang w:eastAsia="ar-SA"/>
        </w:rPr>
        <w:t>IT interface between the national bowel screening information system and lab</w:t>
      </w:r>
      <w:r>
        <w:rPr>
          <w:lang w:eastAsia="ar-SA"/>
        </w:rPr>
        <w:t>oratory</w:t>
      </w:r>
      <w:r w:rsidRPr="00855F6E">
        <w:rPr>
          <w:lang w:eastAsia="ar-SA"/>
        </w:rPr>
        <w:t xml:space="preserve"> information systems. </w:t>
      </w:r>
      <w:r>
        <w:rPr>
          <w:lang w:eastAsia="ar-SA"/>
        </w:rPr>
        <w:t xml:space="preserve"> Ideally, a system like the HL</w:t>
      </w:r>
      <w:r w:rsidR="0077393F">
        <w:rPr>
          <w:lang w:eastAsia="ar-SA"/>
        </w:rPr>
        <w:t>-</w:t>
      </w:r>
      <w:r>
        <w:rPr>
          <w:lang w:eastAsia="ar-SA"/>
        </w:rPr>
        <w:t>7 message that GPs can log into to access their patients’ results should be used.  Currently, labs across New Zealand have different reporti</w:t>
      </w:r>
      <w:r w:rsidR="0077393F">
        <w:rPr>
          <w:lang w:eastAsia="ar-SA"/>
        </w:rPr>
        <w:t>ng systems.  In a national roll-</w:t>
      </w:r>
      <w:r>
        <w:rPr>
          <w:lang w:eastAsia="ar-SA"/>
        </w:rPr>
        <w:t xml:space="preserve">out there will need to be consistency across labs involved in histopathology. </w:t>
      </w:r>
    </w:p>
    <w:p w:rsidR="00313B7B" w:rsidRPr="00941810" w:rsidRDefault="00313B7B" w:rsidP="00313B7B">
      <w:pPr>
        <w:rPr>
          <w:b/>
          <w:lang w:eastAsia="ar-SA"/>
        </w:rPr>
      </w:pPr>
      <w:r w:rsidRPr="00941810">
        <w:rPr>
          <w:b/>
          <w:lang w:eastAsia="ar-SA"/>
        </w:rPr>
        <w:t xml:space="preserve">CTC </w:t>
      </w:r>
    </w:p>
    <w:p w:rsidR="00953DE3" w:rsidRDefault="00313B7B" w:rsidP="0077393F">
      <w:pPr>
        <w:spacing w:before="120"/>
      </w:pPr>
      <w:r>
        <w:t>The role of CTC in a national bowel screening programme requires further clari</w:t>
      </w:r>
      <w:r w:rsidR="00835A8B">
        <w:t>fication</w:t>
      </w:r>
      <w:r>
        <w:t xml:space="preserve">. </w:t>
      </w:r>
    </w:p>
    <w:p w:rsidR="00313B7B" w:rsidRPr="00941810" w:rsidRDefault="00313B7B" w:rsidP="00313B7B">
      <w:pPr>
        <w:rPr>
          <w:b/>
          <w:lang w:eastAsia="ar-SA"/>
        </w:rPr>
      </w:pPr>
      <w:r w:rsidRPr="00941810">
        <w:rPr>
          <w:b/>
          <w:lang w:eastAsia="ar-SA"/>
        </w:rPr>
        <w:t xml:space="preserve">Surveillance colonoscopies </w:t>
      </w:r>
    </w:p>
    <w:p w:rsidR="00313B7B" w:rsidRPr="00A3103B" w:rsidRDefault="00B15222" w:rsidP="0077393F">
      <w:pPr>
        <w:spacing w:before="120"/>
        <w:rPr>
          <w:lang w:eastAsia="ar-SA"/>
        </w:rPr>
      </w:pPr>
      <w:r>
        <w:rPr>
          <w:lang w:eastAsia="ar-SA"/>
        </w:rPr>
        <w:t xml:space="preserve">Surveillance colonoscopies </w:t>
      </w:r>
      <w:r w:rsidR="00313B7B">
        <w:rPr>
          <w:lang w:eastAsia="ar-SA"/>
        </w:rPr>
        <w:t>place pressure on symptomatic services, and DHBs are requesting additional funding for</w:t>
      </w:r>
      <w:r w:rsidR="00313B7B" w:rsidRPr="00A3103B">
        <w:rPr>
          <w:lang w:eastAsia="ar-SA"/>
        </w:rPr>
        <w:t xml:space="preserve"> surveillance colonoscopies going forward</w:t>
      </w:r>
      <w:r w:rsidR="00313B7B">
        <w:rPr>
          <w:lang w:eastAsia="ar-SA"/>
        </w:rPr>
        <w:t xml:space="preserve">.  </w:t>
      </w:r>
      <w:r w:rsidR="00313B7B">
        <w:t>Given the pressure on colonoscopy, it is important that surveillance colonoscopies are restricted to those most likely to benefit. Internationally,</w:t>
      </w:r>
      <w:r w:rsidR="00313B7B">
        <w:rPr>
          <w:lang w:eastAsia="ar-SA"/>
        </w:rPr>
        <w:t xml:space="preserve"> surveillance monitoring guidelines are being researched and reviewed to see if people with </w:t>
      </w:r>
      <w:r w:rsidR="00313B7B" w:rsidRPr="00A3103B">
        <w:rPr>
          <w:lang w:eastAsia="ar-SA"/>
        </w:rPr>
        <w:t>low-risk adenomas</w:t>
      </w:r>
      <w:r w:rsidR="00313B7B">
        <w:rPr>
          <w:lang w:eastAsia="ar-SA"/>
        </w:rPr>
        <w:t xml:space="preserve"> could be safely</w:t>
      </w:r>
      <w:r w:rsidR="00313B7B" w:rsidRPr="00A3103B">
        <w:rPr>
          <w:lang w:eastAsia="ar-SA"/>
        </w:rPr>
        <w:t xml:space="preserve"> returned to screening at two years</w:t>
      </w:r>
      <w:r w:rsidR="00313B7B">
        <w:rPr>
          <w:lang w:eastAsia="ar-SA"/>
        </w:rPr>
        <w:t xml:space="preserve"> (</w:t>
      </w:r>
      <w:r w:rsidR="00313B7B" w:rsidRPr="00412672">
        <w:rPr>
          <w:szCs w:val="24"/>
        </w:rPr>
        <w:t>Hornung</w:t>
      </w:r>
      <w:r w:rsidR="00313B7B">
        <w:rPr>
          <w:szCs w:val="24"/>
        </w:rPr>
        <w:t xml:space="preserve"> et al 2015</w:t>
      </w:r>
      <w:r w:rsidR="00313B7B">
        <w:rPr>
          <w:lang w:eastAsia="ar-SA"/>
        </w:rPr>
        <w:t>)</w:t>
      </w:r>
      <w:r w:rsidR="00313B7B" w:rsidRPr="00A3103B">
        <w:rPr>
          <w:lang w:eastAsia="ar-SA"/>
        </w:rPr>
        <w:t xml:space="preserve">. </w:t>
      </w:r>
      <w:r w:rsidR="00313B7B">
        <w:rPr>
          <w:lang w:eastAsia="ar-SA"/>
        </w:rPr>
        <w:t xml:space="preserve"> As this evidence base grows, surveillance guidelines </w:t>
      </w:r>
      <w:r w:rsidR="00863F42">
        <w:rPr>
          <w:lang w:eastAsia="ar-SA"/>
        </w:rPr>
        <w:t xml:space="preserve">will </w:t>
      </w:r>
      <w:r w:rsidR="00313B7B">
        <w:rPr>
          <w:lang w:eastAsia="ar-SA"/>
        </w:rPr>
        <w:t xml:space="preserve">need to be reviewed in New Zealand. </w:t>
      </w:r>
    </w:p>
    <w:p w:rsidR="00C73B3F" w:rsidRDefault="00FB25E9" w:rsidP="00FB25E9">
      <w:pPr>
        <w:pStyle w:val="Heading3"/>
      </w:pPr>
      <w:r>
        <w:t xml:space="preserve">Acceptability </w:t>
      </w:r>
    </w:p>
    <w:p w:rsidR="00FB25E9" w:rsidRDefault="00FB25E9" w:rsidP="00FB25E9">
      <w:r>
        <w:t>T</w:t>
      </w:r>
      <w:r w:rsidRPr="00F34D70">
        <w:t xml:space="preserve">he </w:t>
      </w:r>
      <w:r>
        <w:t>evaluation of the BSP has demonstrated that bowel screening can be delivered in a way that is acceptable to most eligible participants provided a structural and system</w:t>
      </w:r>
      <w:r w:rsidR="0087509F">
        <w:t>atic focus is used to address</w:t>
      </w:r>
      <w:r>
        <w:t xml:space="preserve"> barriers to participation for M</w:t>
      </w:r>
      <w:r>
        <w:rPr>
          <w:rFonts w:cs="Arial"/>
        </w:rPr>
        <w:t>ā</w:t>
      </w:r>
      <w:r>
        <w:t>ori and Pacific people (refer section 5)</w:t>
      </w:r>
      <w:r w:rsidRPr="00F34D70">
        <w:t xml:space="preserve">.  </w:t>
      </w:r>
      <w:r>
        <w:t xml:space="preserve">For providers, there was a relatively high level of acceptance of the BSP at the outset of the pilot.  To grow and sustain this acceptability, the BSP Coordination Centre through the Programme Manager and </w:t>
      </w:r>
      <w:r w:rsidRPr="006E3075">
        <w:t>WDHB BSP Clinical Director</w:t>
      </w:r>
      <w:r>
        <w:t xml:space="preserve"> focused intensively o</w:t>
      </w:r>
      <w:r w:rsidR="00835A8B">
        <w:t>n establishing and maintaining provider</w:t>
      </w:r>
      <w:r>
        <w:t xml:space="preserve"> relationships across the </w:t>
      </w:r>
      <w:r w:rsidR="0077393F">
        <w:t>p</w:t>
      </w:r>
      <w:r>
        <w:t xml:space="preserve">ilot duration.  In this context, </w:t>
      </w:r>
      <w:r w:rsidRPr="00F34D70">
        <w:t xml:space="preserve">a national bowel screening programme can be delivered in a manner that is </w:t>
      </w:r>
      <w:r>
        <w:t>acceptable if it maintains</w:t>
      </w:r>
      <w:r w:rsidRPr="00F34D70">
        <w:t xml:space="preserve"> fidelity to the </w:t>
      </w:r>
      <w:r w:rsidR="00835A8B">
        <w:t xml:space="preserve">BSP </w:t>
      </w:r>
      <w:r w:rsidRPr="00F34D70">
        <w:t>de</w:t>
      </w:r>
      <w:r w:rsidR="00835A8B">
        <w:t>sign</w:t>
      </w:r>
      <w:r w:rsidR="00543ED6">
        <w:t xml:space="preserve"> and operation</w:t>
      </w:r>
      <w:r w:rsidR="00835A8B">
        <w:t xml:space="preserve">. </w:t>
      </w:r>
      <w:r w:rsidRPr="00F34D70">
        <w:t xml:space="preserve">  </w:t>
      </w:r>
    </w:p>
    <w:p w:rsidR="00FB25E9" w:rsidRDefault="00FB25E9" w:rsidP="00FB25E9">
      <w:r>
        <w:rPr>
          <w:lang w:eastAsia="en-NZ"/>
        </w:rPr>
        <w:t xml:space="preserve">All general practice and PHO stakeholders interviewed are </w:t>
      </w:r>
      <w:r w:rsidR="00F96E44">
        <w:rPr>
          <w:lang w:eastAsia="en-NZ"/>
        </w:rPr>
        <w:t>supportive of the roll-</w:t>
      </w:r>
      <w:r>
        <w:rPr>
          <w:lang w:eastAsia="en-NZ"/>
        </w:rPr>
        <w:t>out of a national bowel screening programme</w:t>
      </w:r>
      <w:r>
        <w:t>.  General practice can add value to the screening programme across the participant pathway.  The following feedback was provided by PHOs and general practices in seeking to gain and maintain general pract</w:t>
      </w:r>
      <w:r w:rsidR="00F96E44">
        <w:t>ice involvement a national roll-</w:t>
      </w:r>
      <w:r>
        <w:t xml:space="preserve">out of bowel screening: </w:t>
      </w:r>
    </w:p>
    <w:p w:rsidR="00775BEB" w:rsidRDefault="00FB25E9" w:rsidP="00FB25E9">
      <w:r>
        <w:rPr>
          <w:b/>
        </w:rPr>
        <w:t>The PHO role</w:t>
      </w:r>
      <w:r w:rsidRPr="00F96E44">
        <w:rPr>
          <w:b/>
        </w:rPr>
        <w:t>:</w:t>
      </w:r>
      <w:r>
        <w:t xml:space="preserve">  The need to use existing communication mechanisms within PHOs to roll out the programme.  </w:t>
      </w:r>
    </w:p>
    <w:p w:rsidR="00FB25E9" w:rsidRDefault="00FB25E9" w:rsidP="00FB25E9">
      <w:r>
        <w:rPr>
          <w:b/>
        </w:rPr>
        <w:t xml:space="preserve">Involvement in positive result notification: </w:t>
      </w:r>
      <w:r>
        <w:t xml:space="preserve">Informing patients of positive results engages general practice in bowel screening, and </w:t>
      </w:r>
      <w:r w:rsidR="0087509F">
        <w:t xml:space="preserve">is likely to enable </w:t>
      </w:r>
      <w:r>
        <w:t xml:space="preserve">other opportunistic and systematic general practice reminders to increase participation. </w:t>
      </w:r>
    </w:p>
    <w:p w:rsidR="00FB25E9" w:rsidRDefault="00FB25E9" w:rsidP="00FB25E9">
      <w:r>
        <w:rPr>
          <w:b/>
        </w:rPr>
        <w:t>System integration</w:t>
      </w:r>
      <w:r w:rsidRPr="00F96E44">
        <w:rPr>
          <w:b/>
        </w:rPr>
        <w:t>:</w:t>
      </w:r>
      <w:r>
        <w:t xml:space="preserve"> Reflecting the busy practice setting, a national bowel screening programme will, like the BSP pilot, need to focus on ensuring its systems integrate smoothly with general practices’ systems to enable opportunistic reminders, information about iFOBT results, referral to colonoscopy, histopathology results and surveillance.  Ideally the systems used will align with general practice</w:t>
      </w:r>
      <w:r w:rsidR="0087509F">
        <w:t>s</w:t>
      </w:r>
      <w:r w:rsidR="00543ED6">
        <w:t>’</w:t>
      </w:r>
      <w:r>
        <w:t xml:space="preserve"> existing audit processes to enable quality improvement processes. </w:t>
      </w:r>
    </w:p>
    <w:p w:rsidR="00FB25E9" w:rsidRDefault="00FB25E9" w:rsidP="00FB25E9">
      <w:r>
        <w:rPr>
          <w:b/>
        </w:rPr>
        <w:t xml:space="preserve">Opportunistic reminders and systematic follow-up:  </w:t>
      </w:r>
      <w:r>
        <w:t>The process to support participation needs to be led from an equity perspective in seeking to increase M</w:t>
      </w:r>
      <w:r>
        <w:rPr>
          <w:rFonts w:cs="Arial"/>
        </w:rPr>
        <w:t>ā</w:t>
      </w:r>
      <w:r>
        <w:t xml:space="preserve">ori and Pacific participation.  Tools such as Dashboard and DRINFO enable both opportunistic and systematised follow-up.  Reflecting use in the BSP, focus is needed on ensuring their widespread and consistent use, and </w:t>
      </w:r>
      <w:r w:rsidR="0087509F">
        <w:t xml:space="preserve">encouraging the use of </w:t>
      </w:r>
      <w:r>
        <w:t xml:space="preserve">phone or text reminder processes </w:t>
      </w:r>
      <w:r w:rsidR="0087509F">
        <w:t>rather than letter reminders</w:t>
      </w:r>
      <w:r>
        <w:t xml:space="preserve">. </w:t>
      </w:r>
    </w:p>
    <w:p w:rsidR="00FB25E9" w:rsidRPr="00024384" w:rsidRDefault="00FB25E9" w:rsidP="00FB25E9">
      <w:r>
        <w:rPr>
          <w:b/>
        </w:rPr>
        <w:t>Distributing iFOBT kits in practice:</w:t>
      </w:r>
      <w:r>
        <w:t xml:space="preserve"> </w:t>
      </w:r>
      <w:r w:rsidR="00174EA9">
        <w:t xml:space="preserve">From a screening perspective, there are </w:t>
      </w:r>
      <w:r w:rsidR="00F96E44">
        <w:t xml:space="preserve">quality control </w:t>
      </w:r>
      <w:r w:rsidR="00174EA9">
        <w:t>concerns about distributing iFOBT kits in general practice</w:t>
      </w:r>
      <w:r>
        <w:t>.  However, general practice are seeking further exploration of whether this can be operationalised to offer more immediacy and guidance on completion, especially for M</w:t>
      </w:r>
      <w:r>
        <w:rPr>
          <w:rFonts w:cs="Arial"/>
        </w:rPr>
        <w:t>ā</w:t>
      </w:r>
      <w:r>
        <w:t xml:space="preserve">ori, Pacific people and people living in areas of high deprivation. </w:t>
      </w:r>
    </w:p>
    <w:p w:rsidR="00FB25E9" w:rsidRPr="004B21BE" w:rsidRDefault="00FB25E9" w:rsidP="00FB25E9">
      <w:r>
        <w:rPr>
          <w:b/>
        </w:rPr>
        <w:t xml:space="preserve">Monitoring data:  </w:t>
      </w:r>
      <w:r w:rsidRPr="004B21BE">
        <w:t xml:space="preserve">Providing data on participation and positivity rates at a general practice level relative to other practices would </w:t>
      </w:r>
      <w:r>
        <w:t xml:space="preserve">assist with engagement and </w:t>
      </w:r>
      <w:r w:rsidRPr="004B21BE">
        <w:t xml:space="preserve">enable </w:t>
      </w:r>
      <w:r>
        <w:t xml:space="preserve">practices to determine responses to encourage participation that are relevant for their populations. </w:t>
      </w:r>
    </w:p>
    <w:p w:rsidR="00FB25E9" w:rsidRPr="00FB25E9" w:rsidRDefault="00FB25E9" w:rsidP="00FB25E9">
      <w:r>
        <w:rPr>
          <w:b/>
        </w:rPr>
        <w:t xml:space="preserve">Reimbursement: </w:t>
      </w:r>
      <w:r>
        <w:t xml:space="preserve">PHOs and general practice noted that reimbursing general practice for informing participants of a positive iFOBT test was important to maintain engagement and focus in </w:t>
      </w:r>
      <w:r w:rsidR="0087509F">
        <w:t xml:space="preserve">a </w:t>
      </w:r>
      <w:r>
        <w:t xml:space="preserve">busy practice setting.  Currently, a </w:t>
      </w:r>
      <w:r w:rsidR="00F96E44">
        <w:t>p</w:t>
      </w:r>
      <w:r>
        <w:t>ay-for-</w:t>
      </w:r>
      <w:r w:rsidR="00F96E44">
        <w:t>p</w:t>
      </w:r>
      <w:r>
        <w:t>erformance initiative is being explored with PHOs to reward practices when M</w:t>
      </w:r>
      <w:r>
        <w:rPr>
          <w:rFonts w:cs="Arial"/>
        </w:rPr>
        <w:t>ā</w:t>
      </w:r>
      <w:r>
        <w:t>ori, Pacific people and those living in areas of high deprivation complete their iFOBT kit.</w:t>
      </w:r>
    </w:p>
    <w:p w:rsidR="00C73B3F" w:rsidRDefault="00C73B3F" w:rsidP="00C73B3F"/>
    <w:p w:rsidR="00F2473C" w:rsidRDefault="00F2473C" w:rsidP="00C73B3F">
      <w:r>
        <w:br w:type="page"/>
      </w:r>
    </w:p>
    <w:p w:rsidR="00F2473C" w:rsidRDefault="008F76FB" w:rsidP="00F2473C">
      <w:pPr>
        <w:pStyle w:val="Heading1"/>
      </w:pPr>
      <w:bookmarkStart w:id="220" w:name="_Toc448760518"/>
      <w:bookmarkStart w:id="221" w:name="_Toc457842151"/>
      <w:r>
        <w:t>7</w:t>
      </w:r>
      <w:r w:rsidR="00F2473C">
        <w:t>.</w:t>
      </w:r>
      <w:r w:rsidR="00F2473C">
        <w:tab/>
        <w:t>Conclusion</w:t>
      </w:r>
      <w:bookmarkEnd w:id="220"/>
      <w:bookmarkEnd w:id="221"/>
      <w:r w:rsidR="00F2473C">
        <w:t xml:space="preserve"> </w:t>
      </w:r>
    </w:p>
    <w:p w:rsidR="00F2473C" w:rsidRPr="00F2473C" w:rsidRDefault="00F2473C" w:rsidP="00F2473C">
      <w:pPr>
        <w:pBdr>
          <w:top w:val="single" w:sz="4" w:space="1" w:color="auto"/>
          <w:left w:val="single" w:sz="4" w:space="4" w:color="auto"/>
          <w:bottom w:val="single" w:sz="4" w:space="1" w:color="auto"/>
          <w:right w:val="single" w:sz="4" w:space="4" w:color="auto"/>
        </w:pBdr>
        <w:rPr>
          <w:b/>
        </w:rPr>
      </w:pPr>
      <w:r w:rsidRPr="00F2473C">
        <w:rPr>
          <w:b/>
        </w:rPr>
        <w:t xml:space="preserve">This section addresses the overall </w:t>
      </w:r>
      <w:r w:rsidR="00F96E44">
        <w:rPr>
          <w:b/>
        </w:rPr>
        <w:t>p</w:t>
      </w:r>
      <w:r w:rsidRPr="00F2473C">
        <w:rPr>
          <w:b/>
        </w:rPr>
        <w:t>ilot and evaluation goal</w:t>
      </w:r>
    </w:p>
    <w:p w:rsidR="00F2473C" w:rsidRPr="00C95C03" w:rsidRDefault="00F2473C" w:rsidP="00F2473C">
      <w:pPr>
        <w:pBdr>
          <w:top w:val="single" w:sz="4" w:space="1" w:color="auto"/>
          <w:left w:val="single" w:sz="4" w:space="4" w:color="auto"/>
          <w:bottom w:val="single" w:sz="4" w:space="1" w:color="auto"/>
          <w:right w:val="single" w:sz="4" w:space="4" w:color="auto"/>
        </w:pBdr>
      </w:pPr>
      <w:r w:rsidRPr="00C95C03">
        <w:t xml:space="preserve">The overall goal and underlying objectives of the BSP and its evaluation are the same and have been defined by the </w:t>
      </w:r>
      <w:r>
        <w:rPr>
          <w:lang w:eastAsia="en-NZ"/>
        </w:rPr>
        <w:t>Ministry of Health</w:t>
      </w:r>
      <w:r w:rsidRPr="00C95C03">
        <w:t xml:space="preserve">. The </w:t>
      </w:r>
      <w:r w:rsidRPr="00C95C03">
        <w:rPr>
          <w:bCs/>
        </w:rPr>
        <w:t>overall</w:t>
      </w:r>
      <w:r w:rsidRPr="00C95C03">
        <w:t xml:space="preserve"> </w:t>
      </w:r>
      <w:r w:rsidRPr="00C95C03">
        <w:rPr>
          <w:bCs/>
        </w:rPr>
        <w:t>goal</w:t>
      </w:r>
      <w:r w:rsidRPr="00C95C03">
        <w:rPr>
          <w:b/>
          <w:bCs/>
        </w:rPr>
        <w:t xml:space="preserve"> </w:t>
      </w:r>
      <w:r w:rsidRPr="00C95C03">
        <w:t xml:space="preserve">of both is to determine: </w:t>
      </w:r>
    </w:p>
    <w:p w:rsidR="00F2473C" w:rsidRPr="00F2473C" w:rsidRDefault="00F2473C" w:rsidP="00F2473C">
      <w:pPr>
        <w:pBdr>
          <w:top w:val="single" w:sz="4" w:space="1" w:color="auto"/>
          <w:left w:val="single" w:sz="4" w:space="4" w:color="auto"/>
          <w:bottom w:val="single" w:sz="4" w:space="1" w:color="auto"/>
          <w:right w:val="single" w:sz="4" w:space="4" w:color="auto"/>
        </w:pBdr>
        <w:rPr>
          <w:b/>
          <w:bCs/>
          <w:i/>
        </w:rPr>
      </w:pPr>
      <w:r w:rsidRPr="00F2473C">
        <w:rPr>
          <w:i/>
        </w:rPr>
        <w:t>Whether organised bowel screening could be introduced in New Zealand in a way that is effective, safe and acceptable for participants; equitable and economically efficient.</w:t>
      </w:r>
    </w:p>
    <w:p w:rsidR="00B90DF7" w:rsidRDefault="00B90DF7" w:rsidP="00B90DF7">
      <w:pPr>
        <w:rPr>
          <w:lang w:eastAsia="ar-SA"/>
        </w:rPr>
      </w:pPr>
      <w:r>
        <w:t>The BSP has demonstrated that maintaining fidelity to and drawing on the learnings from the pilot</w:t>
      </w:r>
      <w:r w:rsidR="0087509F">
        <w:t>,</w:t>
      </w:r>
      <w:r>
        <w:t xml:space="preserve"> an organised quality bowel screening programme could be safely introduced into New Zealand.  </w:t>
      </w:r>
      <w:r w:rsidR="00C726EC">
        <w:t xml:space="preserve">The epidemiological study </w:t>
      </w:r>
      <w:r w:rsidR="00F96E44">
        <w:t>and cost-</w:t>
      </w:r>
      <w:r w:rsidR="00C726EC" w:rsidRPr="00D81989">
        <w:t>effectiveness analysis</w:t>
      </w:r>
      <w:r w:rsidR="00C726EC">
        <w:t xml:space="preserve"> have demonstrated that it is </w:t>
      </w:r>
      <w:r w:rsidR="00C726EC" w:rsidRPr="00D81989">
        <w:t>highly probable</w:t>
      </w:r>
      <w:r w:rsidR="00C726EC">
        <w:t xml:space="preserve"> that a </w:t>
      </w:r>
      <w:r w:rsidR="00C726EC" w:rsidRPr="00D81989">
        <w:t>well managed</w:t>
      </w:r>
      <w:r w:rsidR="00C726EC">
        <w:t xml:space="preserve"> </w:t>
      </w:r>
      <w:r w:rsidR="00B360F8">
        <w:t>bowel screening programme</w:t>
      </w:r>
      <w:r w:rsidR="00C726EC">
        <w:t xml:space="preserve"> will achieve a reduction </w:t>
      </w:r>
      <w:r w:rsidR="00A95C01">
        <w:t>in mortality from bowel cancer.</w:t>
      </w:r>
      <w:r w:rsidRPr="001820FA">
        <w:rPr>
          <w:rFonts w:cs="Arial"/>
          <w:color w:val="000000"/>
        </w:rPr>
        <w:t xml:space="preserve"> </w:t>
      </w:r>
      <w:r w:rsidR="008570F7">
        <w:rPr>
          <w:rFonts w:cs="Arial"/>
          <w:color w:val="000000"/>
        </w:rPr>
        <w:t xml:space="preserve"> </w:t>
      </w:r>
      <w:r>
        <w:rPr>
          <w:rFonts w:cs="Arial"/>
          <w:color w:val="000000"/>
        </w:rPr>
        <w:t>However, t</w:t>
      </w:r>
      <w:r w:rsidRPr="0064290E">
        <w:rPr>
          <w:rFonts w:cs="Arial"/>
        </w:rPr>
        <w:t>he magnitude of any reductio</w:t>
      </w:r>
      <w:r>
        <w:rPr>
          <w:rFonts w:cs="Arial"/>
        </w:rPr>
        <w:t xml:space="preserve">n </w:t>
      </w:r>
      <w:r w:rsidRPr="0064290E">
        <w:rPr>
          <w:rFonts w:cs="Arial"/>
        </w:rPr>
        <w:t>cannot be assessed in a five-year evaluation.</w:t>
      </w:r>
      <w:r>
        <w:rPr>
          <w:rFonts w:cs="Arial"/>
        </w:rPr>
        <w:t xml:space="preserve"> </w:t>
      </w:r>
    </w:p>
    <w:p w:rsidR="00B90DF7" w:rsidRDefault="00B90DF7" w:rsidP="00B90DF7">
      <w:r>
        <w:rPr>
          <w:lang w:eastAsia="ar-SA"/>
        </w:rPr>
        <w:t xml:space="preserve">Bowel screening is cost saving in absolute terms, while bringing health benefits.  This result is driven by the savings from avoided costs of treating cancer being large enough to outweigh the costs of screening.  This makes bowel screening an exceptionally cost effective health intervention, given that it both reduces health costs and produces benefits for the population. </w:t>
      </w:r>
      <w:r w:rsidR="008570F7">
        <w:rPr>
          <w:lang w:eastAsia="ar-SA"/>
        </w:rPr>
        <w:t xml:space="preserve"> </w:t>
      </w:r>
      <w:r>
        <w:t>B</w:t>
      </w:r>
      <w:r w:rsidR="00F96E44">
        <w:t>owel screening is a highly cost-</w:t>
      </w:r>
      <w:r>
        <w:t>effective intervention for M</w:t>
      </w:r>
      <w:r>
        <w:rPr>
          <w:rFonts w:cs="Arial"/>
        </w:rPr>
        <w:t>ā</w:t>
      </w:r>
      <w:r>
        <w:t>ori.</w:t>
      </w:r>
    </w:p>
    <w:p w:rsidR="005D3CA9" w:rsidRDefault="005D3CA9" w:rsidP="005D3CA9">
      <w:pPr>
        <w:rPr>
          <w:lang w:eastAsia="ar-SA"/>
        </w:rPr>
      </w:pPr>
      <w:r>
        <w:rPr>
          <w:lang w:eastAsia="ar-SA"/>
        </w:rPr>
        <w:t>The BSP has done its job of testing a bowel screening pathway design, identifying feasible roles, and risks to translate to a national bowel screening programme.  The findings from the BSP have enabled the calculations to estimate colonoscopy, pathology</w:t>
      </w:r>
      <w:r w:rsidR="00F96E44">
        <w:rPr>
          <w:lang w:eastAsia="ar-SA"/>
        </w:rPr>
        <w:t>, treatment workloads, and cost-</w:t>
      </w:r>
      <w:r w:rsidR="00890344">
        <w:rPr>
          <w:lang w:eastAsia="ar-SA"/>
        </w:rPr>
        <w:t xml:space="preserve">effectiveness parameters </w:t>
      </w:r>
      <w:r>
        <w:rPr>
          <w:lang w:eastAsia="ar-SA"/>
        </w:rPr>
        <w:t xml:space="preserve">to inform a national screening programme.  </w:t>
      </w:r>
      <w:r w:rsidR="008570F7">
        <w:rPr>
          <w:lang w:eastAsia="ar-SA"/>
        </w:rPr>
        <w:t>Stakeholders both regionally and nationally strongly support a national bowel screening programme.  Importantly</w:t>
      </w:r>
      <w:r w:rsidR="00F96E44">
        <w:rPr>
          <w:lang w:eastAsia="ar-SA"/>
        </w:rPr>
        <w:t>,</w:t>
      </w:r>
      <w:r w:rsidR="008570F7">
        <w:rPr>
          <w:lang w:eastAsia="ar-SA"/>
        </w:rPr>
        <w:t xml:space="preserve"> most eligible participants find the BSP acceptable.  </w:t>
      </w:r>
    </w:p>
    <w:p w:rsidR="005D3CA9" w:rsidRDefault="00B90DF7" w:rsidP="005D3CA9">
      <w:pPr>
        <w:rPr>
          <w:lang w:eastAsia="ar-SA"/>
        </w:rPr>
      </w:pPr>
      <w:r>
        <w:rPr>
          <w:lang w:eastAsia="ar-SA"/>
        </w:rPr>
        <w:t>In a national bowel screening programme</w:t>
      </w:r>
      <w:r w:rsidR="008570F7">
        <w:rPr>
          <w:lang w:eastAsia="ar-SA"/>
        </w:rPr>
        <w:t>, t</w:t>
      </w:r>
      <w:r w:rsidR="005D3CA9">
        <w:rPr>
          <w:lang w:eastAsia="ar-SA"/>
        </w:rPr>
        <w:t xml:space="preserve">he National Screening Unit will have a key role to ensure appropriate governance and management structures, a population health focus, and ongoing monitoring of quality indicators across New Zealand.  The bowel screening programme will also need to be linked to the Bowel Cancer Working Group to continue the ongoing strengthening of bowel cancer pathways in New Zealand.  Clinical leadership and operational management will be critical in building on and sustaining a quality programme and to work with a multi-disciplinary team to maintain fidelity to the bowel screening pathway design across regions, and to collectively resolve any issues arising. </w:t>
      </w:r>
    </w:p>
    <w:p w:rsidR="005D3CA9" w:rsidRDefault="005D3CA9" w:rsidP="005D3CA9">
      <w:pPr>
        <w:rPr>
          <w:lang w:eastAsia="ar-SA"/>
        </w:rPr>
      </w:pPr>
      <w:r>
        <w:rPr>
          <w:lang w:eastAsia="ar-SA"/>
        </w:rPr>
        <w:t xml:space="preserve">Learnings from the BSP need to be carried forward into </w:t>
      </w:r>
      <w:r w:rsidR="00E4695E">
        <w:rPr>
          <w:lang w:eastAsia="ar-SA"/>
        </w:rPr>
        <w:t>a</w:t>
      </w:r>
      <w:r w:rsidR="00F96E44">
        <w:rPr>
          <w:lang w:eastAsia="ar-SA"/>
        </w:rPr>
        <w:t xml:space="preserve"> national roll-</w:t>
      </w:r>
      <w:r>
        <w:rPr>
          <w:lang w:eastAsia="ar-SA"/>
        </w:rPr>
        <w:t xml:space="preserve">out.  </w:t>
      </w:r>
      <w:r w:rsidR="008570F7">
        <w:rPr>
          <w:lang w:eastAsia="ar-SA"/>
        </w:rPr>
        <w:t>A</w:t>
      </w:r>
      <w:r>
        <w:rPr>
          <w:lang w:eastAsia="ar-SA"/>
        </w:rPr>
        <w:t xml:space="preserve"> national roll</w:t>
      </w:r>
      <w:r w:rsidR="00F96E44">
        <w:rPr>
          <w:lang w:eastAsia="ar-SA"/>
        </w:rPr>
        <w:t>-</w:t>
      </w:r>
      <w:r>
        <w:rPr>
          <w:lang w:eastAsia="ar-SA"/>
        </w:rPr>
        <w:t xml:space="preserve">out </w:t>
      </w:r>
      <w:r w:rsidR="008570F7">
        <w:rPr>
          <w:lang w:eastAsia="ar-SA"/>
        </w:rPr>
        <w:t>must</w:t>
      </w:r>
      <w:r>
        <w:rPr>
          <w:lang w:eastAsia="ar-SA"/>
        </w:rPr>
        <w:t xml:space="preserve"> lead with an equity focus to ensure equitable participation by M</w:t>
      </w:r>
      <w:r>
        <w:rPr>
          <w:rFonts w:cs="Arial"/>
          <w:lang w:eastAsia="ar-SA"/>
        </w:rPr>
        <w:t>ā</w:t>
      </w:r>
      <w:r>
        <w:rPr>
          <w:lang w:eastAsia="ar-SA"/>
        </w:rPr>
        <w:t xml:space="preserve">ori, Pacific and people living in areas of high deprivation.  </w:t>
      </w:r>
      <w:r w:rsidR="008570F7">
        <w:rPr>
          <w:lang w:eastAsia="ar-SA"/>
        </w:rPr>
        <w:t xml:space="preserve">Equitable participation for other groups such as younger people and males require further consideration.  </w:t>
      </w:r>
      <w:r>
        <w:rPr>
          <w:lang w:eastAsia="ar-SA"/>
        </w:rPr>
        <w:t>Equity across the bowel cancer pathway for s</w:t>
      </w:r>
      <w:r>
        <w:t>ymptomatic and non-symptomatic people will also need to be monitored and maintained</w:t>
      </w:r>
      <w:r>
        <w:rPr>
          <w:lang w:eastAsia="ar-SA"/>
        </w:rPr>
        <w:t>.  A continuous quality improvement model in a national roll</w:t>
      </w:r>
      <w:r w:rsidR="00F96E44">
        <w:rPr>
          <w:lang w:eastAsia="ar-SA"/>
        </w:rPr>
        <w:t>-</w:t>
      </w:r>
      <w:r>
        <w:rPr>
          <w:lang w:eastAsia="ar-SA"/>
        </w:rPr>
        <w:t xml:space="preserve">out will help to address new emerging issues not encountered in the BSP (e.g. for people living in rural and remote locations). </w:t>
      </w:r>
    </w:p>
    <w:p w:rsidR="005D3CA9" w:rsidRDefault="005D3CA9" w:rsidP="005D3CA9">
      <w:r>
        <w:rPr>
          <w:lang w:eastAsia="ar-SA"/>
        </w:rPr>
        <w:t xml:space="preserve">At a population level, the BSP has achieved a participation </w:t>
      </w:r>
      <w:r w:rsidRPr="009826F2">
        <w:t xml:space="preserve">rate </w:t>
      </w:r>
      <w:r>
        <w:t xml:space="preserve">that </w:t>
      </w:r>
      <w:r w:rsidRPr="009826F2">
        <w:t xml:space="preserve">is higher than </w:t>
      </w:r>
      <w:r w:rsidR="00F96E44">
        <w:t>that</w:t>
      </w:r>
      <w:r w:rsidRPr="009826F2">
        <w:t xml:space="preserve"> considered internationally to be</w:t>
      </w:r>
      <w:r>
        <w:t xml:space="preserve"> the minimum participation rate</w:t>
      </w:r>
      <w:r w:rsidR="008570F7">
        <w:t xml:space="preserve"> (in most</w:t>
      </w:r>
      <w:r w:rsidR="00F96E44">
        <w:t>,</w:t>
      </w:r>
      <w:r w:rsidR="008570F7">
        <w:t xml:space="preserve"> but not all groups)</w:t>
      </w:r>
      <w:r>
        <w:t xml:space="preserve">.  </w:t>
      </w:r>
      <w:r w:rsidR="000C25E9">
        <w:t>M</w:t>
      </w:r>
      <w:r>
        <w:rPr>
          <w:lang w:eastAsia="ar-SA"/>
        </w:rPr>
        <w:t>aintaining</w:t>
      </w:r>
      <w:r>
        <w:t xml:space="preserve"> this partic</w:t>
      </w:r>
      <w:r w:rsidR="00F96E44">
        <w:t>ipation rate in a national roll-</w:t>
      </w:r>
      <w:r>
        <w:t>out</w:t>
      </w:r>
      <w:r w:rsidR="000C25E9">
        <w:t xml:space="preserve"> will be challenging</w:t>
      </w:r>
      <w:r>
        <w:t>, particularly for people ag</w:t>
      </w:r>
      <w:r w:rsidR="00F96E44">
        <w:t>e</w:t>
      </w:r>
      <w:r>
        <w:t>ing into the programme.  The latter is key to susta</w:t>
      </w:r>
      <w:r w:rsidR="000C25E9">
        <w:t>ining the programme in the long</w:t>
      </w:r>
      <w:r w:rsidR="00F96E44">
        <w:t xml:space="preserve"> </w:t>
      </w:r>
      <w:r>
        <w:t xml:space="preserve">term. </w:t>
      </w:r>
    </w:p>
    <w:p w:rsidR="005D3CA9" w:rsidRDefault="005D3CA9" w:rsidP="005D3CA9">
      <w:pPr>
        <w:rPr>
          <w:lang w:eastAsia="ar-SA"/>
        </w:rPr>
      </w:pPr>
      <w:r>
        <w:t>The Register is both the operational driver of the bowel screening programme and its monitoring and reporting tool.  Whether the current Register, with its</w:t>
      </w:r>
      <w:r w:rsidR="00F96E44">
        <w:t xml:space="preserve"> manual work-</w:t>
      </w:r>
      <w:r>
        <w:t xml:space="preserve">arounds and </w:t>
      </w:r>
      <w:r w:rsidR="00835A8B">
        <w:t xml:space="preserve">support from </w:t>
      </w:r>
      <w:r>
        <w:t xml:space="preserve">separate </w:t>
      </w:r>
      <w:r w:rsidR="00835A8B">
        <w:t>databases</w:t>
      </w:r>
      <w:r>
        <w:t xml:space="preserve">, can undertake the day-to-day operation of a national programme has not been determined.  </w:t>
      </w:r>
      <w:r>
        <w:rPr>
          <w:lang w:eastAsia="ar-SA"/>
        </w:rPr>
        <w:t xml:space="preserve">For the Register to operationally manage a national bowel screening programme, at least in the interim, a number of enhancements and greater integration with other systems are needed.  </w:t>
      </w:r>
    </w:p>
    <w:p w:rsidR="005D3CA9" w:rsidRDefault="005D3CA9" w:rsidP="005D3CA9">
      <w:pPr>
        <w:rPr>
          <w:lang w:eastAsia="ar-SA"/>
        </w:rPr>
      </w:pPr>
      <w:r>
        <w:t>The BSP’s interim quality standards need to be reviewed an</w:t>
      </w:r>
      <w:r w:rsidR="00F96E44">
        <w:t>d finalised for a national roll-</w:t>
      </w:r>
      <w:r>
        <w:t xml:space="preserve">out.  </w:t>
      </w:r>
      <w:r>
        <w:rPr>
          <w:lang w:eastAsia="ar-SA"/>
        </w:rPr>
        <w:t xml:space="preserve">Importantly, those with responsibility for a national programme need to understand their importance in monitoring the screening programme and the actions needed, if they are not achieved.  </w:t>
      </w:r>
      <w:r>
        <w:t xml:space="preserve">With regard to quality, resolution is needed on where a national endoscopy governance group sits in the sector and who funds it, and the ongoing role of the GRS.  </w:t>
      </w:r>
    </w:p>
    <w:p w:rsidR="005D3CA9" w:rsidRDefault="005D3CA9" w:rsidP="005D3CA9">
      <w:r>
        <w:t>The challenges of workforce capacity for endoscopists, endoscopy nurses and pathologists are</w:t>
      </w:r>
      <w:r w:rsidR="00F96E44">
        <w:t xml:space="preserve"> well known for a national roll-</w:t>
      </w:r>
      <w:r>
        <w:t>out, as well as the pressure</w:t>
      </w:r>
      <w:r w:rsidRPr="001E11B2">
        <w:t xml:space="preserve"> </w:t>
      </w:r>
      <w:r>
        <w:t xml:space="preserve">surveillance colonoscopies will place on symptomatic services.  </w:t>
      </w:r>
      <w:r w:rsidR="004317A1">
        <w:t xml:space="preserve">Adherence to </w:t>
      </w:r>
      <w:r w:rsidR="004317A1" w:rsidRPr="00B360F8">
        <w:t xml:space="preserve">surveillance colonoscopy guidelines is </w:t>
      </w:r>
      <w:r w:rsidR="00B55914" w:rsidRPr="00B360F8">
        <w:t>critical to</w:t>
      </w:r>
      <w:r w:rsidR="004317A1" w:rsidRPr="00B360F8">
        <w:t xml:space="preserve"> prevent bowel cancer and unnecessary workload.  Workforce requirements </w:t>
      </w:r>
      <w:r>
        <w:t>will require active monitoring and management</w:t>
      </w:r>
      <w:r w:rsidR="008B66EC">
        <w:t xml:space="preserve"> particularly in screening </w:t>
      </w:r>
      <w:r w:rsidR="003E7AA9">
        <w:t>Round 1</w:t>
      </w:r>
      <w:r w:rsidR="00543ED6">
        <w:t xml:space="preserve"> of a national programme</w:t>
      </w:r>
      <w:r>
        <w:t xml:space="preserve">.  </w:t>
      </w:r>
    </w:p>
    <w:p w:rsidR="00F2473C" w:rsidRDefault="004317A1" w:rsidP="00F2473C">
      <w:r>
        <w:t>A</w:t>
      </w:r>
      <w:r w:rsidR="008C283B">
        <w:t xml:space="preserve">reas for further study include: </w:t>
      </w:r>
    </w:p>
    <w:p w:rsidR="008C283B" w:rsidRDefault="008C283B" w:rsidP="006179C7">
      <w:pPr>
        <w:pStyle w:val="Bullet"/>
        <w:numPr>
          <w:ilvl w:val="0"/>
          <w:numId w:val="20"/>
        </w:numPr>
        <w:tabs>
          <w:tab w:val="num" w:pos="2126"/>
          <w:tab w:val="num" w:pos="6663"/>
        </w:tabs>
        <w:ind w:left="1069"/>
        <w:rPr>
          <w:rFonts w:cs="Arial"/>
          <w:lang w:val="en-US" w:eastAsia="ja-JP"/>
        </w:rPr>
      </w:pPr>
      <w:r>
        <w:t xml:space="preserve">Ongoing </w:t>
      </w:r>
      <w:r w:rsidRPr="008C283B">
        <w:t>monitor</w:t>
      </w:r>
      <w:r>
        <w:t>ing of</w:t>
      </w:r>
      <w:r>
        <w:rPr>
          <w:rFonts w:cs="Arial"/>
          <w:lang w:val="en-US" w:eastAsia="ja-JP"/>
        </w:rPr>
        <w:t xml:space="preserve"> uptake (particularly in the low uptake groups), positivity</w:t>
      </w:r>
      <w:r w:rsidRPr="0042549B">
        <w:rPr>
          <w:rFonts w:cs="Arial"/>
          <w:lang w:val="en-US" w:eastAsia="ja-JP"/>
        </w:rPr>
        <w:t>, PPVs</w:t>
      </w:r>
      <w:r>
        <w:rPr>
          <w:rFonts w:cs="Arial"/>
          <w:lang w:val="en-US" w:eastAsia="ja-JP"/>
        </w:rPr>
        <w:t xml:space="preserve"> and detection rates, and adverse events.</w:t>
      </w:r>
      <w:r w:rsidRPr="008C283B">
        <w:rPr>
          <w:rFonts w:cs="Arial"/>
          <w:lang w:val="en-US" w:eastAsia="ja-JP"/>
        </w:rPr>
        <w:t xml:space="preserve"> </w:t>
      </w:r>
    </w:p>
    <w:p w:rsidR="008523A8" w:rsidRDefault="008523A8" w:rsidP="008523A8">
      <w:pPr>
        <w:pStyle w:val="Bullet"/>
        <w:numPr>
          <w:ilvl w:val="0"/>
          <w:numId w:val="20"/>
        </w:numPr>
        <w:tabs>
          <w:tab w:val="num" w:pos="2126"/>
          <w:tab w:val="num" w:pos="6663"/>
        </w:tabs>
        <w:ind w:left="1069"/>
      </w:pPr>
      <w:r w:rsidRPr="008523A8">
        <w:t>Exploring reasons for lower participation in Round 2, particularly among those newly invited to participate, if this trend persists once participation data for months 37</w:t>
      </w:r>
      <w:r w:rsidR="00F96E44">
        <w:t>–</w:t>
      </w:r>
      <w:r w:rsidRPr="008523A8">
        <w:t>48 are included.</w:t>
      </w:r>
    </w:p>
    <w:p w:rsidR="008C283B" w:rsidRDefault="00000B51" w:rsidP="006179C7">
      <w:pPr>
        <w:pStyle w:val="Bullet"/>
        <w:numPr>
          <w:ilvl w:val="0"/>
          <w:numId w:val="20"/>
        </w:numPr>
        <w:tabs>
          <w:tab w:val="num" w:pos="2126"/>
          <w:tab w:val="num" w:pos="6663"/>
        </w:tabs>
        <w:ind w:left="1069"/>
      </w:pPr>
      <w:r>
        <w:t>Estimating</w:t>
      </w:r>
      <w:r w:rsidR="008C283B">
        <w:t xml:space="preserve"> </w:t>
      </w:r>
      <w:r w:rsidR="008C283B">
        <w:rPr>
          <w:rFonts w:cs="Arial"/>
          <w:lang w:val="en-US" w:eastAsia="ja-JP"/>
        </w:rPr>
        <w:t xml:space="preserve">sensitivity </w:t>
      </w:r>
      <w:r w:rsidRPr="00182E53">
        <w:t>and specificity</w:t>
      </w:r>
      <w:r>
        <w:t xml:space="preserve"> </w:t>
      </w:r>
      <w:r w:rsidR="008C283B">
        <w:rPr>
          <w:rFonts w:cs="Arial"/>
          <w:lang w:val="en-US" w:eastAsia="ja-JP"/>
        </w:rPr>
        <w:t>after at least six months has passed since the end of Round 2 invitations.</w:t>
      </w:r>
    </w:p>
    <w:p w:rsidR="0050734D" w:rsidRDefault="00273175" w:rsidP="00CD4705">
      <w:pPr>
        <w:pStyle w:val="Bullet"/>
        <w:numPr>
          <w:ilvl w:val="0"/>
          <w:numId w:val="20"/>
        </w:numPr>
        <w:tabs>
          <w:tab w:val="num" w:pos="2126"/>
          <w:tab w:val="num" w:pos="6663"/>
        </w:tabs>
        <w:ind w:left="1069"/>
      </w:pPr>
      <w:r>
        <w:t xml:space="preserve">Considering the balance between </w:t>
      </w:r>
      <w:r w:rsidRPr="00182E53">
        <w:t>sensitivity and specificity</w:t>
      </w:r>
      <w:r>
        <w:t xml:space="preserve"> of the iFOBT, g</w:t>
      </w:r>
      <w:r w:rsidR="00CD4705" w:rsidRPr="00182E53">
        <w:t xml:space="preserve">iven the low PPV for cancer </w:t>
      </w:r>
      <w:r w:rsidR="00CD4705">
        <w:t xml:space="preserve">and </w:t>
      </w:r>
      <w:r w:rsidR="00CD4705" w:rsidRPr="00182E53">
        <w:t xml:space="preserve">higher PPV for adenoma </w:t>
      </w:r>
      <w:r w:rsidR="00CD4705">
        <w:t xml:space="preserve">in New Zealand </w:t>
      </w:r>
      <w:r w:rsidR="00CD4705" w:rsidRPr="00182E53">
        <w:t xml:space="preserve">(compared to </w:t>
      </w:r>
      <w:r w:rsidR="00B360F8">
        <w:t>international</w:t>
      </w:r>
      <w:r w:rsidR="00CD4705" w:rsidRPr="00182E53">
        <w:t xml:space="preserve"> standards</w:t>
      </w:r>
      <w:r w:rsidR="00A95C01">
        <w:t>).</w:t>
      </w:r>
    </w:p>
    <w:p w:rsidR="00F0707A" w:rsidRDefault="00F0707A" w:rsidP="00F0707A">
      <w:pPr>
        <w:pStyle w:val="Bullet"/>
        <w:numPr>
          <w:ilvl w:val="0"/>
          <w:numId w:val="20"/>
        </w:numPr>
        <w:tabs>
          <w:tab w:val="num" w:pos="2126"/>
          <w:tab w:val="num" w:pos="6663"/>
        </w:tabs>
        <w:ind w:left="1069"/>
      </w:pPr>
      <w:r w:rsidRPr="00F0707A">
        <w:t>Assessing the staging distribution of bowel cancer diagnosed in incidence screening to evaluate the impact of bowel screening</w:t>
      </w:r>
      <w:r w:rsidR="00A013F2">
        <w:t>,</w:t>
      </w:r>
      <w:r w:rsidRPr="00F0707A">
        <w:t xml:space="preserve"> followed by assessing the impact </w:t>
      </w:r>
      <w:r w:rsidR="00A013F2">
        <w:t>on bowel cancer-</w:t>
      </w:r>
      <w:r w:rsidRPr="00F0707A">
        <w:t>specific mortality once sufficient time has passed (e</w:t>
      </w:r>
      <w:r w:rsidR="00156BE7">
        <w:t>.</w:t>
      </w:r>
      <w:r w:rsidRPr="00F0707A">
        <w:t>g</w:t>
      </w:r>
      <w:r w:rsidR="00156BE7">
        <w:t>.</w:t>
      </w:r>
      <w:r w:rsidRPr="00F0707A">
        <w:t xml:space="preserve"> 10 years).</w:t>
      </w:r>
    </w:p>
    <w:p w:rsidR="00FF7289" w:rsidRPr="00E4695E" w:rsidRDefault="00E4695E" w:rsidP="006179C7">
      <w:pPr>
        <w:pStyle w:val="Bullet"/>
        <w:numPr>
          <w:ilvl w:val="0"/>
          <w:numId w:val="20"/>
        </w:numPr>
        <w:tabs>
          <w:tab w:val="num" w:pos="2126"/>
          <w:tab w:val="num" w:pos="6663"/>
        </w:tabs>
        <w:ind w:left="1069"/>
      </w:pPr>
      <w:r w:rsidRPr="00E4695E">
        <w:t>Exploring to deliver</w:t>
      </w:r>
      <w:r w:rsidR="00900F98" w:rsidRPr="00E4695E">
        <w:t xml:space="preserve"> t</w:t>
      </w:r>
      <w:r w:rsidR="00D62C0E" w:rsidRPr="00E4695E">
        <w:t>h</w:t>
      </w:r>
      <w:r w:rsidR="00900F98" w:rsidRPr="00E4695E">
        <w:t>e programme with maximum efficiency, including managing the costs of histology and colonoscopy.</w:t>
      </w:r>
    </w:p>
    <w:p w:rsidR="00900F98" w:rsidRPr="00E4695E" w:rsidRDefault="00900F98" w:rsidP="006179C7">
      <w:pPr>
        <w:pStyle w:val="Bullet"/>
        <w:numPr>
          <w:ilvl w:val="0"/>
          <w:numId w:val="20"/>
        </w:numPr>
        <w:tabs>
          <w:tab w:val="num" w:pos="2126"/>
          <w:tab w:val="num" w:pos="6663"/>
        </w:tabs>
        <w:ind w:left="1069"/>
      </w:pPr>
      <w:r w:rsidRPr="00E4695E">
        <w:t xml:space="preserve">Assessing </w:t>
      </w:r>
      <w:r w:rsidR="00D62C0E" w:rsidRPr="00E4695E">
        <w:t xml:space="preserve">the </w:t>
      </w:r>
      <w:r w:rsidRPr="00E4695E">
        <w:t xml:space="preserve">changing impacts on cost effectiveness as the cost of treating bowel cancer changes in the future, </w:t>
      </w:r>
      <w:r w:rsidR="00D62C0E" w:rsidRPr="00E4695E">
        <w:t>and the incidence of bowel cancer declines</w:t>
      </w:r>
      <w:r w:rsidRPr="00E4695E">
        <w:t xml:space="preserve">. </w:t>
      </w:r>
    </w:p>
    <w:p w:rsidR="008C283B" w:rsidRDefault="008C283B" w:rsidP="006179C7">
      <w:pPr>
        <w:pStyle w:val="Bullet"/>
        <w:numPr>
          <w:ilvl w:val="0"/>
          <w:numId w:val="20"/>
        </w:numPr>
        <w:tabs>
          <w:tab w:val="num" w:pos="2126"/>
          <w:tab w:val="num" w:pos="6663"/>
        </w:tabs>
        <w:ind w:left="1069"/>
      </w:pPr>
      <w:r>
        <w:t>Understanding the enablers and barriers for high deprivation population</w:t>
      </w:r>
      <w:r w:rsidR="00000B51">
        <w:t>s</w:t>
      </w:r>
      <w:r>
        <w:t xml:space="preserve"> to take part in a bowel screening programme.  </w:t>
      </w:r>
    </w:p>
    <w:p w:rsidR="006C314B" w:rsidRDefault="006C314B" w:rsidP="006179C7">
      <w:pPr>
        <w:pStyle w:val="Bullet"/>
        <w:numPr>
          <w:ilvl w:val="0"/>
          <w:numId w:val="20"/>
        </w:numPr>
        <w:tabs>
          <w:tab w:val="num" w:pos="2126"/>
          <w:tab w:val="num" w:pos="6663"/>
        </w:tabs>
        <w:ind w:left="1069"/>
      </w:pPr>
      <w:r>
        <w:t>Gaining a deeper understanding the barriers for M</w:t>
      </w:r>
      <w:r>
        <w:rPr>
          <w:rFonts w:cs="Arial"/>
        </w:rPr>
        <w:t>ā</w:t>
      </w:r>
      <w:r>
        <w:t>ori and Pacific people to take part in a bowel screening programme</w:t>
      </w:r>
    </w:p>
    <w:p w:rsidR="008C283B" w:rsidRDefault="008C283B" w:rsidP="006179C7">
      <w:pPr>
        <w:pStyle w:val="Bullet"/>
        <w:numPr>
          <w:ilvl w:val="0"/>
          <w:numId w:val="20"/>
        </w:numPr>
        <w:tabs>
          <w:tab w:val="num" w:pos="2126"/>
          <w:tab w:val="num" w:pos="6663"/>
        </w:tabs>
        <w:ind w:left="1069"/>
      </w:pPr>
      <w:r>
        <w:t xml:space="preserve">Identifying strategies to increase participation by </w:t>
      </w:r>
      <w:r>
        <w:rPr>
          <w:rFonts w:cs="Arial"/>
          <w:lang w:val="en-US" w:eastAsia="ja-JP"/>
        </w:rPr>
        <w:t xml:space="preserve">younger age groups and males. </w:t>
      </w:r>
    </w:p>
    <w:p w:rsidR="008C283B" w:rsidRDefault="008C283B" w:rsidP="006179C7">
      <w:pPr>
        <w:pStyle w:val="Bullet"/>
        <w:numPr>
          <w:ilvl w:val="0"/>
          <w:numId w:val="20"/>
        </w:numPr>
        <w:tabs>
          <w:tab w:val="num" w:pos="2126"/>
          <w:tab w:val="num" w:pos="6663"/>
        </w:tabs>
        <w:ind w:left="1069"/>
      </w:pPr>
      <w:r>
        <w:t xml:space="preserve">An independent review of the adherence of the BSP to the interim quality standards and their finalisation. </w:t>
      </w:r>
    </w:p>
    <w:p w:rsidR="000C25E9" w:rsidRDefault="008C283B" w:rsidP="006179C7">
      <w:pPr>
        <w:pStyle w:val="Bullet"/>
        <w:numPr>
          <w:ilvl w:val="0"/>
          <w:numId w:val="20"/>
        </w:numPr>
        <w:tabs>
          <w:tab w:val="num" w:pos="2126"/>
          <w:tab w:val="num" w:pos="6663"/>
        </w:tabs>
        <w:ind w:left="1069"/>
      </w:pPr>
      <w:r>
        <w:t xml:space="preserve">A functional review of the </w:t>
      </w:r>
      <w:r w:rsidR="00404D58">
        <w:t xml:space="preserve">operation of the </w:t>
      </w:r>
      <w:r>
        <w:t>Register</w:t>
      </w:r>
      <w:r w:rsidR="00B360F8">
        <w:t>,</w:t>
      </w:r>
      <w:r w:rsidR="00863F42">
        <w:t xml:space="preserve"> if used</w:t>
      </w:r>
      <w:r w:rsidR="00404D58">
        <w:t xml:space="preserve"> to support a national bowel screening programme. </w:t>
      </w:r>
    </w:p>
    <w:p w:rsidR="00FF7289" w:rsidRDefault="00C21696" w:rsidP="006179C7">
      <w:pPr>
        <w:pStyle w:val="Bullet"/>
        <w:numPr>
          <w:ilvl w:val="0"/>
          <w:numId w:val="20"/>
        </w:numPr>
        <w:tabs>
          <w:tab w:val="num" w:pos="2126"/>
          <w:tab w:val="num" w:pos="6663"/>
        </w:tabs>
        <w:ind w:left="1069"/>
      </w:pPr>
      <w:r>
        <w:t>T</w:t>
      </w:r>
      <w:r w:rsidR="00FF7289" w:rsidRPr="00FF7289">
        <w:t>he need to review surveillance monitoring guidelines to see if people with low-risk adenomas could be safely returned to screening at two years</w:t>
      </w:r>
      <w:r w:rsidR="00FF7289">
        <w:t xml:space="preserve">. </w:t>
      </w:r>
    </w:p>
    <w:p w:rsidR="00DA4C96" w:rsidRDefault="00DA4C96" w:rsidP="006179C7">
      <w:pPr>
        <w:pStyle w:val="Bullet"/>
        <w:numPr>
          <w:ilvl w:val="0"/>
          <w:numId w:val="20"/>
        </w:numPr>
        <w:tabs>
          <w:tab w:val="num" w:pos="2126"/>
          <w:tab w:val="num" w:pos="6663"/>
        </w:tabs>
        <w:ind w:left="1069"/>
      </w:pPr>
      <w:r>
        <w:t xml:space="preserve">A comparison of how uptake in the BSP compares with the early implementation of breast and cervical screening to explore the expected growth trajectory.  </w:t>
      </w:r>
    </w:p>
    <w:p w:rsidR="00C21696" w:rsidRDefault="00C21696" w:rsidP="00C21696">
      <w:r>
        <w:t>Consideration</w:t>
      </w:r>
      <w:r w:rsidR="00E4695E">
        <w:t xml:space="preserve"> is </w:t>
      </w:r>
      <w:r w:rsidR="00A013F2">
        <w:t xml:space="preserve">also </w:t>
      </w:r>
      <w:r w:rsidR="00E4695E">
        <w:t>needed on</w:t>
      </w:r>
      <w:r>
        <w:t xml:space="preserve"> the implications of the research</w:t>
      </w:r>
      <w:r w:rsidR="00E4695E">
        <w:t xml:space="preserve"> findings on the use of non-postal drop-</w:t>
      </w:r>
      <w:r>
        <w:t xml:space="preserve">off </w:t>
      </w:r>
      <w:r w:rsidR="00E4695E">
        <w:t xml:space="preserve">to increase </w:t>
      </w:r>
      <w:r>
        <w:t xml:space="preserve">participation. </w:t>
      </w:r>
    </w:p>
    <w:p w:rsidR="00815767" w:rsidRDefault="00815767">
      <w:pPr>
        <w:spacing w:before="0"/>
        <w:ind w:left="0"/>
        <w:rPr>
          <w:b/>
          <w:sz w:val="36"/>
          <w:szCs w:val="36"/>
        </w:rPr>
      </w:pPr>
      <w:bookmarkStart w:id="222" w:name="_Toc380499281"/>
      <w:bookmarkStart w:id="223" w:name="_Toc390872224"/>
      <w:bookmarkStart w:id="224" w:name="_Toc412540044"/>
      <w:r>
        <w:br w:type="page"/>
      </w:r>
    </w:p>
    <w:p w:rsidR="00F2473C" w:rsidRPr="00C95C03" w:rsidRDefault="00F2473C" w:rsidP="00F2473C">
      <w:pPr>
        <w:pStyle w:val="Heading1"/>
        <w:rPr>
          <w:lang w:eastAsia="en-US"/>
        </w:rPr>
      </w:pPr>
      <w:bookmarkStart w:id="225" w:name="_Toc457842152"/>
      <w:r>
        <w:t>9</w:t>
      </w:r>
      <w:r w:rsidRPr="00D27BBD">
        <w:t>.</w:t>
      </w:r>
      <w:r w:rsidRPr="00D27BBD">
        <w:tab/>
        <w:t>References</w:t>
      </w:r>
      <w:bookmarkEnd w:id="222"/>
      <w:bookmarkEnd w:id="223"/>
      <w:bookmarkEnd w:id="224"/>
      <w:bookmarkEnd w:id="225"/>
    </w:p>
    <w:p w:rsidR="0092458F" w:rsidRPr="00903247" w:rsidRDefault="0092458F" w:rsidP="0092458F">
      <w:pPr>
        <w:ind w:left="425"/>
      </w:pPr>
      <w:r w:rsidRPr="00903247">
        <w:t xml:space="preserve">American Association for Public Opinion Research (AAPOR). 2011. </w:t>
      </w:r>
      <w:r w:rsidRPr="00903247">
        <w:rPr>
          <w:i/>
          <w:iCs/>
        </w:rPr>
        <w:t>Standard Definitions: Final Dispositions of Case Codes and Outcome Rates for Surveys. 7th edition.</w:t>
      </w:r>
      <w:r w:rsidRPr="00903247">
        <w:t xml:space="preserve"> Deerfield, Illinois, United States of America: AAPOR.</w:t>
      </w:r>
    </w:p>
    <w:p w:rsidR="00F80C86" w:rsidRPr="00AB5245" w:rsidRDefault="00F80C86" w:rsidP="00F80C86">
      <w:pPr>
        <w:spacing w:after="120"/>
        <w:ind w:left="425"/>
        <w:rPr>
          <w:rFonts w:cs="Arial"/>
        </w:rPr>
      </w:pPr>
      <w:r w:rsidRPr="00AB5245">
        <w:rPr>
          <w:rFonts w:cs="Arial"/>
        </w:rPr>
        <w:t xml:space="preserve">Alexander F, Weller D. 2003. </w:t>
      </w:r>
      <w:r w:rsidRPr="00AB5245">
        <w:rPr>
          <w:rFonts w:cs="Arial"/>
          <w:i/>
        </w:rPr>
        <w:t xml:space="preserve">Evaluation of the UK Colorectal Cancer Screening Pilot. Final report. </w:t>
      </w:r>
      <w:r w:rsidRPr="00AB5245">
        <w:rPr>
          <w:rFonts w:cs="Arial"/>
        </w:rPr>
        <w:t xml:space="preserve">London: Department of Health. URL: </w:t>
      </w:r>
      <w:hyperlink r:id="rId39" w:history="1">
        <w:r w:rsidRPr="00AB5245">
          <w:rPr>
            <w:rStyle w:val="Hyperlink"/>
            <w:rFonts w:cs="Arial"/>
          </w:rPr>
          <w:t>http://legacy.screening.nhs.uk/</w:t>
        </w:r>
      </w:hyperlink>
      <w:r w:rsidRPr="00AB5245">
        <w:rPr>
          <w:rStyle w:val="Hyperlink"/>
          <w:rFonts w:cs="Arial"/>
        </w:rPr>
        <w:t>policydb_download.php?doc=384</w:t>
      </w:r>
      <w:r w:rsidRPr="00AB5245">
        <w:rPr>
          <w:rFonts w:cs="Arial"/>
        </w:rPr>
        <w:t xml:space="preserve"> (Accessed 14 January 2016).</w:t>
      </w:r>
    </w:p>
    <w:p w:rsidR="00F80C86" w:rsidRPr="008B66EC" w:rsidRDefault="001F2F42" w:rsidP="00F80C86">
      <w:pPr>
        <w:spacing w:after="120"/>
        <w:ind w:left="425"/>
      </w:pPr>
      <w:hyperlink r:id="rId40" w:history="1">
        <w:r w:rsidR="00F80C86" w:rsidRPr="00AB5245">
          <w:rPr>
            <w:rFonts w:cs="Arial"/>
            <w:szCs w:val="24"/>
            <w:lang w:val="en-GB"/>
          </w:rPr>
          <w:t>Anderson</w:t>
        </w:r>
      </w:hyperlink>
      <w:r w:rsidR="00F80C86" w:rsidRPr="00AB5245">
        <w:t xml:space="preserve"> JC,</w:t>
      </w:r>
      <w:hyperlink r:id="rId41" w:history="1">
        <w:r w:rsidR="00F80C86" w:rsidRPr="00AB5245">
          <w:t xml:space="preserve"> Butterly</w:t>
        </w:r>
      </w:hyperlink>
      <w:r w:rsidR="00F80C86" w:rsidRPr="00AB5245">
        <w:t xml:space="preserve"> LF. </w:t>
      </w:r>
      <w:r w:rsidR="008B66EC">
        <w:t xml:space="preserve">2015. </w:t>
      </w:r>
      <w:r w:rsidR="00F80C86" w:rsidRPr="00AB5245">
        <w:t xml:space="preserve">Colonoscopy: Quality Indicators. </w:t>
      </w:r>
      <w:r w:rsidR="00B7638C" w:rsidRPr="00B7638C">
        <w:rPr>
          <w:i/>
        </w:rPr>
        <w:t>Clinical and Translational Gastroenterology</w:t>
      </w:r>
      <w:r w:rsidR="00F80C86" w:rsidRPr="008B66EC">
        <w:t xml:space="preserve"> 6(2): e77. </w:t>
      </w:r>
    </w:p>
    <w:p w:rsidR="007F5994" w:rsidRDefault="007F5994" w:rsidP="007F5994">
      <w:pPr>
        <w:ind w:left="425"/>
      </w:pPr>
      <w:r w:rsidRPr="00CA6B0C">
        <w:t xml:space="preserve">Blakely T, Atkinson J, Kvizhinadze G, Wilson N, Davies A, Clarke P. </w:t>
      </w:r>
      <w:r>
        <w:t xml:space="preserve">2015. </w:t>
      </w:r>
      <w:r w:rsidRPr="00CA6B0C">
        <w:t xml:space="preserve">Patterns of cancer care costs in a country with detailed individual data. </w:t>
      </w:r>
      <w:r w:rsidRPr="007F5994">
        <w:rPr>
          <w:i/>
        </w:rPr>
        <w:t>Med</w:t>
      </w:r>
      <w:r w:rsidR="00B7638C">
        <w:rPr>
          <w:i/>
        </w:rPr>
        <w:t>ical</w:t>
      </w:r>
      <w:r w:rsidRPr="007F5994">
        <w:rPr>
          <w:i/>
        </w:rPr>
        <w:t xml:space="preserve"> Care</w:t>
      </w:r>
      <w:r w:rsidR="00A013F2" w:rsidRPr="00A013F2">
        <w:t xml:space="preserve"> </w:t>
      </w:r>
      <w:r w:rsidRPr="00A013F2">
        <w:t>53(4):</w:t>
      </w:r>
      <w:r w:rsidR="00A013F2" w:rsidRPr="00A013F2">
        <w:t xml:space="preserve"> </w:t>
      </w:r>
      <w:r w:rsidRPr="00A013F2">
        <w:t>302</w:t>
      </w:r>
      <w:r w:rsidR="00A013F2" w:rsidRPr="00A013F2">
        <w:t>–</w:t>
      </w:r>
      <w:r w:rsidRPr="00A013F2">
        <w:t>9.</w:t>
      </w:r>
      <w:r w:rsidRPr="007F5994">
        <w:rPr>
          <w:i/>
        </w:rPr>
        <w:t xml:space="preserve"> doi: 10.1097/MLR.0000000000000330</w:t>
      </w:r>
      <w:r w:rsidRPr="00CA6B0C">
        <w:t xml:space="preserve">. Erratum in: </w:t>
      </w:r>
      <w:r w:rsidRPr="00A013F2">
        <w:rPr>
          <w:i/>
        </w:rPr>
        <w:t>Med</w:t>
      </w:r>
      <w:r w:rsidR="00A013F2" w:rsidRPr="00A013F2">
        <w:rPr>
          <w:i/>
        </w:rPr>
        <w:t>ical</w:t>
      </w:r>
      <w:r w:rsidRPr="00A013F2">
        <w:rPr>
          <w:i/>
        </w:rPr>
        <w:t xml:space="preserve"> Care</w:t>
      </w:r>
      <w:r w:rsidR="00A013F2">
        <w:t xml:space="preserve"> </w:t>
      </w:r>
      <w:r w:rsidRPr="00CA6B0C">
        <w:t>53(6):</w:t>
      </w:r>
      <w:r w:rsidR="00A013F2">
        <w:t xml:space="preserve"> </w:t>
      </w:r>
      <w:r w:rsidRPr="00CA6B0C">
        <w:t>560</w:t>
      </w:r>
      <w:r w:rsidR="00A013F2">
        <w:t>.</w:t>
      </w:r>
    </w:p>
    <w:p w:rsidR="00B7638C" w:rsidRPr="00AB5245" w:rsidRDefault="00B7638C" w:rsidP="00B7638C">
      <w:pPr>
        <w:spacing w:after="120"/>
        <w:ind w:left="425"/>
        <w:rPr>
          <w:rFonts w:cs="Arial"/>
          <w:b/>
        </w:rPr>
      </w:pPr>
      <w:r>
        <w:t>Blick G, Artus J, Love T</w:t>
      </w:r>
      <w:r w:rsidRPr="00A52D1B">
        <w:t>. 201</w:t>
      </w:r>
      <w:r w:rsidR="00A52D1B" w:rsidRPr="00A52D1B">
        <w:t>6</w:t>
      </w:r>
      <w:r w:rsidRPr="00A52D1B">
        <w:t>.</w:t>
      </w:r>
      <w:r w:rsidRPr="00AB5245">
        <w:t xml:space="preserve"> </w:t>
      </w:r>
      <w:r w:rsidRPr="00B7638C">
        <w:t xml:space="preserve"> </w:t>
      </w:r>
      <w:r w:rsidRPr="00B7638C">
        <w:rPr>
          <w:i/>
        </w:rPr>
        <w:t xml:space="preserve">Evaluation of the New Zealand Bowel Screening Pilot </w:t>
      </w:r>
      <w:r w:rsidR="00A013F2">
        <w:rPr>
          <w:i/>
        </w:rPr>
        <w:t>–</w:t>
      </w:r>
      <w:r w:rsidRPr="00B7638C">
        <w:rPr>
          <w:i/>
        </w:rPr>
        <w:t xml:space="preserve"> costing the screening pathway, Rounds 1 &amp; 2</w:t>
      </w:r>
      <w:r w:rsidRPr="00AB5245">
        <w:rPr>
          <w:i/>
        </w:rPr>
        <w:t>.</w:t>
      </w:r>
      <w:r w:rsidRPr="00AB5245">
        <w:t xml:space="preserve"> </w:t>
      </w:r>
      <w:r w:rsidRPr="00AB5245">
        <w:rPr>
          <w:rFonts w:cs="Arial"/>
        </w:rPr>
        <w:t>Prepared for the Ministry of Health. Wellington, New Zealand: Sapere Research Group.</w:t>
      </w:r>
    </w:p>
    <w:p w:rsidR="0028403F" w:rsidRDefault="00F80C86" w:rsidP="00F80C86">
      <w:pPr>
        <w:spacing w:before="120" w:after="120"/>
        <w:ind w:left="425"/>
        <w:rPr>
          <w:rFonts w:cs="Arial"/>
          <w:szCs w:val="24"/>
          <w:lang w:val="en-GB"/>
        </w:rPr>
      </w:pPr>
      <w:r w:rsidRPr="00AB5245">
        <w:rPr>
          <w:rFonts w:cs="Arial"/>
          <w:szCs w:val="24"/>
          <w:lang w:val="en-GB"/>
        </w:rPr>
        <w:t xml:space="preserve">Bobridge A, Bampton P, Cole S, Lewis H, Young G. 2014. The psychological impact of participating in colorectal cancer screening by faecal immuno-chemical testing – the Australian experience. </w:t>
      </w:r>
      <w:r w:rsidRPr="00AB5245">
        <w:rPr>
          <w:rFonts w:cs="Arial"/>
          <w:i/>
          <w:szCs w:val="24"/>
          <w:lang w:val="en-GB"/>
        </w:rPr>
        <w:t>British Journal of Cancer</w:t>
      </w:r>
      <w:r w:rsidRPr="00A013F2">
        <w:rPr>
          <w:rFonts w:cs="Arial"/>
          <w:i/>
          <w:szCs w:val="24"/>
          <w:lang w:val="en-GB"/>
        </w:rPr>
        <w:t xml:space="preserve"> </w:t>
      </w:r>
      <w:r w:rsidRPr="00A013F2">
        <w:rPr>
          <w:rFonts w:cs="Arial"/>
          <w:szCs w:val="24"/>
          <w:lang w:val="en-GB"/>
        </w:rPr>
        <w:t>111</w:t>
      </w:r>
      <w:r w:rsidRPr="00AB5245">
        <w:rPr>
          <w:rFonts w:cs="Arial"/>
          <w:szCs w:val="24"/>
          <w:lang w:val="en-GB"/>
        </w:rPr>
        <w:t>:</w:t>
      </w:r>
      <w:r w:rsidR="00A013F2">
        <w:rPr>
          <w:rFonts w:cs="Arial"/>
          <w:szCs w:val="24"/>
          <w:lang w:val="en-GB"/>
        </w:rPr>
        <w:t xml:space="preserve"> </w:t>
      </w:r>
      <w:r w:rsidRPr="00AB5245">
        <w:rPr>
          <w:rFonts w:cs="Arial"/>
          <w:szCs w:val="24"/>
          <w:lang w:val="en-GB"/>
        </w:rPr>
        <w:t>970</w:t>
      </w:r>
      <w:r w:rsidR="00A013F2">
        <w:rPr>
          <w:rFonts w:cs="Arial"/>
          <w:szCs w:val="24"/>
          <w:lang w:val="en-GB"/>
        </w:rPr>
        <w:t>–</w:t>
      </w:r>
      <w:r w:rsidRPr="00AB5245">
        <w:rPr>
          <w:rFonts w:cs="Arial"/>
          <w:szCs w:val="24"/>
          <w:lang w:val="en-GB"/>
        </w:rPr>
        <w:t>975.</w:t>
      </w:r>
    </w:p>
    <w:p w:rsidR="002E0992" w:rsidRPr="002E0992" w:rsidRDefault="002E0992" w:rsidP="00523DFB">
      <w:pPr>
        <w:spacing w:before="120" w:after="120"/>
        <w:ind w:left="425"/>
        <w:rPr>
          <w:rFonts w:cs="Arial"/>
          <w:szCs w:val="24"/>
          <w:lang w:val="en-GB"/>
        </w:rPr>
      </w:pPr>
      <w:r w:rsidRPr="002E0992">
        <w:rPr>
          <w:rFonts w:cs="Arial"/>
          <w:szCs w:val="24"/>
          <w:lang w:val="en-GB"/>
        </w:rPr>
        <w:t>Bynum SA, Davis JL, Green BL, Katz R</w:t>
      </w:r>
      <w:r>
        <w:rPr>
          <w:rFonts w:cs="Arial"/>
          <w:szCs w:val="24"/>
          <w:lang w:val="en-GB"/>
        </w:rPr>
        <w:t>V</w:t>
      </w:r>
      <w:r w:rsidRPr="002E0992">
        <w:rPr>
          <w:rFonts w:cs="Arial"/>
          <w:szCs w:val="24"/>
          <w:lang w:val="en-GB"/>
        </w:rPr>
        <w:t xml:space="preserve">. 2012. Unwillingness to Participate in Colorectal Cancer Screening: Examining Fears, Attitudes, and Medical Mistrust in an Ethnically Diverse Sample of Adults 50 Years and Older. American Journal of Health Promotion: May/June 2012, Vol. 26, No. 5, pp. 295-300. </w:t>
      </w:r>
    </w:p>
    <w:p w:rsidR="00523DFB" w:rsidRPr="00903247" w:rsidRDefault="00523DFB" w:rsidP="00523DFB">
      <w:pPr>
        <w:spacing w:before="120" w:after="120"/>
        <w:ind w:left="425"/>
        <w:rPr>
          <w:rFonts w:cs="Arial"/>
          <w:szCs w:val="24"/>
          <w:lang w:val="en-GB"/>
        </w:rPr>
      </w:pPr>
      <w:r w:rsidRPr="00903247">
        <w:rPr>
          <w:rFonts w:cs="Arial"/>
          <w:szCs w:val="24"/>
        </w:rPr>
        <w:t>Causey</w:t>
      </w:r>
      <w:r w:rsidRPr="00903247">
        <w:rPr>
          <w:rFonts w:cs="Arial"/>
          <w:szCs w:val="24"/>
          <w:lang w:val="en-GB"/>
        </w:rPr>
        <w:t xml:space="preserve"> C, Greenwald B. 2011. Promoting community awareness of the need for colorectal cancer prevention and screening: a replication study. </w:t>
      </w:r>
      <w:r w:rsidRPr="00903247">
        <w:rPr>
          <w:rFonts w:cs="Arial"/>
          <w:i/>
          <w:szCs w:val="24"/>
          <w:lang w:val="en-GB"/>
        </w:rPr>
        <w:t>Gastroenterology Nursing</w:t>
      </w:r>
      <w:r w:rsidRPr="00903247">
        <w:rPr>
          <w:rFonts w:cs="Arial"/>
          <w:szCs w:val="24"/>
          <w:lang w:val="en-GB"/>
        </w:rPr>
        <w:t xml:space="preserve"> 34(1):</w:t>
      </w:r>
      <w:r w:rsidR="00A013F2">
        <w:rPr>
          <w:rFonts w:cs="Arial"/>
          <w:szCs w:val="24"/>
          <w:lang w:val="en-GB"/>
        </w:rPr>
        <w:t xml:space="preserve"> </w:t>
      </w:r>
      <w:r w:rsidRPr="00903247">
        <w:rPr>
          <w:rFonts w:cs="Arial"/>
          <w:szCs w:val="24"/>
          <w:lang w:val="en-GB"/>
        </w:rPr>
        <w:t>34</w:t>
      </w:r>
      <w:r w:rsidR="00A013F2">
        <w:rPr>
          <w:rFonts w:cs="Arial"/>
          <w:szCs w:val="24"/>
          <w:lang w:val="en-GB"/>
        </w:rPr>
        <w:t>–</w:t>
      </w:r>
      <w:r w:rsidRPr="00903247">
        <w:rPr>
          <w:rFonts w:cs="Arial"/>
          <w:szCs w:val="24"/>
          <w:lang w:val="en-GB"/>
        </w:rPr>
        <w:t>40.</w:t>
      </w:r>
    </w:p>
    <w:p w:rsidR="00F80C86" w:rsidRPr="00AB5245" w:rsidRDefault="00F80C86" w:rsidP="00F80C86">
      <w:pPr>
        <w:spacing w:after="120"/>
        <w:ind w:left="425"/>
        <w:rPr>
          <w:rFonts w:cs="Arial"/>
        </w:rPr>
      </w:pPr>
      <w:r w:rsidRPr="00AB5245">
        <w:rPr>
          <w:rFonts w:cs="Arial"/>
        </w:rPr>
        <w:t xml:space="preserve">Chilton A, Rutter M (eds). 2011. </w:t>
      </w:r>
      <w:r w:rsidRPr="00AB5245">
        <w:rPr>
          <w:rFonts w:cs="Arial"/>
          <w:i/>
        </w:rPr>
        <w:t>Quality assurance guidelines for colonoscopy</w:t>
      </w:r>
      <w:r w:rsidRPr="00AB5245">
        <w:rPr>
          <w:rFonts w:cs="Arial"/>
        </w:rPr>
        <w:t>. Sheffield: NHS Cancer Screening Programmes.</w:t>
      </w:r>
    </w:p>
    <w:p w:rsidR="00F80C86" w:rsidRPr="00AB5245" w:rsidRDefault="00F80C86" w:rsidP="00F80C86">
      <w:pPr>
        <w:ind w:left="425"/>
        <w:rPr>
          <w:rFonts w:cs="Arial"/>
          <w:szCs w:val="24"/>
          <w:lang w:val="en-GB"/>
        </w:rPr>
      </w:pPr>
      <w:r w:rsidRPr="00AB5245">
        <w:rPr>
          <w:rFonts w:cs="Arial"/>
          <w:szCs w:val="24"/>
          <w:lang w:val="en-GB"/>
        </w:rPr>
        <w:t xml:space="preserve">Christou A, Katzenellenbogen J, Thompson S. 2010. Australia's National Bowel Cancer Screening Program: does it work for Indigenous Australians? </w:t>
      </w:r>
      <w:r w:rsidRPr="00AB5245">
        <w:rPr>
          <w:rFonts w:cs="Arial"/>
          <w:i/>
          <w:szCs w:val="24"/>
          <w:lang w:val="en-GB"/>
        </w:rPr>
        <w:t>BioMed Central Public Health</w:t>
      </w:r>
      <w:r w:rsidR="002E0992">
        <w:rPr>
          <w:rFonts w:cs="Arial"/>
          <w:szCs w:val="24"/>
          <w:lang w:val="en-GB"/>
        </w:rPr>
        <w:t xml:space="preserve"> 10(373)</w:t>
      </w:r>
    </w:p>
    <w:p w:rsidR="00B4255E" w:rsidRPr="00903247" w:rsidRDefault="00B4255E" w:rsidP="00B4255E">
      <w:pPr>
        <w:spacing w:before="120" w:after="120"/>
        <w:ind w:left="425"/>
        <w:rPr>
          <w:rFonts w:cs="Arial"/>
          <w:szCs w:val="24"/>
          <w:lang w:val="en-GB"/>
        </w:rPr>
      </w:pPr>
      <w:r w:rsidRPr="00903247">
        <w:rPr>
          <w:rFonts w:cs="Arial"/>
          <w:szCs w:val="24"/>
          <w:lang w:val="en-GB"/>
        </w:rPr>
        <w:t xml:space="preserve">Cristou A, Thompson S. 2012. Colorectal cancer screening knowledge, attitudes and behavioural intention among Indigenous Western Australians. </w:t>
      </w:r>
      <w:r w:rsidRPr="00903247">
        <w:rPr>
          <w:rFonts w:cs="Arial"/>
          <w:i/>
          <w:szCs w:val="24"/>
          <w:lang w:val="en-GB"/>
        </w:rPr>
        <w:t>BMC Public Health</w:t>
      </w:r>
      <w:r w:rsidRPr="00903247">
        <w:rPr>
          <w:rFonts w:cs="Arial"/>
          <w:szCs w:val="24"/>
          <w:lang w:val="en-GB"/>
        </w:rPr>
        <w:t xml:space="preserve"> 12:</w:t>
      </w:r>
      <w:r w:rsidR="00A013F2">
        <w:rPr>
          <w:rFonts w:cs="Arial"/>
          <w:szCs w:val="24"/>
          <w:lang w:val="en-GB"/>
        </w:rPr>
        <w:t xml:space="preserve"> </w:t>
      </w:r>
      <w:r w:rsidRPr="00903247">
        <w:rPr>
          <w:rFonts w:cs="Arial"/>
          <w:szCs w:val="24"/>
          <w:lang w:val="en-GB"/>
        </w:rPr>
        <w:t>528.</w:t>
      </w:r>
    </w:p>
    <w:p w:rsidR="00F80C86" w:rsidRDefault="00A013F2" w:rsidP="00F80C86">
      <w:pPr>
        <w:ind w:left="425"/>
        <w:rPr>
          <w:rFonts w:cs="Arial"/>
        </w:rPr>
      </w:pPr>
      <w:r w:rsidRPr="002E0992">
        <w:rPr>
          <w:rFonts w:cs="Arial"/>
        </w:rPr>
        <w:t>Cole S</w:t>
      </w:r>
      <w:r w:rsidR="00F80C86" w:rsidRPr="002E0992">
        <w:rPr>
          <w:rFonts w:cs="Arial"/>
        </w:rPr>
        <w:t xml:space="preserve">R, Smith </w:t>
      </w:r>
      <w:r w:rsidR="002E0992" w:rsidRPr="002E0992">
        <w:rPr>
          <w:rFonts w:cs="Arial"/>
        </w:rPr>
        <w:t xml:space="preserve">A, Wilson C, Turnbull D, </w:t>
      </w:r>
      <w:hyperlink r:id="rId42" w:history="1">
        <w:r w:rsidR="002E0992" w:rsidRPr="002E0992">
          <w:rPr>
            <w:rFonts w:cs="Arial"/>
          </w:rPr>
          <w:t>Esterman A</w:t>
        </w:r>
      </w:hyperlink>
      <w:r w:rsidR="002E0992" w:rsidRPr="002E0992">
        <w:rPr>
          <w:rFonts w:cs="Arial"/>
        </w:rPr>
        <w:t xml:space="preserve">, </w:t>
      </w:r>
      <w:hyperlink r:id="rId43" w:history="1">
        <w:r w:rsidR="002E0992" w:rsidRPr="002E0992">
          <w:rPr>
            <w:rFonts w:cs="Arial"/>
          </w:rPr>
          <w:t>Young GP</w:t>
        </w:r>
      </w:hyperlink>
      <w:r w:rsidR="00F80C86" w:rsidRPr="002E0992">
        <w:rPr>
          <w:rFonts w:cs="Arial"/>
        </w:rPr>
        <w:t>. 200</w:t>
      </w:r>
      <w:r w:rsidR="005E5F14" w:rsidRPr="002E0992">
        <w:rPr>
          <w:rFonts w:cs="Arial"/>
        </w:rPr>
        <w:t>7</w:t>
      </w:r>
      <w:r w:rsidR="00F80C86" w:rsidRPr="002E0992">
        <w:rPr>
          <w:rFonts w:cs="Arial"/>
        </w:rPr>
        <w:t xml:space="preserve">. An advance notification letter increases participation in colorectal cancer screening. </w:t>
      </w:r>
      <w:r w:rsidR="00F80C86" w:rsidRPr="002E0992">
        <w:rPr>
          <w:rFonts w:cs="Arial"/>
          <w:i/>
        </w:rPr>
        <w:t xml:space="preserve">Journal of Medical Screening </w:t>
      </w:r>
      <w:r w:rsidR="00F80C86" w:rsidRPr="002E0992">
        <w:rPr>
          <w:rFonts w:cs="Arial"/>
        </w:rPr>
        <w:t>14(2):</w:t>
      </w:r>
      <w:r w:rsidRPr="002E0992">
        <w:rPr>
          <w:rFonts w:cs="Arial"/>
        </w:rPr>
        <w:t xml:space="preserve"> </w:t>
      </w:r>
      <w:r w:rsidR="00F80C86" w:rsidRPr="002E0992">
        <w:rPr>
          <w:rFonts w:cs="Arial"/>
        </w:rPr>
        <w:t>73</w:t>
      </w:r>
      <w:r w:rsidRPr="002E0992">
        <w:rPr>
          <w:rFonts w:cs="Arial"/>
        </w:rPr>
        <w:t>–</w:t>
      </w:r>
      <w:r w:rsidR="00F80C86" w:rsidRPr="002E0992">
        <w:rPr>
          <w:rFonts w:cs="Arial"/>
        </w:rPr>
        <w:t>5.</w:t>
      </w:r>
    </w:p>
    <w:p w:rsidR="00523DFB" w:rsidRPr="00903247" w:rsidRDefault="00523DFB" w:rsidP="00523DFB">
      <w:pPr>
        <w:spacing w:before="120" w:after="120"/>
        <w:ind w:left="425"/>
        <w:rPr>
          <w:rFonts w:cs="Arial"/>
          <w:szCs w:val="24"/>
          <w:lang w:val="en-GB"/>
        </w:rPr>
      </w:pPr>
      <w:r w:rsidRPr="00903247">
        <w:rPr>
          <w:rFonts w:cs="Arial"/>
          <w:szCs w:val="24"/>
          <w:lang w:val="en-GB"/>
        </w:rPr>
        <w:t xml:space="preserve">Courtney R, Paul C, Sanson-Fisher R. 2013. Individual- and provider-level factors associated with colorectal cancer screening in accordance with guideline recommendation: a community-level perspective across varying levels of risk. </w:t>
      </w:r>
      <w:r w:rsidRPr="00903247">
        <w:rPr>
          <w:rFonts w:cs="Arial"/>
          <w:i/>
          <w:szCs w:val="24"/>
          <w:lang w:val="en-GB"/>
        </w:rPr>
        <w:t>BMC Public Health</w:t>
      </w:r>
      <w:r w:rsidRPr="00903247">
        <w:rPr>
          <w:rFonts w:cs="Arial"/>
          <w:szCs w:val="24"/>
          <w:lang w:val="en-GB"/>
        </w:rPr>
        <w:t xml:space="preserve"> 13:</w:t>
      </w:r>
      <w:r w:rsidR="00A013F2">
        <w:rPr>
          <w:rFonts w:cs="Arial"/>
          <w:szCs w:val="24"/>
          <w:lang w:val="en-GB"/>
        </w:rPr>
        <w:t xml:space="preserve"> </w:t>
      </w:r>
      <w:r w:rsidRPr="00903247">
        <w:rPr>
          <w:rFonts w:cs="Arial"/>
          <w:szCs w:val="24"/>
          <w:lang w:val="en-GB"/>
        </w:rPr>
        <w:t>248.</w:t>
      </w:r>
    </w:p>
    <w:p w:rsidR="00523DFB" w:rsidRPr="00903247" w:rsidRDefault="00523DFB" w:rsidP="00523DFB">
      <w:pPr>
        <w:spacing w:before="120" w:after="120"/>
        <w:ind w:left="425"/>
        <w:rPr>
          <w:rFonts w:cs="Arial"/>
          <w:szCs w:val="24"/>
          <w:lang w:val="en-GB"/>
        </w:rPr>
      </w:pPr>
      <w:r w:rsidRPr="00903247">
        <w:rPr>
          <w:rFonts w:cs="Arial"/>
          <w:szCs w:val="24"/>
          <w:lang w:val="en-GB"/>
        </w:rPr>
        <w:t xml:space="preserve">Duncan A, Turnbull D, Gregory T et al. 2012. Using the Transtheoretical Model of Behaviour Change to describe readiness to rescreen for colorectal cancer with faecal occult blood testing. </w:t>
      </w:r>
      <w:r w:rsidRPr="00903247">
        <w:rPr>
          <w:rFonts w:cs="Arial"/>
          <w:i/>
          <w:szCs w:val="24"/>
          <w:lang w:val="en-GB"/>
        </w:rPr>
        <w:t>Health Promotion Journal of Australia</w:t>
      </w:r>
      <w:r w:rsidR="00A013F2">
        <w:rPr>
          <w:rFonts w:cs="Arial"/>
          <w:szCs w:val="24"/>
          <w:lang w:val="en-GB"/>
        </w:rPr>
        <w:t xml:space="preserve"> 23: </w:t>
      </w:r>
      <w:r w:rsidRPr="00903247">
        <w:rPr>
          <w:rFonts w:cs="Arial"/>
          <w:szCs w:val="24"/>
          <w:lang w:val="en-GB"/>
        </w:rPr>
        <w:t>122</w:t>
      </w:r>
      <w:r w:rsidR="00A013F2">
        <w:rPr>
          <w:rFonts w:cs="Arial"/>
          <w:szCs w:val="24"/>
          <w:lang w:val="en-GB"/>
        </w:rPr>
        <w:t>–</w:t>
      </w:r>
      <w:r w:rsidRPr="00903247">
        <w:rPr>
          <w:rFonts w:cs="Arial"/>
          <w:szCs w:val="24"/>
          <w:lang w:val="en-GB"/>
        </w:rPr>
        <w:t>8.</w:t>
      </w:r>
    </w:p>
    <w:p w:rsidR="00F80C86" w:rsidRPr="00AB5245" w:rsidRDefault="00F80C86" w:rsidP="00F80C86">
      <w:pPr>
        <w:ind w:left="425"/>
      </w:pPr>
      <w:r w:rsidRPr="00AB5245">
        <w:t xml:space="preserve">Federici A, Giorgi Rossi P, Bartolozzi F et al. 2006. The role of GPs in increasing compliance to colorectal cancer screening: a randomised controlled trial (Italy). </w:t>
      </w:r>
      <w:r w:rsidRPr="00AB5245">
        <w:rPr>
          <w:i/>
        </w:rPr>
        <w:t>Cancer Causes Control</w:t>
      </w:r>
      <w:r w:rsidRPr="00AB5245">
        <w:t xml:space="preserve"> 17(1):</w:t>
      </w:r>
      <w:r w:rsidR="00A013F2">
        <w:t xml:space="preserve"> </w:t>
      </w:r>
      <w:r w:rsidRPr="00AB5245">
        <w:t>45</w:t>
      </w:r>
      <w:r w:rsidR="00A013F2">
        <w:t>–</w:t>
      </w:r>
      <w:r w:rsidRPr="00AB5245">
        <w:t>52.</w:t>
      </w:r>
    </w:p>
    <w:p w:rsidR="00F80C86" w:rsidRPr="00AB5245" w:rsidRDefault="00F80C86" w:rsidP="00F80C86">
      <w:pPr>
        <w:ind w:left="425"/>
      </w:pPr>
      <w:r w:rsidRPr="00AB5245">
        <w:t xml:space="preserve">Green T, Richardson A, Parry S. 2012. Colonoscopy requirements of population screening for colorectal cancer in New Zealand. </w:t>
      </w:r>
      <w:r w:rsidRPr="00AB5245">
        <w:rPr>
          <w:i/>
        </w:rPr>
        <w:t>New Zealand Medical Journal</w:t>
      </w:r>
      <w:r w:rsidRPr="00AB5245">
        <w:t xml:space="preserve"> 125</w:t>
      </w:r>
      <w:r w:rsidR="00A013F2">
        <w:t>:</w:t>
      </w:r>
      <w:r w:rsidRPr="00AB5245">
        <w:t xml:space="preserve"> 85</w:t>
      </w:r>
      <w:r w:rsidR="00A013F2">
        <w:t>–</w:t>
      </w:r>
      <w:r w:rsidRPr="00AB5245">
        <w:t>95.</w:t>
      </w:r>
    </w:p>
    <w:p w:rsidR="00523DFB" w:rsidRPr="00903247" w:rsidRDefault="00523DFB" w:rsidP="00523DFB">
      <w:pPr>
        <w:spacing w:before="120"/>
        <w:ind w:left="425"/>
        <w:rPr>
          <w:rFonts w:cs="Arial"/>
          <w:szCs w:val="24"/>
          <w:lang w:val="en-GB"/>
        </w:rPr>
      </w:pPr>
      <w:r w:rsidRPr="00903247">
        <w:rPr>
          <w:rFonts w:cs="Arial"/>
          <w:szCs w:val="24"/>
          <w:lang w:val="en-GB"/>
        </w:rPr>
        <w:t>Guessous I, Dash C, Lapin P, Doroshenk M, Smith RA, Klabunde CN</w:t>
      </w:r>
      <w:r w:rsidR="00A013F2">
        <w:rPr>
          <w:rFonts w:cs="Arial"/>
          <w:szCs w:val="24"/>
          <w:lang w:val="en-GB"/>
        </w:rPr>
        <w:t>. 2010.</w:t>
      </w:r>
      <w:r w:rsidRPr="00903247">
        <w:rPr>
          <w:rFonts w:cs="Arial"/>
          <w:szCs w:val="24"/>
          <w:lang w:val="en-GB"/>
        </w:rPr>
        <w:t xml:space="preserve"> Colorectal cancer screening barriers and facilitators in older persons. </w:t>
      </w:r>
      <w:r w:rsidRPr="00A013F2">
        <w:rPr>
          <w:rFonts w:cs="Arial"/>
          <w:i/>
          <w:szCs w:val="24"/>
          <w:lang w:val="en-GB"/>
        </w:rPr>
        <w:t>Prev</w:t>
      </w:r>
      <w:r w:rsidR="00B7638C" w:rsidRPr="00A013F2">
        <w:rPr>
          <w:rFonts w:cs="Arial"/>
          <w:i/>
          <w:szCs w:val="24"/>
          <w:lang w:val="en-GB"/>
        </w:rPr>
        <w:t xml:space="preserve">entive Medicine </w:t>
      </w:r>
      <w:r w:rsidRPr="00A013F2">
        <w:rPr>
          <w:rFonts w:cs="Arial"/>
          <w:i/>
          <w:szCs w:val="24"/>
          <w:lang w:val="en-GB"/>
        </w:rPr>
        <w:t>2010</w:t>
      </w:r>
      <w:r w:rsidRPr="00903247">
        <w:rPr>
          <w:rFonts w:cs="Arial"/>
          <w:szCs w:val="24"/>
          <w:lang w:val="en-GB"/>
        </w:rPr>
        <w:t>, 50:</w:t>
      </w:r>
      <w:r w:rsidR="00A013F2">
        <w:rPr>
          <w:rFonts w:cs="Arial"/>
          <w:szCs w:val="24"/>
          <w:lang w:val="en-GB"/>
        </w:rPr>
        <w:t xml:space="preserve"> </w:t>
      </w:r>
      <w:r w:rsidRPr="00903247">
        <w:rPr>
          <w:rFonts w:cs="Arial"/>
          <w:szCs w:val="24"/>
          <w:lang w:val="en-GB"/>
        </w:rPr>
        <w:t>3–10.</w:t>
      </w:r>
    </w:p>
    <w:p w:rsidR="00F80C86" w:rsidRPr="00AB5245" w:rsidRDefault="00F80C86" w:rsidP="00F80C86">
      <w:pPr>
        <w:ind w:left="425"/>
      </w:pPr>
      <w:r w:rsidRPr="00AB5245">
        <w:t xml:space="preserve">Hill S, Sarfati D, Robson B, Blakely T. 2012.  Indigenous inequalities in cancer: what role for health care?  </w:t>
      </w:r>
      <w:r w:rsidRPr="00B7638C">
        <w:rPr>
          <w:i/>
        </w:rPr>
        <w:t>ANZ Journal of Surgery</w:t>
      </w:r>
      <w:r w:rsidRPr="00AB5245">
        <w:t>. Royal Australasian College of Surgeons</w:t>
      </w:r>
      <w:r w:rsidR="00A013F2">
        <w:t>.</w:t>
      </w:r>
    </w:p>
    <w:p w:rsidR="00F80C86" w:rsidRPr="00A013F2" w:rsidRDefault="00F80C86" w:rsidP="00F80C86">
      <w:pPr>
        <w:ind w:left="425"/>
        <w:rPr>
          <w:szCs w:val="24"/>
        </w:rPr>
      </w:pPr>
      <w:r w:rsidRPr="00AB5245">
        <w:t>Hornung</w:t>
      </w:r>
      <w:r w:rsidRPr="00AB5245">
        <w:rPr>
          <w:szCs w:val="24"/>
        </w:rPr>
        <w:t xml:space="preserve"> TA, Bevan R, Mumtaz S, Hornung BR, Rutter MD.</w:t>
      </w:r>
      <w:r w:rsidR="00A013F2">
        <w:rPr>
          <w:szCs w:val="24"/>
        </w:rPr>
        <w:t xml:space="preserve"> 2015.</w:t>
      </w:r>
      <w:r w:rsidRPr="00AB5245">
        <w:rPr>
          <w:szCs w:val="24"/>
        </w:rPr>
        <w:t xml:space="preserve"> Surveillance Colonoscopy in Low-risk Postpolypectomy Patients</w:t>
      </w:r>
      <w:r w:rsidR="00A013F2">
        <w:rPr>
          <w:szCs w:val="24"/>
        </w:rPr>
        <w:t xml:space="preserve">. Is It Necessary? </w:t>
      </w:r>
      <w:r w:rsidR="00A013F2">
        <w:rPr>
          <w:i/>
        </w:rPr>
        <w:t xml:space="preserve">Frontline </w:t>
      </w:r>
      <w:r w:rsidR="00B7638C" w:rsidRPr="00B7638C">
        <w:rPr>
          <w:i/>
        </w:rPr>
        <w:t>Gastroenterology</w:t>
      </w:r>
      <w:r w:rsidRPr="00AB5245">
        <w:rPr>
          <w:i/>
          <w:szCs w:val="24"/>
        </w:rPr>
        <w:t> 2015</w:t>
      </w:r>
      <w:r w:rsidR="00A013F2">
        <w:rPr>
          <w:szCs w:val="24"/>
        </w:rPr>
        <w:t>,</w:t>
      </w:r>
      <w:r w:rsidR="00A013F2">
        <w:rPr>
          <w:i/>
          <w:szCs w:val="24"/>
        </w:rPr>
        <w:t xml:space="preserve"> </w:t>
      </w:r>
      <w:r w:rsidRPr="00A013F2">
        <w:rPr>
          <w:szCs w:val="24"/>
        </w:rPr>
        <w:t>6(2):</w:t>
      </w:r>
      <w:r w:rsidR="00A013F2" w:rsidRPr="00A013F2">
        <w:rPr>
          <w:szCs w:val="24"/>
        </w:rPr>
        <w:t xml:space="preserve"> </w:t>
      </w:r>
      <w:r w:rsidRPr="00A013F2">
        <w:rPr>
          <w:szCs w:val="24"/>
        </w:rPr>
        <w:t>77</w:t>
      </w:r>
      <w:r w:rsidR="00A013F2" w:rsidRPr="00A013F2">
        <w:rPr>
          <w:szCs w:val="24"/>
        </w:rPr>
        <w:t>–</w:t>
      </w:r>
      <w:r w:rsidRPr="00A013F2">
        <w:rPr>
          <w:szCs w:val="24"/>
        </w:rPr>
        <w:t>84. </w:t>
      </w:r>
    </w:p>
    <w:p w:rsidR="00F74AC8" w:rsidRPr="00903247" w:rsidRDefault="00F74AC8" w:rsidP="00F74AC8">
      <w:pPr>
        <w:spacing w:before="120" w:after="120"/>
        <w:ind w:left="425"/>
        <w:rPr>
          <w:rFonts w:cs="Arial"/>
          <w:szCs w:val="24"/>
          <w:lang w:val="en-GB"/>
        </w:rPr>
      </w:pPr>
      <w:r w:rsidRPr="00903247">
        <w:rPr>
          <w:rFonts w:cs="Arial"/>
          <w:szCs w:val="24"/>
          <w:lang w:val="en-GB"/>
        </w:rPr>
        <w:t xml:space="preserve">Javanparast S, Ward P, Carter S, Wilson C. 2012. Barriers to and facilitators of colorectal cancer screening in different population subgroups in Adelaide, South Australia. </w:t>
      </w:r>
      <w:r w:rsidRPr="00903247">
        <w:rPr>
          <w:rFonts w:cs="Arial"/>
          <w:i/>
          <w:szCs w:val="24"/>
          <w:lang w:val="en-GB"/>
        </w:rPr>
        <w:t xml:space="preserve">Medical Journal of Australia </w:t>
      </w:r>
      <w:r w:rsidRPr="00903247">
        <w:rPr>
          <w:rFonts w:cs="Arial"/>
          <w:szCs w:val="24"/>
          <w:lang w:val="en-GB"/>
        </w:rPr>
        <w:t>196(8):</w:t>
      </w:r>
      <w:r w:rsidR="00A013F2">
        <w:rPr>
          <w:rFonts w:cs="Arial"/>
          <w:szCs w:val="24"/>
          <w:lang w:val="en-GB"/>
        </w:rPr>
        <w:t xml:space="preserve"> </w:t>
      </w:r>
      <w:r w:rsidRPr="00903247">
        <w:rPr>
          <w:rFonts w:cs="Arial"/>
          <w:szCs w:val="24"/>
          <w:lang w:val="en-GB"/>
        </w:rPr>
        <w:t>521</w:t>
      </w:r>
      <w:r w:rsidR="00A013F2">
        <w:rPr>
          <w:rFonts w:cs="Arial"/>
          <w:szCs w:val="24"/>
          <w:lang w:val="en-GB"/>
        </w:rPr>
        <w:t>–</w:t>
      </w:r>
      <w:r w:rsidRPr="00903247">
        <w:rPr>
          <w:rFonts w:cs="Arial"/>
          <w:szCs w:val="24"/>
          <w:lang w:val="en-GB"/>
        </w:rPr>
        <w:t>523.</w:t>
      </w:r>
    </w:p>
    <w:p w:rsidR="00F80C86" w:rsidRPr="00AB5245" w:rsidRDefault="00F80C86" w:rsidP="00F80C86">
      <w:pPr>
        <w:ind w:left="425"/>
        <w:rPr>
          <w:rFonts w:cs="Arial"/>
          <w:szCs w:val="24"/>
        </w:rPr>
      </w:pPr>
      <w:r w:rsidRPr="00AB5245">
        <w:rPr>
          <w:szCs w:val="24"/>
        </w:rPr>
        <w:t xml:space="preserve">Karalic A. 2014. </w:t>
      </w:r>
      <w:r w:rsidRPr="008B66EC">
        <w:rPr>
          <w:i/>
          <w:szCs w:val="24"/>
        </w:rPr>
        <w:t>Bowel Screening Pilot Database Review. Data quality and database design</w:t>
      </w:r>
      <w:r w:rsidRPr="00AB5245">
        <w:rPr>
          <w:szCs w:val="24"/>
        </w:rPr>
        <w:t xml:space="preserve">.  </w:t>
      </w:r>
      <w:r w:rsidRPr="00AB5245">
        <w:rPr>
          <w:rFonts w:cs="Arial"/>
          <w:szCs w:val="24"/>
        </w:rPr>
        <w:t xml:space="preserve">Prepared for the Ministry of Health. Wellington, New Zealand: </w:t>
      </w:r>
      <w:r w:rsidR="008B66EC" w:rsidRPr="00AB5245">
        <w:rPr>
          <w:rFonts w:cs="Arial"/>
          <w:szCs w:val="24"/>
        </w:rPr>
        <w:t>Ministry of Health</w:t>
      </w:r>
      <w:r w:rsidR="008B66EC">
        <w:rPr>
          <w:rFonts w:cs="Arial"/>
          <w:szCs w:val="24"/>
        </w:rPr>
        <w:t>.</w:t>
      </w:r>
    </w:p>
    <w:p w:rsidR="00F80C86" w:rsidRPr="00AB5245" w:rsidRDefault="00F80C86" w:rsidP="00F80C86">
      <w:pPr>
        <w:ind w:left="425"/>
      </w:pPr>
      <w:r w:rsidRPr="00AB5245">
        <w:t xml:space="preserve">Kish L. 1965. </w:t>
      </w:r>
      <w:r w:rsidRPr="00AB5245">
        <w:rPr>
          <w:i/>
        </w:rPr>
        <w:t>Survey Sampling</w:t>
      </w:r>
      <w:r w:rsidRPr="00AB5245">
        <w:t xml:space="preserve">. John Wiley: New York. </w:t>
      </w:r>
    </w:p>
    <w:p w:rsidR="00B4255E" w:rsidRPr="00903247" w:rsidRDefault="00B4255E" w:rsidP="00B4255E">
      <w:pPr>
        <w:spacing w:before="120" w:after="120"/>
        <w:ind w:left="425"/>
        <w:rPr>
          <w:rFonts w:cs="Arial"/>
          <w:i/>
          <w:szCs w:val="24"/>
          <w:lang w:val="en-GB"/>
        </w:rPr>
      </w:pPr>
      <w:r w:rsidRPr="00903247">
        <w:rPr>
          <w:rFonts w:cs="Arial"/>
          <w:szCs w:val="24"/>
          <w:lang w:val="en-GB"/>
        </w:rPr>
        <w:t xml:space="preserve">Kobayashi L, Wardle J, von Wagner C. 2014. Limited health literacy is a barrier to colorectal cancer screening in England: Evidence from the English Longitudinal Study of Ageing. </w:t>
      </w:r>
      <w:r w:rsidRPr="00903247">
        <w:rPr>
          <w:rFonts w:cs="Arial"/>
          <w:i/>
          <w:szCs w:val="24"/>
          <w:lang w:val="en-GB"/>
        </w:rPr>
        <w:t xml:space="preserve">Preventive Medicine </w:t>
      </w:r>
      <w:r w:rsidRPr="00A013F2">
        <w:rPr>
          <w:rFonts w:cs="Arial"/>
          <w:szCs w:val="24"/>
          <w:lang w:val="en-GB"/>
        </w:rPr>
        <w:t>61:</w:t>
      </w:r>
      <w:r w:rsidR="00A013F2" w:rsidRPr="00A013F2">
        <w:rPr>
          <w:rFonts w:cs="Arial"/>
          <w:szCs w:val="24"/>
          <w:lang w:val="en-GB"/>
        </w:rPr>
        <w:t xml:space="preserve"> </w:t>
      </w:r>
      <w:r w:rsidRPr="00A013F2">
        <w:rPr>
          <w:rFonts w:cs="Arial"/>
          <w:szCs w:val="24"/>
          <w:lang w:val="en-GB"/>
        </w:rPr>
        <w:t>100</w:t>
      </w:r>
      <w:r w:rsidR="00A013F2">
        <w:rPr>
          <w:rFonts w:cs="Arial"/>
          <w:szCs w:val="24"/>
          <w:lang w:val="en-GB"/>
        </w:rPr>
        <w:t>–</w:t>
      </w:r>
      <w:r w:rsidRPr="00A013F2">
        <w:rPr>
          <w:rFonts w:cs="Arial"/>
          <w:szCs w:val="24"/>
          <w:lang w:val="en-GB"/>
        </w:rPr>
        <w:t>105.</w:t>
      </w:r>
    </w:p>
    <w:p w:rsidR="00F80C86" w:rsidRPr="00AB5245" w:rsidRDefault="00F80C86" w:rsidP="00F80C86">
      <w:pPr>
        <w:ind w:left="425"/>
        <w:rPr>
          <w:rFonts w:cs="Arial"/>
          <w:szCs w:val="24"/>
          <w:lang w:val="en-GB"/>
        </w:rPr>
      </w:pPr>
      <w:r w:rsidRPr="00AB5245">
        <w:t>Koo</w:t>
      </w:r>
      <w:r w:rsidR="00A013F2">
        <w:rPr>
          <w:rFonts w:cs="Arial"/>
          <w:szCs w:val="24"/>
          <w:lang w:val="en-GB"/>
        </w:rPr>
        <w:t xml:space="preserve"> JH, Arasaratnam M</w:t>
      </w:r>
      <w:r w:rsidRPr="00AB5245">
        <w:rPr>
          <w:rFonts w:cs="Arial"/>
          <w:szCs w:val="24"/>
          <w:lang w:val="en-GB"/>
        </w:rPr>
        <w:t xml:space="preserve">M, Liu K, et al. 2010. Knowledge, perception and practices of colorectal cancer screening in an ethnically diverse population. </w:t>
      </w:r>
      <w:r w:rsidRPr="00AB5245">
        <w:rPr>
          <w:rFonts w:cs="Arial"/>
          <w:i/>
          <w:szCs w:val="24"/>
          <w:lang w:val="en-GB"/>
        </w:rPr>
        <w:t>Cancer Epidemiology</w:t>
      </w:r>
      <w:r w:rsidRPr="00AB5245">
        <w:rPr>
          <w:rFonts w:cs="Arial"/>
          <w:szCs w:val="24"/>
          <w:lang w:val="en-GB"/>
        </w:rPr>
        <w:t xml:space="preserve"> 34(5): </w:t>
      </w:r>
      <w:r w:rsidR="00A013F2">
        <w:rPr>
          <w:rFonts w:cs="Arial"/>
          <w:szCs w:val="24"/>
          <w:lang w:val="en-GB"/>
        </w:rPr>
        <w:t xml:space="preserve"> </w:t>
      </w:r>
      <w:r w:rsidRPr="00AB5245">
        <w:rPr>
          <w:rFonts w:cs="Arial"/>
          <w:szCs w:val="24"/>
          <w:lang w:val="en-GB"/>
        </w:rPr>
        <w:t>604</w:t>
      </w:r>
      <w:r w:rsidR="00A013F2">
        <w:rPr>
          <w:rFonts w:cs="Arial"/>
          <w:szCs w:val="24"/>
          <w:lang w:val="en-GB"/>
        </w:rPr>
        <w:t>–</w:t>
      </w:r>
      <w:r w:rsidRPr="00AB5245">
        <w:rPr>
          <w:rFonts w:cs="Arial"/>
          <w:szCs w:val="24"/>
          <w:lang w:val="en-GB"/>
        </w:rPr>
        <w:t>10.</w:t>
      </w:r>
    </w:p>
    <w:p w:rsidR="00F80C86" w:rsidRPr="00AB5245" w:rsidRDefault="00F80C86" w:rsidP="00F80C86">
      <w:pPr>
        <w:ind w:left="425"/>
        <w:rPr>
          <w:rFonts w:cs="Arial"/>
          <w:szCs w:val="24"/>
        </w:rPr>
      </w:pPr>
      <w:r w:rsidRPr="00AB5245">
        <w:rPr>
          <w:szCs w:val="24"/>
        </w:rPr>
        <w:t xml:space="preserve">Lee R. 2014. Bowel Cancer Screening Pilot. Population Register Analysis.  </w:t>
      </w:r>
      <w:r w:rsidRPr="00AB5245">
        <w:rPr>
          <w:rFonts w:cs="Arial"/>
          <w:szCs w:val="24"/>
        </w:rPr>
        <w:t xml:space="preserve">Prepared for the Ministry of Health. Wellington, New Zealand: </w:t>
      </w:r>
      <w:r w:rsidR="008B66EC" w:rsidRPr="00AB5245">
        <w:rPr>
          <w:rFonts w:cs="Arial"/>
          <w:szCs w:val="24"/>
        </w:rPr>
        <w:t>Ministry of Health</w:t>
      </w:r>
      <w:r w:rsidR="008B66EC">
        <w:rPr>
          <w:rFonts w:cs="Arial"/>
          <w:szCs w:val="24"/>
        </w:rPr>
        <w:t>.</w:t>
      </w:r>
    </w:p>
    <w:p w:rsidR="00F80C86" w:rsidRPr="00AB5245" w:rsidRDefault="00F80C86" w:rsidP="00F80C86">
      <w:pPr>
        <w:ind w:left="425"/>
        <w:rPr>
          <w:rFonts w:cs="Arial"/>
        </w:rPr>
      </w:pPr>
      <w:r w:rsidRPr="00AB5245">
        <w:t xml:space="preserve">Litmus. 2011. </w:t>
      </w:r>
      <w:r w:rsidRPr="00AB5245">
        <w:rPr>
          <w:i/>
        </w:rPr>
        <w:t xml:space="preserve">The Evaluation Plan for the Bowel Screening Pilot 2011–2016. </w:t>
      </w:r>
      <w:r w:rsidRPr="00AB5245">
        <w:rPr>
          <w:rFonts w:cs="Arial"/>
        </w:rPr>
        <w:t>Prepared for the Ministry of Health. Wellington, New Zealand: Litmus.</w:t>
      </w:r>
    </w:p>
    <w:p w:rsidR="00F80C86" w:rsidRPr="00AB5245" w:rsidRDefault="00F80C86" w:rsidP="00F80C86">
      <w:pPr>
        <w:ind w:left="425"/>
        <w:rPr>
          <w:rFonts w:cs="Arial"/>
        </w:rPr>
      </w:pPr>
      <w:r w:rsidRPr="00AB5245">
        <w:t xml:space="preserve">Litmus. 2012. </w:t>
      </w:r>
      <w:r w:rsidRPr="00AB5245">
        <w:rPr>
          <w:i/>
        </w:rPr>
        <w:t>Evaluation of the Bowel Screening Pilot – Baseline Population Survey Findings</w:t>
      </w:r>
      <w:r w:rsidRPr="00AB5245">
        <w:t xml:space="preserve">. </w:t>
      </w:r>
      <w:r w:rsidRPr="00AB5245">
        <w:rPr>
          <w:rFonts w:cs="Arial"/>
        </w:rPr>
        <w:t>Prepared for the Ministry of Health. Wellington, New Zealand: Litmus.</w:t>
      </w:r>
    </w:p>
    <w:p w:rsidR="00A013F2" w:rsidRDefault="00F80C86" w:rsidP="00F80C86">
      <w:pPr>
        <w:ind w:left="425"/>
        <w:rPr>
          <w:rFonts w:cs="Arial"/>
        </w:rPr>
      </w:pPr>
      <w:r w:rsidRPr="00AB5245">
        <w:t xml:space="preserve">Litmus. 2012a. </w:t>
      </w:r>
      <w:r w:rsidRPr="00AB5245">
        <w:rPr>
          <w:i/>
        </w:rPr>
        <w:t>Evaluation of the Bowel Screening Pilot – Baseline Provider Survey Findings</w:t>
      </w:r>
      <w:r w:rsidRPr="00AB5245">
        <w:t xml:space="preserve">. </w:t>
      </w:r>
      <w:r w:rsidRPr="00AB5245">
        <w:rPr>
          <w:rFonts w:cs="Arial"/>
        </w:rPr>
        <w:t>Prepared for the Ministry of Health. Wellington, New Zealand: Litmus.</w:t>
      </w:r>
    </w:p>
    <w:p w:rsidR="00F80C86" w:rsidRPr="00AB5245" w:rsidRDefault="00F80C86" w:rsidP="00F80C86">
      <w:pPr>
        <w:ind w:left="425"/>
        <w:rPr>
          <w:rFonts w:cs="Arial"/>
        </w:rPr>
      </w:pPr>
      <w:r w:rsidRPr="00AB5245">
        <w:t xml:space="preserve">Litmus. 2013. </w:t>
      </w:r>
      <w:r w:rsidRPr="00AB5245">
        <w:rPr>
          <w:i/>
        </w:rPr>
        <w:t>Evaluation of the Bowel Screening Pilot – Eligible Population Perspectives.</w:t>
      </w:r>
      <w:r w:rsidRPr="00AB5245">
        <w:t xml:space="preserve"> </w:t>
      </w:r>
      <w:r w:rsidRPr="00AB5245">
        <w:rPr>
          <w:rFonts w:cs="Arial"/>
        </w:rPr>
        <w:t>Prepared for the Ministry of Health. Wellington, New Zealand: Litmus.</w:t>
      </w:r>
    </w:p>
    <w:p w:rsidR="00F80C86" w:rsidRPr="00AB5245" w:rsidRDefault="00F80C86" w:rsidP="00F80C86">
      <w:pPr>
        <w:ind w:left="425"/>
        <w:rPr>
          <w:rFonts w:cs="Arial"/>
        </w:rPr>
      </w:pPr>
      <w:r w:rsidRPr="00AB5245">
        <w:t xml:space="preserve">Litmus. 2013a. </w:t>
      </w:r>
      <w:r w:rsidRPr="00AB5245">
        <w:rPr>
          <w:i/>
        </w:rPr>
        <w:t>Evaluation of the Bowel Screening Pilot – Findings from the 2012 Immersion Visit.</w:t>
      </w:r>
      <w:r w:rsidRPr="00AB5245">
        <w:t xml:space="preserve"> </w:t>
      </w:r>
      <w:r w:rsidRPr="00AB5245">
        <w:rPr>
          <w:rFonts w:cs="Arial"/>
        </w:rPr>
        <w:t>Prepared for the Ministry of Health. Wellington, New Zealand: Litmus.</w:t>
      </w:r>
    </w:p>
    <w:p w:rsidR="00F80C86" w:rsidRPr="00AB5245" w:rsidRDefault="00F80C86" w:rsidP="00F80C86">
      <w:pPr>
        <w:ind w:left="425"/>
        <w:rPr>
          <w:rFonts w:cs="Arial"/>
        </w:rPr>
      </w:pPr>
      <w:r w:rsidRPr="00AB5245">
        <w:t xml:space="preserve">Litmus. 2014.  </w:t>
      </w:r>
      <w:r w:rsidRPr="00AB5245">
        <w:rPr>
          <w:i/>
        </w:rPr>
        <w:t>Evaluation of the Bowel Screening Pilot – Findings from the 2013 Immersion Visit.</w:t>
      </w:r>
      <w:r w:rsidRPr="00AB5245">
        <w:t xml:space="preserve"> </w:t>
      </w:r>
      <w:r w:rsidRPr="00AB5245">
        <w:rPr>
          <w:rFonts w:cs="Arial"/>
        </w:rPr>
        <w:t>Prepared for the Ministry of Health. Wellington, New Zealand: Litmus.</w:t>
      </w:r>
    </w:p>
    <w:p w:rsidR="00F80C86" w:rsidRPr="00AB5245" w:rsidRDefault="00F80C86" w:rsidP="00F80C86">
      <w:pPr>
        <w:ind w:left="425"/>
        <w:rPr>
          <w:rFonts w:cs="Arial"/>
        </w:rPr>
      </w:pPr>
      <w:r w:rsidRPr="00AB5245">
        <w:t xml:space="preserve">Litmus. 2014a. </w:t>
      </w:r>
      <w:r w:rsidRPr="00AB5245">
        <w:rPr>
          <w:i/>
        </w:rPr>
        <w:t>Evaluation of the Bowel Screening Pilot – 2013 Follow up WDHB Population Survey Findings</w:t>
      </w:r>
      <w:r w:rsidRPr="00AB5245">
        <w:t xml:space="preserve">. </w:t>
      </w:r>
      <w:r w:rsidRPr="00AB5245">
        <w:rPr>
          <w:rFonts w:cs="Arial"/>
        </w:rPr>
        <w:t>Prepared for the Ministry of Health. Wellington, New Zealand: Litmus.</w:t>
      </w:r>
    </w:p>
    <w:p w:rsidR="00F80C86" w:rsidRPr="00AB5245" w:rsidRDefault="00F80C86" w:rsidP="00F80C86">
      <w:pPr>
        <w:ind w:left="425"/>
        <w:rPr>
          <w:rFonts w:cs="Arial"/>
        </w:rPr>
      </w:pPr>
      <w:r w:rsidRPr="00AB5245">
        <w:t xml:space="preserve">Litmus. 2014b. </w:t>
      </w:r>
      <w:r w:rsidRPr="00AB5245">
        <w:rPr>
          <w:i/>
        </w:rPr>
        <w:t>Evaluation of the Bowel Screening Pilot – 2013 Follow-up Provider Survey Findings</w:t>
      </w:r>
      <w:r w:rsidRPr="00AB5245">
        <w:t xml:space="preserve">. </w:t>
      </w:r>
      <w:r w:rsidRPr="00AB5245">
        <w:rPr>
          <w:rFonts w:cs="Arial"/>
        </w:rPr>
        <w:t>Prepared for the Ministry of Health. Wellington, New Zealand: Litmus.</w:t>
      </w:r>
    </w:p>
    <w:p w:rsidR="00F80C86" w:rsidRPr="00AB5245" w:rsidRDefault="00F80C86" w:rsidP="00F80C86">
      <w:pPr>
        <w:ind w:left="425"/>
        <w:rPr>
          <w:rFonts w:cs="Arial"/>
        </w:rPr>
      </w:pPr>
      <w:r w:rsidRPr="00AB5245">
        <w:t xml:space="preserve">Litmus. 2014c. </w:t>
      </w:r>
      <w:r w:rsidRPr="00AB5245">
        <w:rPr>
          <w:i/>
        </w:rPr>
        <w:t>Evaluation of the Bowel Screening Pilot – Role of General Practice.</w:t>
      </w:r>
      <w:r w:rsidRPr="00AB5245">
        <w:t xml:space="preserve"> </w:t>
      </w:r>
      <w:r w:rsidRPr="00AB5245">
        <w:rPr>
          <w:rFonts w:cs="Arial"/>
        </w:rPr>
        <w:t>Prepared for the Ministry of Health. Wellington, New Zealand: Litmus.</w:t>
      </w:r>
    </w:p>
    <w:p w:rsidR="00F80C86" w:rsidRPr="00AB5245" w:rsidRDefault="00F80C86" w:rsidP="00F80C86">
      <w:pPr>
        <w:spacing w:before="120"/>
        <w:ind w:left="425"/>
        <w:rPr>
          <w:rFonts w:cs="Arial"/>
          <w:szCs w:val="24"/>
        </w:rPr>
      </w:pPr>
      <w:r w:rsidRPr="00AB5245">
        <w:rPr>
          <w:szCs w:val="24"/>
        </w:rPr>
        <w:t xml:space="preserve">Litmus. 2015. </w:t>
      </w:r>
      <w:r w:rsidRPr="00AB5245">
        <w:rPr>
          <w:i/>
          <w:szCs w:val="24"/>
        </w:rPr>
        <w:t>Revised Litmus</w:t>
      </w:r>
      <w:r w:rsidRPr="00AB5245">
        <w:rPr>
          <w:szCs w:val="24"/>
        </w:rPr>
        <w:t xml:space="preserve"> </w:t>
      </w:r>
      <w:r w:rsidRPr="00AB5245">
        <w:rPr>
          <w:i/>
          <w:szCs w:val="24"/>
        </w:rPr>
        <w:t>Evaluation Activities for the Bowel Screening Pilot.</w:t>
      </w:r>
      <w:r w:rsidRPr="00AB5245">
        <w:rPr>
          <w:szCs w:val="24"/>
        </w:rPr>
        <w:t xml:space="preserve"> </w:t>
      </w:r>
      <w:r w:rsidRPr="00AB5245">
        <w:rPr>
          <w:rFonts w:cs="Arial"/>
          <w:szCs w:val="24"/>
        </w:rPr>
        <w:t>Prepared for the Ministry of Health. Wellington, New Zealand: Litmus.</w:t>
      </w:r>
    </w:p>
    <w:p w:rsidR="00F80C86" w:rsidRPr="00AB5245" w:rsidRDefault="00F80C86" w:rsidP="00F80C86">
      <w:pPr>
        <w:ind w:left="425"/>
      </w:pPr>
      <w:r w:rsidRPr="00AB5245">
        <w:t xml:space="preserve">Litmus. 2016.  </w:t>
      </w:r>
      <w:r w:rsidRPr="00AB5245">
        <w:rPr>
          <w:i/>
        </w:rPr>
        <w:t>Increasing Participation of Māori and Pacific people in the BSP; General practices role in the BSP</w:t>
      </w:r>
      <w:r w:rsidRPr="00AB5245">
        <w:t>.  Prepared for the Ministry of Health. Wellington, New Zealand: Litmus.</w:t>
      </w:r>
    </w:p>
    <w:p w:rsidR="00F80C86" w:rsidRPr="00AB5245" w:rsidRDefault="00F80C86" w:rsidP="00F80C86">
      <w:pPr>
        <w:spacing w:before="120"/>
        <w:ind w:left="425"/>
        <w:rPr>
          <w:rFonts w:cs="Arial"/>
          <w:szCs w:val="24"/>
        </w:rPr>
      </w:pPr>
      <w:r w:rsidRPr="00AB5245">
        <w:rPr>
          <w:szCs w:val="24"/>
        </w:rPr>
        <w:t xml:space="preserve">Litmus. 2016a. </w:t>
      </w:r>
      <w:r w:rsidRPr="00AB5245">
        <w:rPr>
          <w:i/>
          <w:szCs w:val="24"/>
        </w:rPr>
        <w:t>2015 Immersion Visit.</w:t>
      </w:r>
      <w:r w:rsidRPr="00AB5245">
        <w:rPr>
          <w:szCs w:val="24"/>
        </w:rPr>
        <w:t xml:space="preserve"> </w:t>
      </w:r>
      <w:r w:rsidRPr="00AB5245">
        <w:rPr>
          <w:rFonts w:cs="Arial"/>
          <w:szCs w:val="24"/>
        </w:rPr>
        <w:t>Prepared for the Ministry of Health. Wellington, New Zealand: Litmus Limited.</w:t>
      </w:r>
    </w:p>
    <w:p w:rsidR="00F80C86" w:rsidRPr="00AB5245" w:rsidRDefault="00F80C86" w:rsidP="00F80C86">
      <w:pPr>
        <w:spacing w:before="120"/>
        <w:ind w:left="425"/>
        <w:rPr>
          <w:rFonts w:cs="Arial"/>
          <w:szCs w:val="24"/>
        </w:rPr>
      </w:pPr>
      <w:r w:rsidRPr="00AB5245">
        <w:rPr>
          <w:rFonts w:cs="Arial"/>
          <w:szCs w:val="24"/>
        </w:rPr>
        <w:t>Litmus, Massey University &amp; Sapere Research Group.  2015.  Interim Evaluation Report of the Bowel Screening Pilot. Wellington, New Zealand: Authors.</w:t>
      </w:r>
    </w:p>
    <w:p w:rsidR="006A3E16" w:rsidRDefault="006A3E16" w:rsidP="006A3E16">
      <w:pPr>
        <w:spacing w:after="120"/>
        <w:ind w:left="425"/>
      </w:pPr>
      <w:r>
        <w:t xml:space="preserve">Love T, Poynton M, Swansson J. 2016. </w:t>
      </w:r>
      <w:r>
        <w:rPr>
          <w:i/>
          <w:iCs/>
        </w:rPr>
        <w:t xml:space="preserve">The cost effectiveness of bowel cancer screening in New Zealand: a cost-utility analysis based on pilot results. </w:t>
      </w:r>
      <w:r>
        <w:t>Wellington, New Zealand: Sapere Research Group.</w:t>
      </w:r>
    </w:p>
    <w:p w:rsidR="00F80C86" w:rsidRPr="00AB5245" w:rsidRDefault="00F80C86" w:rsidP="00F80C86">
      <w:pPr>
        <w:ind w:left="425"/>
      </w:pPr>
      <w:r w:rsidRPr="00AB5245">
        <w:t>Meredith I, Sarfati D, Ikeda T, Blakely T. 2012.  Cancer in Pacific people in New Zealand. Cancer Causes Control (2012) 23:</w:t>
      </w:r>
      <w:r w:rsidR="00A013F2">
        <w:t xml:space="preserve"> </w:t>
      </w:r>
      <w:r w:rsidRPr="00AB5245">
        <w:t>1173–1184</w:t>
      </w:r>
      <w:r w:rsidR="00A013F2">
        <w:t>.</w:t>
      </w:r>
    </w:p>
    <w:p w:rsidR="00F80C86" w:rsidRPr="00AB5245" w:rsidRDefault="00F80C86" w:rsidP="00F80C86">
      <w:pPr>
        <w:ind w:left="425" w:right="-282"/>
        <w:rPr>
          <w:rFonts w:cs="Arial"/>
        </w:rPr>
      </w:pPr>
      <w:r w:rsidRPr="00AB5245">
        <w:rPr>
          <w:rFonts w:cs="Arial"/>
        </w:rPr>
        <w:t xml:space="preserve">Ministry of Health. 2002. </w:t>
      </w:r>
      <w:r w:rsidRPr="00AB5245">
        <w:rPr>
          <w:rFonts w:cs="Arial"/>
          <w:i/>
        </w:rPr>
        <w:t>Cancer in New Zealand: trends and projections</w:t>
      </w:r>
      <w:r w:rsidRPr="00AB5245">
        <w:rPr>
          <w:rFonts w:cs="Arial"/>
        </w:rPr>
        <w:t>. Wellington: Ministry of Health.</w:t>
      </w:r>
    </w:p>
    <w:p w:rsidR="00F80C86" w:rsidRPr="00AB5245" w:rsidRDefault="00F80C86" w:rsidP="00F80C86">
      <w:pPr>
        <w:ind w:left="425"/>
      </w:pPr>
      <w:r w:rsidRPr="00AB5245">
        <w:t xml:space="preserve">Ministry of Health. 2004. </w:t>
      </w:r>
      <w:r w:rsidRPr="00AB5245">
        <w:rPr>
          <w:i/>
        </w:rPr>
        <w:t>Surveillance and Management of Groups at Increased Risk of Colorectal Cancer.</w:t>
      </w:r>
      <w:r w:rsidRPr="00AB5245">
        <w:t xml:space="preserve"> Wellington, New Zealand: Ministry of Health.</w:t>
      </w:r>
    </w:p>
    <w:p w:rsidR="00F80C86" w:rsidRPr="00AB5245" w:rsidRDefault="00F80C86" w:rsidP="00F80C86">
      <w:pPr>
        <w:ind w:left="425" w:right="-282"/>
        <w:rPr>
          <w:i/>
        </w:rPr>
      </w:pPr>
      <w:r w:rsidRPr="00AB5245">
        <w:t>Ministry of Health. 2010</w:t>
      </w:r>
      <w:r w:rsidRPr="00AB5245">
        <w:rPr>
          <w:i/>
        </w:rPr>
        <w:t xml:space="preserve">. Bowel Cancer Programme: Literature Review: What interventions will optimise participation of Māori and Pacific peoples to, and through, the bowel cancer screening pathway? </w:t>
      </w:r>
      <w:r w:rsidRPr="00AB5245">
        <w:t>Wellington, New Zealand: Ministry of Health.</w:t>
      </w:r>
    </w:p>
    <w:p w:rsidR="00F80C86" w:rsidRPr="00AB5245" w:rsidRDefault="00F80C86" w:rsidP="00F80C86">
      <w:pPr>
        <w:ind w:left="425"/>
      </w:pPr>
      <w:r w:rsidRPr="00AB5245">
        <w:t>Ministry of Health. 2011</w:t>
      </w:r>
      <w:r w:rsidRPr="00AB5245">
        <w:rPr>
          <w:i/>
        </w:rPr>
        <w:t xml:space="preserve">. Policy and Operational Procedures for the Bowel Screening Pilot.  Final Version 1.0 (dated 1 November 2011). </w:t>
      </w:r>
      <w:r w:rsidRPr="00AB5245">
        <w:t>Wellington, New Zealand: Ministry of Health.</w:t>
      </w:r>
    </w:p>
    <w:p w:rsidR="00F80C86" w:rsidRPr="00AB5245" w:rsidRDefault="00F80C86" w:rsidP="00F80C86">
      <w:pPr>
        <w:ind w:left="425"/>
      </w:pPr>
      <w:r w:rsidRPr="00AB5245">
        <w:t>Ministry of Health. 2011a</w:t>
      </w:r>
      <w:r w:rsidRPr="00AB5245">
        <w:rPr>
          <w:i/>
        </w:rPr>
        <w:t xml:space="preserve">. </w:t>
      </w:r>
      <w:r w:rsidRPr="00AB5245">
        <w:rPr>
          <w:rFonts w:cs="Arial"/>
          <w:i/>
        </w:rPr>
        <w:t>Bowel Screening Pilot: Immunochemical Faecal Occult Blood Test (iFOBT): Draft Performance Quality Standards</w:t>
      </w:r>
      <w:r w:rsidRPr="00AB5245">
        <w:rPr>
          <w:i/>
        </w:rPr>
        <w:t xml:space="preserve">. Final Version 1.1 (dated December 2011). </w:t>
      </w:r>
      <w:r w:rsidRPr="00AB5245">
        <w:t>Wellington, New Zealand: Ministry of Health.</w:t>
      </w:r>
    </w:p>
    <w:p w:rsidR="00F80C86" w:rsidRPr="00AB5245" w:rsidRDefault="00F80C86" w:rsidP="00F80C86">
      <w:pPr>
        <w:ind w:left="425"/>
      </w:pPr>
      <w:r w:rsidRPr="00AB5245">
        <w:t>Ministry of Health. 2011b</w:t>
      </w:r>
      <w:r w:rsidRPr="00AB5245">
        <w:rPr>
          <w:i/>
        </w:rPr>
        <w:t xml:space="preserve">. </w:t>
      </w:r>
      <w:r w:rsidRPr="00AB5245">
        <w:rPr>
          <w:rFonts w:cs="Arial"/>
          <w:i/>
        </w:rPr>
        <w:t xml:space="preserve">Standards for Endoscopy (Colonoscopy) Facilities Bowel Screening Pilot. </w:t>
      </w:r>
      <w:r w:rsidRPr="00AB5245">
        <w:rPr>
          <w:i/>
        </w:rPr>
        <w:t xml:space="preserve">Version 2 (dated August 2011). </w:t>
      </w:r>
      <w:r w:rsidRPr="00AB5245">
        <w:t>Wellington, New Zealand: Ministry of Health.</w:t>
      </w:r>
    </w:p>
    <w:p w:rsidR="007F5994" w:rsidRDefault="007F5994" w:rsidP="007F5994">
      <w:pPr>
        <w:ind w:left="425"/>
      </w:pPr>
      <w:r w:rsidRPr="006556B1">
        <w:t xml:space="preserve">Ministry of Health. </w:t>
      </w:r>
      <w:r>
        <w:t xml:space="preserve">2011c. </w:t>
      </w:r>
      <w:r w:rsidRPr="007F5994">
        <w:rPr>
          <w:i/>
        </w:rPr>
        <w:t>The Price of Cancer: The Public Price of Registered Cancer in New Zealand</w:t>
      </w:r>
      <w:r w:rsidRPr="006556B1">
        <w:t>.</w:t>
      </w:r>
      <w:r>
        <w:t xml:space="preserve"> Wellington</w:t>
      </w:r>
      <w:r w:rsidR="00A013F2">
        <w:t>, New Zealand</w:t>
      </w:r>
      <w:r>
        <w:t>: Ministry of Health.</w:t>
      </w:r>
    </w:p>
    <w:p w:rsidR="00F80C86" w:rsidRPr="00AB5245" w:rsidRDefault="00F80C86" w:rsidP="00F80C86">
      <w:pPr>
        <w:ind w:left="425"/>
      </w:pPr>
      <w:r w:rsidRPr="00AB5245">
        <w:t>Ministry of Health. 2012</w:t>
      </w:r>
      <w:r w:rsidRPr="00AB5245">
        <w:rPr>
          <w:i/>
        </w:rPr>
        <w:t xml:space="preserve">. </w:t>
      </w:r>
      <w:r w:rsidRPr="00AB5245">
        <w:rPr>
          <w:rFonts w:cs="Arial"/>
          <w:i/>
        </w:rPr>
        <w:t>Bowel Screening Pilot</w:t>
      </w:r>
      <w:r w:rsidRPr="00AB5245">
        <w:rPr>
          <w:i/>
          <w:lang w:val="en-US"/>
        </w:rPr>
        <w:t xml:space="preserve"> Interim Quality Standards: Version</w:t>
      </w:r>
      <w:r w:rsidRPr="00AB5245">
        <w:rPr>
          <w:i/>
        </w:rPr>
        <w:t xml:space="preserve"> 1.2 (dated 14 May 2012). </w:t>
      </w:r>
      <w:r w:rsidRPr="00AB5245">
        <w:t>Wellington, New Zealand: Ministry of Health.</w:t>
      </w:r>
    </w:p>
    <w:p w:rsidR="00F80C86" w:rsidRPr="00AB5245" w:rsidRDefault="00F80C86" w:rsidP="00F80C86">
      <w:pPr>
        <w:ind w:left="425"/>
      </w:pPr>
      <w:r w:rsidRPr="00AB5245">
        <w:t>Ministry of Health. 2013</w:t>
      </w:r>
      <w:r w:rsidRPr="00AB5245">
        <w:rPr>
          <w:i/>
        </w:rPr>
        <w:t xml:space="preserve">. </w:t>
      </w:r>
      <w:r w:rsidRPr="00AB5245">
        <w:rPr>
          <w:rFonts w:cs="Arial"/>
          <w:i/>
        </w:rPr>
        <w:t>Bowel Screening Pilot</w:t>
      </w:r>
      <w:r w:rsidRPr="00AB5245">
        <w:rPr>
          <w:i/>
          <w:lang w:val="en-US"/>
        </w:rPr>
        <w:t xml:space="preserve"> Interim Quality Standards: Version</w:t>
      </w:r>
      <w:r w:rsidRPr="00AB5245">
        <w:rPr>
          <w:i/>
        </w:rPr>
        <w:t xml:space="preserve"> 2.0 (dated 30 March 2013). </w:t>
      </w:r>
      <w:r w:rsidRPr="00AB5245">
        <w:t>Wellington, New Zealand: Ministry of Health.</w:t>
      </w:r>
    </w:p>
    <w:p w:rsidR="00F80C86" w:rsidRPr="00AB5245" w:rsidRDefault="00F80C86" w:rsidP="00F80C86">
      <w:pPr>
        <w:ind w:left="425"/>
      </w:pPr>
      <w:r w:rsidRPr="00AB5245">
        <w:t xml:space="preserve">Ministry of Health. </w:t>
      </w:r>
      <w:r w:rsidRPr="006A3E16">
        <w:t>2013</w:t>
      </w:r>
      <w:r w:rsidR="006A3E16" w:rsidRPr="006A3E16">
        <w:t>a</w:t>
      </w:r>
      <w:r w:rsidRPr="006A3E16">
        <w:rPr>
          <w:i/>
        </w:rPr>
        <w:t>.</w:t>
      </w:r>
      <w:r w:rsidRPr="00AB5245">
        <w:rPr>
          <w:i/>
        </w:rPr>
        <w:t xml:space="preserve"> </w:t>
      </w:r>
      <w:r w:rsidRPr="00AB5245">
        <w:rPr>
          <w:rFonts w:cs="Arial"/>
          <w:i/>
        </w:rPr>
        <w:t xml:space="preserve">Final Service Delivery Model for the Bowel Screening Pilot </w:t>
      </w:r>
      <w:r w:rsidRPr="00AB5245">
        <w:rPr>
          <w:i/>
        </w:rPr>
        <w:t xml:space="preserve">Version 4. </w:t>
      </w:r>
      <w:r w:rsidRPr="00AB5245">
        <w:t>Wellington, New Zealand: Ministry of Health.</w:t>
      </w:r>
      <w:r w:rsidR="00806BBA">
        <w:t xml:space="preserve"> </w:t>
      </w:r>
    </w:p>
    <w:p w:rsidR="00F80C86" w:rsidRPr="00AB5245" w:rsidRDefault="00F80C86" w:rsidP="00F80C86">
      <w:pPr>
        <w:ind w:left="425" w:right="-282"/>
        <w:rPr>
          <w:rFonts w:cs="Arial"/>
        </w:rPr>
      </w:pPr>
      <w:r w:rsidRPr="00AB5245">
        <w:t xml:space="preserve">Ministry of Health. 2015. </w:t>
      </w:r>
      <w:r w:rsidRPr="00AB5245">
        <w:rPr>
          <w:i/>
        </w:rPr>
        <w:t>Cancer: New registrations and deaths 2012</w:t>
      </w:r>
      <w:r w:rsidRPr="00AB5245">
        <w:t>. Wellington</w:t>
      </w:r>
      <w:r w:rsidR="00A013F2">
        <w:t>, New Zealand</w:t>
      </w:r>
      <w:r w:rsidRPr="00AB5245">
        <w:t>: Ministry of Health.</w:t>
      </w:r>
    </w:p>
    <w:p w:rsidR="00F80C86" w:rsidRPr="00AB5245" w:rsidRDefault="00F80C86" w:rsidP="00F80C86">
      <w:pPr>
        <w:ind w:left="425" w:right="-282"/>
        <w:rPr>
          <w:rFonts w:cs="Arial"/>
          <w:lang w:eastAsia="en-NZ"/>
        </w:rPr>
      </w:pPr>
      <w:r w:rsidRPr="005B103A">
        <w:rPr>
          <w:rFonts w:cs="Arial"/>
        </w:rPr>
        <w:t xml:space="preserve">Moss S, Ancelle-Park R, Brenner H. </w:t>
      </w:r>
      <w:r w:rsidR="00806BBA" w:rsidRPr="005B103A">
        <w:rPr>
          <w:rFonts w:cs="Arial"/>
        </w:rPr>
        <w:t xml:space="preserve">2010. </w:t>
      </w:r>
      <w:r w:rsidRPr="005B103A">
        <w:rPr>
          <w:rFonts w:cs="Arial"/>
        </w:rPr>
        <w:t>Chapter 3</w:t>
      </w:r>
      <w:r w:rsidR="005B103A">
        <w:rPr>
          <w:rFonts w:cs="Arial"/>
        </w:rPr>
        <w:t>.</w:t>
      </w:r>
      <w:r w:rsidRPr="005B103A">
        <w:rPr>
          <w:rFonts w:cs="Arial"/>
        </w:rPr>
        <w:t xml:space="preserve"> Evaluation and interpretation of screening outcomes. In: Seg</w:t>
      </w:r>
      <w:r w:rsidR="003D2DDA" w:rsidRPr="005B103A">
        <w:rPr>
          <w:rFonts w:cs="Arial"/>
        </w:rPr>
        <w:t>nan N, Patnick J, von Karsa L (E</w:t>
      </w:r>
      <w:r w:rsidRPr="005B103A">
        <w:rPr>
          <w:rFonts w:cs="Arial"/>
        </w:rPr>
        <w:t xml:space="preserve">ds). </w:t>
      </w:r>
      <w:r w:rsidRPr="005B103A">
        <w:rPr>
          <w:rFonts w:cs="Arial"/>
          <w:i/>
        </w:rPr>
        <w:t>European guidelines for quality assurance in colorectal cancer screening and diagnosis.</w:t>
      </w:r>
      <w:r w:rsidRPr="005B103A">
        <w:rPr>
          <w:rFonts w:cs="Arial"/>
        </w:rPr>
        <w:t xml:space="preserve"> European Commission.</w:t>
      </w:r>
      <w:r w:rsidR="00806BBA">
        <w:rPr>
          <w:rFonts w:cs="Arial"/>
        </w:rPr>
        <w:t xml:space="preserve"> </w:t>
      </w:r>
    </w:p>
    <w:p w:rsidR="00F80C86" w:rsidRPr="00AB5245" w:rsidRDefault="00F80C86" w:rsidP="00F80C86">
      <w:pPr>
        <w:spacing w:after="120"/>
        <w:ind w:left="425"/>
      </w:pPr>
      <w:r w:rsidRPr="00AB5245">
        <w:t xml:space="preserve">National Bowel Cancer Tumour Standards Working Group. 2013. </w:t>
      </w:r>
      <w:r w:rsidRPr="00AB5245">
        <w:rPr>
          <w:i/>
        </w:rPr>
        <w:t>Standards of Service Provision for Bowel Cancer Patients in New Zealand – Provisional</w:t>
      </w:r>
      <w:r w:rsidRPr="00AB5245">
        <w:t>. Wellington</w:t>
      </w:r>
      <w:r w:rsidR="00806BBA">
        <w:t>, New Zealand</w:t>
      </w:r>
      <w:r w:rsidRPr="00AB5245">
        <w:t xml:space="preserve">: Ministry of Health. </w:t>
      </w:r>
    </w:p>
    <w:p w:rsidR="00F80C86" w:rsidRPr="00AB5245" w:rsidRDefault="00F80C86" w:rsidP="00F80C86">
      <w:pPr>
        <w:ind w:left="425"/>
      </w:pPr>
      <w:r w:rsidRPr="00AB5245">
        <w:t>National Screening Unit. 2005.  Improving quality: a framework for screening programmes in New Zealand. Wellington, New Zealand: Ministry of Health.</w:t>
      </w:r>
    </w:p>
    <w:p w:rsidR="00F80C86" w:rsidRPr="00AB5245" w:rsidRDefault="00F80C86" w:rsidP="00F80C86">
      <w:pPr>
        <w:ind w:left="425"/>
      </w:pPr>
      <w:r w:rsidRPr="00AB5245">
        <w:t xml:space="preserve">New Zealand Guidelines Group. 2004. </w:t>
      </w:r>
      <w:r w:rsidRPr="00AB5245">
        <w:rPr>
          <w:i/>
        </w:rPr>
        <w:t xml:space="preserve">Guidance on Surveillance for People at Increased Risk of Colorectal Cancer. </w:t>
      </w:r>
      <w:r w:rsidRPr="00AB5245">
        <w:t>Wellington: New Zealand Guidelines Group</w:t>
      </w:r>
      <w:r w:rsidR="00806BBA">
        <w:t>.</w:t>
      </w:r>
    </w:p>
    <w:p w:rsidR="00F80C86" w:rsidRPr="00AB5245" w:rsidRDefault="00F80C86" w:rsidP="00F80C86">
      <w:pPr>
        <w:ind w:left="425"/>
        <w:rPr>
          <w:rFonts w:cs="Arial"/>
          <w:szCs w:val="24"/>
          <w:lang w:val="en-GB"/>
        </w:rPr>
      </w:pPr>
      <w:r w:rsidRPr="00AB5245">
        <w:rPr>
          <w:rFonts w:cs="Arial"/>
          <w:szCs w:val="24"/>
          <w:lang w:val="en-GB"/>
        </w:rPr>
        <w:t xml:space="preserve">Power E, Miles A, von Wagner C et al. 2009. Uptake of colorectal cancer screening: system, provider and individual factors and strategies to improve participation. </w:t>
      </w:r>
      <w:r w:rsidRPr="00AB5245">
        <w:rPr>
          <w:rFonts w:cs="Arial"/>
          <w:i/>
          <w:szCs w:val="24"/>
          <w:lang w:val="en-GB"/>
        </w:rPr>
        <w:t>Future Oncology</w:t>
      </w:r>
      <w:r w:rsidRPr="00AB5245">
        <w:rPr>
          <w:rFonts w:cs="Arial"/>
          <w:szCs w:val="24"/>
          <w:lang w:val="en-GB"/>
        </w:rPr>
        <w:t xml:space="preserve"> 5(9):</w:t>
      </w:r>
      <w:r w:rsidR="00806BBA">
        <w:rPr>
          <w:rFonts w:cs="Arial"/>
          <w:szCs w:val="24"/>
          <w:lang w:val="en-GB"/>
        </w:rPr>
        <w:t xml:space="preserve"> </w:t>
      </w:r>
      <w:r w:rsidRPr="00AB5245">
        <w:rPr>
          <w:rFonts w:cs="Arial"/>
          <w:szCs w:val="24"/>
          <w:lang w:val="en-GB"/>
        </w:rPr>
        <w:t>1371</w:t>
      </w:r>
      <w:r w:rsidR="00806BBA">
        <w:rPr>
          <w:rFonts w:cs="Arial"/>
          <w:szCs w:val="24"/>
          <w:lang w:val="en-GB"/>
        </w:rPr>
        <w:t>–</w:t>
      </w:r>
      <w:r w:rsidRPr="00AB5245">
        <w:rPr>
          <w:rFonts w:cs="Arial"/>
          <w:szCs w:val="24"/>
          <w:lang w:val="en-GB"/>
        </w:rPr>
        <w:t>88.</w:t>
      </w:r>
    </w:p>
    <w:p w:rsidR="00F80C86" w:rsidRPr="00AB5245" w:rsidRDefault="00F80C86" w:rsidP="00F80C86">
      <w:pPr>
        <w:ind w:left="425"/>
        <w:rPr>
          <w:rFonts w:cs="Arial"/>
        </w:rPr>
      </w:pPr>
      <w:r w:rsidRPr="00AB5245">
        <w:t xml:space="preserve">Read D, Shanthakumar M, Borman B. 2014. </w:t>
      </w:r>
      <w:r w:rsidRPr="00AB5245">
        <w:rPr>
          <w:i/>
        </w:rPr>
        <w:t>Results of the First Round of the Bowel Screening Pilot</w:t>
      </w:r>
      <w:r w:rsidRPr="00AB5245">
        <w:t xml:space="preserve">.  </w:t>
      </w:r>
      <w:r w:rsidRPr="00AB5245">
        <w:rPr>
          <w:rFonts w:cs="Arial"/>
        </w:rPr>
        <w:t xml:space="preserve">Prepared for the Ministry of Health. Wellington, New Zealand: Centre for Public Health Research, Massey University.  </w:t>
      </w:r>
    </w:p>
    <w:p w:rsidR="00F80C86" w:rsidRPr="00AB5245" w:rsidRDefault="00F80C86" w:rsidP="00F80C86">
      <w:pPr>
        <w:ind w:left="425"/>
        <w:rPr>
          <w:rFonts w:cs="Arial"/>
        </w:rPr>
      </w:pPr>
      <w:r w:rsidRPr="00AB5245">
        <w:t xml:space="preserve">Read D, Shanthakumar M, Borman B. 2015. </w:t>
      </w:r>
      <w:r w:rsidRPr="00AB5245">
        <w:rPr>
          <w:i/>
        </w:rPr>
        <w:t>Epidemiological Analytical Plan for the Evaluation Report of the New Zealand Bowel Screening Pilot.</w:t>
      </w:r>
      <w:r w:rsidRPr="00AB5245">
        <w:t xml:space="preserve"> </w:t>
      </w:r>
      <w:r w:rsidRPr="00AB5245">
        <w:rPr>
          <w:rFonts w:cs="Arial"/>
        </w:rPr>
        <w:t>Prepared for the Ministry of Health. Wellington, New Zealand: Centre for Public Health Research, Massey University.</w:t>
      </w:r>
    </w:p>
    <w:p w:rsidR="00F80C86" w:rsidRPr="00AB5245" w:rsidRDefault="00F80C86" w:rsidP="00F80C86">
      <w:pPr>
        <w:ind w:left="425"/>
        <w:rPr>
          <w:rFonts w:cs="Arial"/>
        </w:rPr>
      </w:pPr>
      <w:r w:rsidRPr="00AB5245">
        <w:t xml:space="preserve">Read D, Shanthakumar M, Borman B. 2016. </w:t>
      </w:r>
      <w:r w:rsidRPr="00AB5245">
        <w:rPr>
          <w:i/>
        </w:rPr>
        <w:t>The Bowel Screening Pilot: Results of the First 36 Months.</w:t>
      </w:r>
      <w:r w:rsidRPr="00AB5245">
        <w:t xml:space="preserve"> </w:t>
      </w:r>
      <w:r w:rsidRPr="00AB5245">
        <w:rPr>
          <w:rFonts w:cs="Arial"/>
        </w:rPr>
        <w:t xml:space="preserve">Prepared for the Ministry of Health. Wellington, New Zealand: Centre for Public Health Research, Massey University.  </w:t>
      </w:r>
    </w:p>
    <w:p w:rsidR="00F80C86" w:rsidRPr="00AB5245" w:rsidRDefault="00806BBA" w:rsidP="00F80C86">
      <w:pPr>
        <w:ind w:left="425"/>
        <w:rPr>
          <w:rFonts w:cs="Arial"/>
          <w:szCs w:val="24"/>
          <w:lang w:val="en-GB"/>
        </w:rPr>
      </w:pPr>
      <w:r>
        <w:rPr>
          <w:rFonts w:cs="Arial"/>
          <w:szCs w:val="24"/>
          <w:lang w:val="en-GB"/>
        </w:rPr>
        <w:t>Reeder A</w:t>
      </w:r>
      <w:r w:rsidR="00F80C86" w:rsidRPr="00AB5245">
        <w:rPr>
          <w:rFonts w:cs="Arial"/>
          <w:szCs w:val="24"/>
          <w:lang w:val="en-GB"/>
        </w:rPr>
        <w:t xml:space="preserve">I. 2011. ‘It's a small price to pay for life’: faecal occult blood test (FOBT) screening for colorectal cancer, perceived barriers and facilitators. </w:t>
      </w:r>
      <w:r w:rsidR="00F80C86" w:rsidRPr="00AB5245">
        <w:rPr>
          <w:rFonts w:cs="Arial"/>
          <w:i/>
          <w:szCs w:val="24"/>
          <w:lang w:val="en-GB"/>
        </w:rPr>
        <w:t>The New Zealand Medical Journal</w:t>
      </w:r>
      <w:r w:rsidR="00F80C86" w:rsidRPr="00AB5245">
        <w:rPr>
          <w:rFonts w:cs="Arial"/>
          <w:szCs w:val="24"/>
          <w:lang w:val="en-GB"/>
        </w:rPr>
        <w:t xml:space="preserve"> 124(1331):</w:t>
      </w:r>
      <w:r>
        <w:rPr>
          <w:rFonts w:cs="Arial"/>
          <w:szCs w:val="24"/>
          <w:lang w:val="en-GB"/>
        </w:rPr>
        <w:t xml:space="preserve"> </w:t>
      </w:r>
      <w:r w:rsidR="00F80C86" w:rsidRPr="00AB5245">
        <w:rPr>
          <w:rFonts w:cs="Arial"/>
          <w:szCs w:val="24"/>
          <w:lang w:val="en-GB"/>
        </w:rPr>
        <w:t>11</w:t>
      </w:r>
      <w:r>
        <w:rPr>
          <w:rFonts w:cs="Arial"/>
          <w:szCs w:val="24"/>
          <w:lang w:val="en-GB"/>
        </w:rPr>
        <w:t>–</w:t>
      </w:r>
      <w:r w:rsidR="00F80C86" w:rsidRPr="00AB5245">
        <w:rPr>
          <w:rFonts w:cs="Arial"/>
          <w:szCs w:val="24"/>
          <w:lang w:val="en-GB"/>
        </w:rPr>
        <w:t>7.</w:t>
      </w:r>
    </w:p>
    <w:p w:rsidR="003D2DDA" w:rsidRDefault="00523DFB" w:rsidP="00523DFB">
      <w:pPr>
        <w:spacing w:before="120"/>
        <w:ind w:left="425"/>
        <w:rPr>
          <w:rFonts w:cs="Arial"/>
          <w:szCs w:val="24"/>
          <w:lang w:val="en-GB"/>
        </w:rPr>
      </w:pPr>
      <w:r w:rsidRPr="00903247">
        <w:rPr>
          <w:rFonts w:cs="Arial"/>
          <w:szCs w:val="24"/>
          <w:lang w:val="en-GB"/>
        </w:rPr>
        <w:t>Rees G, Martin PR, Macrae FA</w:t>
      </w:r>
      <w:r w:rsidR="00806BBA">
        <w:rPr>
          <w:rFonts w:cs="Arial"/>
          <w:szCs w:val="24"/>
          <w:lang w:val="en-GB"/>
        </w:rPr>
        <w:t>. 2007.</w:t>
      </w:r>
      <w:r w:rsidRPr="00903247">
        <w:rPr>
          <w:rFonts w:cs="Arial"/>
          <w:szCs w:val="24"/>
          <w:lang w:val="en-GB"/>
        </w:rPr>
        <w:t xml:space="preserve"> Screening participation in individuals with a family history of colorectal cancer: a review. </w:t>
      </w:r>
      <w:r w:rsidRPr="00806BBA">
        <w:rPr>
          <w:rFonts w:cs="Arial"/>
          <w:i/>
          <w:szCs w:val="24"/>
          <w:lang w:val="en-GB"/>
        </w:rPr>
        <w:t>Eur</w:t>
      </w:r>
      <w:r w:rsidR="00806BBA" w:rsidRPr="00806BBA">
        <w:rPr>
          <w:rFonts w:cs="Arial"/>
          <w:i/>
          <w:szCs w:val="24"/>
          <w:lang w:val="en-GB"/>
        </w:rPr>
        <w:t>opean</w:t>
      </w:r>
      <w:r w:rsidRPr="00806BBA">
        <w:rPr>
          <w:rFonts w:cs="Arial"/>
          <w:i/>
          <w:szCs w:val="24"/>
          <w:lang w:val="en-GB"/>
        </w:rPr>
        <w:t xml:space="preserve"> J</w:t>
      </w:r>
      <w:r w:rsidR="00806BBA" w:rsidRPr="00806BBA">
        <w:rPr>
          <w:rFonts w:cs="Arial"/>
          <w:i/>
          <w:szCs w:val="24"/>
          <w:lang w:val="en-GB"/>
        </w:rPr>
        <w:t>ournal of</w:t>
      </w:r>
      <w:r w:rsidRPr="00806BBA">
        <w:rPr>
          <w:rFonts w:cs="Arial"/>
          <w:i/>
          <w:szCs w:val="24"/>
          <w:lang w:val="en-GB"/>
        </w:rPr>
        <w:t xml:space="preserve"> Cancer Care 2007</w:t>
      </w:r>
      <w:r w:rsidRPr="00903247">
        <w:rPr>
          <w:rFonts w:cs="Arial"/>
          <w:szCs w:val="24"/>
          <w:lang w:val="en-GB"/>
        </w:rPr>
        <w:t>, 17:</w:t>
      </w:r>
      <w:r w:rsidR="00806BBA">
        <w:rPr>
          <w:rFonts w:cs="Arial"/>
          <w:szCs w:val="24"/>
          <w:lang w:val="en-GB"/>
        </w:rPr>
        <w:t xml:space="preserve"> </w:t>
      </w:r>
      <w:r w:rsidRPr="00903247">
        <w:rPr>
          <w:rFonts w:cs="Arial"/>
          <w:szCs w:val="24"/>
          <w:lang w:val="en-GB"/>
        </w:rPr>
        <w:t>221–232.</w:t>
      </w:r>
    </w:p>
    <w:p w:rsidR="00F80C86" w:rsidRPr="00AB5245" w:rsidRDefault="001F2F42" w:rsidP="00F80C86">
      <w:pPr>
        <w:ind w:left="425"/>
        <w:rPr>
          <w:i/>
          <w:lang w:eastAsia="en-NZ"/>
        </w:rPr>
      </w:pPr>
      <w:hyperlink r:id="rId44" w:history="1">
        <w:r w:rsidR="00F80C86" w:rsidRPr="00AB5245">
          <w:rPr>
            <w:lang w:eastAsia="en-NZ"/>
          </w:rPr>
          <w:t>Schreuders E</w:t>
        </w:r>
      </w:hyperlink>
      <w:r w:rsidR="00F80C86" w:rsidRPr="00AB5245">
        <w:rPr>
          <w:lang w:eastAsia="en-NZ"/>
        </w:rPr>
        <w:t xml:space="preserve">, </w:t>
      </w:r>
      <w:hyperlink r:id="rId45" w:history="1">
        <w:r w:rsidR="00F80C86" w:rsidRPr="00AB5245">
          <w:rPr>
            <w:lang w:eastAsia="en-NZ"/>
          </w:rPr>
          <w:t>Sint Nicolaas J</w:t>
        </w:r>
      </w:hyperlink>
      <w:r w:rsidR="00F80C86" w:rsidRPr="00AB5245">
        <w:rPr>
          <w:lang w:eastAsia="en-NZ"/>
        </w:rPr>
        <w:t xml:space="preserve">, </w:t>
      </w:r>
      <w:hyperlink r:id="rId46" w:history="1">
        <w:r w:rsidR="00F80C86" w:rsidRPr="00AB5245">
          <w:rPr>
            <w:lang w:eastAsia="en-NZ"/>
          </w:rPr>
          <w:t>de Jonge V</w:t>
        </w:r>
      </w:hyperlink>
      <w:r w:rsidR="00806BBA">
        <w:rPr>
          <w:lang w:eastAsia="en-NZ"/>
        </w:rPr>
        <w:t xml:space="preserve"> et al.</w:t>
      </w:r>
      <w:r w:rsidR="00F80C86" w:rsidRPr="00AB5245">
        <w:rPr>
          <w:lang w:eastAsia="en-NZ"/>
        </w:rPr>
        <w:t xml:space="preserve"> </w:t>
      </w:r>
      <w:r w:rsidR="00806BBA">
        <w:rPr>
          <w:lang w:eastAsia="en-NZ"/>
        </w:rPr>
        <w:t xml:space="preserve">2013. </w:t>
      </w:r>
      <w:r w:rsidR="00F80C86" w:rsidRPr="00AB5245">
        <w:rPr>
          <w:lang w:eastAsia="en-NZ"/>
        </w:rPr>
        <w:t xml:space="preserve">The appropriateness of surveillance colonoscopy intervals after polypectomy.  </w:t>
      </w:r>
      <w:hyperlink r:id="rId47" w:tooltip="Canadian journal of gastroenterology = Journal canadien de gastroenterologie." w:history="1">
        <w:r w:rsidR="00B7638C" w:rsidRPr="00B7638C">
          <w:rPr>
            <w:bCs/>
            <w:i/>
            <w:lang w:eastAsia="en-NZ"/>
          </w:rPr>
          <w:t>Canadian</w:t>
        </w:r>
        <w:r w:rsidR="00B7638C" w:rsidRPr="00B7638C">
          <w:rPr>
            <w:i/>
            <w:lang w:eastAsia="en-NZ"/>
          </w:rPr>
          <w:t xml:space="preserve"> Journal of </w:t>
        </w:r>
        <w:r w:rsidR="00B7638C" w:rsidRPr="00B7638C">
          <w:rPr>
            <w:bCs/>
            <w:i/>
            <w:lang w:eastAsia="en-NZ"/>
          </w:rPr>
          <w:t>Gastroenterology</w:t>
        </w:r>
        <w:r w:rsidR="00B7638C" w:rsidRPr="00B7638C">
          <w:rPr>
            <w:i/>
            <w:lang w:eastAsia="en-NZ"/>
          </w:rPr>
          <w:t xml:space="preserve"> and Hepatology</w:t>
        </w:r>
        <w:r w:rsidR="00F80C86" w:rsidRPr="00AB5245">
          <w:rPr>
            <w:i/>
            <w:lang w:eastAsia="en-NZ"/>
          </w:rPr>
          <w:t>.</w:t>
        </w:r>
      </w:hyperlink>
      <w:r w:rsidR="00F80C86" w:rsidRPr="00AB5245">
        <w:rPr>
          <w:i/>
          <w:lang w:eastAsia="en-NZ"/>
        </w:rPr>
        <w:t xml:space="preserve"> 2013 Jan;27(1):</w:t>
      </w:r>
      <w:r w:rsidR="00806BBA">
        <w:rPr>
          <w:i/>
          <w:lang w:eastAsia="en-NZ"/>
        </w:rPr>
        <w:t xml:space="preserve"> </w:t>
      </w:r>
      <w:r w:rsidR="00F80C86" w:rsidRPr="00AB5245">
        <w:rPr>
          <w:i/>
          <w:lang w:eastAsia="en-NZ"/>
        </w:rPr>
        <w:t>33</w:t>
      </w:r>
      <w:r w:rsidR="00806BBA">
        <w:rPr>
          <w:i/>
          <w:lang w:eastAsia="en-NZ"/>
        </w:rPr>
        <w:t>–</w:t>
      </w:r>
      <w:r w:rsidR="00F80C86" w:rsidRPr="00AB5245">
        <w:rPr>
          <w:i/>
          <w:lang w:eastAsia="en-NZ"/>
        </w:rPr>
        <w:t>8.</w:t>
      </w:r>
    </w:p>
    <w:p w:rsidR="006A3E16" w:rsidRPr="00AB5245" w:rsidRDefault="006A3E16" w:rsidP="006A3E16">
      <w:pPr>
        <w:ind w:left="425"/>
        <w:rPr>
          <w:lang w:eastAsia="en-NZ"/>
        </w:rPr>
      </w:pPr>
      <w:r w:rsidRPr="00AB5245">
        <w:rPr>
          <w:lang w:eastAsia="en-NZ"/>
        </w:rPr>
        <w:t xml:space="preserve">Segnan N, Patnick J, von Karsa L. (Eds). 2010. </w:t>
      </w:r>
      <w:r w:rsidRPr="00AB5245">
        <w:rPr>
          <w:i/>
          <w:lang w:eastAsia="en-NZ"/>
        </w:rPr>
        <w:t xml:space="preserve">European Guidelines for Quality Assurance in Colorectal Cancer Screening and Diagnosis. </w:t>
      </w:r>
      <w:r w:rsidRPr="00AB5245">
        <w:rPr>
          <w:lang w:eastAsia="en-NZ"/>
        </w:rPr>
        <w:t xml:space="preserve">European Union. </w:t>
      </w:r>
    </w:p>
    <w:p w:rsidR="00F80C86" w:rsidRPr="00AB5245" w:rsidRDefault="00F80C86" w:rsidP="00F80C86">
      <w:pPr>
        <w:ind w:left="425"/>
        <w:rPr>
          <w:rFonts w:cs="Arial"/>
          <w:szCs w:val="24"/>
          <w:lang w:val="en-GB"/>
        </w:rPr>
      </w:pPr>
      <w:r w:rsidRPr="00AB5245">
        <w:rPr>
          <w:rFonts w:cs="Arial"/>
          <w:szCs w:val="24"/>
          <w:lang w:val="en-GB"/>
        </w:rPr>
        <w:t xml:space="preserve">Senore C, Malila N, Minozzi S et al. 2010. How to enhance physician and public acceptance and utilisation of colon cancer screening recommendations. </w:t>
      </w:r>
      <w:r w:rsidRPr="00AB5245">
        <w:rPr>
          <w:rFonts w:cs="Arial"/>
          <w:i/>
          <w:szCs w:val="24"/>
          <w:lang w:val="en-GB"/>
        </w:rPr>
        <w:t>Best Practice and Research Clinical Gastroenterology</w:t>
      </w:r>
      <w:r w:rsidRPr="00AB5245">
        <w:rPr>
          <w:rFonts w:cs="Arial"/>
          <w:szCs w:val="24"/>
          <w:lang w:val="en-GB"/>
        </w:rPr>
        <w:t xml:space="preserve"> 24(4):</w:t>
      </w:r>
      <w:r w:rsidR="00806BBA">
        <w:rPr>
          <w:rFonts w:cs="Arial"/>
          <w:szCs w:val="24"/>
          <w:lang w:val="en-GB"/>
        </w:rPr>
        <w:t xml:space="preserve"> </w:t>
      </w:r>
      <w:r w:rsidRPr="00AB5245">
        <w:rPr>
          <w:rFonts w:cs="Arial"/>
          <w:szCs w:val="24"/>
          <w:lang w:val="en-GB"/>
        </w:rPr>
        <w:t>509</w:t>
      </w:r>
      <w:r w:rsidR="00806BBA">
        <w:rPr>
          <w:rFonts w:cs="Arial"/>
          <w:szCs w:val="24"/>
          <w:lang w:val="en-GB"/>
        </w:rPr>
        <w:t>–</w:t>
      </w:r>
      <w:r w:rsidRPr="00AB5245">
        <w:rPr>
          <w:rFonts w:cs="Arial"/>
          <w:szCs w:val="24"/>
          <w:lang w:val="en-GB"/>
        </w:rPr>
        <w:t>20.</w:t>
      </w:r>
    </w:p>
    <w:p w:rsidR="00815767" w:rsidRPr="006875AD" w:rsidRDefault="00815767" w:rsidP="00815767">
      <w:pPr>
        <w:spacing w:before="120"/>
        <w:ind w:left="425"/>
        <w:rPr>
          <w:rFonts w:cs="Arial"/>
          <w:szCs w:val="24"/>
          <w:lang w:val="en-GB"/>
        </w:rPr>
      </w:pPr>
      <w:r w:rsidRPr="006875AD">
        <w:rPr>
          <w:rFonts w:cs="Arial"/>
          <w:szCs w:val="24"/>
          <w:lang w:val="en-GB"/>
        </w:rPr>
        <w:t>Stre</w:t>
      </w:r>
      <w:r w:rsidR="00806BBA">
        <w:rPr>
          <w:rFonts w:cs="Arial"/>
          <w:szCs w:val="24"/>
          <w:lang w:val="en-GB"/>
        </w:rPr>
        <w:t>tcher V, and Rosenstock I</w:t>
      </w:r>
      <w:r>
        <w:rPr>
          <w:rFonts w:cs="Arial"/>
          <w:szCs w:val="24"/>
          <w:lang w:val="en-GB"/>
        </w:rPr>
        <w:t xml:space="preserve">M. </w:t>
      </w:r>
      <w:r w:rsidRPr="006875AD">
        <w:rPr>
          <w:rFonts w:cs="Arial"/>
          <w:szCs w:val="24"/>
          <w:lang w:val="en-GB"/>
        </w:rPr>
        <w:t>1997. The Health Belief Model. In</w:t>
      </w:r>
      <w:r w:rsidR="003D2DDA">
        <w:rPr>
          <w:rFonts w:cs="Arial"/>
          <w:szCs w:val="24"/>
          <w:lang w:val="en-GB"/>
        </w:rPr>
        <w:t>:</w:t>
      </w:r>
      <w:r w:rsidRPr="006875AD">
        <w:rPr>
          <w:rFonts w:cs="Arial"/>
          <w:szCs w:val="24"/>
          <w:lang w:val="en-GB"/>
        </w:rPr>
        <w:t xml:space="preserve"> Glanz</w:t>
      </w:r>
      <w:r w:rsidR="00806BBA">
        <w:rPr>
          <w:rFonts w:cs="Arial"/>
          <w:szCs w:val="24"/>
          <w:lang w:val="en-GB"/>
        </w:rPr>
        <w:t xml:space="preserve"> K, Lewis F</w:t>
      </w:r>
      <w:r>
        <w:rPr>
          <w:rFonts w:cs="Arial"/>
          <w:szCs w:val="24"/>
          <w:lang w:val="en-GB"/>
        </w:rPr>
        <w:t>M</w:t>
      </w:r>
      <w:r w:rsidR="003D2DDA">
        <w:rPr>
          <w:rFonts w:cs="Arial"/>
          <w:szCs w:val="24"/>
          <w:lang w:val="en-GB"/>
        </w:rPr>
        <w:t>,</w:t>
      </w:r>
      <w:r>
        <w:rPr>
          <w:rFonts w:cs="Arial"/>
          <w:szCs w:val="24"/>
          <w:lang w:val="en-GB"/>
        </w:rPr>
        <w:t xml:space="preserve"> Rimer</w:t>
      </w:r>
      <w:r w:rsidR="00806BBA">
        <w:rPr>
          <w:rFonts w:cs="Arial"/>
          <w:szCs w:val="24"/>
          <w:lang w:val="en-GB"/>
        </w:rPr>
        <w:t xml:space="preserve"> B</w:t>
      </w:r>
      <w:r w:rsidR="003D2DDA">
        <w:rPr>
          <w:rFonts w:cs="Arial"/>
          <w:szCs w:val="24"/>
          <w:lang w:val="en-GB"/>
        </w:rPr>
        <w:t>K</w:t>
      </w:r>
      <w:r w:rsidR="00806BBA">
        <w:rPr>
          <w:rFonts w:cs="Arial"/>
          <w:szCs w:val="24"/>
          <w:lang w:val="en-GB"/>
        </w:rPr>
        <w:t xml:space="preserve"> (Eds</w:t>
      </w:r>
      <w:r w:rsidRPr="006875AD">
        <w:rPr>
          <w:rFonts w:cs="Arial"/>
          <w:szCs w:val="24"/>
          <w:lang w:val="en-GB"/>
        </w:rPr>
        <w:t xml:space="preserve">). </w:t>
      </w:r>
      <w:r w:rsidRPr="006875AD">
        <w:rPr>
          <w:rFonts w:cs="Arial"/>
          <w:i/>
          <w:szCs w:val="24"/>
          <w:lang w:val="en-GB"/>
        </w:rPr>
        <w:t>Health Behaviour and Health Education: Theory, Research and Practice</w:t>
      </w:r>
      <w:r w:rsidRPr="006875AD">
        <w:rPr>
          <w:rFonts w:cs="Arial"/>
          <w:szCs w:val="24"/>
          <w:lang w:val="en-GB"/>
        </w:rPr>
        <w:t>. San Francisco: Jossey-Bass.</w:t>
      </w:r>
    </w:p>
    <w:p w:rsidR="00523DFB" w:rsidRPr="00903247" w:rsidRDefault="00523DFB" w:rsidP="003D2DDA">
      <w:pPr>
        <w:spacing w:before="120"/>
        <w:ind w:left="425"/>
        <w:rPr>
          <w:rFonts w:cs="Arial"/>
          <w:szCs w:val="24"/>
          <w:lang w:val="en-GB"/>
        </w:rPr>
      </w:pPr>
      <w:r w:rsidRPr="00903247">
        <w:rPr>
          <w:rFonts w:cs="Arial"/>
          <w:szCs w:val="24"/>
          <w:lang w:val="en-GB"/>
        </w:rPr>
        <w:t>Subramanian S, Klosterman BA, Amonkar MM, Hunt TL</w:t>
      </w:r>
      <w:r w:rsidR="003D2DDA">
        <w:rPr>
          <w:rFonts w:cs="Arial"/>
          <w:szCs w:val="24"/>
          <w:lang w:val="en-GB"/>
        </w:rPr>
        <w:t>. 2004.</w:t>
      </w:r>
      <w:r w:rsidRPr="00903247">
        <w:rPr>
          <w:rFonts w:cs="Arial"/>
          <w:szCs w:val="24"/>
          <w:lang w:val="en-GB"/>
        </w:rPr>
        <w:t xml:space="preserve"> Adherence with colorectal cancer guidelines: a review. </w:t>
      </w:r>
      <w:r w:rsidRPr="00B7638C">
        <w:rPr>
          <w:rFonts w:cs="Arial"/>
          <w:i/>
          <w:szCs w:val="24"/>
          <w:lang w:val="en-GB"/>
        </w:rPr>
        <w:t>Prev</w:t>
      </w:r>
      <w:r w:rsidR="00B7638C" w:rsidRPr="00B7638C">
        <w:rPr>
          <w:rFonts w:cs="Arial"/>
          <w:i/>
          <w:szCs w:val="24"/>
          <w:lang w:val="en-GB"/>
        </w:rPr>
        <w:t>entive</w:t>
      </w:r>
      <w:r w:rsidRPr="00B7638C">
        <w:rPr>
          <w:rFonts w:cs="Arial"/>
          <w:i/>
          <w:szCs w:val="24"/>
          <w:lang w:val="en-GB"/>
        </w:rPr>
        <w:t xml:space="preserve"> Med</w:t>
      </w:r>
      <w:r w:rsidR="00B7638C" w:rsidRPr="00B7638C">
        <w:rPr>
          <w:rFonts w:cs="Arial"/>
          <w:i/>
          <w:szCs w:val="24"/>
          <w:lang w:val="en-GB"/>
        </w:rPr>
        <w:t>icine</w:t>
      </w:r>
      <w:r w:rsidR="00B7638C">
        <w:rPr>
          <w:rFonts w:cs="Arial"/>
          <w:szCs w:val="24"/>
          <w:lang w:val="en-GB"/>
        </w:rPr>
        <w:t>.</w:t>
      </w:r>
      <w:r w:rsidRPr="00903247">
        <w:rPr>
          <w:rFonts w:cs="Arial"/>
          <w:szCs w:val="24"/>
          <w:lang w:val="en-GB"/>
        </w:rPr>
        <w:t xml:space="preserve"> 2004, 38:</w:t>
      </w:r>
      <w:r w:rsidR="003D2DDA">
        <w:rPr>
          <w:rFonts w:cs="Arial"/>
          <w:szCs w:val="24"/>
          <w:lang w:val="en-GB"/>
        </w:rPr>
        <w:t xml:space="preserve"> </w:t>
      </w:r>
      <w:r w:rsidRPr="00903247">
        <w:rPr>
          <w:rFonts w:cs="Arial"/>
          <w:szCs w:val="24"/>
          <w:lang w:val="en-GB"/>
        </w:rPr>
        <w:t xml:space="preserve">536–540. </w:t>
      </w:r>
    </w:p>
    <w:p w:rsidR="00523DFB" w:rsidRPr="00903247" w:rsidRDefault="00523DFB" w:rsidP="00523DFB">
      <w:pPr>
        <w:spacing w:before="120" w:after="120"/>
        <w:ind w:left="425"/>
        <w:rPr>
          <w:rFonts w:cs="Arial"/>
          <w:szCs w:val="24"/>
          <w:lang w:val="en-GB"/>
        </w:rPr>
      </w:pPr>
      <w:r w:rsidRPr="00903247">
        <w:rPr>
          <w:rFonts w:cs="Arial"/>
          <w:szCs w:val="24"/>
          <w:lang w:val="en-GB"/>
        </w:rPr>
        <w:t xml:space="preserve">Varlow M, Stacey I, Dunlop S et al. 2014. Self-reported participation and beliefs about bowel cancer screening in New South Wales, Australia. </w:t>
      </w:r>
      <w:r w:rsidRPr="00903247">
        <w:rPr>
          <w:rFonts w:cs="Arial"/>
          <w:i/>
          <w:szCs w:val="24"/>
          <w:lang w:val="en-GB"/>
        </w:rPr>
        <w:t>Health Promotion Journal of Australia</w:t>
      </w:r>
      <w:r w:rsidRPr="00903247">
        <w:rPr>
          <w:rFonts w:cs="Arial"/>
          <w:szCs w:val="24"/>
          <w:lang w:val="en-GB"/>
        </w:rPr>
        <w:t xml:space="preserve"> 25:</w:t>
      </w:r>
      <w:r w:rsidR="003D2DDA">
        <w:rPr>
          <w:rFonts w:cs="Arial"/>
          <w:szCs w:val="24"/>
          <w:lang w:val="en-GB"/>
        </w:rPr>
        <w:t xml:space="preserve"> </w:t>
      </w:r>
      <w:r w:rsidRPr="00903247">
        <w:rPr>
          <w:rFonts w:cs="Arial"/>
          <w:szCs w:val="24"/>
          <w:lang w:val="en-GB"/>
        </w:rPr>
        <w:t>97</w:t>
      </w:r>
      <w:r w:rsidR="003D2DDA">
        <w:rPr>
          <w:rFonts w:cs="Arial"/>
          <w:szCs w:val="24"/>
          <w:lang w:val="en-GB"/>
        </w:rPr>
        <w:t>–</w:t>
      </w:r>
      <w:r w:rsidRPr="00903247">
        <w:rPr>
          <w:rFonts w:cs="Arial"/>
          <w:szCs w:val="24"/>
          <w:lang w:val="en-GB"/>
        </w:rPr>
        <w:t>103.</w:t>
      </w:r>
    </w:p>
    <w:p w:rsidR="00F80C86" w:rsidRPr="00AB5245" w:rsidRDefault="00F80C86" w:rsidP="00F80C86">
      <w:pPr>
        <w:ind w:left="425"/>
        <w:rPr>
          <w:bCs/>
        </w:rPr>
      </w:pPr>
      <w:r w:rsidRPr="00AB5245">
        <w:rPr>
          <w:lang w:eastAsia="en-NZ"/>
        </w:rPr>
        <w:t>Waitemat</w:t>
      </w:r>
      <w:r w:rsidR="00100EE3">
        <w:rPr>
          <w:rFonts w:cs="Arial"/>
          <w:lang w:eastAsia="en-NZ"/>
        </w:rPr>
        <w:t>ā</w:t>
      </w:r>
      <w:r w:rsidRPr="00AB5245">
        <w:rPr>
          <w:bCs/>
        </w:rPr>
        <w:t xml:space="preserve"> District Health Board. 2012. </w:t>
      </w:r>
      <w:r w:rsidRPr="00AB5245">
        <w:rPr>
          <w:bCs/>
          <w:i/>
        </w:rPr>
        <w:t>Bowel Screening: Resource for providers working with the Bowel Screening Pilot</w:t>
      </w:r>
      <w:r w:rsidRPr="00AB5245">
        <w:rPr>
          <w:bCs/>
        </w:rPr>
        <w:t xml:space="preserve">. Auckland, New Zealand: </w:t>
      </w:r>
      <w:r w:rsidRPr="00AB5245">
        <w:rPr>
          <w:lang w:eastAsia="en-NZ"/>
        </w:rPr>
        <w:t>Waitemat</w:t>
      </w:r>
      <w:r w:rsidR="00100EE3">
        <w:rPr>
          <w:rFonts w:cs="Arial"/>
          <w:lang w:eastAsia="en-NZ"/>
        </w:rPr>
        <w:t>ā</w:t>
      </w:r>
      <w:r w:rsidRPr="00AB5245">
        <w:rPr>
          <w:bCs/>
        </w:rPr>
        <w:t xml:space="preserve"> District Health Board.</w:t>
      </w:r>
    </w:p>
    <w:p w:rsidR="00217B0E" w:rsidRDefault="00217B0E" w:rsidP="00F80C86">
      <w:pPr>
        <w:ind w:left="425"/>
        <w:rPr>
          <w:lang w:eastAsia="en-NZ"/>
        </w:rPr>
      </w:pPr>
      <w:r w:rsidRPr="0026686C">
        <w:t>Waitemat</w:t>
      </w:r>
      <w:r>
        <w:rPr>
          <w:rFonts w:cs="Arial"/>
        </w:rPr>
        <w:t>ā</w:t>
      </w:r>
      <w:r w:rsidRPr="0026686C">
        <w:t xml:space="preserve"> District Health Board. 2013. </w:t>
      </w:r>
      <w:r w:rsidRPr="00217B0E">
        <w:rPr>
          <w:i/>
        </w:rPr>
        <w:t>Bowel Screening Pilot: Patient Satisfaction Survey 2013.</w:t>
      </w:r>
      <w:r w:rsidRPr="0026686C">
        <w:t xml:space="preserve"> Auckland, New Zealand: Waitemat</w:t>
      </w:r>
      <w:r w:rsidR="00555A5D">
        <w:rPr>
          <w:rFonts w:cs="Arial"/>
        </w:rPr>
        <w:t>ā</w:t>
      </w:r>
      <w:r w:rsidRPr="0026686C">
        <w:t xml:space="preserve"> District Health Board</w:t>
      </w:r>
      <w:r>
        <w:t>.</w:t>
      </w:r>
      <w:r w:rsidRPr="00AB5245">
        <w:rPr>
          <w:lang w:eastAsia="en-NZ"/>
        </w:rPr>
        <w:t xml:space="preserve"> </w:t>
      </w:r>
    </w:p>
    <w:p w:rsidR="00217B0E" w:rsidRDefault="00217B0E" w:rsidP="00217B0E">
      <w:pPr>
        <w:ind w:left="425"/>
        <w:rPr>
          <w:lang w:eastAsia="en-NZ"/>
        </w:rPr>
      </w:pPr>
      <w:r w:rsidRPr="0026686C">
        <w:t>Waitemat</w:t>
      </w:r>
      <w:r>
        <w:rPr>
          <w:rFonts w:cs="Arial"/>
        </w:rPr>
        <w:t>ā</w:t>
      </w:r>
      <w:r w:rsidRPr="0026686C">
        <w:t xml:space="preserve"> District Health Board. 201</w:t>
      </w:r>
      <w:r>
        <w:t>5</w:t>
      </w:r>
      <w:r w:rsidRPr="0026686C">
        <w:t xml:space="preserve">. </w:t>
      </w:r>
      <w:r w:rsidRPr="00217B0E">
        <w:rPr>
          <w:i/>
        </w:rPr>
        <w:t>Satisfaction questionnaire PowerPoint presentation April 2015.</w:t>
      </w:r>
      <w:r w:rsidRPr="0026686C">
        <w:t xml:space="preserve"> Auckland, New Zealand: Waitemat</w:t>
      </w:r>
      <w:r w:rsidR="00555A5D">
        <w:rPr>
          <w:rFonts w:cs="Arial"/>
        </w:rPr>
        <w:t>ā</w:t>
      </w:r>
      <w:r w:rsidRPr="0026686C">
        <w:t xml:space="preserve"> District Health Board</w:t>
      </w:r>
      <w:r>
        <w:t>.</w:t>
      </w:r>
      <w:r w:rsidRPr="00AB5245">
        <w:rPr>
          <w:lang w:eastAsia="en-NZ"/>
        </w:rPr>
        <w:t xml:space="preserve"> </w:t>
      </w:r>
    </w:p>
    <w:p w:rsidR="00F80C86" w:rsidRPr="00AB5245" w:rsidRDefault="00F80C86" w:rsidP="00F80C86">
      <w:pPr>
        <w:ind w:left="425"/>
        <w:rPr>
          <w:lang w:eastAsia="en-NZ"/>
        </w:rPr>
      </w:pPr>
      <w:r w:rsidRPr="00AB5245">
        <w:rPr>
          <w:lang w:eastAsia="en-NZ"/>
        </w:rPr>
        <w:t>Waitemat</w:t>
      </w:r>
      <w:r w:rsidR="00100EE3">
        <w:rPr>
          <w:rFonts w:cs="Arial"/>
          <w:lang w:eastAsia="en-NZ"/>
        </w:rPr>
        <w:t>ā</w:t>
      </w:r>
      <w:r w:rsidRPr="00AB5245">
        <w:rPr>
          <w:bCs/>
        </w:rPr>
        <w:t xml:space="preserve"> District Health Board</w:t>
      </w:r>
      <w:r w:rsidRPr="00AB5245">
        <w:rPr>
          <w:lang w:eastAsia="en-NZ"/>
        </w:rPr>
        <w:t xml:space="preserve">. 2016. </w:t>
      </w:r>
      <w:r w:rsidRPr="00AB5245">
        <w:rPr>
          <w:i/>
          <w:lang w:eastAsia="en-NZ"/>
        </w:rPr>
        <w:t>Bowel Screening Pilot: Biannual Report July 1 – December 30 2015.</w:t>
      </w:r>
      <w:r w:rsidRPr="00AB5245">
        <w:rPr>
          <w:lang w:eastAsia="en-NZ"/>
        </w:rPr>
        <w:t xml:space="preserve"> Auckland, New Zealand: Waitemat</w:t>
      </w:r>
      <w:r w:rsidR="00100EE3">
        <w:rPr>
          <w:rFonts w:cs="Arial"/>
          <w:lang w:eastAsia="en-NZ"/>
        </w:rPr>
        <w:t>ā</w:t>
      </w:r>
      <w:r w:rsidRPr="00AB5245">
        <w:rPr>
          <w:bCs/>
        </w:rPr>
        <w:t xml:space="preserve"> District Health Board</w:t>
      </w:r>
      <w:r w:rsidRPr="00AB5245">
        <w:rPr>
          <w:lang w:eastAsia="en-NZ"/>
        </w:rPr>
        <w:t xml:space="preserve">. </w:t>
      </w:r>
    </w:p>
    <w:p w:rsidR="00F80C86" w:rsidRPr="00AB5245" w:rsidRDefault="00F80C86" w:rsidP="00F80C86">
      <w:pPr>
        <w:ind w:left="425"/>
        <w:rPr>
          <w:rFonts w:cs="Arial"/>
        </w:rPr>
      </w:pPr>
      <w:r w:rsidRPr="00AB5245">
        <w:rPr>
          <w:rFonts w:cs="Arial"/>
        </w:rPr>
        <w:t xml:space="preserve">Weller D, Alexander F, Orbell S et al. 2003. Evaluation of the UK Colorectal Cancer </w:t>
      </w:r>
      <w:r w:rsidRPr="00AB5245">
        <w:t>Screening</w:t>
      </w:r>
      <w:r w:rsidRPr="00AB5245">
        <w:rPr>
          <w:rFonts w:cs="Arial"/>
        </w:rPr>
        <w:t xml:space="preserve"> Pilot. Final report. URL: </w:t>
      </w:r>
      <w:hyperlink r:id="rId48" w:history="1">
        <w:r w:rsidRPr="00AB5245">
          <w:rPr>
            <w:rStyle w:val="Hyperlink"/>
            <w:rFonts w:cs="Arial"/>
          </w:rPr>
          <w:t>http://www.cancerscreening.nhs.uk/bowel/finalreport.pdf</w:t>
        </w:r>
      </w:hyperlink>
      <w:r w:rsidRPr="00AB5245">
        <w:rPr>
          <w:rFonts w:cs="Arial"/>
        </w:rPr>
        <w:t xml:space="preserve"> (Accessed 7 May 2014).</w:t>
      </w:r>
    </w:p>
    <w:p w:rsidR="00F80C86" w:rsidRPr="00AB5245" w:rsidRDefault="00F80C86" w:rsidP="00F80C86">
      <w:pPr>
        <w:ind w:left="425"/>
        <w:rPr>
          <w:rFonts w:cs="Arial"/>
        </w:rPr>
      </w:pPr>
      <w:r w:rsidRPr="00AB5245">
        <w:rPr>
          <w:rFonts w:cs="Arial"/>
        </w:rPr>
        <w:t xml:space="preserve">Weller D, Moss S, Butler P et al. 2006. </w:t>
      </w:r>
      <w:r w:rsidRPr="00AB5245">
        <w:rPr>
          <w:rFonts w:cs="Arial"/>
          <w:i/>
        </w:rPr>
        <w:t>English pilot of bowel cancer screening: an evaluation of the second round. Final report to the Department of Health</w:t>
      </w:r>
      <w:r w:rsidRPr="00AB5245">
        <w:rPr>
          <w:rFonts w:cs="Arial"/>
        </w:rPr>
        <w:t>. Edinburgh: University of Edinburgh.</w:t>
      </w:r>
    </w:p>
    <w:p w:rsidR="00F80C86" w:rsidRPr="00AB5245" w:rsidRDefault="00F80C86" w:rsidP="00F80C86">
      <w:pPr>
        <w:ind w:left="425"/>
        <w:rPr>
          <w:rFonts w:cs="Arial"/>
        </w:rPr>
      </w:pPr>
      <w:r w:rsidRPr="00AB5245">
        <w:rPr>
          <w:rFonts w:cs="Arial"/>
        </w:rPr>
        <w:t xml:space="preserve">Weller D, Coleman D, Robertson R et al. 2007. The UK colorectal cancer screening pilot: results of the second round of screening in England. </w:t>
      </w:r>
      <w:r w:rsidRPr="00AB5245">
        <w:rPr>
          <w:rFonts w:cs="Arial"/>
          <w:i/>
        </w:rPr>
        <w:t>British Journal of Cancer</w:t>
      </w:r>
      <w:r w:rsidRPr="00AB5245">
        <w:rPr>
          <w:rFonts w:cs="Arial"/>
        </w:rPr>
        <w:t xml:space="preserve"> 97:</w:t>
      </w:r>
      <w:r w:rsidR="003D2DDA">
        <w:rPr>
          <w:rFonts w:cs="Arial"/>
        </w:rPr>
        <w:t xml:space="preserve"> </w:t>
      </w:r>
      <w:r w:rsidRPr="00AB5245">
        <w:rPr>
          <w:rFonts w:cs="Arial"/>
        </w:rPr>
        <w:t>1601</w:t>
      </w:r>
      <w:r w:rsidR="003D2DDA">
        <w:rPr>
          <w:rFonts w:cs="Arial"/>
        </w:rPr>
        <w:t>–</w:t>
      </w:r>
      <w:r w:rsidRPr="00AB5245">
        <w:rPr>
          <w:rFonts w:cs="Arial"/>
        </w:rPr>
        <w:t>5.</w:t>
      </w:r>
    </w:p>
    <w:p w:rsidR="00F80C86" w:rsidRPr="00AB5245" w:rsidRDefault="003D2DDA" w:rsidP="00F80C86">
      <w:pPr>
        <w:spacing w:after="120"/>
        <w:ind w:left="425"/>
        <w:rPr>
          <w:rFonts w:cs="Arial"/>
          <w:szCs w:val="24"/>
          <w:lang w:val="en-GB"/>
        </w:rPr>
      </w:pPr>
      <w:r>
        <w:rPr>
          <w:rFonts w:cs="Arial"/>
          <w:szCs w:val="24"/>
          <w:lang w:val="en-GB"/>
        </w:rPr>
        <w:t>Weller D</w:t>
      </w:r>
      <w:r w:rsidR="00F80C86" w:rsidRPr="00AB5245">
        <w:rPr>
          <w:rFonts w:cs="Arial"/>
          <w:szCs w:val="24"/>
          <w:lang w:val="en-GB"/>
        </w:rPr>
        <w:t xml:space="preserve">P, Patnick J, McIntosh H et al. 2009. Uptake in cancer screening programmes. </w:t>
      </w:r>
      <w:r w:rsidR="00F80C86" w:rsidRPr="00AB5245">
        <w:rPr>
          <w:rFonts w:cs="Arial"/>
          <w:i/>
          <w:szCs w:val="24"/>
          <w:lang w:val="en-GB"/>
        </w:rPr>
        <w:t>Lancet Oncology</w:t>
      </w:r>
      <w:r w:rsidR="00F80C86" w:rsidRPr="00AB5245">
        <w:rPr>
          <w:rFonts w:cs="Arial"/>
          <w:szCs w:val="24"/>
          <w:lang w:val="en-GB"/>
        </w:rPr>
        <w:t xml:space="preserve"> 10(7):</w:t>
      </w:r>
      <w:r>
        <w:rPr>
          <w:rFonts w:cs="Arial"/>
          <w:szCs w:val="24"/>
          <w:lang w:val="en-GB"/>
        </w:rPr>
        <w:t xml:space="preserve"> </w:t>
      </w:r>
      <w:r w:rsidR="00F80C86" w:rsidRPr="00AB5245">
        <w:rPr>
          <w:rFonts w:cs="Arial"/>
          <w:szCs w:val="24"/>
          <w:lang w:val="en-GB"/>
        </w:rPr>
        <w:t>693</w:t>
      </w:r>
      <w:r>
        <w:rPr>
          <w:rFonts w:cs="Arial"/>
          <w:szCs w:val="24"/>
          <w:lang w:val="en-GB"/>
        </w:rPr>
        <w:t>–</w:t>
      </w:r>
      <w:r w:rsidR="00F80C86" w:rsidRPr="00AB5245">
        <w:rPr>
          <w:rFonts w:cs="Arial"/>
          <w:szCs w:val="24"/>
          <w:lang w:val="en-GB"/>
        </w:rPr>
        <w:t>9.</w:t>
      </w:r>
    </w:p>
    <w:p w:rsidR="00F2473C" w:rsidRPr="003D2DDA" w:rsidRDefault="00F80C86" w:rsidP="003D2DDA">
      <w:pPr>
        <w:spacing w:after="120"/>
        <w:ind w:left="425"/>
        <w:rPr>
          <w:rFonts w:cs="Arial"/>
          <w:szCs w:val="24"/>
          <w:lang w:val="en-GB"/>
        </w:rPr>
      </w:pPr>
      <w:r w:rsidRPr="00AB5245">
        <w:t>Yeoman</w:t>
      </w:r>
      <w:r w:rsidR="008B66EC">
        <w:t xml:space="preserve"> </w:t>
      </w:r>
      <w:r w:rsidRPr="00AB5245">
        <w:t xml:space="preserve"> A, Parry S.  2007. A survey of colonoscopy capacity in New Zealand’s public hospitals. </w:t>
      </w:r>
      <w:r w:rsidRPr="00AB5245">
        <w:rPr>
          <w:i/>
        </w:rPr>
        <w:t>New Zealand Medical Journal</w:t>
      </w:r>
      <w:r w:rsidRPr="00AB5245">
        <w:rPr>
          <w:rFonts w:cs="Arial"/>
          <w:szCs w:val="24"/>
          <w:lang w:val="en-GB"/>
        </w:rPr>
        <w:t xml:space="preserve"> </w:t>
      </w:r>
      <w:r w:rsidR="006A3E16" w:rsidRPr="006A3E16">
        <w:rPr>
          <w:b/>
          <w:bCs/>
          <w:szCs w:val="24"/>
          <w:lang w:val="en-GB"/>
        </w:rPr>
        <w:t>120</w:t>
      </w:r>
      <w:r w:rsidR="006A3E16">
        <w:rPr>
          <w:szCs w:val="24"/>
          <w:lang w:val="en-GB"/>
        </w:rPr>
        <w:t>(1258)</w:t>
      </w:r>
      <w:r w:rsidRPr="00AB5245">
        <w:rPr>
          <w:rFonts w:cs="Arial"/>
          <w:szCs w:val="24"/>
          <w:lang w:val="en-GB"/>
        </w:rPr>
        <w:t>.</w:t>
      </w:r>
      <w:r w:rsidR="003D2DDA">
        <w:rPr>
          <w:rFonts w:cs="Arial"/>
          <w:szCs w:val="24"/>
          <w:lang w:val="en-GB"/>
        </w:rPr>
        <w:t xml:space="preserve"> </w:t>
      </w:r>
    </w:p>
    <w:p w:rsidR="00F2473C" w:rsidRDefault="00F2473C">
      <w:pPr>
        <w:spacing w:before="0"/>
        <w:ind w:left="0"/>
      </w:pPr>
      <w:r>
        <w:br w:type="page"/>
      </w:r>
    </w:p>
    <w:p w:rsidR="00F2473C" w:rsidRPr="00C95C03" w:rsidRDefault="00F2473C" w:rsidP="00F2473C">
      <w:pPr>
        <w:pStyle w:val="Heading1"/>
        <w:rPr>
          <w:lang w:eastAsia="en-US"/>
        </w:rPr>
      </w:pPr>
      <w:bookmarkStart w:id="226" w:name="_Toc380499282"/>
      <w:bookmarkStart w:id="227" w:name="_Toc390872226"/>
      <w:bookmarkStart w:id="228" w:name="_Toc412540045"/>
      <w:bookmarkStart w:id="229" w:name="_Toc457842153"/>
      <w:r>
        <w:t>10</w:t>
      </w:r>
      <w:r w:rsidRPr="00C95C03">
        <w:t>.</w:t>
      </w:r>
      <w:r w:rsidRPr="00C95C03">
        <w:tab/>
        <w:t>Glossary</w:t>
      </w:r>
      <w:bookmarkEnd w:id="226"/>
      <w:bookmarkEnd w:id="227"/>
      <w:bookmarkEnd w:id="228"/>
      <w:bookmarkEnd w:id="229"/>
    </w:p>
    <w:p w:rsidR="00F2473C" w:rsidRDefault="00F2473C" w:rsidP="00F2473C">
      <w:pPr>
        <w:rPr>
          <w:lang w:val="en-US"/>
        </w:rPr>
      </w:pPr>
      <w:r>
        <w:rPr>
          <w:lang w:val="en-US"/>
        </w:rPr>
        <w:t xml:space="preserve">For clarification, in this report the following abbreviations have been used: </w:t>
      </w:r>
    </w:p>
    <w:p w:rsidR="00F2473C" w:rsidRPr="00EA55DB" w:rsidRDefault="00F2473C" w:rsidP="006179C7">
      <w:pPr>
        <w:numPr>
          <w:ilvl w:val="0"/>
          <w:numId w:val="7"/>
        </w:numPr>
        <w:autoSpaceDE w:val="0"/>
        <w:autoSpaceDN w:val="0"/>
        <w:adjustRightInd w:val="0"/>
        <w:spacing w:before="120"/>
        <w:ind w:left="1134" w:hanging="425"/>
      </w:pPr>
      <w:r w:rsidRPr="00EA55DB">
        <w:t xml:space="preserve">BSP – Bowel Screening Pilot </w:t>
      </w:r>
    </w:p>
    <w:p w:rsidR="00F2473C" w:rsidRPr="00EA55DB" w:rsidRDefault="00F2473C" w:rsidP="006179C7">
      <w:pPr>
        <w:numPr>
          <w:ilvl w:val="0"/>
          <w:numId w:val="7"/>
        </w:numPr>
        <w:autoSpaceDE w:val="0"/>
        <w:autoSpaceDN w:val="0"/>
        <w:adjustRightInd w:val="0"/>
        <w:spacing w:before="120"/>
        <w:ind w:left="1134" w:hanging="425"/>
      </w:pPr>
      <w:r w:rsidRPr="00EA55DB">
        <w:t xml:space="preserve">CAR – community awareness raising </w:t>
      </w:r>
    </w:p>
    <w:p w:rsidR="00F2473C" w:rsidRPr="00D15946" w:rsidRDefault="00F2473C" w:rsidP="006179C7">
      <w:pPr>
        <w:numPr>
          <w:ilvl w:val="0"/>
          <w:numId w:val="7"/>
        </w:numPr>
        <w:autoSpaceDE w:val="0"/>
        <w:autoSpaceDN w:val="0"/>
        <w:adjustRightInd w:val="0"/>
        <w:spacing w:before="120"/>
        <w:ind w:left="1134" w:hanging="425"/>
        <w:rPr>
          <w:lang w:val="en-US"/>
        </w:rPr>
      </w:pPr>
      <w:r w:rsidRPr="00D15946">
        <w:rPr>
          <w:rFonts w:cs="Arial"/>
        </w:rPr>
        <w:t xml:space="preserve">CPHR </w:t>
      </w:r>
      <w:r>
        <w:t xml:space="preserve">– </w:t>
      </w:r>
      <w:r w:rsidRPr="00D15946">
        <w:rPr>
          <w:rFonts w:cs="Arial"/>
        </w:rPr>
        <w:t xml:space="preserve">Centre for Public Health Research </w:t>
      </w:r>
    </w:p>
    <w:p w:rsidR="00F2473C" w:rsidRPr="003A598E" w:rsidRDefault="00F2473C" w:rsidP="006179C7">
      <w:pPr>
        <w:numPr>
          <w:ilvl w:val="0"/>
          <w:numId w:val="7"/>
        </w:numPr>
        <w:autoSpaceDE w:val="0"/>
        <w:autoSpaceDN w:val="0"/>
        <w:adjustRightInd w:val="0"/>
        <w:spacing w:before="120"/>
        <w:ind w:left="1134" w:hanging="425"/>
        <w:rPr>
          <w:lang w:val="en-US"/>
        </w:rPr>
      </w:pPr>
      <w:r w:rsidRPr="003A598E">
        <w:rPr>
          <w:lang w:val="en-US"/>
        </w:rPr>
        <w:t xml:space="preserve">CNS – clinical nurse specialist </w:t>
      </w:r>
    </w:p>
    <w:p w:rsidR="00F2473C" w:rsidRDefault="00F2473C" w:rsidP="006179C7">
      <w:pPr>
        <w:numPr>
          <w:ilvl w:val="0"/>
          <w:numId w:val="7"/>
        </w:numPr>
        <w:autoSpaceDE w:val="0"/>
        <w:autoSpaceDN w:val="0"/>
        <w:adjustRightInd w:val="0"/>
        <w:spacing w:before="120"/>
        <w:ind w:left="1134" w:hanging="425"/>
        <w:rPr>
          <w:lang w:val="en-US"/>
        </w:rPr>
      </w:pPr>
      <w:r w:rsidRPr="003A598E">
        <w:rPr>
          <w:lang w:val="en-US"/>
        </w:rPr>
        <w:t xml:space="preserve">CTC – </w:t>
      </w:r>
      <w:r w:rsidR="005B3839">
        <w:rPr>
          <w:lang w:val="en-US"/>
        </w:rPr>
        <w:t>c</w:t>
      </w:r>
      <w:r w:rsidRPr="003A598E">
        <w:rPr>
          <w:lang w:val="en-US"/>
        </w:rPr>
        <w:t xml:space="preserve">omputerised </w:t>
      </w:r>
      <w:r w:rsidR="005B3839">
        <w:rPr>
          <w:lang w:val="en-US"/>
        </w:rPr>
        <w:t>t</w:t>
      </w:r>
      <w:r w:rsidRPr="003A598E">
        <w:rPr>
          <w:lang w:val="en-US"/>
        </w:rPr>
        <w:t xml:space="preserve">omographic </w:t>
      </w:r>
      <w:r w:rsidR="005B3839">
        <w:rPr>
          <w:lang w:val="en-US"/>
        </w:rPr>
        <w:t>c</w:t>
      </w:r>
      <w:r w:rsidRPr="003A598E">
        <w:rPr>
          <w:lang w:val="en-US"/>
        </w:rPr>
        <w:t xml:space="preserve">olonography </w:t>
      </w:r>
    </w:p>
    <w:p w:rsidR="00F80C86" w:rsidRDefault="00F80C86" w:rsidP="006179C7">
      <w:pPr>
        <w:numPr>
          <w:ilvl w:val="0"/>
          <w:numId w:val="7"/>
        </w:numPr>
        <w:autoSpaceDE w:val="0"/>
        <w:autoSpaceDN w:val="0"/>
        <w:adjustRightInd w:val="0"/>
        <w:spacing w:before="120"/>
        <w:ind w:left="1134" w:hanging="425"/>
      </w:pPr>
      <w:r>
        <w:t xml:space="preserve">Dashboard </w:t>
      </w:r>
      <w:r w:rsidR="00EA6F39">
        <w:t>–</w:t>
      </w:r>
      <w:r>
        <w:t xml:space="preserve"> a form that displays within MedTech every time a new patient record is opened and shows all key clinical information relevant to routine management of the patient</w:t>
      </w:r>
    </w:p>
    <w:p w:rsidR="00F2473C" w:rsidRPr="003A598E" w:rsidRDefault="00F2473C" w:rsidP="006179C7">
      <w:pPr>
        <w:numPr>
          <w:ilvl w:val="0"/>
          <w:numId w:val="7"/>
        </w:numPr>
        <w:autoSpaceDE w:val="0"/>
        <w:autoSpaceDN w:val="0"/>
        <w:adjustRightInd w:val="0"/>
        <w:spacing w:before="120"/>
        <w:ind w:left="1134" w:hanging="425"/>
        <w:rPr>
          <w:lang w:val="en-US"/>
        </w:rPr>
      </w:pPr>
      <w:r w:rsidRPr="003A598E">
        <w:rPr>
          <w:lang w:val="en-US"/>
        </w:rPr>
        <w:t>DHB – District Health Board</w:t>
      </w:r>
    </w:p>
    <w:p w:rsidR="00F80C86" w:rsidRDefault="00F80C86" w:rsidP="006179C7">
      <w:pPr>
        <w:numPr>
          <w:ilvl w:val="0"/>
          <w:numId w:val="7"/>
        </w:numPr>
        <w:autoSpaceDE w:val="0"/>
        <w:autoSpaceDN w:val="0"/>
        <w:adjustRightInd w:val="0"/>
        <w:spacing w:before="120"/>
        <w:ind w:left="1134" w:hanging="425"/>
      </w:pPr>
      <w:r>
        <w:t xml:space="preserve">DRINFO </w:t>
      </w:r>
      <w:r w:rsidR="00EA6F39">
        <w:t>–</w:t>
      </w:r>
      <w:r>
        <w:t xml:space="preserve"> </w:t>
      </w:r>
      <w:r>
        <w:rPr>
          <w:rFonts w:cs="Arial"/>
          <w:szCs w:val="16"/>
        </w:rPr>
        <w:t>an audit tool which queries practice data to identifies patients who require clinical action</w:t>
      </w:r>
    </w:p>
    <w:p w:rsidR="00F2473C" w:rsidRDefault="00F2473C" w:rsidP="006179C7">
      <w:pPr>
        <w:numPr>
          <w:ilvl w:val="0"/>
          <w:numId w:val="7"/>
        </w:numPr>
        <w:autoSpaceDE w:val="0"/>
        <w:autoSpaceDN w:val="0"/>
        <w:adjustRightInd w:val="0"/>
        <w:spacing w:before="120"/>
        <w:ind w:left="1134" w:hanging="425"/>
        <w:rPr>
          <w:lang w:val="en-US"/>
        </w:rPr>
      </w:pPr>
      <w:r>
        <w:rPr>
          <w:lang w:val="en-US"/>
        </w:rPr>
        <w:t>FTE – f</w:t>
      </w:r>
      <w:r w:rsidRPr="003A598E">
        <w:rPr>
          <w:lang w:val="en-US"/>
        </w:rPr>
        <w:t>ull</w:t>
      </w:r>
      <w:r>
        <w:rPr>
          <w:lang w:val="en-US"/>
        </w:rPr>
        <w:t xml:space="preserve"> </w:t>
      </w:r>
      <w:r w:rsidRPr="003A598E">
        <w:rPr>
          <w:lang w:val="en-US"/>
        </w:rPr>
        <w:t xml:space="preserve">time equivalent </w:t>
      </w:r>
    </w:p>
    <w:p w:rsidR="00F80C86" w:rsidRPr="003A598E" w:rsidRDefault="00F80C86" w:rsidP="006179C7">
      <w:pPr>
        <w:numPr>
          <w:ilvl w:val="0"/>
          <w:numId w:val="7"/>
        </w:numPr>
        <w:autoSpaceDE w:val="0"/>
        <w:autoSpaceDN w:val="0"/>
        <w:adjustRightInd w:val="0"/>
        <w:spacing w:before="120"/>
        <w:ind w:left="1134" w:hanging="425"/>
        <w:rPr>
          <w:lang w:val="en-US"/>
        </w:rPr>
      </w:pPr>
      <w:r w:rsidRPr="003A598E">
        <w:rPr>
          <w:lang w:val="en-US"/>
        </w:rPr>
        <w:t>General practice – refers generically to the differing systems and models in which primary care is delivered</w:t>
      </w:r>
    </w:p>
    <w:p w:rsidR="00F80C86" w:rsidRDefault="00F80C86" w:rsidP="006179C7">
      <w:pPr>
        <w:numPr>
          <w:ilvl w:val="0"/>
          <w:numId w:val="7"/>
        </w:numPr>
        <w:autoSpaceDE w:val="0"/>
        <w:autoSpaceDN w:val="0"/>
        <w:adjustRightInd w:val="0"/>
        <w:spacing w:before="120"/>
        <w:ind w:left="1134" w:hanging="425"/>
        <w:rPr>
          <w:lang w:val="en-US"/>
        </w:rPr>
      </w:pPr>
      <w:r>
        <w:rPr>
          <w:lang w:val="en-US"/>
        </w:rPr>
        <w:t>GP – General Practitioner</w:t>
      </w:r>
    </w:p>
    <w:p w:rsidR="00F80C86" w:rsidRDefault="00F80C86" w:rsidP="006179C7">
      <w:pPr>
        <w:numPr>
          <w:ilvl w:val="0"/>
          <w:numId w:val="7"/>
        </w:numPr>
        <w:autoSpaceDE w:val="0"/>
        <w:autoSpaceDN w:val="0"/>
        <w:adjustRightInd w:val="0"/>
        <w:spacing w:before="120"/>
        <w:ind w:left="1134" w:hanging="425"/>
        <w:rPr>
          <w:lang w:val="en-US"/>
        </w:rPr>
      </w:pPr>
      <w:r>
        <w:rPr>
          <w:lang w:val="en-US"/>
        </w:rPr>
        <w:t xml:space="preserve">GRS – Global Rating Scale </w:t>
      </w:r>
    </w:p>
    <w:p w:rsidR="000E11AD" w:rsidRPr="000E11AD" w:rsidRDefault="000E11AD" w:rsidP="006179C7">
      <w:pPr>
        <w:numPr>
          <w:ilvl w:val="0"/>
          <w:numId w:val="7"/>
        </w:numPr>
        <w:autoSpaceDE w:val="0"/>
        <w:autoSpaceDN w:val="0"/>
        <w:adjustRightInd w:val="0"/>
        <w:spacing w:before="120"/>
        <w:ind w:left="1134" w:hanging="425"/>
        <w:rPr>
          <w:lang w:val="en-US"/>
        </w:rPr>
      </w:pPr>
      <w:r>
        <w:rPr>
          <w:lang w:val="en-US"/>
        </w:rPr>
        <w:t xml:space="preserve">Hui – </w:t>
      </w:r>
      <w:r w:rsidRPr="000E11AD">
        <w:rPr>
          <w:lang w:val="en-US"/>
        </w:rPr>
        <w:t xml:space="preserve">A </w:t>
      </w:r>
      <w:r w:rsidRPr="000E11AD">
        <w:rPr>
          <w:bCs/>
          <w:lang w:val="en-US"/>
        </w:rPr>
        <w:t>hu</w:t>
      </w:r>
      <w:r w:rsidRPr="005B3839">
        <w:rPr>
          <w:bCs/>
          <w:lang w:val="en-US"/>
        </w:rPr>
        <w:t>i</w:t>
      </w:r>
      <w:r w:rsidRPr="005B3839">
        <w:rPr>
          <w:lang w:val="en-US"/>
        </w:rPr>
        <w:t xml:space="preserve"> </w:t>
      </w:r>
      <w:r w:rsidRPr="000E11AD">
        <w:rPr>
          <w:lang w:val="en-US"/>
        </w:rPr>
        <w:t xml:space="preserve">is a </w:t>
      </w:r>
      <w:r>
        <w:rPr>
          <w:lang w:val="en-US"/>
        </w:rPr>
        <w:t>M</w:t>
      </w:r>
      <w:r>
        <w:rPr>
          <w:rFonts w:cs="Arial"/>
          <w:lang w:val="en-US"/>
        </w:rPr>
        <w:t>ā</w:t>
      </w:r>
      <w:r>
        <w:rPr>
          <w:lang w:val="en-US"/>
        </w:rPr>
        <w:t>ori</w:t>
      </w:r>
      <w:r w:rsidRPr="000E11AD">
        <w:rPr>
          <w:lang w:val="en-US"/>
        </w:rPr>
        <w:t xml:space="preserve"> term for a social gathering or assembly</w:t>
      </w:r>
    </w:p>
    <w:p w:rsidR="00F2473C" w:rsidRDefault="00F2473C" w:rsidP="006179C7">
      <w:pPr>
        <w:numPr>
          <w:ilvl w:val="0"/>
          <w:numId w:val="7"/>
        </w:numPr>
        <w:autoSpaceDE w:val="0"/>
        <w:autoSpaceDN w:val="0"/>
        <w:adjustRightInd w:val="0"/>
        <w:spacing w:before="120"/>
        <w:ind w:left="1134" w:hanging="425"/>
        <w:rPr>
          <w:lang w:val="en-US"/>
        </w:rPr>
      </w:pPr>
      <w:r>
        <w:rPr>
          <w:lang w:eastAsia="ar-SA"/>
        </w:rPr>
        <w:t>iPIM</w:t>
      </w:r>
      <w:r w:rsidRPr="00995633">
        <w:rPr>
          <w:lang w:eastAsia="ar-SA"/>
        </w:rPr>
        <w:t xml:space="preserve">s </w:t>
      </w:r>
      <w:r w:rsidRPr="003A598E">
        <w:rPr>
          <w:lang w:val="en-US"/>
        </w:rPr>
        <w:t>–</w:t>
      </w:r>
      <w:r>
        <w:rPr>
          <w:lang w:eastAsia="ar-SA"/>
        </w:rPr>
        <w:t xml:space="preserve"> </w:t>
      </w:r>
      <w:r w:rsidRPr="00995633">
        <w:rPr>
          <w:lang w:eastAsia="ar-SA"/>
        </w:rPr>
        <w:t>WDHB’s Intelligent P</w:t>
      </w:r>
      <w:r>
        <w:rPr>
          <w:lang w:eastAsia="ar-SA"/>
        </w:rPr>
        <w:t>atient Information Systems</w:t>
      </w:r>
    </w:p>
    <w:p w:rsidR="00F2473C" w:rsidRPr="003A598E" w:rsidRDefault="00F2473C" w:rsidP="006179C7">
      <w:pPr>
        <w:numPr>
          <w:ilvl w:val="0"/>
          <w:numId w:val="7"/>
        </w:numPr>
        <w:autoSpaceDE w:val="0"/>
        <w:autoSpaceDN w:val="0"/>
        <w:adjustRightInd w:val="0"/>
        <w:spacing w:before="120"/>
        <w:ind w:left="1134" w:hanging="425"/>
        <w:rPr>
          <w:lang w:val="en-US"/>
        </w:rPr>
      </w:pPr>
      <w:r w:rsidRPr="003A598E">
        <w:rPr>
          <w:lang w:val="en-US"/>
        </w:rPr>
        <w:t>iFOBT – immunochemical faecal occult blood test.</w:t>
      </w:r>
      <w:r w:rsidR="005B3839" w:rsidRPr="00697D47">
        <w:rPr>
          <w:rStyle w:val="FootnoteReference"/>
        </w:rPr>
        <w:footnoteReference w:id="68"/>
      </w:r>
      <w:r w:rsidR="005B3839">
        <w:rPr>
          <w:lang w:val="en-US"/>
        </w:rPr>
        <w:t xml:space="preserve"> </w:t>
      </w:r>
      <w:r w:rsidRPr="003A598E">
        <w:rPr>
          <w:lang w:val="en-US"/>
        </w:rPr>
        <w:t xml:space="preserve"> A single sample iFOBT test is being used in the BSP. The test is known as OC-Sensor. </w:t>
      </w:r>
    </w:p>
    <w:p w:rsidR="00AA57E6" w:rsidRDefault="00F80C86" w:rsidP="006179C7">
      <w:pPr>
        <w:numPr>
          <w:ilvl w:val="0"/>
          <w:numId w:val="7"/>
        </w:numPr>
        <w:autoSpaceDE w:val="0"/>
        <w:autoSpaceDN w:val="0"/>
        <w:adjustRightInd w:val="0"/>
        <w:spacing w:before="120"/>
        <w:ind w:left="1134" w:hanging="425"/>
      </w:pPr>
      <w:r>
        <w:t xml:space="preserve">KPIs – </w:t>
      </w:r>
      <w:r w:rsidR="005B3839">
        <w:t>k</w:t>
      </w:r>
      <w:r>
        <w:t xml:space="preserve">ey </w:t>
      </w:r>
      <w:r w:rsidR="005B3839">
        <w:t>p</w:t>
      </w:r>
      <w:r>
        <w:t xml:space="preserve">erformance </w:t>
      </w:r>
      <w:r w:rsidR="005B3839">
        <w:t>i</w:t>
      </w:r>
      <w:r>
        <w:t>ndicators</w:t>
      </w:r>
    </w:p>
    <w:p w:rsidR="00F80C86" w:rsidRDefault="00AA57E6" w:rsidP="006179C7">
      <w:pPr>
        <w:numPr>
          <w:ilvl w:val="0"/>
          <w:numId w:val="7"/>
        </w:numPr>
        <w:autoSpaceDE w:val="0"/>
        <w:autoSpaceDN w:val="0"/>
        <w:adjustRightInd w:val="0"/>
        <w:spacing w:before="120"/>
        <w:ind w:left="1134" w:hanging="425"/>
      </w:pPr>
      <w:r>
        <w:t>The Ministry – Ministry of Health</w:t>
      </w:r>
    </w:p>
    <w:p w:rsidR="00F2473C" w:rsidRDefault="00F2473C" w:rsidP="006179C7">
      <w:pPr>
        <w:numPr>
          <w:ilvl w:val="0"/>
          <w:numId w:val="7"/>
        </w:numPr>
        <w:autoSpaceDE w:val="0"/>
        <w:autoSpaceDN w:val="0"/>
        <w:adjustRightInd w:val="0"/>
        <w:spacing w:before="120"/>
        <w:ind w:left="1134" w:hanging="425"/>
        <w:rPr>
          <w:lang w:val="en-US"/>
        </w:rPr>
      </w:pPr>
      <w:r>
        <w:rPr>
          <w:lang w:val="en-US"/>
        </w:rPr>
        <w:t>MDM – multi-disciplinary meeting</w:t>
      </w:r>
    </w:p>
    <w:p w:rsidR="00100EE3" w:rsidRPr="00100EE3" w:rsidRDefault="00100EE3" w:rsidP="006179C7">
      <w:pPr>
        <w:numPr>
          <w:ilvl w:val="0"/>
          <w:numId w:val="7"/>
        </w:numPr>
        <w:autoSpaceDE w:val="0"/>
        <w:autoSpaceDN w:val="0"/>
        <w:adjustRightInd w:val="0"/>
        <w:spacing w:before="120"/>
        <w:ind w:left="1134" w:hanging="425"/>
        <w:rPr>
          <w:lang w:val="en-US"/>
        </w:rPr>
      </w:pPr>
      <w:r w:rsidRPr="00100EE3">
        <w:rPr>
          <w:lang w:val="en-US"/>
        </w:rPr>
        <w:t xml:space="preserve">MoDCONZ </w:t>
      </w:r>
      <w:r w:rsidR="00EA6F39">
        <w:rPr>
          <w:lang w:val="en-US"/>
        </w:rPr>
        <w:t>–</w:t>
      </w:r>
      <w:r w:rsidRPr="00100EE3">
        <w:rPr>
          <w:lang w:val="en-US"/>
        </w:rPr>
        <w:t xml:space="preserve"> </w:t>
      </w:r>
      <w:r>
        <w:rPr>
          <w:lang w:val="en-US"/>
        </w:rPr>
        <w:t>M</w:t>
      </w:r>
      <w:r w:rsidRPr="00844D4B">
        <w:t>odelling Disease and Cancer Outcomes in NZ</w:t>
      </w:r>
      <w:r>
        <w:t xml:space="preserve"> – a microsimulation model</w:t>
      </w:r>
    </w:p>
    <w:p w:rsidR="00F2473C" w:rsidRDefault="00F2473C" w:rsidP="006179C7">
      <w:pPr>
        <w:numPr>
          <w:ilvl w:val="0"/>
          <w:numId w:val="7"/>
        </w:numPr>
        <w:autoSpaceDE w:val="0"/>
        <w:autoSpaceDN w:val="0"/>
        <w:adjustRightInd w:val="0"/>
        <w:spacing w:before="120"/>
        <w:ind w:left="1134" w:hanging="425"/>
        <w:rPr>
          <w:lang w:val="en-US"/>
        </w:rPr>
      </w:pPr>
      <w:r>
        <w:rPr>
          <w:lang w:val="en-US"/>
        </w:rPr>
        <w:t>NHI – National Health Index</w:t>
      </w:r>
    </w:p>
    <w:p w:rsidR="00F2473C" w:rsidRPr="00EA55DB" w:rsidRDefault="00F2473C" w:rsidP="006179C7">
      <w:pPr>
        <w:numPr>
          <w:ilvl w:val="0"/>
          <w:numId w:val="7"/>
        </w:numPr>
        <w:autoSpaceDE w:val="0"/>
        <w:autoSpaceDN w:val="0"/>
        <w:adjustRightInd w:val="0"/>
        <w:spacing w:before="120"/>
        <w:ind w:left="1134" w:hanging="425"/>
      </w:pPr>
      <w:r w:rsidRPr="00EA55DB">
        <w:t xml:space="preserve">Non-responders – people who have received a pre-invitation, invitation and reminder letter, </w:t>
      </w:r>
      <w:r w:rsidRPr="00DD0A99">
        <w:t>ha</w:t>
      </w:r>
      <w:r>
        <w:t>ve</w:t>
      </w:r>
      <w:r w:rsidRPr="00DD0A99">
        <w:t xml:space="preserve"> not returned a completed kit, </w:t>
      </w:r>
      <w:r w:rsidRPr="00EA55DB">
        <w:t>and have not contacted the Coordination Centre to opt out of the BSP</w:t>
      </w:r>
    </w:p>
    <w:p w:rsidR="00100EE3" w:rsidRDefault="00100EE3" w:rsidP="006179C7">
      <w:pPr>
        <w:numPr>
          <w:ilvl w:val="0"/>
          <w:numId w:val="7"/>
        </w:numPr>
        <w:autoSpaceDE w:val="0"/>
        <w:autoSpaceDN w:val="0"/>
        <w:adjustRightInd w:val="0"/>
        <w:spacing w:before="120"/>
        <w:ind w:left="1134" w:hanging="425"/>
      </w:pPr>
      <w:r>
        <w:t xml:space="preserve">QALYs </w:t>
      </w:r>
      <w:r w:rsidR="00EA6F39">
        <w:t>–</w:t>
      </w:r>
      <w:r>
        <w:t xml:space="preserve"> quality adjusted life years </w:t>
      </w:r>
    </w:p>
    <w:p w:rsidR="00F2473C" w:rsidRPr="00802D10" w:rsidRDefault="00F2473C" w:rsidP="006179C7">
      <w:pPr>
        <w:numPr>
          <w:ilvl w:val="0"/>
          <w:numId w:val="7"/>
        </w:numPr>
        <w:autoSpaceDE w:val="0"/>
        <w:autoSpaceDN w:val="0"/>
        <w:adjustRightInd w:val="0"/>
        <w:spacing w:before="120"/>
        <w:ind w:left="1134" w:hanging="425"/>
      </w:pPr>
      <w:r w:rsidRPr="00802D10">
        <w:t xml:space="preserve">PHO </w:t>
      </w:r>
      <w:r w:rsidRPr="00EA55DB">
        <w:t>–</w:t>
      </w:r>
      <w:r>
        <w:t xml:space="preserve"> </w:t>
      </w:r>
      <w:r w:rsidRPr="00802D10">
        <w:t xml:space="preserve">Primary Health Organisation </w:t>
      </w:r>
    </w:p>
    <w:p w:rsidR="00F80C86" w:rsidRPr="00F80C86" w:rsidRDefault="00F80C86" w:rsidP="006179C7">
      <w:pPr>
        <w:numPr>
          <w:ilvl w:val="0"/>
          <w:numId w:val="7"/>
        </w:numPr>
        <w:autoSpaceDE w:val="0"/>
        <w:autoSpaceDN w:val="0"/>
        <w:adjustRightInd w:val="0"/>
        <w:spacing w:before="120"/>
        <w:ind w:left="1134" w:hanging="425"/>
      </w:pPr>
      <w:r>
        <w:rPr>
          <w:lang w:val="en-US"/>
        </w:rPr>
        <w:t xml:space="preserve">PPV </w:t>
      </w:r>
      <w:r w:rsidRPr="003A598E">
        <w:rPr>
          <w:lang w:val="en-US"/>
        </w:rPr>
        <w:t>–</w:t>
      </w:r>
      <w:r>
        <w:rPr>
          <w:lang w:val="en-US"/>
        </w:rPr>
        <w:t xml:space="preserve"> </w:t>
      </w:r>
      <w:r w:rsidRPr="00F80C86">
        <w:rPr>
          <w:lang w:val="en-US"/>
        </w:rPr>
        <w:t>positive predictive value</w:t>
      </w:r>
      <w:r>
        <w:rPr>
          <w:rFonts w:cs="Arial"/>
        </w:rPr>
        <w:t xml:space="preserve"> </w:t>
      </w:r>
    </w:p>
    <w:p w:rsidR="00F2473C" w:rsidRDefault="00F2473C" w:rsidP="006179C7">
      <w:pPr>
        <w:numPr>
          <w:ilvl w:val="0"/>
          <w:numId w:val="7"/>
        </w:numPr>
        <w:autoSpaceDE w:val="0"/>
        <w:autoSpaceDN w:val="0"/>
        <w:adjustRightInd w:val="0"/>
        <w:spacing w:before="120"/>
        <w:ind w:left="1134" w:hanging="425"/>
        <w:rPr>
          <w:lang w:val="en-US"/>
        </w:rPr>
      </w:pPr>
      <w:r>
        <w:rPr>
          <w:lang w:val="en-US"/>
        </w:rPr>
        <w:t xml:space="preserve">Spoilt kits – refers to iFOBT kits where the test has not been performed or labelled correctly.  Most spoilt kits are due to date and label issues </w:t>
      </w:r>
    </w:p>
    <w:p w:rsidR="00F2473C" w:rsidRPr="00EA55DB" w:rsidRDefault="00F2473C" w:rsidP="006179C7">
      <w:pPr>
        <w:numPr>
          <w:ilvl w:val="0"/>
          <w:numId w:val="7"/>
        </w:numPr>
        <w:autoSpaceDE w:val="0"/>
        <w:autoSpaceDN w:val="0"/>
        <w:adjustRightInd w:val="0"/>
        <w:spacing w:before="120"/>
        <w:ind w:left="1134" w:hanging="425"/>
      </w:pPr>
      <w:r w:rsidRPr="00EA55DB">
        <w:t xml:space="preserve">The </w:t>
      </w:r>
      <w:r>
        <w:t>p</w:t>
      </w:r>
      <w:r w:rsidRPr="00EA55DB">
        <w:t>ilot – the Bowel Screening Pilot/BSP</w:t>
      </w:r>
    </w:p>
    <w:p w:rsidR="00F80C86" w:rsidRDefault="00F80C86" w:rsidP="006179C7">
      <w:pPr>
        <w:numPr>
          <w:ilvl w:val="0"/>
          <w:numId w:val="7"/>
        </w:numPr>
        <w:autoSpaceDE w:val="0"/>
        <w:autoSpaceDN w:val="0"/>
        <w:adjustRightInd w:val="0"/>
        <w:spacing w:before="120"/>
        <w:ind w:left="1134" w:hanging="425"/>
      </w:pPr>
      <w:r>
        <w:rPr>
          <w:lang w:val="en-US"/>
        </w:rPr>
        <w:t xml:space="preserve">TNM </w:t>
      </w:r>
      <w:r w:rsidRPr="003A598E">
        <w:rPr>
          <w:lang w:val="en-US"/>
        </w:rPr>
        <w:t>–</w:t>
      </w:r>
      <w:r>
        <w:rPr>
          <w:lang w:val="en-US"/>
        </w:rPr>
        <w:t xml:space="preserve"> </w:t>
      </w:r>
      <w:r w:rsidR="005B3839">
        <w:rPr>
          <w:lang w:val="en-US"/>
        </w:rPr>
        <w:t>t</w:t>
      </w:r>
      <w:r w:rsidRPr="00F80C86">
        <w:rPr>
          <w:lang w:val="en-US"/>
        </w:rPr>
        <w:t>umour</w:t>
      </w:r>
      <w:r w:rsidR="005B3839">
        <w:rPr>
          <w:rFonts w:cs="Arial"/>
        </w:rPr>
        <w:t>/node/metastasis staging</w:t>
      </w:r>
    </w:p>
    <w:p w:rsidR="00F2473C" w:rsidRDefault="00F2473C" w:rsidP="006179C7">
      <w:pPr>
        <w:numPr>
          <w:ilvl w:val="0"/>
          <w:numId w:val="7"/>
        </w:numPr>
        <w:autoSpaceDE w:val="0"/>
        <w:autoSpaceDN w:val="0"/>
        <w:adjustRightInd w:val="0"/>
        <w:spacing w:before="120"/>
        <w:ind w:left="1134" w:hanging="425"/>
      </w:pPr>
      <w:r>
        <w:rPr>
          <w:rFonts w:cs="Arial"/>
        </w:rPr>
        <w:t xml:space="preserve">UK </w:t>
      </w:r>
      <w:r>
        <w:t>–</w:t>
      </w:r>
      <w:r>
        <w:rPr>
          <w:rFonts w:cs="Arial"/>
        </w:rPr>
        <w:t xml:space="preserve"> United Kingdom </w:t>
      </w:r>
    </w:p>
    <w:p w:rsidR="00F2473C" w:rsidRPr="00EA55DB" w:rsidRDefault="00F2473C" w:rsidP="006179C7">
      <w:pPr>
        <w:numPr>
          <w:ilvl w:val="0"/>
          <w:numId w:val="7"/>
        </w:numPr>
        <w:autoSpaceDE w:val="0"/>
        <w:autoSpaceDN w:val="0"/>
        <w:adjustRightInd w:val="0"/>
        <w:spacing w:before="120"/>
        <w:ind w:left="1134" w:hanging="425"/>
      </w:pPr>
      <w:r w:rsidRPr="00EA55DB">
        <w:t xml:space="preserve">WDHB </w:t>
      </w:r>
      <w:r w:rsidR="005B3839">
        <w:t>–</w:t>
      </w:r>
      <w:r w:rsidRPr="00EA55DB">
        <w:t xml:space="preserve"> </w:t>
      </w:r>
      <w:r>
        <w:t>Waitemat</w:t>
      </w:r>
      <w:r w:rsidR="00100EE3">
        <w:rPr>
          <w:rFonts w:cs="Arial"/>
        </w:rPr>
        <w:t>ā</w:t>
      </w:r>
      <w:r w:rsidRPr="00EA55DB">
        <w:t xml:space="preserve"> District Health Board </w:t>
      </w:r>
    </w:p>
    <w:p w:rsidR="00F2473C" w:rsidRDefault="00F2473C" w:rsidP="006179C7">
      <w:pPr>
        <w:numPr>
          <w:ilvl w:val="0"/>
          <w:numId w:val="7"/>
        </w:numPr>
        <w:autoSpaceDE w:val="0"/>
        <w:autoSpaceDN w:val="0"/>
        <w:adjustRightInd w:val="0"/>
        <w:spacing w:before="120"/>
        <w:ind w:left="1134" w:hanging="425"/>
      </w:pPr>
      <w:r>
        <w:rPr>
          <w:rFonts w:cs="Arial"/>
        </w:rPr>
        <w:t xml:space="preserve">WHEU </w:t>
      </w:r>
      <w:r w:rsidR="005B3839">
        <w:rPr>
          <w:rFonts w:cs="Arial"/>
        </w:rPr>
        <w:t>–</w:t>
      </w:r>
      <w:r>
        <w:rPr>
          <w:rFonts w:cs="Arial"/>
        </w:rPr>
        <w:t xml:space="preserve"> </w:t>
      </w:r>
      <w:r w:rsidRPr="00F12FA8">
        <w:t>Waitakere</w:t>
      </w:r>
      <w:r w:rsidRPr="005609CF">
        <w:rPr>
          <w:rFonts w:cs="Arial"/>
        </w:rPr>
        <w:t xml:space="preserve"> Hospital Endoscopy Unit </w:t>
      </w:r>
    </w:p>
    <w:p w:rsidR="00F2473C" w:rsidRPr="009433F2" w:rsidRDefault="00F2473C" w:rsidP="006179C7">
      <w:pPr>
        <w:numPr>
          <w:ilvl w:val="0"/>
          <w:numId w:val="7"/>
        </w:numPr>
        <w:autoSpaceDE w:val="0"/>
        <w:autoSpaceDN w:val="0"/>
        <w:adjustRightInd w:val="0"/>
        <w:spacing w:before="120"/>
        <w:ind w:left="1134" w:hanging="425"/>
        <w:rPr>
          <w:rFonts w:cs="Arial"/>
        </w:rPr>
      </w:pPr>
      <w:r w:rsidRPr="009433F2">
        <w:rPr>
          <w:rFonts w:cs="Arial"/>
        </w:rPr>
        <w:t>The Register – BSP information system</w:t>
      </w:r>
    </w:p>
    <w:p w:rsidR="00F2473C" w:rsidRDefault="00F2473C">
      <w:pPr>
        <w:spacing w:before="0"/>
        <w:ind w:left="0"/>
      </w:pPr>
    </w:p>
    <w:p w:rsidR="00F2473C" w:rsidRDefault="00F2473C">
      <w:pPr>
        <w:spacing w:before="0"/>
        <w:ind w:left="0"/>
        <w:sectPr w:rsidR="00F2473C">
          <w:pgSz w:w="11909" w:h="16834" w:code="9"/>
          <w:pgMar w:top="1701" w:right="1134" w:bottom="1701" w:left="1134" w:header="567" w:footer="567" w:gutter="0"/>
          <w:cols w:space="720"/>
        </w:sectPr>
      </w:pPr>
    </w:p>
    <w:p w:rsidR="00F2473C" w:rsidRDefault="00F2473C" w:rsidP="00F2473C">
      <w:pPr>
        <w:pStyle w:val="Heading1"/>
      </w:pPr>
      <w:bookmarkStart w:id="230" w:name="_Toc390872227"/>
      <w:bookmarkStart w:id="231" w:name="_Toc412540046"/>
      <w:bookmarkStart w:id="232" w:name="_Toc457842154"/>
      <w:bookmarkStart w:id="233" w:name="_Toc390786685"/>
      <w:r w:rsidRPr="00F579CC">
        <w:t>Appendices</w:t>
      </w:r>
      <w:bookmarkEnd w:id="230"/>
      <w:bookmarkEnd w:id="231"/>
      <w:bookmarkEnd w:id="232"/>
    </w:p>
    <w:p w:rsidR="00075B9E" w:rsidRPr="00371B10" w:rsidRDefault="00AE5DC3" w:rsidP="00C65B1F">
      <w:pPr>
        <w:ind w:left="0"/>
        <w:rPr>
          <w:i/>
        </w:rPr>
      </w:pPr>
      <w:r>
        <w:t xml:space="preserve">Please note that </w:t>
      </w:r>
      <w:r w:rsidR="00075B9E">
        <w:t xml:space="preserve">appendices are </w:t>
      </w:r>
      <w:r w:rsidR="000F490D">
        <w:t>available</w:t>
      </w:r>
      <w:r w:rsidR="00075B9E">
        <w:t xml:space="preserve"> as individual </w:t>
      </w:r>
      <w:r w:rsidR="00371B10">
        <w:t>files for download on the Ministry of Health website</w:t>
      </w:r>
      <w:r w:rsidR="002614F6">
        <w:t xml:space="preserve"> In</w:t>
      </w:r>
      <w:r w:rsidR="005C3BBD">
        <w:t xml:space="preserve"> the downloads section in th</w:t>
      </w:r>
      <w:r w:rsidR="002614F6">
        <w:t>e right-hand column of the page</w:t>
      </w:r>
      <w:r w:rsidR="004C5C4C">
        <w:t>:</w:t>
      </w:r>
      <w:r w:rsidR="00371B10">
        <w:t xml:space="preserve"> </w:t>
      </w:r>
      <w:hyperlink r:id="rId49" w:history="1">
        <w:r w:rsidR="00371B10" w:rsidRPr="00371B10">
          <w:rPr>
            <w:rStyle w:val="Hyperlink"/>
          </w:rPr>
          <w:t>Final Evaluation Report of the Bowel Screening Pilot: Screening Rounds One and Two</w:t>
        </w:r>
      </w:hyperlink>
      <w:r w:rsidR="00371B10" w:rsidRPr="004C5C4C">
        <w:t xml:space="preserve"> </w:t>
      </w:r>
    </w:p>
    <w:p w:rsidR="008F76FB" w:rsidRDefault="008F76FB" w:rsidP="00F2473C">
      <w:pPr>
        <w:pStyle w:val="Heading2"/>
        <w:rPr>
          <w:rFonts w:eastAsiaTheme="majorEastAsia"/>
          <w:lang w:val="en-US" w:eastAsia="ja-JP"/>
        </w:rPr>
      </w:pPr>
      <w:bookmarkStart w:id="234" w:name="_Appendix_1:_"/>
      <w:bookmarkStart w:id="235" w:name="_Toc457842155"/>
      <w:bookmarkStart w:id="236" w:name="_Toc390872228"/>
      <w:bookmarkStart w:id="237" w:name="_Toc412540047"/>
      <w:bookmarkEnd w:id="234"/>
      <w:r>
        <w:rPr>
          <w:rFonts w:eastAsiaTheme="majorEastAsia"/>
          <w:lang w:val="en-US" w:eastAsia="ja-JP"/>
        </w:rPr>
        <w:t>Appendix 1: Update</w:t>
      </w:r>
      <w:r w:rsidR="00B5137C">
        <w:rPr>
          <w:rFonts w:eastAsiaTheme="majorEastAsia"/>
          <w:lang w:val="en-US" w:eastAsia="ja-JP"/>
        </w:rPr>
        <w:t>d</w:t>
      </w:r>
      <w:r>
        <w:rPr>
          <w:rFonts w:eastAsiaTheme="majorEastAsia"/>
          <w:lang w:val="en-US" w:eastAsia="ja-JP"/>
        </w:rPr>
        <w:t xml:space="preserve"> evaluation judgements</w:t>
      </w:r>
      <w:r w:rsidR="00B5137C">
        <w:rPr>
          <w:rFonts w:eastAsiaTheme="majorEastAsia"/>
          <w:lang w:val="en-US" w:eastAsia="ja-JP"/>
        </w:rPr>
        <w:t xml:space="preserve"> against objectives</w:t>
      </w:r>
      <w:bookmarkEnd w:id="235"/>
    </w:p>
    <w:p w:rsidR="008F76FB" w:rsidRDefault="00075B9E" w:rsidP="005C3BBD">
      <w:pPr>
        <w:ind w:left="0"/>
        <w:rPr>
          <w:lang w:eastAsia="ar-SA"/>
        </w:rPr>
      </w:pPr>
      <w:r>
        <w:rPr>
          <w:lang w:eastAsia="ar-SA"/>
        </w:rPr>
        <w:t>Updated</w:t>
      </w:r>
      <w:r w:rsidR="008F76FB">
        <w:rPr>
          <w:lang w:eastAsia="ar-SA"/>
        </w:rPr>
        <w:t xml:space="preserve"> evaluation findings for </w:t>
      </w:r>
      <w:r w:rsidR="00F72955">
        <w:rPr>
          <w:lang w:eastAsia="ar-SA"/>
        </w:rPr>
        <w:t>Round 2</w:t>
      </w:r>
      <w:r w:rsidR="008F76FB">
        <w:rPr>
          <w:lang w:eastAsia="ar-SA"/>
        </w:rPr>
        <w:t xml:space="preserve"> across the six evaluation objectives. Evaluation objectives on s</w:t>
      </w:r>
      <w:r w:rsidR="008F76FB" w:rsidRPr="008F76FB">
        <w:rPr>
          <w:lang w:eastAsia="ar-SA"/>
        </w:rPr>
        <w:t>creening effectiveness</w:t>
      </w:r>
      <w:r w:rsidR="001F22DA">
        <w:rPr>
          <w:lang w:eastAsia="ar-SA"/>
        </w:rPr>
        <w:t>,</w:t>
      </w:r>
      <w:r w:rsidR="008F76FB" w:rsidRPr="008F76FB">
        <w:rPr>
          <w:lang w:eastAsia="ar-SA"/>
        </w:rPr>
        <w:t xml:space="preserve"> participation and coverage and cost effectiveness</w:t>
      </w:r>
      <w:r w:rsidR="008F76FB">
        <w:rPr>
          <w:lang w:eastAsia="ar-SA"/>
        </w:rPr>
        <w:t xml:space="preserve"> have not been updated here as they are updated in sections 3 and 4</w:t>
      </w:r>
      <w:r w:rsidR="001F22DA">
        <w:rPr>
          <w:lang w:eastAsia="ar-SA"/>
        </w:rPr>
        <w:t>,</w:t>
      </w:r>
      <w:r w:rsidR="008F76FB">
        <w:rPr>
          <w:lang w:eastAsia="ar-SA"/>
        </w:rPr>
        <w:t xml:space="preserve"> respectively</w:t>
      </w:r>
      <w:r w:rsidR="002614F6">
        <w:rPr>
          <w:lang w:eastAsia="ar-SA"/>
        </w:rPr>
        <w:t xml:space="preserve">: </w:t>
      </w:r>
      <w:hyperlink r:id="rId50" w:history="1">
        <w:r w:rsidR="00371B10" w:rsidRPr="00371B10">
          <w:rPr>
            <w:rStyle w:val="Hyperlink"/>
          </w:rPr>
          <w:t>Final Evaluation Report of the Bowel Screening Pilot: Screening Rounds One and Two</w:t>
        </w:r>
      </w:hyperlink>
      <w:r w:rsidR="00371B10">
        <w:rPr>
          <w:i/>
        </w:rPr>
        <w:t xml:space="preserve"> </w:t>
      </w:r>
    </w:p>
    <w:p w:rsidR="00F2473C" w:rsidRDefault="00F2473C" w:rsidP="00F2473C">
      <w:pPr>
        <w:pStyle w:val="Heading2"/>
        <w:rPr>
          <w:rFonts w:eastAsiaTheme="minorHAnsi" w:cs="Arial"/>
          <w:sz w:val="32"/>
          <w:lang w:eastAsia="en-US"/>
        </w:rPr>
      </w:pPr>
      <w:bookmarkStart w:id="238" w:name="_Toc457842156"/>
      <w:r w:rsidRPr="0046313F">
        <w:rPr>
          <w:rFonts w:eastAsiaTheme="majorEastAsia"/>
          <w:lang w:val="en-US" w:eastAsia="ja-JP"/>
        </w:rPr>
        <w:t>Appendix</w:t>
      </w:r>
      <w:r>
        <w:rPr>
          <w:rFonts w:eastAsiaTheme="majorEastAsia"/>
          <w:lang w:val="en-US" w:eastAsia="ja-JP"/>
        </w:rPr>
        <w:t xml:space="preserve"> </w:t>
      </w:r>
      <w:r w:rsidR="008F76FB">
        <w:rPr>
          <w:rFonts w:eastAsiaTheme="majorEastAsia"/>
          <w:lang w:val="en-US" w:eastAsia="ja-JP"/>
        </w:rPr>
        <w:t>2</w:t>
      </w:r>
      <w:r w:rsidRPr="0046313F">
        <w:rPr>
          <w:rFonts w:eastAsiaTheme="majorEastAsia"/>
          <w:lang w:val="en-US" w:eastAsia="ja-JP"/>
        </w:rPr>
        <w:t xml:space="preserve">:  </w:t>
      </w:r>
      <w:bookmarkEnd w:id="233"/>
      <w:bookmarkEnd w:id="236"/>
      <w:r>
        <w:rPr>
          <w:rFonts w:eastAsiaTheme="majorEastAsia"/>
          <w:lang w:val="en-US" w:eastAsia="ja-JP"/>
        </w:rPr>
        <w:t xml:space="preserve">Epidemiology </w:t>
      </w:r>
      <w:r w:rsidR="00D262B7">
        <w:rPr>
          <w:rFonts w:eastAsiaTheme="majorEastAsia"/>
          <w:lang w:val="en-US" w:eastAsia="ja-JP"/>
        </w:rPr>
        <w:t>r</w:t>
      </w:r>
      <w:r w:rsidR="008642D3">
        <w:rPr>
          <w:rFonts w:eastAsiaTheme="majorEastAsia"/>
          <w:lang w:val="en-US" w:eastAsia="ja-JP"/>
        </w:rPr>
        <w:t xml:space="preserve">eport </w:t>
      </w:r>
      <w:r w:rsidR="008642D3" w:rsidRPr="008642D3">
        <w:rPr>
          <w:rFonts w:eastAsiaTheme="majorEastAsia"/>
          <w:b w:val="0"/>
          <w:lang w:val="en-US" w:eastAsia="ja-JP"/>
        </w:rPr>
        <w:t>(Read et al</w:t>
      </w:r>
      <w:r w:rsidRPr="008642D3">
        <w:rPr>
          <w:rFonts w:eastAsiaTheme="majorEastAsia"/>
          <w:b w:val="0"/>
          <w:lang w:val="en-US" w:eastAsia="ja-JP"/>
        </w:rPr>
        <w:t xml:space="preserve"> 2016)</w:t>
      </w:r>
      <w:bookmarkEnd w:id="237"/>
      <w:bookmarkEnd w:id="238"/>
      <w:r>
        <w:rPr>
          <w:rFonts w:eastAsiaTheme="majorEastAsia"/>
          <w:lang w:val="en-US" w:eastAsia="ja-JP"/>
        </w:rPr>
        <w:t xml:space="preserve"> </w:t>
      </w:r>
    </w:p>
    <w:p w:rsidR="00075B9E" w:rsidRPr="004C5C4C" w:rsidRDefault="00075B9E" w:rsidP="00371B10">
      <w:pPr>
        <w:ind w:left="0"/>
      </w:pPr>
      <w:r w:rsidRPr="00075B9E">
        <w:t>The</w:t>
      </w:r>
      <w:r w:rsidR="00F2473C">
        <w:t xml:space="preserve"> complete epidemiology report: Read D, Shanthakumar M, Borman B. 2016. </w:t>
      </w:r>
      <w:r w:rsidR="00F2473C" w:rsidRPr="0059179A">
        <w:rPr>
          <w:i/>
        </w:rPr>
        <w:t>T</w:t>
      </w:r>
      <w:r w:rsidR="00F2473C">
        <w:rPr>
          <w:i/>
        </w:rPr>
        <w:t>he Bowel Screening Pilot Results of the First 36 Months</w:t>
      </w:r>
      <w:r w:rsidR="00F2473C">
        <w:t xml:space="preserve">.  </w:t>
      </w:r>
      <w:r w:rsidR="00F2473C">
        <w:rPr>
          <w:rFonts w:cs="Arial"/>
        </w:rPr>
        <w:t>Prepared for the Ministry of Health. Wellington, New Zealand: Cen</w:t>
      </w:r>
      <w:bookmarkStart w:id="239" w:name="_Toc412540048"/>
      <w:r>
        <w:rPr>
          <w:rFonts w:cs="Arial"/>
        </w:rPr>
        <w:t>tre for Public Health Research</w:t>
      </w:r>
      <w:r w:rsidR="002614F6">
        <w:t>:</w:t>
      </w:r>
      <w:r w:rsidR="00371B10">
        <w:rPr>
          <w:rFonts w:cs="Arial"/>
        </w:rPr>
        <w:t xml:space="preserve"> </w:t>
      </w:r>
      <w:hyperlink r:id="rId51" w:history="1">
        <w:r w:rsidR="00371B10" w:rsidRPr="00371B10">
          <w:rPr>
            <w:rStyle w:val="Hyperlink"/>
          </w:rPr>
          <w:t>Final Evaluation Report of the Bowel Screening Pilot: Screening Rounds One and Two</w:t>
        </w:r>
      </w:hyperlink>
      <w:r w:rsidR="00371B10">
        <w:rPr>
          <w:i/>
        </w:rPr>
        <w:t xml:space="preserve"> </w:t>
      </w:r>
    </w:p>
    <w:p w:rsidR="00246F71" w:rsidRPr="00390442" w:rsidRDefault="00F2473C" w:rsidP="00BA6D98">
      <w:pPr>
        <w:pStyle w:val="Heading2"/>
      </w:pPr>
      <w:bookmarkStart w:id="240" w:name="_Toc457842157"/>
      <w:r w:rsidRPr="0046313F">
        <w:rPr>
          <w:rFonts w:eastAsiaTheme="majorEastAsia"/>
          <w:lang w:val="en-US" w:eastAsia="ja-JP"/>
        </w:rPr>
        <w:t>Appendix</w:t>
      </w:r>
      <w:r>
        <w:rPr>
          <w:rFonts w:eastAsiaTheme="majorEastAsia"/>
          <w:lang w:val="en-US" w:eastAsia="ja-JP"/>
        </w:rPr>
        <w:t xml:space="preserve"> </w:t>
      </w:r>
      <w:r w:rsidR="008F76FB">
        <w:rPr>
          <w:rFonts w:eastAsiaTheme="majorEastAsia"/>
          <w:lang w:val="en-US" w:eastAsia="ja-JP"/>
        </w:rPr>
        <w:t>3</w:t>
      </w:r>
      <w:r w:rsidRPr="0046313F">
        <w:rPr>
          <w:rFonts w:eastAsiaTheme="majorEastAsia"/>
          <w:lang w:val="en-US" w:eastAsia="ja-JP"/>
        </w:rPr>
        <w:t xml:space="preserve">:  </w:t>
      </w:r>
      <w:bookmarkEnd w:id="240"/>
      <w:r w:rsidR="00372243">
        <w:t xml:space="preserve">Costing the screening pathway, Rounds 1 &amp; 2 </w:t>
      </w:r>
      <w:r w:rsidR="00372243" w:rsidRPr="007F5994">
        <w:t>– Sapere</w:t>
      </w:r>
    </w:p>
    <w:bookmarkEnd w:id="239"/>
    <w:p w:rsidR="006910AA" w:rsidRDefault="00AE5DC3" w:rsidP="008C0EA9">
      <w:pPr>
        <w:ind w:left="425"/>
      </w:pPr>
      <w:r>
        <w:t>The</w:t>
      </w:r>
      <w:r w:rsidR="00372243">
        <w:t xml:space="preserve"> full report of the BSP costing analysis </w:t>
      </w:r>
      <w:r w:rsidR="00372243" w:rsidRPr="00246F71">
        <w:t>(</w:t>
      </w:r>
      <w:r w:rsidR="00372243">
        <w:t>Blick et al</w:t>
      </w:r>
      <w:r w:rsidR="00372243" w:rsidRPr="00246F71">
        <w:t>, 201</w:t>
      </w:r>
      <w:r w:rsidR="00372243">
        <w:t>6</w:t>
      </w:r>
      <w:r w:rsidR="00372243" w:rsidRPr="00246F71">
        <w:t>)</w:t>
      </w:r>
      <w:r w:rsidR="001E607C">
        <w:t xml:space="preserve"> is withheld under S9(2)(i) of the Official Information Act.</w:t>
      </w:r>
    </w:p>
    <w:p w:rsidR="00246F71" w:rsidRPr="006556B1" w:rsidRDefault="006910AA" w:rsidP="00BA6D98">
      <w:pPr>
        <w:pStyle w:val="Heading2"/>
      </w:pPr>
      <w:bookmarkStart w:id="241" w:name="_Toc457842158"/>
      <w:r>
        <w:t>A</w:t>
      </w:r>
      <w:r w:rsidR="00523DFB">
        <w:t xml:space="preserve">ppendix 4: </w:t>
      </w:r>
      <w:r w:rsidR="00246F71">
        <w:t xml:space="preserve">A cost-utility analysis based on the findings of the pilot </w:t>
      </w:r>
      <w:r w:rsidR="00DE76E8">
        <w:t xml:space="preserve">results </w:t>
      </w:r>
      <w:r w:rsidR="00246F71">
        <w:t>– Sapere</w:t>
      </w:r>
      <w:bookmarkEnd w:id="241"/>
      <w:r w:rsidR="00246F71">
        <w:t xml:space="preserve"> </w:t>
      </w:r>
    </w:p>
    <w:p w:rsidR="00AE5DC3" w:rsidRPr="00371B10" w:rsidRDefault="00AE5DC3" w:rsidP="00371B10">
      <w:pPr>
        <w:ind w:left="0"/>
        <w:rPr>
          <w:i/>
        </w:rPr>
      </w:pPr>
      <w:r>
        <w:t>The</w:t>
      </w:r>
      <w:r w:rsidR="006A7C49">
        <w:t xml:space="preserve"> full report of the </w:t>
      </w:r>
      <w:r w:rsidR="006A7C49" w:rsidRPr="006A7C49">
        <w:t xml:space="preserve">cost-utility analysis based on the findings of the pilot </w:t>
      </w:r>
      <w:r w:rsidR="00246F71" w:rsidRPr="00246F71">
        <w:t>(Sapere Research Group, 201</w:t>
      </w:r>
      <w:r w:rsidR="00FB0B56">
        <w:t>6a</w:t>
      </w:r>
      <w:r w:rsidR="00246F71" w:rsidRPr="00246F71">
        <w:t>)</w:t>
      </w:r>
      <w:bookmarkStart w:id="242" w:name="_Toc356566367"/>
      <w:bookmarkStart w:id="243" w:name="_Toc376617541"/>
      <w:bookmarkStart w:id="244" w:name="_Toc390872230"/>
      <w:bookmarkStart w:id="245" w:name="_Toc412540050"/>
      <w:bookmarkStart w:id="246" w:name="_Toc457842159"/>
      <w:r w:rsidR="002614F6">
        <w:t xml:space="preserve">: </w:t>
      </w:r>
      <w:hyperlink r:id="rId52" w:history="1">
        <w:r w:rsidR="00371B10" w:rsidRPr="00371B10">
          <w:rPr>
            <w:rStyle w:val="Hyperlink"/>
          </w:rPr>
          <w:t>Final Evaluation Report of the Bowel Screening Pilot: Screening Rounds One and Two</w:t>
        </w:r>
      </w:hyperlink>
      <w:r w:rsidR="004C5C4C">
        <w:t xml:space="preserve"> </w:t>
      </w:r>
    </w:p>
    <w:p w:rsidR="00567696" w:rsidRPr="00957976" w:rsidRDefault="00567696" w:rsidP="008C0EA9">
      <w:pPr>
        <w:pStyle w:val="Heading2"/>
      </w:pPr>
      <w:r w:rsidRPr="00957976">
        <w:t xml:space="preserve">Appendix </w:t>
      </w:r>
      <w:r>
        <w:t>5</w:t>
      </w:r>
      <w:r w:rsidRPr="00957976">
        <w:t>:</w:t>
      </w:r>
      <w:r>
        <w:t xml:space="preserve">  </w:t>
      </w:r>
      <w:r w:rsidRPr="00957976">
        <w:t>BSP monitoring indicators</w:t>
      </w:r>
      <w:bookmarkEnd w:id="242"/>
      <w:bookmarkEnd w:id="243"/>
      <w:bookmarkEnd w:id="244"/>
      <w:bookmarkEnd w:id="245"/>
      <w:bookmarkEnd w:id="246"/>
      <w:r w:rsidRPr="00957976">
        <w:t xml:space="preserve"> </w:t>
      </w:r>
    </w:p>
    <w:p w:rsidR="00371B10" w:rsidRPr="00371B10" w:rsidRDefault="00567696" w:rsidP="00371B10">
      <w:pPr>
        <w:ind w:left="0"/>
        <w:rPr>
          <w:i/>
        </w:rPr>
      </w:pPr>
      <w:r>
        <w:t xml:space="preserve">The Ministry of Health developed a detailed set of monitoring indicators which </w:t>
      </w:r>
      <w:r w:rsidR="00055491">
        <w:t>were</w:t>
      </w:r>
      <w:r>
        <w:t xml:space="preserve"> drawn up to monitor and evaluate the progress of the BSP.  </w:t>
      </w:r>
      <w:r w:rsidR="00E33CE7">
        <w:t xml:space="preserve">BSP monitoring indicators can be sourced </w:t>
      </w:r>
      <w:r w:rsidR="00371B10">
        <w:t xml:space="preserve">on the following page: </w:t>
      </w:r>
      <w:hyperlink r:id="rId53" w:history="1">
        <w:r w:rsidR="00371B10" w:rsidRPr="00371B10">
          <w:rPr>
            <w:rStyle w:val="Hyperlink"/>
          </w:rPr>
          <w:t>Bowel Screening Pilot results</w:t>
        </w:r>
      </w:hyperlink>
      <w:r w:rsidR="00371B10">
        <w:t>.</w:t>
      </w:r>
      <w:r w:rsidR="00E33CE7">
        <w:t xml:space="preserve"> </w:t>
      </w:r>
      <w:r w:rsidR="00AE5DC3">
        <w:t>Appendix 5 (</w:t>
      </w:r>
      <w:r w:rsidR="00E33CE7">
        <w:t>Table 13</w:t>
      </w:r>
      <w:r w:rsidR="00AE5DC3">
        <w:t>)</w:t>
      </w:r>
      <w:r w:rsidR="00E33CE7">
        <w:t xml:space="preserve"> is a summary of the</w:t>
      </w:r>
      <w:r w:rsidR="00B27A5B" w:rsidRPr="00B27A5B">
        <w:t xml:space="preserve"> </w:t>
      </w:r>
      <w:r w:rsidR="00B27A5B">
        <w:t>Ministry of Health’s</w:t>
      </w:r>
      <w:r w:rsidR="00E33CE7">
        <w:t xml:space="preserve"> BSP monitoring indica</w:t>
      </w:r>
      <w:r w:rsidR="002614F6">
        <w:t xml:space="preserve">tors as sourced on 29 July 2016: </w:t>
      </w:r>
      <w:hyperlink r:id="rId54" w:history="1">
        <w:r w:rsidR="00371B10" w:rsidRPr="00371B10">
          <w:rPr>
            <w:rStyle w:val="Hyperlink"/>
          </w:rPr>
          <w:t>Final Evaluation Report of the Bowel Screening Pilot</w:t>
        </w:r>
        <w:r w:rsidR="00371B10" w:rsidRPr="00371B10">
          <w:rPr>
            <w:rStyle w:val="Hyperlink"/>
          </w:rPr>
          <w:t>: Screening Rounds One and Two</w:t>
        </w:r>
      </w:hyperlink>
      <w:r w:rsidR="004C5C4C">
        <w:t xml:space="preserve"> </w:t>
      </w:r>
    </w:p>
    <w:p w:rsidR="00E33CE7" w:rsidRDefault="00E33CE7" w:rsidP="00C65B1F">
      <w:pPr>
        <w:ind w:left="426"/>
      </w:pPr>
    </w:p>
    <w:p w:rsidR="00075C15" w:rsidRDefault="00075C15" w:rsidP="00075C15">
      <w:pPr>
        <w:pStyle w:val="Heading2"/>
      </w:pPr>
      <w:bookmarkStart w:id="247" w:name="_Toc376617544"/>
      <w:bookmarkStart w:id="248" w:name="_Toc412540051"/>
      <w:bookmarkStart w:id="249" w:name="_Toc457842160"/>
      <w:r>
        <w:t>Appendix 6: Adherence to BSP quality standards</w:t>
      </w:r>
      <w:bookmarkEnd w:id="247"/>
      <w:bookmarkEnd w:id="248"/>
      <w:bookmarkEnd w:id="249"/>
    </w:p>
    <w:p w:rsidR="00371B10" w:rsidRPr="00371B10" w:rsidRDefault="004D22CD" w:rsidP="00371B10">
      <w:pPr>
        <w:ind w:left="0"/>
        <w:rPr>
          <w:i/>
        </w:rPr>
      </w:pPr>
      <w:r>
        <w:t>F</w:t>
      </w:r>
      <w:r w:rsidR="00B27A5B">
        <w:t>or the interim evaluation report</w:t>
      </w:r>
      <w:r w:rsidR="00075C15">
        <w:t xml:space="preserve">, analysis was undertaken to identify 1) whether data was available against each of the quality standards and 2) any variance from targets set. </w:t>
      </w:r>
      <w:r w:rsidR="00AE5DC3">
        <w:t>Appendix 6 (</w:t>
      </w:r>
      <w:r w:rsidR="00075C15">
        <w:t xml:space="preserve">Table </w:t>
      </w:r>
      <w:r w:rsidR="00B27A5B">
        <w:t>14</w:t>
      </w:r>
      <w:r w:rsidR="00AE5DC3">
        <w:t>)</w:t>
      </w:r>
      <w:r w:rsidR="00075C15">
        <w:t xml:space="preserve"> updates this table for the period ending 31 December 2015</w:t>
      </w:r>
      <w:r w:rsidR="00B27A5B">
        <w:t xml:space="preserve"> drawing from existing data and communications with BS</w:t>
      </w:r>
      <w:r w:rsidR="00FD6899">
        <w:t>P</w:t>
      </w:r>
      <w:r w:rsidR="00B27A5B">
        <w:t xml:space="preserve"> Coordination Centre</w:t>
      </w:r>
      <w:r w:rsidR="00371B10">
        <w:t xml:space="preserve">: </w:t>
      </w:r>
      <w:hyperlink r:id="rId55" w:history="1">
        <w:r w:rsidR="00371B10" w:rsidRPr="00371B10">
          <w:rPr>
            <w:rStyle w:val="Hyperlink"/>
          </w:rPr>
          <w:t>Final Evaluation Report of the Bowel Screening Pilot: Screening Rounds One and Two</w:t>
        </w:r>
      </w:hyperlink>
      <w:r w:rsidR="004C5C4C">
        <w:t xml:space="preserve"> </w:t>
      </w:r>
    </w:p>
    <w:p w:rsidR="00A643F9" w:rsidRDefault="00A643F9" w:rsidP="00C65B1F">
      <w:pPr>
        <w:ind w:left="426"/>
      </w:pPr>
    </w:p>
    <w:sectPr w:rsidR="00A643F9" w:rsidSect="00C65B1F">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B10" w:rsidRDefault="00371B10">
      <w:r>
        <w:separator/>
      </w:r>
    </w:p>
  </w:endnote>
  <w:endnote w:type="continuationSeparator" w:id="0">
    <w:p w:rsidR="00371B10" w:rsidRDefault="0037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Gotham Rounded Light">
    <w:altName w:val="Cambria"/>
    <w:panose1 w:val="00000000000000000000"/>
    <w:charset w:val="00"/>
    <w:family w:val="swiss"/>
    <w:notTrueType/>
    <w:pitch w:val="default"/>
    <w:sig w:usb0="00000003" w:usb1="00000000" w:usb2="00000000" w:usb3="00000000" w:csb0="00000001" w:csb1="00000000"/>
  </w:font>
  <w:font w:name="Gotham Rounded Bold">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10" w:rsidRDefault="00371B10" w:rsidP="005719A8">
    <w:pPr>
      <w:pStyle w:val="Footer"/>
      <w:jc w:val="center"/>
    </w:pPr>
    <w:r>
      <w:rPr>
        <w:noProof/>
        <w:lang w:eastAsia="en-NZ"/>
      </w:rPr>
      <w:drawing>
        <wp:inline distT="0" distB="0" distL="0" distR="0">
          <wp:extent cx="6115050" cy="1009650"/>
          <wp:effectExtent l="0" t="0" r="0" b="0"/>
          <wp:docPr id="6" name="Picture 6" descr="S:\Litmus\BrandKit\LIT_LHead 2014(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itmus\BrandKit\LIT_LHead 2014(v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0965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10" w:rsidRDefault="00371B10">
    <w:pPr>
      <w:pStyle w:val="Footer"/>
      <w:jc w:val="right"/>
    </w:pPr>
    <w:r>
      <w:rPr>
        <w:rStyle w:val="PageNumber"/>
        <w:sz w:val="16"/>
      </w:rPr>
      <w:t xml:space="preserve">competency 1 </w:t>
    </w:r>
    <w:r>
      <w:rPr>
        <w:rStyle w:val="PageNumber"/>
      </w:rPr>
      <w:t>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10" w:rsidRPr="00A44D12" w:rsidRDefault="00371B10" w:rsidP="005719A8">
    <w:pPr>
      <w:pStyle w:val="Footer"/>
    </w:pPr>
    <w:r>
      <w:rPr>
        <w:noProof/>
        <w:lang w:eastAsia="en-NZ"/>
      </w:rPr>
      <w:drawing>
        <wp:inline distT="0" distB="0" distL="0" distR="0">
          <wp:extent cx="5762625" cy="952500"/>
          <wp:effectExtent l="0" t="0" r="9525" b="0"/>
          <wp:docPr id="79" name="Picture 79" descr="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95250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10" w:rsidRPr="00C12B25" w:rsidRDefault="00371B10" w:rsidP="005719A8">
    <w:pPr>
      <w:pStyle w:val="Footer"/>
      <w:jc w:val="right"/>
    </w:pPr>
    <w:r>
      <w:rPr>
        <w:noProof/>
        <w:lang w:eastAsia="en-NZ"/>
      </w:rPr>
      <w:drawing>
        <wp:inline distT="0" distB="0" distL="0" distR="0">
          <wp:extent cx="1451360" cy="446252"/>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64266" cy="450220"/>
                  </a:xfrm>
                  <a:prstGeom prst="rect">
                    <a:avLst/>
                  </a:prstGeom>
                </pic:spPr>
              </pic:pic>
            </a:graphicData>
          </a:graphic>
        </wp:inline>
      </w:drawing>
    </w:r>
    <w:r>
      <w:rPr>
        <w:noProof/>
        <w:lang w:eastAsia="en-NZ"/>
      </w:rPr>
      <w:t xml:space="preserve">                      </w:t>
    </w:r>
    <w:r>
      <w:rPr>
        <w:noProof/>
        <w:lang w:eastAsia="en-NZ"/>
      </w:rPr>
      <w:drawing>
        <wp:inline distT="0" distB="0" distL="0" distR="0">
          <wp:extent cx="1155700" cy="421005"/>
          <wp:effectExtent l="0" t="0" r="635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5700" cy="421005"/>
                  </a:xfrm>
                  <a:prstGeom prst="rect">
                    <a:avLst/>
                  </a:prstGeom>
                  <a:noFill/>
                </pic:spPr>
              </pic:pic>
            </a:graphicData>
          </a:graphic>
        </wp:inline>
      </w:drawing>
    </w:r>
    <w:r>
      <w:rPr>
        <w:noProof/>
        <w:lang w:eastAsia="en-NZ"/>
      </w:rPr>
      <w:t xml:space="preserve">                      </w:t>
    </w:r>
    <w:r>
      <w:rPr>
        <w:noProof/>
        <w:lang w:eastAsia="en-NZ"/>
      </w:rPr>
      <w:drawing>
        <wp:inline distT="0" distB="0" distL="0" distR="0">
          <wp:extent cx="1000125" cy="304800"/>
          <wp:effectExtent l="0" t="0" r="9525" b="0"/>
          <wp:docPr id="88" name="Picture 88" descr="LIT_Logo 2010_Colou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_Logo 2010_Colour(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0125" cy="304800"/>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10" w:rsidRDefault="00371B10" w:rsidP="005719A8">
    <w:pPr>
      <w:pStyle w:val="Footer"/>
      <w:tabs>
        <w:tab w:val="left" w:pos="851"/>
      </w:tabs>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r>
    <w:r>
      <w:rPr>
        <w:noProof/>
        <w:lang w:eastAsia="en-NZ"/>
      </w:rPr>
      <w:drawing>
        <wp:inline distT="0" distB="0" distL="0" distR="0">
          <wp:extent cx="895350" cy="238125"/>
          <wp:effectExtent l="0" t="0" r="0" b="9525"/>
          <wp:docPr id="92" name="Picture 92" descr="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B&amp;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38125"/>
                  </a:xfrm>
                  <a:prstGeom prst="rect">
                    <a:avLst/>
                  </a:prstGeom>
                  <a:noFill/>
                  <a:ln>
                    <a:noFill/>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10" w:rsidRPr="00C12B25" w:rsidRDefault="00371B10" w:rsidP="005719A8">
    <w:pPr>
      <w:pStyle w:val="Footer"/>
      <w:tabs>
        <w:tab w:val="right" w:pos="8789"/>
        <w:tab w:val="right" w:pos="9639"/>
      </w:tabs>
    </w:pPr>
    <w:r>
      <w:rPr>
        <w:noProof/>
        <w:lang w:eastAsia="en-NZ"/>
      </w:rPr>
      <w:drawing>
        <wp:inline distT="0" distB="0" distL="0" distR="0">
          <wp:extent cx="1451360" cy="446252"/>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64266" cy="450220"/>
                  </a:xfrm>
                  <a:prstGeom prst="rect">
                    <a:avLst/>
                  </a:prstGeom>
                </pic:spPr>
              </pic:pic>
            </a:graphicData>
          </a:graphic>
        </wp:inline>
      </w:drawing>
    </w:r>
    <w:r>
      <w:rPr>
        <w:noProof/>
        <w:lang w:eastAsia="en-NZ"/>
      </w:rPr>
      <w:t xml:space="preserve">                      </w:t>
    </w:r>
    <w:r>
      <w:rPr>
        <w:noProof/>
        <w:lang w:eastAsia="en-NZ"/>
      </w:rPr>
      <w:drawing>
        <wp:inline distT="0" distB="0" distL="0" distR="0">
          <wp:extent cx="1155700" cy="421005"/>
          <wp:effectExtent l="0" t="0" r="635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5700" cy="421005"/>
                  </a:xfrm>
                  <a:prstGeom prst="rect">
                    <a:avLst/>
                  </a:prstGeom>
                  <a:noFill/>
                </pic:spPr>
              </pic:pic>
            </a:graphicData>
          </a:graphic>
        </wp:inline>
      </w:drawing>
    </w:r>
    <w:r>
      <w:rPr>
        <w:noProof/>
        <w:lang w:eastAsia="en-NZ"/>
      </w:rPr>
      <w:t xml:space="preserve">             </w:t>
    </w:r>
    <w:r>
      <w:rPr>
        <w:noProof/>
        <w:szCs w:val="20"/>
        <w:lang w:eastAsia="en-NZ"/>
      </w:rPr>
      <w:drawing>
        <wp:anchor distT="0" distB="0" distL="114300" distR="114300" simplePos="0" relativeHeight="251657216" behindDoc="1" locked="0" layoutInCell="1" allowOverlap="1">
          <wp:simplePos x="0" y="0"/>
          <wp:positionH relativeFrom="column">
            <wp:posOffset>4970145</wp:posOffset>
          </wp:positionH>
          <wp:positionV relativeFrom="paragraph">
            <wp:posOffset>59055</wp:posOffset>
          </wp:positionV>
          <wp:extent cx="999490" cy="304800"/>
          <wp:effectExtent l="0" t="0" r="0" b="0"/>
          <wp:wrapNone/>
          <wp:docPr id="99" name="Picture 2" descr="LIT_Logo 2010_Colou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T_Logo 2010_Colour(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9490" cy="304800"/>
                  </a:xfrm>
                  <a:prstGeom prst="rect">
                    <a:avLst/>
                  </a:prstGeom>
                  <a:noFill/>
                </pic:spPr>
              </pic:pic>
            </a:graphicData>
          </a:graphic>
        </wp:anchor>
      </w:drawing>
    </w:r>
    <w:r>
      <w:rPr>
        <w:noProof/>
        <w:lang w:eastAsia="en-NZ"/>
      </w:rPr>
      <w:tab/>
    </w:r>
    <w:r>
      <w:tab/>
    </w:r>
    <w:r>
      <w:rPr>
        <w:rStyle w:val="PageNumber"/>
      </w:rPr>
      <w:fldChar w:fldCharType="begin"/>
    </w:r>
    <w:r>
      <w:rPr>
        <w:rStyle w:val="PageNumber"/>
      </w:rPr>
      <w:instrText xml:space="preserve"> PAGE </w:instrText>
    </w:r>
    <w:r>
      <w:rPr>
        <w:rStyle w:val="PageNumber"/>
      </w:rPr>
      <w:fldChar w:fldCharType="separate"/>
    </w:r>
    <w:r w:rsidR="001F2F42">
      <w:rPr>
        <w:rStyle w:val="PageNumber"/>
        <w:noProof/>
      </w:rPr>
      <w:t>18</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10" w:rsidRDefault="00371B10" w:rsidP="00F16564">
    <w:pPr>
      <w:pStyle w:val="Footer"/>
      <w:tabs>
        <w:tab w:val="right" w:pos="8789"/>
        <w:tab w:val="right" w:pos="9639"/>
      </w:tabs>
      <w:ind w:right="237"/>
    </w:pPr>
    <w:r>
      <w:rPr>
        <w:noProof/>
        <w:lang w:eastAsia="en-NZ"/>
      </w:rPr>
      <w:drawing>
        <wp:inline distT="0" distB="0" distL="0" distR="0">
          <wp:extent cx="1451360" cy="446252"/>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64266" cy="450220"/>
                  </a:xfrm>
                  <a:prstGeom prst="rect">
                    <a:avLst/>
                  </a:prstGeom>
                </pic:spPr>
              </pic:pic>
            </a:graphicData>
          </a:graphic>
        </wp:inline>
      </w:drawing>
    </w:r>
    <w:r>
      <w:rPr>
        <w:noProof/>
        <w:lang w:eastAsia="en-NZ"/>
      </w:rPr>
      <w:t xml:space="preserve">                      </w:t>
    </w:r>
    <w:r>
      <w:rPr>
        <w:noProof/>
        <w:lang w:eastAsia="en-NZ"/>
      </w:rPr>
      <w:drawing>
        <wp:inline distT="0" distB="0" distL="0" distR="0">
          <wp:extent cx="1155700" cy="421005"/>
          <wp:effectExtent l="0" t="0" r="635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5700" cy="421005"/>
                  </a:xfrm>
                  <a:prstGeom prst="rect">
                    <a:avLst/>
                  </a:prstGeom>
                  <a:noFill/>
                </pic:spPr>
              </pic:pic>
            </a:graphicData>
          </a:graphic>
        </wp:inline>
      </w:drawing>
    </w:r>
    <w:r>
      <w:rPr>
        <w:noProof/>
        <w:lang w:eastAsia="en-NZ"/>
      </w:rPr>
      <w:t xml:space="preserve">             </w:t>
    </w:r>
    <w:r>
      <w:rPr>
        <w:noProof/>
        <w:szCs w:val="20"/>
        <w:lang w:eastAsia="en-NZ"/>
      </w:rPr>
      <w:drawing>
        <wp:anchor distT="0" distB="0" distL="114300" distR="114300" simplePos="0" relativeHeight="251681792" behindDoc="1" locked="0" layoutInCell="1" allowOverlap="1">
          <wp:simplePos x="0" y="0"/>
          <wp:positionH relativeFrom="column">
            <wp:posOffset>4970145</wp:posOffset>
          </wp:positionH>
          <wp:positionV relativeFrom="paragraph">
            <wp:posOffset>59055</wp:posOffset>
          </wp:positionV>
          <wp:extent cx="999490" cy="304800"/>
          <wp:effectExtent l="0" t="0" r="0" b="0"/>
          <wp:wrapNone/>
          <wp:docPr id="107" name="Picture 2" descr="LIT_Logo 2010_Colou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T_Logo 2010_Colour(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9490" cy="304800"/>
                  </a:xfrm>
                  <a:prstGeom prst="rect">
                    <a:avLst/>
                  </a:prstGeom>
                  <a:noFill/>
                </pic:spPr>
              </pic:pic>
            </a:graphicData>
          </a:graphic>
        </wp:anchor>
      </w:drawing>
    </w:r>
    <w:r>
      <w:tab/>
    </w:r>
    <w:r>
      <w:rPr>
        <w:rStyle w:val="PageNumber"/>
      </w:rPr>
      <w:fldChar w:fldCharType="begin"/>
    </w:r>
    <w:r>
      <w:rPr>
        <w:rStyle w:val="PageNumber"/>
      </w:rPr>
      <w:instrText xml:space="preserve"> PAGE </w:instrText>
    </w:r>
    <w:r>
      <w:rPr>
        <w:rStyle w:val="PageNumber"/>
      </w:rPr>
      <w:fldChar w:fldCharType="separate"/>
    </w:r>
    <w:r w:rsidR="00C15F9A">
      <w:rPr>
        <w:rStyle w:val="PageNumber"/>
        <w:noProof/>
      </w:rPr>
      <w:t>103</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10" w:rsidRDefault="00371B10" w:rsidP="00372C38">
    <w:pPr>
      <w:pStyle w:val="Footer"/>
      <w:tabs>
        <w:tab w:val="right" w:pos="8789"/>
        <w:tab w:val="right" w:pos="9639"/>
      </w:tabs>
    </w:pPr>
    <w:r>
      <w:rPr>
        <w:noProof/>
        <w:lang w:eastAsia="en-NZ"/>
      </w:rPr>
      <w:drawing>
        <wp:inline distT="0" distB="0" distL="0" distR="0">
          <wp:extent cx="1451360" cy="446252"/>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64266" cy="450220"/>
                  </a:xfrm>
                  <a:prstGeom prst="rect">
                    <a:avLst/>
                  </a:prstGeom>
                </pic:spPr>
              </pic:pic>
            </a:graphicData>
          </a:graphic>
        </wp:inline>
      </w:drawing>
    </w:r>
    <w:r>
      <w:rPr>
        <w:noProof/>
        <w:lang w:eastAsia="en-NZ"/>
      </w:rPr>
      <w:t xml:space="preserve">                      </w:t>
    </w:r>
    <w:r>
      <w:rPr>
        <w:noProof/>
        <w:lang w:eastAsia="en-NZ"/>
      </w:rPr>
      <w:drawing>
        <wp:inline distT="0" distB="0" distL="0" distR="0">
          <wp:extent cx="1155700" cy="421005"/>
          <wp:effectExtent l="0" t="0" r="635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5700" cy="421005"/>
                  </a:xfrm>
                  <a:prstGeom prst="rect">
                    <a:avLst/>
                  </a:prstGeom>
                  <a:noFill/>
                </pic:spPr>
              </pic:pic>
            </a:graphicData>
          </a:graphic>
        </wp:inline>
      </w:drawing>
    </w:r>
    <w:r>
      <w:rPr>
        <w:noProof/>
        <w:lang w:eastAsia="en-NZ"/>
      </w:rPr>
      <w:t xml:space="preserve">             </w:t>
    </w:r>
    <w:r>
      <w:rPr>
        <w:noProof/>
        <w:szCs w:val="20"/>
        <w:lang w:eastAsia="en-NZ"/>
      </w:rPr>
      <w:drawing>
        <wp:anchor distT="0" distB="0" distL="114300" distR="114300" simplePos="0" relativeHeight="251679744" behindDoc="1" locked="0" layoutInCell="1" allowOverlap="1">
          <wp:simplePos x="0" y="0"/>
          <wp:positionH relativeFrom="column">
            <wp:posOffset>4970145</wp:posOffset>
          </wp:positionH>
          <wp:positionV relativeFrom="paragraph">
            <wp:posOffset>59055</wp:posOffset>
          </wp:positionV>
          <wp:extent cx="999490" cy="304800"/>
          <wp:effectExtent l="0" t="0" r="0" b="0"/>
          <wp:wrapNone/>
          <wp:docPr id="112" name="Picture 2" descr="LIT_Logo 2010_Colou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T_Logo 2010_Colour(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9490" cy="304800"/>
                  </a:xfrm>
                  <a:prstGeom prst="rect">
                    <a:avLst/>
                  </a:prstGeom>
                  <a:noFill/>
                </pic:spPr>
              </pic:pic>
            </a:graphicData>
          </a:graphic>
        </wp:anchor>
      </w:drawing>
    </w:r>
    <w:r>
      <w:rPr>
        <w:noProof/>
        <w:lang w:eastAsia="en-NZ"/>
      </w:rPr>
      <w:tab/>
    </w:r>
    <w:r>
      <w:tab/>
    </w:r>
    <w:r>
      <w:rPr>
        <w:rStyle w:val="PageNumber"/>
      </w:rPr>
      <w:fldChar w:fldCharType="begin"/>
    </w:r>
    <w:r>
      <w:rPr>
        <w:rStyle w:val="PageNumber"/>
      </w:rPr>
      <w:instrText xml:space="preserve"> PAGE </w:instrText>
    </w:r>
    <w:r>
      <w:rPr>
        <w:rStyle w:val="PageNumber"/>
      </w:rPr>
      <w:fldChar w:fldCharType="separate"/>
    </w:r>
    <w:r w:rsidR="00C15F9A">
      <w:rPr>
        <w:rStyle w:val="PageNumber"/>
        <w:noProof/>
      </w:rPr>
      <w:t>41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B10" w:rsidRDefault="00371B10" w:rsidP="005719A8">
      <w:pPr>
        <w:spacing w:before="0"/>
        <w:ind w:left="0"/>
      </w:pPr>
      <w:r>
        <w:separator/>
      </w:r>
    </w:p>
  </w:footnote>
  <w:footnote w:type="continuationSeparator" w:id="0">
    <w:p w:rsidR="00371B10" w:rsidRDefault="00371B10">
      <w:r>
        <w:continuationSeparator/>
      </w:r>
    </w:p>
  </w:footnote>
  <w:footnote w:id="1">
    <w:p w:rsidR="00371B10" w:rsidRDefault="00371B10" w:rsidP="00340A07">
      <w:pPr>
        <w:pStyle w:val="FootnoteText"/>
      </w:pPr>
      <w:r>
        <w:rPr>
          <w:rStyle w:val="FootnoteReference"/>
        </w:rPr>
        <w:footnoteRef/>
      </w:r>
      <w:r>
        <w:t xml:space="preserve"> </w:t>
      </w:r>
      <w:r>
        <w:tab/>
      </w:r>
      <w:r>
        <w:rPr>
          <w:lang w:val="en-US"/>
        </w:rPr>
        <w:t>Professor Potter is a member of the Litmus Governance Group and was involved in the peer review of the interim and final BSP evaluation reports</w:t>
      </w:r>
      <w:r w:rsidRPr="00610753">
        <w:rPr>
          <w:lang w:val="en-US"/>
        </w:rPr>
        <w:t xml:space="preserve"> </w:t>
      </w:r>
      <w:r>
        <w:rPr>
          <w:lang w:val="en-US"/>
        </w:rPr>
        <w:t xml:space="preserve">from December 2012.  Professor Potter became Chief Science Advisor to the Ministry of Health in January 2016, and elected to continue his role as a member of the Litmus Governance Group until the completion of this report. </w:t>
      </w:r>
    </w:p>
  </w:footnote>
  <w:footnote w:id="2">
    <w:p w:rsidR="00371B10" w:rsidRDefault="00371B10" w:rsidP="00340A07">
      <w:pPr>
        <w:pStyle w:val="FootnoteText"/>
      </w:pPr>
      <w:r w:rsidRPr="00697D47">
        <w:rPr>
          <w:rStyle w:val="FootnoteReference"/>
        </w:rPr>
        <w:footnoteRef/>
      </w:r>
      <w:r>
        <w:t xml:space="preserve"> </w:t>
      </w:r>
      <w:r>
        <w:tab/>
        <w:t xml:space="preserve">Note: the </w:t>
      </w:r>
      <w:r w:rsidRPr="00A8645C">
        <w:t xml:space="preserve">epidemiological analysis </w:t>
      </w:r>
      <w:r>
        <w:t xml:space="preserve">is only for the first 36 months of invites with over eight months allowed for completion of the pathway. </w:t>
      </w:r>
    </w:p>
  </w:footnote>
  <w:footnote w:id="3">
    <w:p w:rsidR="00371B10" w:rsidRDefault="00371B10" w:rsidP="0076344F">
      <w:pPr>
        <w:pStyle w:val="FootnoteText"/>
      </w:pPr>
      <w:r>
        <w:rPr>
          <w:rStyle w:val="FootnoteReference"/>
        </w:rPr>
        <w:footnoteRef/>
      </w:r>
      <w:r>
        <w:t xml:space="preserve"> </w:t>
      </w:r>
      <w:r>
        <w:tab/>
        <w:t xml:space="preserve">The evaluation objectives relating to </w:t>
      </w:r>
      <w:r>
        <w:rPr>
          <w:rFonts w:cs="Arial"/>
          <w:i/>
        </w:rPr>
        <w:t>screening effectiveness,</w:t>
      </w:r>
      <w:r w:rsidRPr="006A7C49">
        <w:rPr>
          <w:rFonts w:cs="Arial"/>
          <w:i/>
        </w:rPr>
        <w:t xml:space="preserve"> </w:t>
      </w:r>
      <w:r>
        <w:rPr>
          <w:rFonts w:cs="Arial"/>
          <w:i/>
        </w:rPr>
        <w:t>iFOBT experience,</w:t>
      </w:r>
      <w:r w:rsidRPr="006A7C49">
        <w:rPr>
          <w:rFonts w:cs="Arial"/>
          <w:i/>
        </w:rPr>
        <w:t xml:space="preserve"> </w:t>
      </w:r>
      <w:r>
        <w:rPr>
          <w:rFonts w:cs="Arial"/>
          <w:i/>
        </w:rPr>
        <w:t>participation and coverage</w:t>
      </w:r>
      <w:r w:rsidRPr="006A7C49">
        <w:rPr>
          <w:rFonts w:cs="Arial"/>
          <w:i/>
        </w:rPr>
        <w:t xml:space="preserve"> </w:t>
      </w:r>
      <w:r>
        <w:rPr>
          <w:rFonts w:cs="Arial"/>
          <w:i/>
        </w:rPr>
        <w:t>and cost effectiveness have not been updated as these relate to the updated findings of the epidemiological analysis (section 3), costing analysis and cost utility analysis (section 4) presented in this report.</w:t>
      </w:r>
    </w:p>
  </w:footnote>
  <w:footnote w:id="4">
    <w:p w:rsidR="00371B10" w:rsidRDefault="00371B10" w:rsidP="00275322">
      <w:pPr>
        <w:pStyle w:val="FootnoteText"/>
      </w:pPr>
      <w:r w:rsidRPr="00697D47">
        <w:rPr>
          <w:rStyle w:val="FootnoteReference"/>
        </w:rPr>
        <w:footnoteRef/>
      </w:r>
      <w:r>
        <w:t xml:space="preserve"> </w:t>
      </w:r>
      <w:r>
        <w:tab/>
        <w:t xml:space="preserve">In 2014, following feedback from WDHB’s Kaitiaki Roopu, the pre-invitation letters were sent two weeks before the invitation. </w:t>
      </w:r>
    </w:p>
  </w:footnote>
  <w:footnote w:id="5">
    <w:p w:rsidR="00371B10" w:rsidRPr="00D63E90" w:rsidRDefault="00371B10" w:rsidP="00D31409">
      <w:pPr>
        <w:pStyle w:val="FootnoteText"/>
        <w:rPr>
          <w:rFonts w:cs="Arial"/>
        </w:rPr>
      </w:pPr>
      <w:r w:rsidRPr="00F16D07">
        <w:rPr>
          <w:rStyle w:val="FootnoteReference"/>
        </w:rPr>
        <w:footnoteRef/>
      </w:r>
      <w:r w:rsidRPr="00F16D07">
        <w:tab/>
      </w:r>
      <w:r w:rsidRPr="0070076F">
        <w:rPr>
          <w:iCs/>
        </w:rPr>
        <w:t>A single sample iFOBT, also referred to internationally as</w:t>
      </w:r>
      <w:r>
        <w:rPr>
          <w:iCs/>
        </w:rPr>
        <w:t xml:space="preserve"> a</w:t>
      </w:r>
      <w:r w:rsidRPr="0070076F">
        <w:rPr>
          <w:iCs/>
        </w:rPr>
        <w:t xml:space="preserve"> Faecal Immunochemical T</w:t>
      </w:r>
      <w:r>
        <w:rPr>
          <w:iCs/>
        </w:rPr>
        <w:t>est, made by Eiken Chemical Co. Ltd</w:t>
      </w:r>
      <w:r w:rsidRPr="0070076F">
        <w:rPr>
          <w:iCs/>
        </w:rPr>
        <w:t>, Tokyo is being used in the BSP. The test is known as</w:t>
      </w:r>
      <w:r>
        <w:rPr>
          <w:iCs/>
        </w:rPr>
        <w:t xml:space="preserve"> OC-Sensor. The sensitivity cut-</w:t>
      </w:r>
      <w:r w:rsidRPr="0070076F">
        <w:rPr>
          <w:iCs/>
        </w:rPr>
        <w:t xml:space="preserve">off for </w:t>
      </w:r>
      <w:r w:rsidRPr="0070076F">
        <w:rPr>
          <w:iCs/>
          <w:lang w:val="en-US"/>
        </w:rPr>
        <w:t xml:space="preserve">test positivity </w:t>
      </w:r>
      <w:r w:rsidRPr="0070076F">
        <w:rPr>
          <w:iCs/>
        </w:rPr>
        <w:t>is 75 ng HB/mL.</w:t>
      </w:r>
      <w:r>
        <w:rPr>
          <w:i/>
          <w:iCs/>
        </w:rPr>
        <w:t> </w:t>
      </w:r>
    </w:p>
  </w:footnote>
  <w:footnote w:id="6">
    <w:p w:rsidR="00371B10" w:rsidRDefault="00371B10" w:rsidP="00D31409">
      <w:pPr>
        <w:pStyle w:val="FootnoteText"/>
      </w:pPr>
      <w:r w:rsidRPr="00697D47">
        <w:rPr>
          <w:rStyle w:val="FootnoteReference"/>
        </w:rPr>
        <w:footnoteRef/>
      </w:r>
      <w:r>
        <w:t xml:space="preserve"> </w:t>
      </w:r>
      <w:r>
        <w:tab/>
        <w:t xml:space="preserve">Spoilt kit </w:t>
      </w:r>
      <w:r>
        <w:rPr>
          <w:lang w:val="en-US"/>
        </w:rPr>
        <w:t xml:space="preserve">refers to iFOBT kits where the test was not performed or labelled correctly.  Most spoilt kits were due to date and label issues. </w:t>
      </w:r>
    </w:p>
  </w:footnote>
  <w:footnote w:id="7">
    <w:p w:rsidR="00371B10" w:rsidRDefault="00371B10" w:rsidP="00D31409">
      <w:pPr>
        <w:pStyle w:val="FootnoteText"/>
      </w:pPr>
      <w:r w:rsidRPr="00697D47">
        <w:rPr>
          <w:rStyle w:val="FootnoteReference"/>
        </w:rPr>
        <w:footnoteRef/>
      </w:r>
      <w:r>
        <w:t xml:space="preserve"> </w:t>
      </w:r>
      <w:r>
        <w:tab/>
      </w:r>
      <w:r w:rsidRPr="00463B7A">
        <w:t xml:space="preserve">In the early implementation stages of the BSP, </w:t>
      </w:r>
      <w:r w:rsidRPr="00463B7A">
        <w:rPr>
          <w:lang w:eastAsia="ar-SA"/>
        </w:rPr>
        <w:t>participants with a positive iFOBT</w:t>
      </w:r>
      <w:r w:rsidRPr="00463B7A">
        <w:t xml:space="preserve"> received a separate letter informing them about their positive result.  This letter has now been merged with the colonoscopy appointment letter.</w:t>
      </w:r>
      <w:r>
        <w:t xml:space="preserve"> </w:t>
      </w:r>
    </w:p>
  </w:footnote>
  <w:footnote w:id="8">
    <w:p w:rsidR="00371B10" w:rsidRDefault="00371B10" w:rsidP="00AA0187">
      <w:pPr>
        <w:pStyle w:val="FootnoteText"/>
      </w:pPr>
      <w:r>
        <w:rPr>
          <w:rStyle w:val="FootnoteReference"/>
        </w:rPr>
        <w:footnoteRef/>
      </w:r>
      <w:r>
        <w:t xml:space="preserve"> </w:t>
      </w:r>
      <w:r>
        <w:tab/>
      </w:r>
      <w:r w:rsidRPr="00737E4B">
        <w:t>A</w:t>
      </w:r>
      <w:r>
        <w:t xml:space="preserve"> further seven to eight percent</w:t>
      </w:r>
      <w:r w:rsidRPr="00737E4B">
        <w:t>, depending on round, of participants with a positive iFOBT result had their colonoscopy carried out in private health care</w:t>
      </w:r>
      <w:r>
        <w:t>.</w:t>
      </w:r>
      <w:r w:rsidRPr="00737E4B">
        <w:t xml:space="preserve"> </w:t>
      </w:r>
    </w:p>
  </w:footnote>
  <w:footnote w:id="9">
    <w:p w:rsidR="00371B10" w:rsidRDefault="00371B10" w:rsidP="00D31409">
      <w:pPr>
        <w:pStyle w:val="FootnoteText"/>
      </w:pPr>
      <w:r w:rsidRPr="00697D47">
        <w:rPr>
          <w:rStyle w:val="FootnoteReference"/>
        </w:rPr>
        <w:footnoteRef/>
      </w:r>
      <w:r>
        <w:t xml:space="preserve"> </w:t>
      </w:r>
      <w:r>
        <w:tab/>
        <w:t xml:space="preserve">The Register has a field for surveillance but not for the recommended surveillance period.   </w:t>
      </w:r>
    </w:p>
  </w:footnote>
  <w:footnote w:id="10">
    <w:p w:rsidR="00371B10" w:rsidRDefault="00371B10">
      <w:pPr>
        <w:pStyle w:val="FootnoteText"/>
      </w:pPr>
      <w:r>
        <w:rPr>
          <w:rStyle w:val="FootnoteReference"/>
        </w:rPr>
        <w:footnoteRef/>
      </w:r>
      <w:r>
        <w:t xml:space="preserve"> </w:t>
      </w:r>
      <w:r>
        <w:tab/>
        <w:t xml:space="preserve">Non-responders are </w:t>
      </w:r>
      <w:r w:rsidRPr="00EA55DB">
        <w:t xml:space="preserve">people who have received a pre-invitation, invitation and reminder letter, </w:t>
      </w:r>
      <w:r w:rsidRPr="00DD0A99">
        <w:t>ha</w:t>
      </w:r>
      <w:r>
        <w:t>ve</w:t>
      </w:r>
      <w:r w:rsidRPr="00DD0A99">
        <w:t xml:space="preserve"> not returned a completed kit, </w:t>
      </w:r>
      <w:r w:rsidRPr="00EA55DB">
        <w:t>and have not contacted the Coordination Centre to opt out of the BSP</w:t>
      </w:r>
      <w:r>
        <w:t xml:space="preserve">. </w:t>
      </w:r>
    </w:p>
  </w:footnote>
  <w:footnote w:id="11">
    <w:p w:rsidR="00371B10" w:rsidRPr="009A149F" w:rsidRDefault="00371B10" w:rsidP="002378AB">
      <w:pPr>
        <w:pStyle w:val="FootnoteText"/>
        <w:rPr>
          <w:rFonts w:cs="Arial"/>
          <w:szCs w:val="16"/>
        </w:rPr>
      </w:pPr>
      <w:r>
        <w:rPr>
          <w:rStyle w:val="FootnoteReference"/>
        </w:rPr>
        <w:footnoteRef/>
      </w:r>
      <w:r>
        <w:rPr>
          <w:rFonts w:cs="Arial"/>
          <w:szCs w:val="16"/>
        </w:rPr>
        <w:t xml:space="preserve"> </w:t>
      </w:r>
      <w:r>
        <w:rPr>
          <w:rFonts w:cs="Arial"/>
          <w:szCs w:val="16"/>
        </w:rPr>
        <w:tab/>
      </w:r>
      <w:r w:rsidRPr="009A149F">
        <w:rPr>
          <w:rFonts w:cs="Arial"/>
          <w:szCs w:val="16"/>
        </w:rPr>
        <w:t xml:space="preserve">DRINFO is an audit tool which queries practice data and identifies patients who are </w:t>
      </w:r>
      <w:r>
        <w:rPr>
          <w:rFonts w:cs="Arial"/>
          <w:szCs w:val="16"/>
        </w:rPr>
        <w:t>‘</w:t>
      </w:r>
      <w:r w:rsidRPr="002378AB">
        <w:rPr>
          <w:rFonts w:cs="Arial"/>
          <w:szCs w:val="16"/>
        </w:rPr>
        <w:t>falling through the gaps</w:t>
      </w:r>
      <w:r>
        <w:rPr>
          <w:rFonts w:cs="Arial"/>
          <w:szCs w:val="16"/>
        </w:rPr>
        <w:t>’</w:t>
      </w:r>
      <w:r w:rsidRPr="002378AB">
        <w:rPr>
          <w:rFonts w:cs="Arial"/>
          <w:szCs w:val="16"/>
        </w:rPr>
        <w:t xml:space="preserve"> </w:t>
      </w:r>
      <w:r w:rsidRPr="009A149F">
        <w:rPr>
          <w:rFonts w:cs="Arial"/>
          <w:szCs w:val="16"/>
        </w:rPr>
        <w:t xml:space="preserve">where there is a clinical impact. It helps the practice team by presenting </w:t>
      </w:r>
      <w:r>
        <w:rPr>
          <w:rFonts w:cs="Arial"/>
          <w:szCs w:val="16"/>
        </w:rPr>
        <w:t xml:space="preserve">a </w:t>
      </w:r>
      <w:r w:rsidRPr="009A149F">
        <w:rPr>
          <w:rFonts w:cs="Arial"/>
          <w:szCs w:val="16"/>
        </w:rPr>
        <w:t>list of patient names for action, without having to search for them.  Examples include patients who are overdue for screening procedures, patients who could be enrolled in funded programmes, patients falling outside guidelines for clinical manage</w:t>
      </w:r>
      <w:r>
        <w:rPr>
          <w:rFonts w:cs="Arial"/>
          <w:szCs w:val="16"/>
        </w:rPr>
        <w:t>ment, or those whose capitation-</w:t>
      </w:r>
      <w:r w:rsidRPr="009A149F">
        <w:rPr>
          <w:rFonts w:cs="Arial"/>
          <w:szCs w:val="16"/>
        </w:rPr>
        <w:t xml:space="preserve">based funding is about to expire. In New Zealand, DRINFO is compatible with Medtec32 and My Practice PMS. </w:t>
      </w:r>
    </w:p>
  </w:footnote>
  <w:footnote w:id="12">
    <w:p w:rsidR="00371B10" w:rsidRDefault="00371B10" w:rsidP="002378AB">
      <w:pPr>
        <w:pStyle w:val="FootnoteText"/>
      </w:pPr>
      <w:r>
        <w:rPr>
          <w:rStyle w:val="FootnoteReference"/>
        </w:rPr>
        <w:footnoteRef/>
      </w:r>
      <w:r>
        <w:t xml:space="preserve"> </w:t>
      </w:r>
      <w:r>
        <w:tab/>
        <w:t xml:space="preserve">Some eligible BSP participants who live in the WDHB area attend a general practice outside of the area. </w:t>
      </w:r>
    </w:p>
  </w:footnote>
  <w:footnote w:id="13">
    <w:p w:rsidR="00371B10" w:rsidRPr="00E01A7E" w:rsidRDefault="00371B10" w:rsidP="00E01A7E">
      <w:pPr>
        <w:pStyle w:val="FootnoteText"/>
      </w:pPr>
      <w:r w:rsidRPr="00E01A7E">
        <w:rPr>
          <w:rStyle w:val="FootnoteReference"/>
          <w:b/>
        </w:rPr>
        <w:footnoteRef/>
      </w:r>
      <w:r>
        <w:t xml:space="preserve"> </w:t>
      </w:r>
      <w:r>
        <w:tab/>
      </w:r>
      <w:r w:rsidRPr="00E01A7E">
        <w:t>Note</w:t>
      </w:r>
      <w:r>
        <w:t>:</w:t>
      </w:r>
      <w:r w:rsidRPr="00E01A7E">
        <w:t xml:space="preserve"> the epidemiological analysis is only for the f</w:t>
      </w:r>
      <w:r>
        <w:t xml:space="preserve">irst 36 months of invites with over eight </w:t>
      </w:r>
      <w:r w:rsidRPr="00E01A7E">
        <w:t xml:space="preserve">months allowed for completion of the pathway. </w:t>
      </w:r>
    </w:p>
  </w:footnote>
  <w:footnote w:id="14">
    <w:p w:rsidR="00371B10" w:rsidRPr="00E01A7E" w:rsidRDefault="00371B10" w:rsidP="00C20368">
      <w:pPr>
        <w:pStyle w:val="FootnoteText"/>
      </w:pPr>
      <w:r w:rsidRPr="00E01A7E">
        <w:rPr>
          <w:rStyle w:val="FootnoteReference"/>
        </w:rPr>
        <w:footnoteRef/>
      </w:r>
      <w:r w:rsidRPr="00E01A7E">
        <w:rPr>
          <w:rStyle w:val="FootnoteReference"/>
        </w:rPr>
        <w:t xml:space="preserve"> </w:t>
      </w:r>
      <w:r>
        <w:tab/>
      </w:r>
      <w:r w:rsidRPr="00E01A7E">
        <w:t xml:space="preserve">The Evaluation Plan for the Bowel Screening Pilot 2011–2016 (Litmus, 2011) details evaluation activities undertaken between 2012 and 2014.  </w:t>
      </w:r>
    </w:p>
  </w:footnote>
  <w:footnote w:id="15">
    <w:p w:rsidR="00371B10" w:rsidRPr="00E01A7E" w:rsidRDefault="00371B10" w:rsidP="00C20368">
      <w:pPr>
        <w:pStyle w:val="FootnoteText"/>
      </w:pPr>
      <w:r w:rsidRPr="00E01A7E">
        <w:rPr>
          <w:rStyle w:val="FootnoteReference"/>
        </w:rPr>
        <w:footnoteRef/>
      </w:r>
      <w:r w:rsidRPr="00E01A7E">
        <w:t xml:space="preserve"> </w:t>
      </w:r>
      <w:r>
        <w:tab/>
      </w:r>
      <w:r w:rsidRPr="00E01A7E">
        <w:t>Full details of the research methods used and their limitations can be found in each report.  Section 2.</w:t>
      </w:r>
      <w:r>
        <w:t>6</w:t>
      </w:r>
      <w:r w:rsidRPr="00E01A7E">
        <w:t xml:space="preserve"> provides a synthesis of evaluation limitations to consider when reviewing the findings. </w:t>
      </w:r>
    </w:p>
  </w:footnote>
  <w:footnote w:id="16">
    <w:p w:rsidR="00371B10" w:rsidRPr="00FC6FA8" w:rsidRDefault="00371B10" w:rsidP="00AE1646">
      <w:pPr>
        <w:pStyle w:val="FootnoteText"/>
        <w:spacing w:line="276" w:lineRule="auto"/>
        <w:rPr>
          <w:rFonts w:cs="Arial"/>
        </w:rPr>
      </w:pPr>
      <w:r w:rsidRPr="00FC6FA8">
        <w:rPr>
          <w:rStyle w:val="FootnoteReference"/>
          <w:rFonts w:cs="Arial"/>
        </w:rPr>
        <w:footnoteRef/>
      </w:r>
      <w:r w:rsidRPr="00FC6FA8">
        <w:rPr>
          <w:rFonts w:cs="Arial"/>
        </w:rPr>
        <w:t xml:space="preserve"> </w:t>
      </w:r>
      <w:r>
        <w:rPr>
          <w:rFonts w:cs="Arial"/>
        </w:rPr>
        <w:tab/>
      </w:r>
      <w:r w:rsidRPr="00FC6FA8">
        <w:rPr>
          <w:rFonts w:cs="Arial"/>
        </w:rPr>
        <w:t>Data were extracted from the BSP Register in September 2015.</w:t>
      </w:r>
    </w:p>
  </w:footnote>
  <w:footnote w:id="17">
    <w:p w:rsidR="00371B10" w:rsidRPr="00744428" w:rsidRDefault="00371B10" w:rsidP="00AE1646">
      <w:pPr>
        <w:pStyle w:val="FootnoteText"/>
        <w:spacing w:line="276" w:lineRule="auto"/>
        <w:rPr>
          <w:rFonts w:cs="Arial"/>
        </w:rPr>
      </w:pPr>
      <w:r w:rsidRPr="00744428">
        <w:rPr>
          <w:rStyle w:val="FootnoteReference"/>
          <w:rFonts w:cs="Arial"/>
        </w:rPr>
        <w:footnoteRef/>
      </w:r>
      <w:r>
        <w:rPr>
          <w:rFonts w:cs="Arial"/>
        </w:rPr>
        <w:tab/>
        <w:t>T</w:t>
      </w:r>
      <w:r w:rsidRPr="00744428">
        <w:rPr>
          <w:rFonts w:cs="Arial"/>
        </w:rPr>
        <w:t xml:space="preserve">he result is deemed to be statistically significant </w:t>
      </w:r>
      <w:r>
        <w:rPr>
          <w:rFonts w:cs="Arial"/>
        </w:rPr>
        <w:t>i</w:t>
      </w:r>
      <w:r w:rsidRPr="00744428">
        <w:rPr>
          <w:rFonts w:cs="Arial"/>
        </w:rPr>
        <w:t>f the 95% confidence interval</w:t>
      </w:r>
      <w:r>
        <w:rPr>
          <w:rFonts w:cs="Arial"/>
        </w:rPr>
        <w:t xml:space="preserve"> of the odds ratio</w:t>
      </w:r>
      <w:r w:rsidRPr="00744428">
        <w:rPr>
          <w:rFonts w:cs="Arial"/>
        </w:rPr>
        <w:t xml:space="preserve"> does not include 1.</w:t>
      </w:r>
    </w:p>
  </w:footnote>
  <w:footnote w:id="18">
    <w:p w:rsidR="00371B10" w:rsidRDefault="00371B10" w:rsidP="00D710BC">
      <w:pPr>
        <w:pStyle w:val="FootnoteText"/>
        <w:spacing w:line="276" w:lineRule="auto"/>
      </w:pPr>
      <w:r>
        <w:rPr>
          <w:rStyle w:val="FootnoteReference"/>
        </w:rPr>
        <w:footnoteRef/>
      </w:r>
      <w:r>
        <w:tab/>
      </w:r>
      <w:r w:rsidRPr="00D710BC">
        <w:rPr>
          <w:rFonts w:cs="Arial"/>
        </w:rPr>
        <w:t>The UK bowel screening programme uses the guaiac faecal occult blood test rather than the iFOBT.</w:t>
      </w:r>
    </w:p>
  </w:footnote>
  <w:footnote w:id="19">
    <w:p w:rsidR="00371B10" w:rsidRDefault="00371B10" w:rsidP="007F5994">
      <w:pPr>
        <w:pStyle w:val="FootnoteText"/>
      </w:pPr>
      <w:r>
        <w:rPr>
          <w:rStyle w:val="FootnoteReference"/>
        </w:rPr>
        <w:footnoteRef/>
      </w:r>
      <w:r>
        <w:tab/>
        <w:t xml:space="preserve">Reported as $43,000 in 2011 dollars. Inflation adjusted to 2016 dollars. </w:t>
      </w:r>
    </w:p>
  </w:footnote>
  <w:footnote w:id="20">
    <w:p w:rsidR="00371B10" w:rsidRDefault="00371B10" w:rsidP="00672810">
      <w:pPr>
        <w:pStyle w:val="FootnoteText"/>
      </w:pPr>
      <w:r>
        <w:rPr>
          <w:rStyle w:val="FootnoteReference"/>
        </w:rPr>
        <w:footnoteRef/>
      </w:r>
      <w:r>
        <w:t xml:space="preserve"> </w:t>
      </w:r>
      <w:r>
        <w:tab/>
        <w:t xml:space="preserve">People living in low deprivation areas also have low levels of participation in the BSP.  Towards the end of Round 2, the BSP Coordination Centre started to focus on this group. </w:t>
      </w:r>
    </w:p>
  </w:footnote>
  <w:footnote w:id="21">
    <w:p w:rsidR="00371B10" w:rsidRDefault="00371B10" w:rsidP="00672810">
      <w:pPr>
        <w:pStyle w:val="FootnoteText"/>
      </w:pPr>
      <w:r>
        <w:rPr>
          <w:rStyle w:val="FootnoteReference"/>
        </w:rPr>
        <w:footnoteRef/>
      </w:r>
      <w:r>
        <w:tab/>
        <w:t xml:space="preserve">There were </w:t>
      </w:r>
      <w:r w:rsidRPr="008B1F1E">
        <w:t>no change</w:t>
      </w:r>
      <w:r>
        <w:t>s</w:t>
      </w:r>
      <w:r w:rsidRPr="008B1F1E">
        <w:t xml:space="preserve"> in the proposed methodology for the epidemiology and the cost effectiveness analysis for the period 2014–2016 as detailed in the BSP Evaluation Plan (Litmus 2011).</w:t>
      </w:r>
    </w:p>
  </w:footnote>
  <w:footnote w:id="22">
    <w:p w:rsidR="00371B10" w:rsidRDefault="00371B10" w:rsidP="00892168">
      <w:pPr>
        <w:pStyle w:val="FootnoteText"/>
      </w:pPr>
      <w:r w:rsidRPr="00697D47">
        <w:rPr>
          <w:rStyle w:val="FootnoteReference"/>
        </w:rPr>
        <w:footnoteRef/>
      </w:r>
      <w:r w:rsidRPr="00150E51">
        <w:tab/>
        <w:t>The design effects used were 1.67 for the 2011 survey and 1.87 for the 2013 survey. These allow</w:t>
      </w:r>
      <w:r w:rsidRPr="00150E51">
        <w:rPr>
          <w:rFonts w:eastAsia="Arial"/>
        </w:rPr>
        <w:t xml:space="preserve"> </w:t>
      </w:r>
      <w:r w:rsidRPr="00150E51">
        <w:t>for</w:t>
      </w:r>
      <w:r w:rsidRPr="00150E51">
        <w:rPr>
          <w:rFonts w:eastAsia="Arial"/>
        </w:rPr>
        <w:t xml:space="preserve"> </w:t>
      </w:r>
      <w:r w:rsidRPr="00150E51">
        <w:t>the</w:t>
      </w:r>
      <w:r w:rsidRPr="00150E51">
        <w:rPr>
          <w:rFonts w:eastAsia="Arial"/>
        </w:rPr>
        <w:t xml:space="preserve"> </w:t>
      </w:r>
      <w:r w:rsidRPr="00150E51">
        <w:t>selection</w:t>
      </w:r>
      <w:r w:rsidRPr="00150E51">
        <w:rPr>
          <w:rFonts w:eastAsia="Arial"/>
        </w:rPr>
        <w:t xml:space="preserve"> </w:t>
      </w:r>
      <w:r w:rsidRPr="00150E51">
        <w:t>of</w:t>
      </w:r>
      <w:r w:rsidRPr="00150E51">
        <w:rPr>
          <w:rFonts w:eastAsia="Arial"/>
        </w:rPr>
        <w:t xml:space="preserve"> </w:t>
      </w:r>
      <w:r w:rsidRPr="00150E51">
        <w:t>one</w:t>
      </w:r>
      <w:r w:rsidRPr="00150E51">
        <w:rPr>
          <w:rFonts w:eastAsia="Arial"/>
        </w:rPr>
        <w:t xml:space="preserve"> </w:t>
      </w:r>
      <w:r w:rsidRPr="00150E51">
        <w:t>person</w:t>
      </w:r>
      <w:r w:rsidRPr="00150E51">
        <w:rPr>
          <w:rFonts w:eastAsia="Arial"/>
        </w:rPr>
        <w:t xml:space="preserve"> </w:t>
      </w:r>
      <w:r w:rsidRPr="00150E51">
        <w:t>per</w:t>
      </w:r>
      <w:r w:rsidRPr="00150E51">
        <w:rPr>
          <w:rFonts w:eastAsia="Arial"/>
        </w:rPr>
        <w:t xml:space="preserve"> </w:t>
      </w:r>
      <w:r w:rsidRPr="00150E51">
        <w:t>household, booster sampling</w:t>
      </w:r>
      <w:r w:rsidRPr="00150E51">
        <w:rPr>
          <w:rFonts w:eastAsia="Arial"/>
        </w:rPr>
        <w:t xml:space="preserve"> </w:t>
      </w:r>
      <w:r w:rsidRPr="00150E51">
        <w:t>and</w:t>
      </w:r>
      <w:r w:rsidRPr="00150E51">
        <w:rPr>
          <w:rFonts w:eastAsia="Arial"/>
        </w:rPr>
        <w:t xml:space="preserve"> </w:t>
      </w:r>
      <w:r w:rsidRPr="00150E51">
        <w:t>weighting</w:t>
      </w:r>
      <w:r w:rsidRPr="00150E51">
        <w:rPr>
          <w:rFonts w:eastAsia="Arial"/>
        </w:rPr>
        <w:t xml:space="preserve"> </w:t>
      </w:r>
      <w:r w:rsidRPr="00150E51">
        <w:t>by</w:t>
      </w:r>
      <w:r w:rsidRPr="00150E51">
        <w:rPr>
          <w:rFonts w:eastAsia="Arial"/>
        </w:rPr>
        <w:t xml:space="preserve"> </w:t>
      </w:r>
      <w:r w:rsidRPr="00150E51">
        <w:t>age,</w:t>
      </w:r>
      <w:r w:rsidRPr="00150E51">
        <w:rPr>
          <w:rFonts w:eastAsia="Arial"/>
        </w:rPr>
        <w:t xml:space="preserve"> </w:t>
      </w:r>
      <w:r w:rsidRPr="00150E51">
        <w:t>gender</w:t>
      </w:r>
      <w:r w:rsidRPr="00150E51">
        <w:rPr>
          <w:rFonts w:eastAsia="Arial"/>
        </w:rPr>
        <w:t xml:space="preserve"> </w:t>
      </w:r>
      <w:r w:rsidRPr="00150E51">
        <w:t>and</w:t>
      </w:r>
      <w:r w:rsidRPr="00150E51">
        <w:rPr>
          <w:rFonts w:eastAsia="Arial"/>
        </w:rPr>
        <w:t xml:space="preserve"> </w:t>
      </w:r>
      <w:r w:rsidRPr="00150E51">
        <w:t>ethnicity. The true design effect varies between analyses; the values used here are the 90</w:t>
      </w:r>
      <w:r w:rsidRPr="001E7D5E">
        <w:rPr>
          <w:vertAlign w:val="superscript"/>
        </w:rPr>
        <w:t>th</w:t>
      </w:r>
      <w:r>
        <w:t xml:space="preserve"> </w:t>
      </w:r>
      <w:r w:rsidRPr="00150E51">
        <w:t>percentile of design effects calculated for each item gathered in the survey.</w:t>
      </w:r>
    </w:p>
  </w:footnote>
  <w:footnote w:id="23">
    <w:p w:rsidR="00371B10" w:rsidRDefault="00371B10" w:rsidP="00892168">
      <w:pPr>
        <w:pStyle w:val="FootnoteText"/>
      </w:pPr>
      <w:r w:rsidRPr="00697D47">
        <w:rPr>
          <w:rStyle w:val="FootnoteReference"/>
        </w:rPr>
        <w:footnoteRef/>
      </w:r>
      <w:r>
        <w:t xml:space="preserve"> </w:t>
      </w:r>
      <w:r>
        <w:tab/>
        <w:t xml:space="preserve">Providers include </w:t>
      </w:r>
      <w:r w:rsidRPr="00A113D0">
        <w:rPr>
          <w:lang w:eastAsia="en-US"/>
        </w:rPr>
        <w:t xml:space="preserve">general practitioners (GPs), practice nurses, </w:t>
      </w:r>
      <w:r>
        <w:rPr>
          <w:lang w:eastAsia="en-US"/>
        </w:rPr>
        <w:t xml:space="preserve">other general practice staff, </w:t>
      </w:r>
      <w:r w:rsidRPr="00A113D0">
        <w:rPr>
          <w:lang w:eastAsia="en-US"/>
        </w:rPr>
        <w:t xml:space="preserve">endoscopy staff and radiology staff in </w:t>
      </w:r>
      <w:r>
        <w:rPr>
          <w:lang w:eastAsia="en-US"/>
        </w:rPr>
        <w:t xml:space="preserve">Waitakere and North Shore Hospitals.  </w:t>
      </w:r>
    </w:p>
  </w:footnote>
  <w:footnote w:id="24">
    <w:p w:rsidR="00371B10" w:rsidRDefault="00371B10" w:rsidP="00A37C66">
      <w:pPr>
        <w:pStyle w:val="FootnoteText"/>
      </w:pPr>
      <w:r>
        <w:rPr>
          <w:rStyle w:val="FootnoteReference"/>
        </w:rPr>
        <w:footnoteRef/>
      </w:r>
      <w:r>
        <w:t xml:space="preserve"> </w:t>
      </w:r>
      <w:r>
        <w:tab/>
        <w:t xml:space="preserve">Other includes six European, two Indian, 1 Chinese, and 1 other Asian. </w:t>
      </w:r>
    </w:p>
  </w:footnote>
  <w:footnote w:id="25">
    <w:p w:rsidR="00371B10" w:rsidRDefault="00371B10" w:rsidP="00A37C66">
      <w:pPr>
        <w:pStyle w:val="FootnoteText"/>
      </w:pPr>
      <w:r>
        <w:rPr>
          <w:rStyle w:val="FootnoteReference"/>
        </w:rPr>
        <w:footnoteRef/>
      </w:r>
      <w:r>
        <w:t xml:space="preserve"> </w:t>
      </w:r>
      <w:r>
        <w:tab/>
      </w:r>
      <w:r w:rsidRPr="00C95C03">
        <w:t>The response rate</w:t>
      </w:r>
      <w:r>
        <w:t xml:space="preserve"> was</w:t>
      </w:r>
      <w:r w:rsidRPr="00C95C03">
        <w:t xml:space="preserve"> calculated following the Standard Definitions published by the American Association for Public Opinion Research</w:t>
      </w:r>
      <w:r>
        <w:t xml:space="preserve"> (2011). </w:t>
      </w:r>
    </w:p>
  </w:footnote>
  <w:footnote w:id="26">
    <w:p w:rsidR="00371B10" w:rsidRPr="00BE1638" w:rsidRDefault="00371B10" w:rsidP="009D76B7">
      <w:pPr>
        <w:pStyle w:val="FootnoteText"/>
        <w:spacing w:line="276" w:lineRule="auto"/>
        <w:rPr>
          <w:rFonts w:cs="Arial"/>
        </w:rPr>
      </w:pPr>
      <w:r w:rsidRPr="00BE1638">
        <w:rPr>
          <w:rStyle w:val="FootnoteReference"/>
          <w:rFonts w:cs="Arial"/>
        </w:rPr>
        <w:footnoteRef/>
      </w:r>
      <w:r w:rsidRPr="00BE1638">
        <w:rPr>
          <w:rFonts w:cs="Arial"/>
        </w:rPr>
        <w:t xml:space="preserve"> </w:t>
      </w:r>
      <w:r>
        <w:rPr>
          <w:rFonts w:cs="Arial"/>
        </w:rPr>
        <w:tab/>
      </w:r>
      <w:r w:rsidRPr="00BE1638">
        <w:rPr>
          <w:rFonts w:cs="Arial"/>
        </w:rPr>
        <w:t>Details about this subcategory have been excluded from the Executive Summary given that it comprised only 63 eligible people.</w:t>
      </w:r>
    </w:p>
  </w:footnote>
  <w:footnote w:id="27">
    <w:p w:rsidR="00371B10" w:rsidRPr="006A154F" w:rsidRDefault="00371B10" w:rsidP="009D76B7">
      <w:pPr>
        <w:pStyle w:val="FootnoteText"/>
        <w:spacing w:line="276" w:lineRule="auto"/>
        <w:rPr>
          <w:rFonts w:cs="Arial"/>
        </w:rPr>
      </w:pPr>
      <w:r w:rsidRPr="006A154F">
        <w:rPr>
          <w:rStyle w:val="FootnoteReference"/>
          <w:rFonts w:cs="Arial"/>
        </w:rPr>
        <w:footnoteRef/>
      </w:r>
      <w:r w:rsidRPr="006A154F">
        <w:rPr>
          <w:rFonts w:cs="Arial"/>
        </w:rPr>
        <w:t xml:space="preserve"> </w:t>
      </w:r>
      <w:r>
        <w:rPr>
          <w:rFonts w:cs="Arial"/>
        </w:rPr>
        <w:tab/>
        <w:t xml:space="preserve">This is a proportion rather than a rate, which is occurrence per unit time. ‘Rate’ has </w:t>
      </w:r>
      <w:r w:rsidRPr="00D710BC">
        <w:rPr>
          <w:rFonts w:cs="Arial"/>
        </w:rPr>
        <w:t xml:space="preserve">been used synonymously with </w:t>
      </w:r>
      <w:r>
        <w:rPr>
          <w:rFonts w:cs="Arial"/>
        </w:rPr>
        <w:t>‘</w:t>
      </w:r>
      <w:r w:rsidRPr="00D710BC">
        <w:rPr>
          <w:rFonts w:cs="Arial"/>
        </w:rPr>
        <w:t>proportion</w:t>
      </w:r>
      <w:r>
        <w:rPr>
          <w:rFonts w:cs="Arial"/>
        </w:rPr>
        <w:t>’</w:t>
      </w:r>
      <w:r w:rsidRPr="00D710BC">
        <w:rPr>
          <w:rFonts w:cs="Arial"/>
        </w:rPr>
        <w:t xml:space="preserve"> in this report to improve readability. Participation rate is the percentage of participants with a successfully completed iFOBT kit result out of all those who received an invitation with an iFOBT kit.</w:t>
      </w:r>
      <w:r>
        <w:rPr>
          <w:rFonts w:cs="Arial"/>
        </w:rPr>
        <w:t xml:space="preserve"> </w:t>
      </w:r>
    </w:p>
  </w:footnote>
  <w:footnote w:id="28">
    <w:p w:rsidR="00371B10" w:rsidRPr="00B93ACE" w:rsidRDefault="00371B10" w:rsidP="009D76B7">
      <w:pPr>
        <w:pStyle w:val="FootnoteText"/>
        <w:spacing w:line="276" w:lineRule="auto"/>
        <w:rPr>
          <w:rFonts w:cs="Arial"/>
        </w:rPr>
      </w:pPr>
      <w:r w:rsidRPr="00B93ACE">
        <w:rPr>
          <w:rStyle w:val="FootnoteReference"/>
          <w:rFonts w:cs="Arial"/>
        </w:rPr>
        <w:footnoteRef/>
      </w:r>
      <w:r>
        <w:rPr>
          <w:rFonts w:cs="Arial"/>
        </w:rPr>
        <w:tab/>
      </w:r>
      <w:r w:rsidRPr="00B93ACE">
        <w:rPr>
          <w:rFonts w:cs="Arial"/>
        </w:rPr>
        <w:t>A further 6.9% (n=361) are recorded as having colonoscopy outside of the BSP.</w:t>
      </w:r>
    </w:p>
  </w:footnote>
  <w:footnote w:id="29">
    <w:p w:rsidR="00371B10" w:rsidRPr="00B93ACE" w:rsidRDefault="00371B10" w:rsidP="009D76B7">
      <w:pPr>
        <w:pStyle w:val="FootnoteText"/>
        <w:spacing w:line="276" w:lineRule="auto"/>
        <w:rPr>
          <w:rFonts w:cs="Arial"/>
        </w:rPr>
      </w:pPr>
      <w:r w:rsidRPr="00B93ACE">
        <w:rPr>
          <w:rStyle w:val="FootnoteReference"/>
          <w:rFonts w:cs="Arial"/>
        </w:rPr>
        <w:footnoteRef/>
      </w:r>
      <w:r>
        <w:rPr>
          <w:rFonts w:cs="Arial"/>
        </w:rPr>
        <w:tab/>
      </w:r>
      <w:r w:rsidRPr="00B93ACE">
        <w:rPr>
          <w:rFonts w:cs="Arial"/>
        </w:rPr>
        <w:t>A further 8.2% (n=154) are recorded as having colonoscopy</w:t>
      </w:r>
      <w:r>
        <w:rPr>
          <w:rFonts w:cs="Arial"/>
        </w:rPr>
        <w:t xml:space="preserve"> outside of the BSP</w:t>
      </w:r>
      <w:r w:rsidRPr="00B93ACE">
        <w:rPr>
          <w:rFonts w:cs="Arial"/>
        </w:rPr>
        <w:t>.</w:t>
      </w:r>
    </w:p>
  </w:footnote>
  <w:footnote w:id="30">
    <w:p w:rsidR="00371B10" w:rsidRPr="006C3954" w:rsidRDefault="00371B10" w:rsidP="009D76B7">
      <w:pPr>
        <w:pStyle w:val="FootnoteText"/>
        <w:spacing w:line="276" w:lineRule="auto"/>
        <w:rPr>
          <w:rFonts w:cs="Arial"/>
        </w:rPr>
      </w:pPr>
      <w:r w:rsidRPr="006C3954">
        <w:rPr>
          <w:rStyle w:val="FootnoteReference"/>
          <w:rFonts w:cs="Arial"/>
        </w:rPr>
        <w:footnoteRef/>
      </w:r>
      <w:r>
        <w:rPr>
          <w:rFonts w:cs="Arial"/>
        </w:rPr>
        <w:t xml:space="preserve"> </w:t>
      </w:r>
      <w:r>
        <w:rPr>
          <w:rFonts w:cs="Arial"/>
        </w:rPr>
        <w:tab/>
      </w:r>
      <w:r w:rsidRPr="006C3954">
        <w:rPr>
          <w:rFonts w:cs="Arial"/>
        </w:rPr>
        <w:t>CT colonography, sometimes called virtual colonoscopy, is a radiological procedure that uses a CT scanner to visualise the bowel.</w:t>
      </w:r>
    </w:p>
  </w:footnote>
  <w:footnote w:id="31">
    <w:p w:rsidR="00371B10" w:rsidRPr="006C3954" w:rsidRDefault="00371B10" w:rsidP="009D76B7">
      <w:pPr>
        <w:pStyle w:val="FootnoteText"/>
        <w:spacing w:line="276" w:lineRule="auto"/>
        <w:rPr>
          <w:rFonts w:cs="Arial"/>
        </w:rPr>
      </w:pPr>
      <w:r w:rsidRPr="006C3954">
        <w:rPr>
          <w:rStyle w:val="FootnoteReference"/>
          <w:rFonts w:cs="Arial"/>
        </w:rPr>
        <w:footnoteRef/>
      </w:r>
      <w:r w:rsidRPr="006C3954">
        <w:rPr>
          <w:rFonts w:cs="Arial"/>
        </w:rPr>
        <w:t xml:space="preserve"> </w:t>
      </w:r>
      <w:r>
        <w:rPr>
          <w:rFonts w:cs="Arial"/>
        </w:rPr>
        <w:tab/>
      </w:r>
      <w:r w:rsidRPr="006C3954">
        <w:rPr>
          <w:rFonts w:cs="Arial"/>
        </w:rPr>
        <w:t>Another two participants had private CT colonography.</w:t>
      </w:r>
    </w:p>
  </w:footnote>
  <w:footnote w:id="32">
    <w:p w:rsidR="00371B10" w:rsidRPr="00D83F7F" w:rsidRDefault="00371B10" w:rsidP="00147DCD">
      <w:pPr>
        <w:pStyle w:val="FootnoteText"/>
        <w:rPr>
          <w:rFonts w:cs="Arial"/>
        </w:rPr>
      </w:pPr>
      <w:r>
        <w:rPr>
          <w:rFonts w:cs="Arial"/>
        </w:rPr>
        <w:t xml:space="preserve">¹ </w:t>
      </w:r>
      <w:r w:rsidRPr="00D83F7F">
        <w:rPr>
          <w:rFonts w:cs="Arial"/>
        </w:rPr>
        <w:t>There are three cases of cancer in situ included in the ‘Other’ category</w:t>
      </w:r>
      <w:r>
        <w:rPr>
          <w:rFonts w:cs="Arial"/>
        </w:rPr>
        <w:t>.</w:t>
      </w:r>
    </w:p>
  </w:footnote>
  <w:footnote w:id="33">
    <w:p w:rsidR="00371B10" w:rsidRPr="0059544B" w:rsidRDefault="00371B10" w:rsidP="00147DCD">
      <w:pPr>
        <w:pStyle w:val="FootnoteText"/>
        <w:rPr>
          <w:rFonts w:cs="Arial"/>
        </w:rPr>
      </w:pPr>
      <w:r>
        <w:rPr>
          <w:rFonts w:cs="Arial"/>
        </w:rPr>
        <w:t xml:space="preserve">¹ </w:t>
      </w:r>
      <w:r w:rsidRPr="0059544B">
        <w:rPr>
          <w:rFonts w:cs="Arial"/>
        </w:rPr>
        <w:t xml:space="preserve">There is one </w:t>
      </w:r>
      <w:r>
        <w:rPr>
          <w:rFonts w:cs="Arial"/>
        </w:rPr>
        <w:t>ca</w:t>
      </w:r>
      <w:r w:rsidRPr="0059544B">
        <w:rPr>
          <w:rFonts w:cs="Arial"/>
        </w:rPr>
        <w:t xml:space="preserve">se of </w:t>
      </w:r>
      <w:r>
        <w:rPr>
          <w:rFonts w:cs="Arial"/>
        </w:rPr>
        <w:t>c</w:t>
      </w:r>
      <w:r w:rsidRPr="0059544B">
        <w:rPr>
          <w:rFonts w:cs="Arial"/>
        </w:rPr>
        <w:t xml:space="preserve">ancer </w:t>
      </w:r>
      <w:r>
        <w:rPr>
          <w:rFonts w:cs="Arial"/>
        </w:rPr>
        <w:t>i</w:t>
      </w:r>
      <w:r w:rsidRPr="0059544B">
        <w:rPr>
          <w:rFonts w:cs="Arial"/>
        </w:rPr>
        <w:t xml:space="preserve">n </w:t>
      </w:r>
      <w:r>
        <w:rPr>
          <w:rFonts w:cs="Arial"/>
        </w:rPr>
        <w:t>s</w:t>
      </w:r>
      <w:r w:rsidRPr="0059544B">
        <w:rPr>
          <w:rFonts w:cs="Arial"/>
        </w:rPr>
        <w:t>itu included in the ‘Other’ category</w:t>
      </w:r>
      <w:r>
        <w:rPr>
          <w:rFonts w:cs="Arial"/>
        </w:rPr>
        <w:t>.</w:t>
      </w:r>
    </w:p>
  </w:footnote>
  <w:footnote w:id="34">
    <w:p w:rsidR="00371B10" w:rsidRPr="0059544B" w:rsidRDefault="00371B10" w:rsidP="00147DCD">
      <w:pPr>
        <w:pStyle w:val="FootnoteText"/>
        <w:rPr>
          <w:rFonts w:cs="Arial"/>
        </w:rPr>
      </w:pPr>
      <w:r>
        <w:rPr>
          <w:rFonts w:cs="Arial"/>
        </w:rPr>
        <w:t xml:space="preserve">¹ </w:t>
      </w:r>
      <w:r w:rsidRPr="0059544B">
        <w:rPr>
          <w:rFonts w:cs="Arial"/>
        </w:rPr>
        <w:t xml:space="preserve">There is one </w:t>
      </w:r>
      <w:r>
        <w:rPr>
          <w:rFonts w:cs="Arial"/>
        </w:rPr>
        <w:t>case of c</w:t>
      </w:r>
      <w:r w:rsidRPr="0059544B">
        <w:rPr>
          <w:rFonts w:cs="Arial"/>
        </w:rPr>
        <w:t xml:space="preserve">ancer </w:t>
      </w:r>
      <w:r>
        <w:rPr>
          <w:rFonts w:cs="Arial"/>
        </w:rPr>
        <w:t>i</w:t>
      </w:r>
      <w:r w:rsidRPr="0059544B">
        <w:rPr>
          <w:rFonts w:cs="Arial"/>
        </w:rPr>
        <w:t xml:space="preserve">n </w:t>
      </w:r>
      <w:r>
        <w:rPr>
          <w:rFonts w:cs="Arial"/>
        </w:rPr>
        <w:t>s</w:t>
      </w:r>
      <w:r w:rsidRPr="0059544B">
        <w:rPr>
          <w:rFonts w:cs="Arial"/>
        </w:rPr>
        <w:t>itu included in the ‘Other’ category</w:t>
      </w:r>
      <w:r>
        <w:rPr>
          <w:rFonts w:cs="Arial"/>
        </w:rPr>
        <w:t>.</w:t>
      </w:r>
    </w:p>
  </w:footnote>
  <w:footnote w:id="35">
    <w:p w:rsidR="00371B10" w:rsidRDefault="00371B10">
      <w:pPr>
        <w:pStyle w:val="FootnoteText"/>
      </w:pPr>
      <w:r>
        <w:rPr>
          <w:rStyle w:val="FootnoteReference"/>
        </w:rPr>
        <w:footnoteRef/>
      </w:r>
      <w:r>
        <w:tab/>
      </w:r>
      <w:r w:rsidRPr="00D710BC">
        <w:t>The PPVs have been calculated based on the results of all colonoscopies including those carried out in private health care.</w:t>
      </w:r>
    </w:p>
  </w:footnote>
  <w:footnote w:id="36">
    <w:p w:rsidR="00371B10" w:rsidRDefault="00371B10">
      <w:pPr>
        <w:pStyle w:val="FootnoteText"/>
      </w:pPr>
      <w:r>
        <w:rPr>
          <w:rStyle w:val="FootnoteReference"/>
        </w:rPr>
        <w:footnoteRef/>
      </w:r>
      <w:r>
        <w:tab/>
      </w:r>
      <w:r w:rsidRPr="00D710BC">
        <w:t>The outcomes are for all colonoscopies including those carried out in private health care.</w:t>
      </w:r>
    </w:p>
  </w:footnote>
  <w:footnote w:id="37">
    <w:p w:rsidR="00371B10" w:rsidRPr="004A22AB" w:rsidRDefault="00371B10" w:rsidP="009D76B7">
      <w:pPr>
        <w:pStyle w:val="FootnoteText"/>
        <w:spacing w:line="276" w:lineRule="auto"/>
        <w:rPr>
          <w:rFonts w:cs="Arial"/>
        </w:rPr>
      </w:pPr>
      <w:r w:rsidRPr="004A22AB">
        <w:rPr>
          <w:rStyle w:val="FootnoteReference"/>
          <w:rFonts w:cs="Arial"/>
        </w:rPr>
        <w:footnoteRef/>
      </w:r>
      <w:r w:rsidRPr="004A22AB">
        <w:rPr>
          <w:rFonts w:cs="Arial"/>
        </w:rPr>
        <w:t xml:space="preserve"> </w:t>
      </w:r>
      <w:r>
        <w:rPr>
          <w:rFonts w:cs="Arial"/>
        </w:rPr>
        <w:tab/>
      </w:r>
      <w:r w:rsidRPr="004A22AB">
        <w:rPr>
          <w:rFonts w:cs="Arial"/>
        </w:rPr>
        <w:t>Ethnicity was unknown for one participant.</w:t>
      </w:r>
    </w:p>
  </w:footnote>
  <w:footnote w:id="38">
    <w:p w:rsidR="00371B10" w:rsidRPr="00A80B08" w:rsidRDefault="00371B10" w:rsidP="00737E4B">
      <w:pPr>
        <w:pStyle w:val="FootnoteText"/>
        <w:spacing w:line="276" w:lineRule="auto"/>
        <w:rPr>
          <w:rFonts w:cs="Arial"/>
        </w:rPr>
      </w:pPr>
      <w:r w:rsidRPr="00A80B08">
        <w:rPr>
          <w:rStyle w:val="FootnoteReference"/>
          <w:rFonts w:cs="Arial"/>
        </w:rPr>
        <w:footnoteRef/>
      </w:r>
      <w:r w:rsidRPr="00A80B08">
        <w:rPr>
          <w:rFonts w:cs="Arial"/>
        </w:rPr>
        <w:t xml:space="preserve"> </w:t>
      </w:r>
      <w:r>
        <w:rPr>
          <w:rFonts w:cs="Arial"/>
        </w:rPr>
        <w:tab/>
      </w:r>
      <w:r w:rsidRPr="00A80B08">
        <w:rPr>
          <w:rFonts w:cs="Arial"/>
        </w:rPr>
        <w:t>Incomplete colonoscopy refers to a colonoscopy that does not evaluate the entire colon. Reasons include poor bowel preparation</w:t>
      </w:r>
      <w:r>
        <w:rPr>
          <w:rFonts w:cs="Arial"/>
        </w:rPr>
        <w:t xml:space="preserve"> and the individual’s general health status</w:t>
      </w:r>
      <w:r w:rsidRPr="00A80B08">
        <w:rPr>
          <w:rFonts w:cs="Arial"/>
        </w:rPr>
        <w:t>.</w:t>
      </w:r>
      <w:r>
        <w:rPr>
          <w:rFonts w:cs="Arial"/>
        </w:rPr>
        <w:t xml:space="preserve"> It is possible that the BSP R</w:t>
      </w:r>
      <w:r w:rsidRPr="00737E4B">
        <w:rPr>
          <w:rFonts w:cs="Arial"/>
        </w:rPr>
        <w:t>egister has not completely captured these data.</w:t>
      </w:r>
    </w:p>
  </w:footnote>
  <w:footnote w:id="39">
    <w:p w:rsidR="00371B10" w:rsidRPr="004A22AB" w:rsidRDefault="00371B10" w:rsidP="009D76B7">
      <w:pPr>
        <w:pStyle w:val="FootnoteText"/>
        <w:spacing w:line="276" w:lineRule="auto"/>
        <w:rPr>
          <w:rFonts w:cs="Arial"/>
        </w:rPr>
      </w:pPr>
      <w:r w:rsidRPr="004A22AB">
        <w:rPr>
          <w:rStyle w:val="FootnoteReference"/>
          <w:rFonts w:cs="Arial"/>
        </w:rPr>
        <w:footnoteRef/>
      </w:r>
      <w:r w:rsidRPr="004A22AB">
        <w:rPr>
          <w:rFonts w:cs="Arial"/>
        </w:rPr>
        <w:t xml:space="preserve"> </w:t>
      </w:r>
      <w:r>
        <w:rPr>
          <w:rFonts w:cs="Arial"/>
        </w:rPr>
        <w:tab/>
      </w:r>
      <w:r w:rsidRPr="004A22AB">
        <w:rPr>
          <w:rFonts w:cs="Arial"/>
        </w:rPr>
        <w:t>Tissue removal refers to biopsy and polypectomy.</w:t>
      </w:r>
    </w:p>
  </w:footnote>
  <w:footnote w:id="40">
    <w:p w:rsidR="00371B10" w:rsidRDefault="00371B10" w:rsidP="009D76B7">
      <w:pPr>
        <w:pStyle w:val="FootnoteText"/>
      </w:pPr>
      <w:r>
        <w:rPr>
          <w:rStyle w:val="FootnoteReference"/>
        </w:rPr>
        <w:footnoteRef/>
      </w:r>
      <w:r>
        <w:t xml:space="preserve"> </w:t>
      </w:r>
      <w:r>
        <w:tab/>
      </w:r>
      <w:r w:rsidRPr="00862AA4">
        <w:rPr>
          <w:rFonts w:cs="Arial"/>
        </w:rPr>
        <w:t>Neoplasia refers to adenomas (including advanced adenoma</w:t>
      </w:r>
      <w:r>
        <w:rPr>
          <w:rFonts w:cs="Arial"/>
        </w:rPr>
        <w:t>s</w:t>
      </w:r>
      <w:r w:rsidRPr="00862AA4">
        <w:rPr>
          <w:rFonts w:cs="Arial"/>
        </w:rPr>
        <w:t>) and colorectal cancer</w:t>
      </w:r>
      <w:r>
        <w:rPr>
          <w:rFonts w:cs="Arial"/>
        </w:rPr>
        <w:t>.</w:t>
      </w:r>
    </w:p>
  </w:footnote>
  <w:footnote w:id="41">
    <w:p w:rsidR="00371B10" w:rsidRPr="00232ABE" w:rsidRDefault="00371B10" w:rsidP="009D76B7">
      <w:pPr>
        <w:pStyle w:val="FootnoteText"/>
        <w:rPr>
          <w:rFonts w:cs="Arial"/>
        </w:rPr>
      </w:pPr>
      <w:r w:rsidRPr="00232ABE">
        <w:rPr>
          <w:rStyle w:val="FootnoteReference"/>
          <w:rFonts w:cs="Arial"/>
        </w:rPr>
        <w:footnoteRef/>
      </w:r>
      <w:r w:rsidRPr="00232ABE">
        <w:rPr>
          <w:rFonts w:cs="Arial"/>
        </w:rPr>
        <w:t xml:space="preserve"> </w:t>
      </w:r>
      <w:r>
        <w:rPr>
          <w:rFonts w:cs="Arial"/>
        </w:rPr>
        <w:tab/>
      </w:r>
      <w:r w:rsidRPr="00232ABE">
        <w:rPr>
          <w:rFonts w:cs="Arial"/>
        </w:rPr>
        <w:t xml:space="preserve">Round 1 and </w:t>
      </w:r>
      <w:r>
        <w:rPr>
          <w:rFonts w:cs="Arial"/>
        </w:rPr>
        <w:t xml:space="preserve">the </w:t>
      </w:r>
      <w:r w:rsidRPr="00232ABE">
        <w:rPr>
          <w:rFonts w:cs="Arial"/>
        </w:rPr>
        <w:t>Round 2</w:t>
      </w:r>
      <w:r>
        <w:rPr>
          <w:rFonts w:cs="Arial"/>
        </w:rPr>
        <w:t xml:space="preserve"> group who were</w:t>
      </w:r>
      <w:r w:rsidRPr="00232ABE">
        <w:rPr>
          <w:rFonts w:cs="Arial"/>
        </w:rPr>
        <w:t xml:space="preserve"> not invited </w:t>
      </w:r>
      <w:r>
        <w:rPr>
          <w:rFonts w:cs="Arial"/>
        </w:rPr>
        <w:t xml:space="preserve">in </w:t>
      </w:r>
      <w:r w:rsidRPr="00232ABE">
        <w:rPr>
          <w:rFonts w:cs="Arial"/>
        </w:rPr>
        <w:t>Round 1.</w:t>
      </w:r>
    </w:p>
  </w:footnote>
  <w:footnote w:id="42">
    <w:p w:rsidR="00371B10" w:rsidRPr="00015153" w:rsidRDefault="00371B10" w:rsidP="009D76B7">
      <w:pPr>
        <w:pStyle w:val="FootnoteText"/>
        <w:rPr>
          <w:rFonts w:cs="Arial"/>
        </w:rPr>
      </w:pPr>
      <w:r w:rsidRPr="00015153">
        <w:rPr>
          <w:rStyle w:val="FootnoteReference"/>
          <w:rFonts w:cs="Arial"/>
        </w:rPr>
        <w:footnoteRef/>
      </w:r>
      <w:r w:rsidRPr="00015153">
        <w:rPr>
          <w:rFonts w:cs="Arial"/>
        </w:rPr>
        <w:t xml:space="preserve"> </w:t>
      </w:r>
      <w:r>
        <w:rPr>
          <w:rFonts w:cs="Arial"/>
        </w:rPr>
        <w:t xml:space="preserve"> </w:t>
      </w:r>
      <w:r>
        <w:rPr>
          <w:rFonts w:cs="Arial"/>
        </w:rPr>
        <w:tab/>
      </w:r>
      <w:r w:rsidRPr="00015153">
        <w:rPr>
          <w:rFonts w:cs="Arial"/>
        </w:rPr>
        <w:t>Five cancers were not staged</w:t>
      </w:r>
      <w:r>
        <w:rPr>
          <w:rFonts w:cs="Arial"/>
        </w:rPr>
        <w:t>. However,</w:t>
      </w:r>
      <w:r w:rsidRPr="00015153">
        <w:rPr>
          <w:rFonts w:cs="Arial"/>
        </w:rPr>
        <w:t xml:space="preserve"> in one instance </w:t>
      </w:r>
      <w:r>
        <w:rPr>
          <w:rFonts w:cs="Arial"/>
        </w:rPr>
        <w:t xml:space="preserve">there may have been </w:t>
      </w:r>
      <w:r w:rsidRPr="00015153">
        <w:rPr>
          <w:rFonts w:cs="Arial"/>
        </w:rPr>
        <w:t xml:space="preserve">insufficient time </w:t>
      </w:r>
      <w:r>
        <w:rPr>
          <w:rFonts w:cs="Arial"/>
        </w:rPr>
        <w:t xml:space="preserve">by the date of data extraction from the Register </w:t>
      </w:r>
      <w:r w:rsidRPr="00015153">
        <w:rPr>
          <w:rFonts w:cs="Arial"/>
        </w:rPr>
        <w:t xml:space="preserve">for surgery and staging to </w:t>
      </w:r>
      <w:r>
        <w:rPr>
          <w:rFonts w:cs="Arial"/>
        </w:rPr>
        <w:t xml:space="preserve">have </w:t>
      </w:r>
      <w:r w:rsidRPr="00015153">
        <w:rPr>
          <w:rFonts w:cs="Arial"/>
        </w:rPr>
        <w:t>occur</w:t>
      </w:r>
      <w:r>
        <w:rPr>
          <w:rFonts w:cs="Arial"/>
        </w:rPr>
        <w:t>red.</w:t>
      </w:r>
      <w:r w:rsidRPr="00015153">
        <w:rPr>
          <w:rFonts w:cs="Arial"/>
        </w:rPr>
        <w:t xml:space="preserve"> </w:t>
      </w:r>
    </w:p>
  </w:footnote>
  <w:footnote w:id="43">
    <w:p w:rsidR="00371B10" w:rsidRPr="00E22B83" w:rsidRDefault="00371B10" w:rsidP="00E22B83">
      <w:pPr>
        <w:pStyle w:val="FootnoteText"/>
        <w:rPr>
          <w:rFonts w:cs="Arial"/>
        </w:rPr>
      </w:pPr>
      <w:r w:rsidRPr="00E22B83">
        <w:rPr>
          <w:rStyle w:val="FootnoteReference"/>
          <w:rFonts w:cs="Arial"/>
        </w:rPr>
        <w:footnoteRef/>
      </w:r>
      <w:r w:rsidRPr="00E22B83">
        <w:rPr>
          <w:rStyle w:val="FootnoteReference"/>
        </w:rPr>
        <w:t xml:space="preserve"> </w:t>
      </w:r>
      <w:r>
        <w:tab/>
      </w:r>
      <w:r w:rsidRPr="00E22B83">
        <w:rPr>
          <w:rFonts w:cs="Arial"/>
        </w:rPr>
        <w:t>Interval cancers are cancers that are diagnosed between the first and second round of screening among people with a negative</w:t>
      </w:r>
      <w:r>
        <w:rPr>
          <w:rFonts w:cs="Arial"/>
        </w:rPr>
        <w:t xml:space="preserve"> </w:t>
      </w:r>
      <w:r w:rsidRPr="00E22B83">
        <w:rPr>
          <w:rFonts w:cs="Arial"/>
        </w:rPr>
        <w:t>iFOBT, or positive iFOBT and normal colonoscopy, in the first round</w:t>
      </w:r>
      <w:r>
        <w:rPr>
          <w:rFonts w:cs="Arial"/>
        </w:rPr>
        <w:t>.</w:t>
      </w:r>
    </w:p>
  </w:footnote>
  <w:footnote w:id="44">
    <w:p w:rsidR="00371B10" w:rsidRPr="00232ABE" w:rsidRDefault="00371B10" w:rsidP="009D76B7">
      <w:pPr>
        <w:pStyle w:val="FootnoteText"/>
        <w:rPr>
          <w:rFonts w:cs="Arial"/>
        </w:rPr>
      </w:pPr>
      <w:r w:rsidRPr="00232ABE">
        <w:rPr>
          <w:rStyle w:val="FootnoteReference"/>
          <w:rFonts w:cs="Arial"/>
        </w:rPr>
        <w:footnoteRef/>
      </w:r>
      <w:r w:rsidRPr="00232ABE">
        <w:rPr>
          <w:rFonts w:cs="Arial"/>
        </w:rPr>
        <w:t xml:space="preserve"> </w:t>
      </w:r>
      <w:r>
        <w:rPr>
          <w:rFonts w:cs="Arial"/>
        </w:rPr>
        <w:tab/>
      </w:r>
      <w:r w:rsidRPr="00232ABE">
        <w:rPr>
          <w:rFonts w:cs="Arial"/>
        </w:rPr>
        <w:t>Sensitivity is the ability of a test to correctly identify those with disease. A test with high sensitivity will rarely miss those with disease (i</w:t>
      </w:r>
      <w:r>
        <w:rPr>
          <w:rFonts w:cs="Arial"/>
        </w:rPr>
        <w:t xml:space="preserve">.e. </w:t>
      </w:r>
      <w:r w:rsidRPr="00232ABE">
        <w:rPr>
          <w:rFonts w:cs="Arial"/>
        </w:rPr>
        <w:t>have a false negative result).</w:t>
      </w:r>
    </w:p>
  </w:footnote>
  <w:footnote w:id="45">
    <w:p w:rsidR="00371B10" w:rsidRDefault="00371B10" w:rsidP="003E00FC">
      <w:pPr>
        <w:pStyle w:val="FootnoteText"/>
      </w:pPr>
      <w:r w:rsidRPr="003E00FC">
        <w:rPr>
          <w:rStyle w:val="FootnoteReference"/>
        </w:rPr>
        <w:footnoteRef/>
      </w:r>
      <w:r w:rsidRPr="003E00FC">
        <w:t xml:space="preserve"> </w:t>
      </w:r>
      <w:r w:rsidRPr="003E00FC">
        <w:tab/>
      </w:r>
      <w:r w:rsidRPr="003E00FC">
        <w:rPr>
          <w:rFonts w:cs="Arial"/>
        </w:rPr>
        <w:t>Specificity is the ability of a test to correctly identify those without disease.</w:t>
      </w:r>
    </w:p>
  </w:footnote>
  <w:footnote w:id="46">
    <w:p w:rsidR="00371B10" w:rsidRDefault="00371B10" w:rsidP="00147013">
      <w:pPr>
        <w:pStyle w:val="FootnoteText"/>
        <w:spacing w:before="60"/>
      </w:pPr>
      <w:r>
        <w:rPr>
          <w:rStyle w:val="FootnoteReference"/>
        </w:rPr>
        <w:footnoteRef/>
      </w:r>
      <w:r>
        <w:tab/>
        <w:t xml:space="preserve">Robson et al (2006), </w:t>
      </w:r>
      <w:r w:rsidRPr="00A3626E">
        <w:t xml:space="preserve">Sneyd (2008), Soeberg </w:t>
      </w:r>
      <w:r>
        <w:t xml:space="preserve">(2012) cited in Hill et al (2012). </w:t>
      </w:r>
    </w:p>
  </w:footnote>
  <w:footnote w:id="47">
    <w:p w:rsidR="00371B10" w:rsidRDefault="00371B10" w:rsidP="008346DB">
      <w:pPr>
        <w:pStyle w:val="FootnoteText"/>
        <w:spacing w:before="60"/>
      </w:pPr>
      <w:r>
        <w:rPr>
          <w:rStyle w:val="FootnoteReference"/>
        </w:rPr>
        <w:footnoteRef/>
      </w:r>
      <w:r>
        <w:tab/>
        <w:t>Robson et al (2006) cited in Hill et al (2012).</w:t>
      </w:r>
    </w:p>
  </w:footnote>
  <w:footnote w:id="48">
    <w:p w:rsidR="00371B10" w:rsidRDefault="00371B10" w:rsidP="00147013">
      <w:pPr>
        <w:pStyle w:val="FootnoteText"/>
        <w:spacing w:before="60"/>
      </w:pPr>
      <w:r>
        <w:rPr>
          <w:rStyle w:val="FootnoteReference"/>
        </w:rPr>
        <w:footnoteRef/>
      </w:r>
      <w:r>
        <w:tab/>
        <w:t>Robson et al (2008) cited in Hill et al (2012).</w:t>
      </w:r>
    </w:p>
  </w:footnote>
  <w:footnote w:id="49">
    <w:p w:rsidR="00371B10" w:rsidRDefault="00371B10" w:rsidP="00147013">
      <w:pPr>
        <w:pStyle w:val="FootnoteText"/>
        <w:spacing w:before="60"/>
      </w:pPr>
      <w:r>
        <w:rPr>
          <w:rStyle w:val="FootnoteReference"/>
        </w:rPr>
        <w:footnoteRef/>
      </w:r>
      <w:r>
        <w:tab/>
        <w:t xml:space="preserve">Robson et al (2008), </w:t>
      </w:r>
      <w:r w:rsidRPr="00A3626E">
        <w:t>Anderson et al (2006)</w:t>
      </w:r>
      <w:r>
        <w:t xml:space="preserve"> cited in Hill et al (2012).</w:t>
      </w:r>
    </w:p>
  </w:footnote>
  <w:footnote w:id="50">
    <w:p w:rsidR="00371B10" w:rsidRDefault="00371B10" w:rsidP="00147013">
      <w:pPr>
        <w:pStyle w:val="FootnoteText"/>
        <w:spacing w:before="60"/>
      </w:pPr>
      <w:r>
        <w:rPr>
          <w:rStyle w:val="FootnoteReference"/>
        </w:rPr>
        <w:footnoteRef/>
      </w:r>
      <w:r>
        <w:tab/>
        <w:t>Simmonds et al (2008), Taylor et al (2007), National Screening Unit (2005) cited in Hall et al (2012).</w:t>
      </w:r>
    </w:p>
  </w:footnote>
  <w:footnote w:id="51">
    <w:p w:rsidR="00371B10" w:rsidRDefault="00371B10" w:rsidP="00147013">
      <w:pPr>
        <w:pStyle w:val="FootnoteText"/>
        <w:spacing w:before="60"/>
      </w:pPr>
      <w:r>
        <w:rPr>
          <w:rStyle w:val="FootnoteReference"/>
        </w:rPr>
        <w:footnoteRef/>
      </w:r>
      <w:r>
        <w:tab/>
      </w:r>
      <w:r w:rsidRPr="0020060C">
        <w:rPr>
          <w:rFonts w:cs="Arial"/>
          <w:szCs w:val="16"/>
          <w:lang w:eastAsia="en-NZ"/>
        </w:rPr>
        <w:t xml:space="preserve">Simmonds et al (2008), Stevens et al (2008), Hill et al (2010) </w:t>
      </w:r>
      <w:r w:rsidRPr="0020060C">
        <w:rPr>
          <w:rFonts w:cs="Arial"/>
        </w:rPr>
        <w:t>cited in Hall et al (2012)</w:t>
      </w:r>
      <w:r>
        <w:rPr>
          <w:rFonts w:cs="Arial"/>
        </w:rPr>
        <w:t>.</w:t>
      </w:r>
    </w:p>
  </w:footnote>
  <w:footnote w:id="52">
    <w:p w:rsidR="00371B10" w:rsidRDefault="00371B10" w:rsidP="008346DB">
      <w:pPr>
        <w:pStyle w:val="FootnoteText"/>
        <w:spacing w:before="60"/>
      </w:pPr>
      <w:r>
        <w:rPr>
          <w:rStyle w:val="FootnoteReference"/>
        </w:rPr>
        <w:footnoteRef/>
      </w:r>
      <w:r>
        <w:tab/>
      </w:r>
      <w:r w:rsidRPr="0020060C">
        <w:t xml:space="preserve">Paksoy et al (1991), Maraka et al (2010) cited in </w:t>
      </w:r>
      <w:r>
        <w:t>Meredith et al (2012).</w:t>
      </w:r>
    </w:p>
  </w:footnote>
  <w:footnote w:id="53">
    <w:p w:rsidR="00371B10" w:rsidRDefault="00371B10" w:rsidP="00DA5123">
      <w:pPr>
        <w:pStyle w:val="FootnoteText"/>
      </w:pPr>
      <w:r>
        <w:rPr>
          <w:rStyle w:val="FootnoteReference"/>
        </w:rPr>
        <w:footnoteRef/>
      </w:r>
      <w:r>
        <w:t xml:space="preserve"> </w:t>
      </w:r>
      <w:r>
        <w:tab/>
      </w:r>
      <w:hyperlink r:id="rId1" w:history="1">
        <w:r w:rsidRPr="00FE25A5">
          <w:rPr>
            <w:rStyle w:val="Hyperlink"/>
          </w:rPr>
          <w:t>http://www.health.govt.nz/our-work/diseases-and-conditions/cancer-programme/bowel-cancer-programme/bowel-screening-pilot/bowel-screening-pilot-results</w:t>
        </w:r>
      </w:hyperlink>
      <w:r>
        <w:t xml:space="preserve">  accessed 27 July 2016.</w:t>
      </w:r>
    </w:p>
  </w:footnote>
  <w:footnote w:id="54">
    <w:p w:rsidR="00371B10" w:rsidRDefault="00371B10" w:rsidP="00FF52F8">
      <w:pPr>
        <w:pStyle w:val="FootnoteText"/>
      </w:pPr>
      <w:r>
        <w:rPr>
          <w:rStyle w:val="FootnoteReference"/>
        </w:rPr>
        <w:footnoteRef/>
      </w:r>
      <w:r>
        <w:t xml:space="preserve"> </w:t>
      </w:r>
      <w:r>
        <w:tab/>
      </w:r>
      <w:r w:rsidRPr="008B1F1E">
        <w:t>While the health belief model aligns with research findings in the New Zealand context, consideration is needed on whether this model is appropriate to frame strategies to increase participation for M</w:t>
      </w:r>
      <w:r w:rsidRPr="007E440D">
        <w:t>ā</w:t>
      </w:r>
      <w:r w:rsidRPr="008B1F1E">
        <w:t xml:space="preserve">ori and Pacific people. </w:t>
      </w:r>
      <w:r>
        <w:t xml:space="preserve"> </w:t>
      </w:r>
      <w:r w:rsidRPr="007B7B0A">
        <w:t xml:space="preserve">Discussions with the National Screening Unit highlighted that they do not have a behavioural change model they use </w:t>
      </w:r>
      <w:r>
        <w:t>for</w:t>
      </w:r>
      <w:r w:rsidRPr="007B7B0A">
        <w:t xml:space="preserve"> M</w:t>
      </w:r>
      <w:r w:rsidRPr="007E440D">
        <w:t>ā</w:t>
      </w:r>
      <w:r w:rsidRPr="007B7B0A">
        <w:t xml:space="preserve">ori and Pacific participation in screening, and that the health belief model may not be the best to use in this scenario. </w:t>
      </w:r>
    </w:p>
  </w:footnote>
  <w:footnote w:id="55">
    <w:p w:rsidR="00371B10" w:rsidRDefault="00371B10" w:rsidP="006B18A6">
      <w:pPr>
        <w:pStyle w:val="FootnoteText"/>
      </w:pPr>
      <w:r>
        <w:rPr>
          <w:rStyle w:val="FootnoteReference"/>
        </w:rPr>
        <w:footnoteRef/>
      </w:r>
      <w:r>
        <w:t xml:space="preserve"> </w:t>
      </w:r>
      <w:r>
        <w:tab/>
      </w:r>
      <w:r>
        <w:rPr>
          <w:lang w:eastAsia="ar-SA"/>
        </w:rPr>
        <w:t>GRS is a patient-centred quality improvement and assessment tool for the gastrointestinal endoscopy service across New Zealand.</w:t>
      </w:r>
    </w:p>
  </w:footnote>
  <w:footnote w:id="56">
    <w:p w:rsidR="00371B10" w:rsidRDefault="00371B10">
      <w:pPr>
        <w:pStyle w:val="FootnoteText"/>
      </w:pPr>
      <w:r>
        <w:rPr>
          <w:rStyle w:val="FootnoteReference"/>
        </w:rPr>
        <w:footnoteRef/>
      </w:r>
      <w:r>
        <w:t xml:space="preserve"> </w:t>
      </w:r>
      <w:r>
        <w:tab/>
        <w:t xml:space="preserve">Refer the interim evaluation report (Litmus et al 2015) for further detail. </w:t>
      </w:r>
    </w:p>
  </w:footnote>
  <w:footnote w:id="57">
    <w:p w:rsidR="00371B10" w:rsidRDefault="00371B10" w:rsidP="00451E42">
      <w:pPr>
        <w:pStyle w:val="FootnoteText"/>
      </w:pPr>
      <w:r w:rsidRPr="00697D47">
        <w:rPr>
          <w:rStyle w:val="FootnoteReference"/>
        </w:rPr>
        <w:footnoteRef/>
      </w:r>
      <w:r>
        <w:rPr>
          <w:rStyle w:val="FootnoteReference"/>
        </w:rPr>
        <w:t xml:space="preserve">   </w:t>
      </w:r>
      <w:r>
        <w:rPr>
          <w:rStyle w:val="FootnoteReference"/>
        </w:rPr>
        <w:tab/>
      </w:r>
      <w:r>
        <w:t xml:space="preserve">The standards referring to the quality assurance of the colonoscopy procedure are outlined in the BSP Interim Quality Standards. </w:t>
      </w:r>
    </w:p>
  </w:footnote>
  <w:footnote w:id="58">
    <w:p w:rsidR="00371B10" w:rsidRDefault="00371B10" w:rsidP="00DD4D22">
      <w:pPr>
        <w:pStyle w:val="FootnoteText"/>
      </w:pPr>
      <w:r w:rsidRPr="00697D47">
        <w:rPr>
          <w:rStyle w:val="FootnoteReference"/>
        </w:rPr>
        <w:footnoteRef/>
      </w:r>
      <w:r>
        <w:t xml:space="preserve"> </w:t>
      </w:r>
      <w:r>
        <w:tab/>
        <w:t>It was intended that the NHI numbers would be supplemented by PHO enrolment data, but due to logistical reasons this did not occur.</w:t>
      </w:r>
      <w:r>
        <w:rPr>
          <w:b/>
        </w:rPr>
        <w:t xml:space="preserve"> </w:t>
      </w:r>
    </w:p>
  </w:footnote>
  <w:footnote w:id="59">
    <w:p w:rsidR="00371B10" w:rsidRDefault="00371B10" w:rsidP="00DD4D22">
      <w:pPr>
        <w:pStyle w:val="FootnoteText"/>
      </w:pPr>
      <w:r w:rsidRPr="00697D47">
        <w:rPr>
          <w:rStyle w:val="FootnoteReference"/>
        </w:rPr>
        <w:footnoteRef/>
      </w:r>
      <w:r>
        <w:t xml:space="preserve"> </w:t>
      </w:r>
      <w:r>
        <w:tab/>
        <w:t>Includes iFOBT kits that were resent due to spoilt or expired kits.</w:t>
      </w:r>
    </w:p>
  </w:footnote>
  <w:footnote w:id="60">
    <w:p w:rsidR="00371B10" w:rsidRDefault="00371B10" w:rsidP="00495917">
      <w:pPr>
        <w:pStyle w:val="FootnoteText"/>
      </w:pPr>
      <w:r>
        <w:rPr>
          <w:rStyle w:val="FootnoteReference"/>
        </w:rPr>
        <w:footnoteRef/>
      </w:r>
      <w:r>
        <w:t xml:space="preserve"> </w:t>
      </w:r>
      <w:r>
        <w:tab/>
      </w:r>
      <w:r>
        <w:rPr>
          <w:lang w:eastAsia="ar-SA"/>
        </w:rPr>
        <w:t xml:space="preserve">The BSP Coordination Centre has developed a local database to support and capture active follow-up activities. </w:t>
      </w:r>
    </w:p>
  </w:footnote>
  <w:footnote w:id="61">
    <w:p w:rsidR="00371B10" w:rsidRDefault="00371B10" w:rsidP="00D1688D">
      <w:pPr>
        <w:pStyle w:val="FootnoteText"/>
      </w:pPr>
      <w:r>
        <w:rPr>
          <w:rStyle w:val="FootnoteReference"/>
        </w:rPr>
        <w:footnoteRef/>
      </w:r>
      <w:r>
        <w:t xml:space="preserve"> </w:t>
      </w:r>
      <w:r>
        <w:tab/>
      </w:r>
      <w:r w:rsidRPr="00280E09">
        <w:t>Using Patient Dashboard</w:t>
      </w:r>
      <w:r>
        <w:t>,</w:t>
      </w:r>
      <w:r w:rsidRPr="00280E09">
        <w:t xml:space="preserve"> general practice can fax the BSP Coordination Centre to send a replacement iFOBT kit to their patients.  Between October 2014 and 31 January 2016, the BSP Coordination Centre received 1,622 fax requests from general practice to send out a replacement bowel screening kit to patients, and received back 888 completed iFOBT kits (a return rate of 55%).  </w:t>
      </w:r>
    </w:p>
  </w:footnote>
  <w:footnote w:id="62">
    <w:p w:rsidR="00371B10" w:rsidRDefault="00371B10" w:rsidP="00D1688D">
      <w:pPr>
        <w:pStyle w:val="FootnoteText"/>
      </w:pPr>
      <w:r>
        <w:rPr>
          <w:rStyle w:val="FootnoteReference"/>
        </w:rPr>
        <w:footnoteRef/>
      </w:r>
      <w:r>
        <w:t xml:space="preserve"> </w:t>
      </w:r>
      <w:r>
        <w:tab/>
      </w:r>
      <w:r w:rsidRPr="000958E4">
        <w:rPr>
          <w:lang w:eastAsia="ar-SA"/>
        </w:rPr>
        <w:t>Extensive efforts are made by the CNS to contact the participant using a range of strategies including</w:t>
      </w:r>
      <w:r>
        <w:rPr>
          <w:lang w:eastAsia="ar-SA"/>
        </w:rPr>
        <w:t xml:space="preserve"> </w:t>
      </w:r>
      <w:r w:rsidRPr="000958E4">
        <w:rPr>
          <w:lang w:eastAsia="ar-SA"/>
        </w:rPr>
        <w:t>phoning at different times of the day and week</w:t>
      </w:r>
      <w:r>
        <w:rPr>
          <w:lang w:eastAsia="ar-SA"/>
        </w:rPr>
        <w:t xml:space="preserve">, </w:t>
      </w:r>
      <w:r w:rsidRPr="00F114AB">
        <w:rPr>
          <w:lang w:eastAsia="ar-SA"/>
        </w:rPr>
        <w:t xml:space="preserve">finding other contact numbers such as work </w:t>
      </w:r>
      <w:r>
        <w:rPr>
          <w:lang w:eastAsia="ar-SA"/>
        </w:rPr>
        <w:t xml:space="preserve">number </w:t>
      </w:r>
      <w:r w:rsidRPr="00F114AB">
        <w:rPr>
          <w:lang w:eastAsia="ar-SA"/>
        </w:rPr>
        <w:t>or mobile</w:t>
      </w:r>
      <w:r>
        <w:rPr>
          <w:lang w:eastAsia="ar-SA"/>
        </w:rPr>
        <w:t xml:space="preserve">, </w:t>
      </w:r>
      <w:r w:rsidRPr="00F114AB">
        <w:rPr>
          <w:lang w:eastAsia="ar-SA"/>
        </w:rPr>
        <w:t xml:space="preserve">phoning their </w:t>
      </w:r>
      <w:r>
        <w:rPr>
          <w:lang w:eastAsia="ar-SA"/>
        </w:rPr>
        <w:t>general</w:t>
      </w:r>
      <w:r w:rsidRPr="00F114AB">
        <w:rPr>
          <w:lang w:eastAsia="ar-SA"/>
        </w:rPr>
        <w:t xml:space="preserve"> practice for up</w:t>
      </w:r>
      <w:r>
        <w:rPr>
          <w:lang w:eastAsia="ar-SA"/>
        </w:rPr>
        <w:t>-to-</w:t>
      </w:r>
      <w:r w:rsidRPr="00F114AB">
        <w:rPr>
          <w:lang w:eastAsia="ar-SA"/>
        </w:rPr>
        <w:t>date contact details</w:t>
      </w:r>
      <w:r>
        <w:rPr>
          <w:lang w:eastAsia="ar-SA"/>
        </w:rPr>
        <w:t xml:space="preserve">, and </w:t>
      </w:r>
      <w:r w:rsidRPr="00F114AB">
        <w:rPr>
          <w:lang w:eastAsia="ar-SA"/>
        </w:rPr>
        <w:t>using community support workers or interpreters</w:t>
      </w:r>
      <w:r>
        <w:rPr>
          <w:lang w:eastAsia="ar-SA"/>
        </w:rPr>
        <w:t>,</w:t>
      </w:r>
      <w:r w:rsidRPr="00F114AB">
        <w:rPr>
          <w:lang w:eastAsia="ar-SA"/>
        </w:rPr>
        <w:t xml:space="preserve"> if appropriate</w:t>
      </w:r>
      <w:r>
        <w:rPr>
          <w:lang w:eastAsia="ar-SA"/>
        </w:rPr>
        <w:t xml:space="preserve">.  </w:t>
      </w:r>
    </w:p>
  </w:footnote>
  <w:footnote w:id="63">
    <w:p w:rsidR="00371B10" w:rsidRPr="00300220" w:rsidRDefault="00371B10" w:rsidP="002F6D61">
      <w:pPr>
        <w:pStyle w:val="FootnoteText"/>
      </w:pPr>
      <w:r>
        <w:rPr>
          <w:rStyle w:val="FootnoteReference"/>
        </w:rPr>
        <w:footnoteRef/>
      </w:r>
      <w:r w:rsidRPr="00300220">
        <w:rPr>
          <w:rStyle w:val="FootnoteReference"/>
        </w:rPr>
        <w:t xml:space="preserve"> </w:t>
      </w:r>
      <w:r>
        <w:tab/>
      </w:r>
      <w:r w:rsidRPr="00300220">
        <w:t xml:space="preserve">A survey of Māori and Pacific non-responders at four weeks who are contacted via active follow-up and go on to complete their kit found that a third are not aware that </w:t>
      </w:r>
      <w:r>
        <w:t xml:space="preserve">it </w:t>
      </w:r>
      <w:r w:rsidRPr="00300220">
        <w:t xml:space="preserve">is recommended to do the bowel screening kit every two years (34% Māori and 38% Pacific are not aware).  However, 100% of Māori and 99% of Pacific </w:t>
      </w:r>
      <w:r>
        <w:t xml:space="preserve">people </w:t>
      </w:r>
      <w:r w:rsidRPr="00300220">
        <w:t xml:space="preserve">said they would do the test kit again if sent a kit in two years’ time (Litmus 2016). </w:t>
      </w:r>
    </w:p>
  </w:footnote>
  <w:footnote w:id="64">
    <w:p w:rsidR="00371B10" w:rsidRDefault="00371B10" w:rsidP="00A82F65">
      <w:pPr>
        <w:pStyle w:val="FootnoteText"/>
      </w:pPr>
      <w:r>
        <w:rPr>
          <w:rStyle w:val="FootnoteReference"/>
        </w:rPr>
        <w:footnoteRef/>
      </w:r>
      <w:r>
        <w:t xml:space="preserve"> </w:t>
      </w:r>
      <w:r>
        <w:tab/>
        <w:t>Between January and July 2014, the standards were not achieved with 70% of participants having their colonoscopy within 55 working days</w:t>
      </w:r>
      <w:r>
        <w:rPr>
          <w:lang w:val="en-US"/>
        </w:rPr>
        <w:t xml:space="preserve"> (</w:t>
      </w:r>
      <w:r>
        <w:t>WDHB 2016).</w:t>
      </w:r>
    </w:p>
  </w:footnote>
  <w:footnote w:id="65">
    <w:p w:rsidR="00371B10" w:rsidRDefault="00371B10" w:rsidP="009243C1">
      <w:pPr>
        <w:pStyle w:val="FootnoteText"/>
      </w:pPr>
      <w:r w:rsidRPr="00697D47">
        <w:rPr>
          <w:rStyle w:val="FootnoteReference"/>
        </w:rPr>
        <w:footnoteRef/>
      </w:r>
      <w:r>
        <w:t xml:space="preserve"> </w:t>
      </w:r>
      <w:r>
        <w:tab/>
        <w:t xml:space="preserve">Other quality initiatives may have been undertaken that are not listed here. </w:t>
      </w:r>
    </w:p>
  </w:footnote>
  <w:footnote w:id="66">
    <w:p w:rsidR="00371B10" w:rsidRDefault="00371B10" w:rsidP="00A82F65">
      <w:pPr>
        <w:pStyle w:val="FootnoteText"/>
      </w:pPr>
      <w:r>
        <w:rPr>
          <w:rStyle w:val="FootnoteReference"/>
        </w:rPr>
        <w:footnoteRef/>
      </w:r>
      <w:r>
        <w:t xml:space="preserve"> </w:t>
      </w:r>
      <w:r>
        <w:tab/>
        <w:t xml:space="preserve">The quality standards are: </w:t>
      </w:r>
      <w:r w:rsidRPr="00541E02">
        <w:t>95% of BSP participants requiring clinical follow-up have been referred and seen by an appropriate consultant within 10 working days of diagnosis (2 weeks)</w:t>
      </w:r>
      <w:r>
        <w:t xml:space="preserve">; </w:t>
      </w:r>
      <w:r w:rsidRPr="00541E02">
        <w:t xml:space="preserve"> 95% of BSP participants diagnosed with cancer are referred to the appropriate consultant for presentation at an MDM within 20 working days from diagnosis (4 weeks).</w:t>
      </w:r>
    </w:p>
  </w:footnote>
  <w:footnote w:id="67">
    <w:p w:rsidR="00371B10" w:rsidRDefault="00371B10" w:rsidP="009B39CD">
      <w:pPr>
        <w:pStyle w:val="FootnoteText"/>
      </w:pPr>
      <w:r>
        <w:rPr>
          <w:rStyle w:val="FootnoteReference"/>
        </w:rPr>
        <w:footnoteRef/>
      </w:r>
      <w:r>
        <w:t xml:space="preserve"> </w:t>
      </w:r>
      <w:r>
        <w:tab/>
        <w:t xml:space="preserve">Only a few participants require a surveillance colonoscopy at one year. </w:t>
      </w:r>
    </w:p>
  </w:footnote>
  <w:footnote w:id="68">
    <w:p w:rsidR="00371B10" w:rsidRDefault="00371B10" w:rsidP="005B3839">
      <w:pPr>
        <w:pStyle w:val="FootnoteText"/>
      </w:pPr>
      <w:r w:rsidRPr="00697D47">
        <w:rPr>
          <w:rStyle w:val="FootnoteReference"/>
        </w:rPr>
        <w:footnoteRef/>
      </w:r>
      <w:r>
        <w:tab/>
        <w:t xml:space="preserve">Referred to internationally as </w:t>
      </w:r>
      <w:r w:rsidRPr="000C3E41">
        <w:t>Faecal Immunochemical Test for Haemoglobin</w:t>
      </w:r>
      <w:r>
        <w:t xml:space="preserve"> (FIT).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10" w:rsidRDefault="00371B10" w:rsidP="00D31409">
    <w:pPr>
      <w:pStyle w:val="Header"/>
      <w:jc w:val="left"/>
    </w:pPr>
    <w:r>
      <w:rPr>
        <w:noProof/>
        <w:lang w:eastAsia="en-NZ"/>
      </w:rPr>
      <w:drawing>
        <wp:inline distT="0" distB="0" distL="0" distR="0">
          <wp:extent cx="2075560" cy="638175"/>
          <wp:effectExtent l="0" t="0" r="1270" b="0"/>
          <wp:docPr id="14" name="Picture 14" descr="Centre For Public Health Research (cph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75560" cy="638175"/>
                  </a:xfrm>
                  <a:prstGeom prst="rect">
                    <a:avLst/>
                  </a:prstGeom>
                </pic:spPr>
              </pic:pic>
            </a:graphicData>
          </a:graphic>
        </wp:inline>
      </w:drawing>
    </w:r>
    <w:r>
      <w:t xml:space="preserve">                                              </w:t>
    </w:r>
    <w:r>
      <w:rPr>
        <w:noProof/>
        <w:lang w:eastAsia="en-NZ"/>
      </w:rPr>
      <w:drawing>
        <wp:inline distT="0" distB="0" distL="0" distR="0">
          <wp:extent cx="1747557" cy="636610"/>
          <wp:effectExtent l="0" t="0" r="5080" b="0"/>
          <wp:docPr id="15" name="Picture 15" descr="sape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0242" cy="641231"/>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10" w:rsidRDefault="00371B10">
    <w:pPr>
      <w:pStyle w:val="Header"/>
    </w:pPr>
    <w:r>
      <w:t>TMS Beyond Today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10" w:rsidRPr="00E25EE6" w:rsidRDefault="00371B10" w:rsidP="00E25EE6">
    <w:pPr>
      <w:pStyle w:val="Header"/>
      <w:rPr>
        <w:b/>
      </w:rPr>
    </w:pPr>
    <w:r>
      <w:rPr>
        <w:b/>
      </w:rPr>
      <w:t>final evaluation report of the bowel screening pilot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10" w:rsidRDefault="00371B1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10" w:rsidRDefault="00371B1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10" w:rsidRPr="006407CE" w:rsidRDefault="00371B10">
    <w:pPr>
      <w:pStyle w:val="Header"/>
      <w:rPr>
        <w:b/>
      </w:rPr>
    </w:pPr>
    <w:r>
      <w:rPr>
        <w:b/>
      </w:rPr>
      <w:t>final evaluation report of the bowel screening pilot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10" w:rsidRDefault="00371B1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10" w:rsidRPr="00815767" w:rsidRDefault="00371B10" w:rsidP="00815767">
    <w:pPr>
      <w:pStyle w:val="Header"/>
      <w:rPr>
        <w:b/>
      </w:rPr>
    </w:pPr>
    <w:r>
      <w:rPr>
        <w:b/>
      </w:rPr>
      <w:t>final evaluation report of the bowel screening pilot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10" w:rsidRPr="0073502B" w:rsidRDefault="00371B10" w:rsidP="0073502B">
    <w:pPr>
      <w:pStyle w:val="Header"/>
    </w:pPr>
    <w:r>
      <w:rPr>
        <w:b/>
      </w:rPr>
      <w:t>final evaluation report of the bowel screening pilot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numFmt w:val="none"/>
      <w:lvlText w:val=""/>
      <w:lvlJc w:val="left"/>
    </w:lvl>
    <w:lvl w:ilvl="1">
      <w:numFmt w:val="none"/>
      <w:lvlText w:val=""/>
      <w:lvlJc w:val="left"/>
    </w:lvl>
    <w:lvl w:ilvl="2">
      <w:numFmt w:val="none"/>
      <w:lvlText w:val=""/>
      <w:lvlJc w:val="left"/>
    </w:lvl>
    <w:lvl w:ilvl="3">
      <w:numFmt w:val="decimal"/>
      <w:lvlText w:val="%4"/>
      <w:legacy w:legacy="1" w:legacySpace="0" w:legacyIndent="0"/>
      <w:lvlJc w:val="left"/>
      <w:rPr>
        <w:rFonts w:ascii="Tms Rmn" w:hAnsi="Tms Rmn" w:hint="default"/>
      </w:rPr>
    </w:lvl>
    <w:lvl w:ilvl="4">
      <w:numFmt w:val="decimal"/>
      <w:lvlText w:val="%5"/>
      <w:legacy w:legacy="1" w:legacySpace="0" w:legacyIndent="0"/>
      <w:lvlJc w:val="left"/>
      <w:rPr>
        <w:rFonts w:ascii="Tms Rmn" w:hAnsi="Tms Rmn" w:hint="default"/>
      </w:rPr>
    </w:lvl>
    <w:lvl w:ilvl="5">
      <w:numFmt w:val="decimal"/>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nsid w:val="022E40D8"/>
    <w:multiLevelType w:val="hybridMultilevel"/>
    <w:tmpl w:val="E0C8F1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Tms Rmn"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Tms Rmn"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Tms Rmn" w:hint="default"/>
      </w:rPr>
    </w:lvl>
    <w:lvl w:ilvl="8" w:tplc="14090005">
      <w:start w:val="1"/>
      <w:numFmt w:val="bullet"/>
      <w:lvlText w:val=""/>
      <w:lvlJc w:val="left"/>
      <w:pPr>
        <w:ind w:left="6480" w:hanging="360"/>
      </w:pPr>
      <w:rPr>
        <w:rFonts w:ascii="Wingdings" w:hAnsi="Wingdings" w:hint="default"/>
      </w:rPr>
    </w:lvl>
  </w:abstractNum>
  <w:abstractNum w:abstractNumId="2">
    <w:nsid w:val="0E8B1EEF"/>
    <w:multiLevelType w:val="hybridMultilevel"/>
    <w:tmpl w:val="DD7A2CBC"/>
    <w:lvl w:ilvl="0" w:tplc="E152ACF2">
      <w:start w:val="1"/>
      <w:numFmt w:val="bullet"/>
      <w:lvlText w:val="­"/>
      <w:lvlJc w:val="left"/>
      <w:pPr>
        <w:ind w:left="1800" w:hanging="360"/>
      </w:pPr>
      <w:rPr>
        <w:rFonts w:ascii="Courier New" w:hAnsi="Courier New" w:hint="default"/>
      </w:rPr>
    </w:lvl>
    <w:lvl w:ilvl="1" w:tplc="B5CABCAA">
      <w:start w:val="1"/>
      <w:numFmt w:val="bullet"/>
      <w:lvlText w:val="–"/>
      <w:lvlJc w:val="left"/>
      <w:pPr>
        <w:ind w:left="2520" w:hanging="360"/>
      </w:pPr>
      <w:rPr>
        <w:rFonts w:ascii="Times New Roman" w:hAnsi="Times New Roman" w:cs="Times New Roman" w:hint="default"/>
        <w:sz w:val="24"/>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Tms Rmn"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Tms Rmn" w:hint="default"/>
      </w:rPr>
    </w:lvl>
    <w:lvl w:ilvl="8" w:tplc="14090005" w:tentative="1">
      <w:start w:val="1"/>
      <w:numFmt w:val="bullet"/>
      <w:lvlText w:val=""/>
      <w:lvlJc w:val="left"/>
      <w:pPr>
        <w:ind w:left="7560" w:hanging="360"/>
      </w:pPr>
      <w:rPr>
        <w:rFonts w:ascii="Wingdings" w:hAnsi="Wingdings" w:hint="default"/>
      </w:rPr>
    </w:lvl>
  </w:abstractNum>
  <w:abstractNum w:abstractNumId="3">
    <w:nsid w:val="146E01DB"/>
    <w:multiLevelType w:val="hybridMultilevel"/>
    <w:tmpl w:val="BD00224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nsid w:val="17751CC1"/>
    <w:multiLevelType w:val="hybridMultilevel"/>
    <w:tmpl w:val="87FE9928"/>
    <w:lvl w:ilvl="0" w:tplc="1AE4135E">
      <w:start w:val="1"/>
      <w:numFmt w:val="bullet"/>
      <w:lvlText w:val="•"/>
      <w:lvlJc w:val="left"/>
      <w:pPr>
        <w:tabs>
          <w:tab w:val="num" w:pos="720"/>
        </w:tabs>
        <w:ind w:left="720" w:hanging="360"/>
      </w:pPr>
      <w:rPr>
        <w:rFonts w:ascii="Arial" w:hAnsi="Arial" w:hint="default"/>
      </w:rPr>
    </w:lvl>
    <w:lvl w:ilvl="1" w:tplc="43707B52" w:tentative="1">
      <w:start w:val="1"/>
      <w:numFmt w:val="bullet"/>
      <w:lvlText w:val="•"/>
      <w:lvlJc w:val="left"/>
      <w:pPr>
        <w:tabs>
          <w:tab w:val="num" w:pos="1440"/>
        </w:tabs>
        <w:ind w:left="1440" w:hanging="360"/>
      </w:pPr>
      <w:rPr>
        <w:rFonts w:ascii="Arial" w:hAnsi="Arial" w:hint="default"/>
      </w:rPr>
    </w:lvl>
    <w:lvl w:ilvl="2" w:tplc="98D84350">
      <w:start w:val="1319"/>
      <w:numFmt w:val="bullet"/>
      <w:lvlText w:val="–"/>
      <w:lvlJc w:val="left"/>
      <w:pPr>
        <w:tabs>
          <w:tab w:val="num" w:pos="2160"/>
        </w:tabs>
        <w:ind w:left="2160" w:hanging="360"/>
      </w:pPr>
      <w:rPr>
        <w:rFonts w:ascii="Calibri" w:hAnsi="Calibri" w:hint="default"/>
      </w:rPr>
    </w:lvl>
    <w:lvl w:ilvl="3" w:tplc="B9962A1E" w:tentative="1">
      <w:start w:val="1"/>
      <w:numFmt w:val="bullet"/>
      <w:lvlText w:val="•"/>
      <w:lvlJc w:val="left"/>
      <w:pPr>
        <w:tabs>
          <w:tab w:val="num" w:pos="2880"/>
        </w:tabs>
        <w:ind w:left="2880" w:hanging="360"/>
      </w:pPr>
      <w:rPr>
        <w:rFonts w:ascii="Arial" w:hAnsi="Arial" w:hint="default"/>
      </w:rPr>
    </w:lvl>
    <w:lvl w:ilvl="4" w:tplc="293C2E36" w:tentative="1">
      <w:start w:val="1"/>
      <w:numFmt w:val="bullet"/>
      <w:lvlText w:val="•"/>
      <w:lvlJc w:val="left"/>
      <w:pPr>
        <w:tabs>
          <w:tab w:val="num" w:pos="3600"/>
        </w:tabs>
        <w:ind w:left="3600" w:hanging="360"/>
      </w:pPr>
      <w:rPr>
        <w:rFonts w:ascii="Arial" w:hAnsi="Arial" w:hint="default"/>
      </w:rPr>
    </w:lvl>
    <w:lvl w:ilvl="5" w:tplc="58C261EA" w:tentative="1">
      <w:start w:val="1"/>
      <w:numFmt w:val="bullet"/>
      <w:lvlText w:val="•"/>
      <w:lvlJc w:val="left"/>
      <w:pPr>
        <w:tabs>
          <w:tab w:val="num" w:pos="4320"/>
        </w:tabs>
        <w:ind w:left="4320" w:hanging="360"/>
      </w:pPr>
      <w:rPr>
        <w:rFonts w:ascii="Arial" w:hAnsi="Arial" w:hint="default"/>
      </w:rPr>
    </w:lvl>
    <w:lvl w:ilvl="6" w:tplc="E636553A" w:tentative="1">
      <w:start w:val="1"/>
      <w:numFmt w:val="bullet"/>
      <w:lvlText w:val="•"/>
      <w:lvlJc w:val="left"/>
      <w:pPr>
        <w:tabs>
          <w:tab w:val="num" w:pos="5040"/>
        </w:tabs>
        <w:ind w:left="5040" w:hanging="360"/>
      </w:pPr>
      <w:rPr>
        <w:rFonts w:ascii="Arial" w:hAnsi="Arial" w:hint="default"/>
      </w:rPr>
    </w:lvl>
    <w:lvl w:ilvl="7" w:tplc="22CA1C06" w:tentative="1">
      <w:start w:val="1"/>
      <w:numFmt w:val="bullet"/>
      <w:lvlText w:val="•"/>
      <w:lvlJc w:val="left"/>
      <w:pPr>
        <w:tabs>
          <w:tab w:val="num" w:pos="5760"/>
        </w:tabs>
        <w:ind w:left="5760" w:hanging="360"/>
      </w:pPr>
      <w:rPr>
        <w:rFonts w:ascii="Arial" w:hAnsi="Arial" w:hint="default"/>
      </w:rPr>
    </w:lvl>
    <w:lvl w:ilvl="8" w:tplc="6B4A60CE" w:tentative="1">
      <w:start w:val="1"/>
      <w:numFmt w:val="bullet"/>
      <w:lvlText w:val="•"/>
      <w:lvlJc w:val="left"/>
      <w:pPr>
        <w:tabs>
          <w:tab w:val="num" w:pos="6480"/>
        </w:tabs>
        <w:ind w:left="6480" w:hanging="360"/>
      </w:pPr>
      <w:rPr>
        <w:rFonts w:ascii="Arial" w:hAnsi="Arial" w:hint="default"/>
      </w:rPr>
    </w:lvl>
  </w:abstractNum>
  <w:abstractNum w:abstractNumId="5">
    <w:nsid w:val="18F51FF4"/>
    <w:multiLevelType w:val="singleLevel"/>
    <w:tmpl w:val="32487A30"/>
    <w:lvl w:ilvl="0">
      <w:start w:val="1"/>
      <w:numFmt w:val="bullet"/>
      <w:pStyle w:val="Bullet"/>
      <w:lvlText w:val=""/>
      <w:lvlJc w:val="left"/>
      <w:pPr>
        <w:tabs>
          <w:tab w:val="num" w:pos="1134"/>
        </w:tabs>
        <w:ind w:left="1134" w:hanging="567"/>
      </w:pPr>
      <w:rPr>
        <w:rFonts w:ascii="Wingdings" w:hAnsi="Wingdings" w:hint="default"/>
        <w:sz w:val="12"/>
      </w:rPr>
    </w:lvl>
  </w:abstractNum>
  <w:abstractNum w:abstractNumId="6">
    <w:nsid w:val="20366885"/>
    <w:multiLevelType w:val="multilevel"/>
    <w:tmpl w:val="F1420996"/>
    <w:lvl w:ilvl="0">
      <w:start w:val="1"/>
      <w:numFmt w:val="none"/>
      <w:pStyle w:val="NumtextIndent1"/>
      <w:suff w:val="nothing"/>
      <w:lvlText w:val="%1"/>
      <w:lvlJc w:val="left"/>
      <w:pPr>
        <w:ind w:left="992" w:firstLine="0"/>
      </w:pPr>
      <w:rPr>
        <w:rFonts w:hint="default"/>
      </w:rPr>
    </w:lvl>
    <w:lvl w:ilvl="1">
      <w:start w:val="1"/>
      <w:numFmt w:val="none"/>
      <w:suff w:val="nothing"/>
      <w:lvlText w:val="%2"/>
      <w:lvlJc w:val="left"/>
      <w:pPr>
        <w:ind w:left="1418" w:hanging="1"/>
      </w:pPr>
      <w:rPr>
        <w:rFonts w:hint="default"/>
      </w:rPr>
    </w:lvl>
    <w:lvl w:ilvl="2">
      <w:start w:val="1"/>
      <w:numFmt w:val="none"/>
      <w:suff w:val="nothing"/>
      <w:lvlText w:val=""/>
      <w:lvlJc w:val="left"/>
      <w:pPr>
        <w:ind w:left="1843" w:firstLine="0"/>
      </w:pPr>
      <w:rPr>
        <w:rFonts w:hint="default"/>
      </w:rPr>
    </w:lvl>
    <w:lvl w:ilvl="3">
      <w:start w:val="1"/>
      <w:numFmt w:val="none"/>
      <w:suff w:val="nothing"/>
      <w:lvlText w:val=""/>
      <w:lvlJc w:val="left"/>
      <w:pPr>
        <w:ind w:left="2268" w:firstLine="0"/>
      </w:pPr>
      <w:rPr>
        <w:rFonts w:hint="default"/>
      </w:rPr>
    </w:lvl>
    <w:lvl w:ilvl="4">
      <w:start w:val="1"/>
      <w:numFmt w:val="none"/>
      <w:suff w:val="nothing"/>
      <w:lvlText w:val=""/>
      <w:lvlJc w:val="left"/>
      <w:pPr>
        <w:ind w:left="2268" w:firstLine="0"/>
      </w:pPr>
      <w:rPr>
        <w:rFonts w:hint="default"/>
      </w:rPr>
    </w:lvl>
    <w:lvl w:ilvl="5">
      <w:start w:val="1"/>
      <w:numFmt w:val="none"/>
      <w:lvlText w:val=""/>
      <w:lvlJc w:val="left"/>
      <w:pPr>
        <w:tabs>
          <w:tab w:val="num" w:pos="1275"/>
        </w:tabs>
        <w:ind w:left="1275" w:firstLine="0"/>
      </w:pPr>
      <w:rPr>
        <w:rFonts w:hint="default"/>
      </w:rPr>
    </w:lvl>
    <w:lvl w:ilvl="6">
      <w:start w:val="1"/>
      <w:numFmt w:val="none"/>
      <w:lvlText w:val=""/>
      <w:lvlJc w:val="left"/>
      <w:pPr>
        <w:tabs>
          <w:tab w:val="num" w:pos="1275"/>
        </w:tabs>
        <w:ind w:left="1275" w:firstLine="0"/>
      </w:pPr>
      <w:rPr>
        <w:rFonts w:hint="default"/>
      </w:rPr>
    </w:lvl>
    <w:lvl w:ilvl="7">
      <w:start w:val="1"/>
      <w:numFmt w:val="none"/>
      <w:lvlText w:val=""/>
      <w:lvlJc w:val="left"/>
      <w:pPr>
        <w:tabs>
          <w:tab w:val="num" w:pos="1275"/>
        </w:tabs>
        <w:ind w:left="1275" w:firstLine="2520"/>
      </w:pPr>
      <w:rPr>
        <w:rFonts w:hint="default"/>
      </w:rPr>
    </w:lvl>
    <w:lvl w:ilvl="8">
      <w:start w:val="1"/>
      <w:numFmt w:val="none"/>
      <w:lvlText w:val=""/>
      <w:lvlJc w:val="left"/>
      <w:pPr>
        <w:tabs>
          <w:tab w:val="num" w:pos="1275"/>
        </w:tabs>
        <w:ind w:left="1275" w:firstLine="0"/>
      </w:pPr>
      <w:rPr>
        <w:rFonts w:hint="default"/>
      </w:rPr>
    </w:lvl>
  </w:abstractNum>
  <w:abstractNum w:abstractNumId="7">
    <w:nsid w:val="2601264E"/>
    <w:multiLevelType w:val="multilevel"/>
    <w:tmpl w:val="824E8FC4"/>
    <w:lvl w:ilvl="0">
      <w:start w:val="1"/>
      <w:numFmt w:val="decimal"/>
      <w:lvlText w:val="%1."/>
      <w:lvlJc w:val="left"/>
      <w:pPr>
        <w:tabs>
          <w:tab w:val="num" w:pos="927"/>
        </w:tabs>
        <w:ind w:left="927" w:hanging="360"/>
      </w:pPr>
      <w:rPr>
        <w:rFonts w:cs="Times New Roman"/>
      </w:rPr>
    </w:lvl>
    <w:lvl w:ilvl="1">
      <w:start w:val="2"/>
      <w:numFmt w:val="decimal"/>
      <w:isLgl/>
      <w:lvlText w:val="%1.%2"/>
      <w:lvlJc w:val="left"/>
      <w:pPr>
        <w:tabs>
          <w:tab w:val="num" w:pos="927"/>
        </w:tabs>
        <w:ind w:left="927"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287"/>
        </w:tabs>
        <w:ind w:left="1287" w:hanging="72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1647"/>
        </w:tabs>
        <w:ind w:left="1647" w:hanging="108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007"/>
        </w:tabs>
        <w:ind w:left="2007" w:hanging="1440"/>
      </w:pPr>
      <w:rPr>
        <w:rFonts w:hint="default"/>
      </w:rPr>
    </w:lvl>
  </w:abstractNum>
  <w:abstractNum w:abstractNumId="8">
    <w:nsid w:val="27F928BD"/>
    <w:multiLevelType w:val="hybridMultilevel"/>
    <w:tmpl w:val="8DF80E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2A497351"/>
    <w:multiLevelType w:val="hybridMultilevel"/>
    <w:tmpl w:val="79227A6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2AC73E3C"/>
    <w:multiLevelType w:val="hybridMultilevel"/>
    <w:tmpl w:val="78BEB6A6"/>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11">
    <w:nsid w:val="2DA662A1"/>
    <w:multiLevelType w:val="hybridMultilevel"/>
    <w:tmpl w:val="35A2D95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nsid w:val="31276587"/>
    <w:multiLevelType w:val="hybridMultilevel"/>
    <w:tmpl w:val="ED7667E6"/>
    <w:lvl w:ilvl="0" w:tplc="1409000F">
      <w:start w:val="1"/>
      <w:numFmt w:val="decimal"/>
      <w:lvlText w:val="%1."/>
      <w:lvlJc w:val="left"/>
      <w:pPr>
        <w:ind w:left="1069" w:hanging="360"/>
      </w:pPr>
      <w:rPr>
        <w:rFonts w:cs="Times New Roman"/>
      </w:rPr>
    </w:lvl>
    <w:lvl w:ilvl="1" w:tplc="14090003">
      <w:start w:val="1"/>
      <w:numFmt w:val="bullet"/>
      <w:lvlText w:val="o"/>
      <w:lvlJc w:val="left"/>
      <w:pPr>
        <w:ind w:left="1789" w:hanging="360"/>
      </w:pPr>
      <w:rPr>
        <w:rFonts w:ascii="Courier New" w:hAnsi="Courier New" w:cs="Times New Roman" w:hint="default"/>
      </w:rPr>
    </w:lvl>
    <w:lvl w:ilvl="2" w:tplc="14090005">
      <w:start w:val="1"/>
      <w:numFmt w:val="bullet"/>
      <w:lvlText w:val=""/>
      <w:lvlJc w:val="left"/>
      <w:pPr>
        <w:ind w:left="2509" w:hanging="360"/>
      </w:pPr>
      <w:rPr>
        <w:rFonts w:ascii="Wingdings" w:hAnsi="Wingdings" w:hint="default"/>
      </w:rPr>
    </w:lvl>
    <w:lvl w:ilvl="3" w:tplc="14090001">
      <w:start w:val="1"/>
      <w:numFmt w:val="bullet"/>
      <w:lvlText w:val=""/>
      <w:lvlJc w:val="left"/>
      <w:pPr>
        <w:ind w:left="3229" w:hanging="360"/>
      </w:pPr>
      <w:rPr>
        <w:rFonts w:ascii="Symbol" w:hAnsi="Symbol" w:hint="default"/>
      </w:rPr>
    </w:lvl>
    <w:lvl w:ilvl="4" w:tplc="14090003">
      <w:start w:val="1"/>
      <w:numFmt w:val="bullet"/>
      <w:lvlText w:val="o"/>
      <w:lvlJc w:val="left"/>
      <w:pPr>
        <w:ind w:left="3949" w:hanging="360"/>
      </w:pPr>
      <w:rPr>
        <w:rFonts w:ascii="Courier New" w:hAnsi="Courier New" w:cs="Times New Roman" w:hint="default"/>
      </w:rPr>
    </w:lvl>
    <w:lvl w:ilvl="5" w:tplc="14090005">
      <w:start w:val="1"/>
      <w:numFmt w:val="bullet"/>
      <w:lvlText w:val=""/>
      <w:lvlJc w:val="left"/>
      <w:pPr>
        <w:ind w:left="4669" w:hanging="360"/>
      </w:pPr>
      <w:rPr>
        <w:rFonts w:ascii="Wingdings" w:hAnsi="Wingdings" w:hint="default"/>
      </w:rPr>
    </w:lvl>
    <w:lvl w:ilvl="6" w:tplc="14090001">
      <w:start w:val="1"/>
      <w:numFmt w:val="bullet"/>
      <w:lvlText w:val=""/>
      <w:lvlJc w:val="left"/>
      <w:pPr>
        <w:ind w:left="5389" w:hanging="360"/>
      </w:pPr>
      <w:rPr>
        <w:rFonts w:ascii="Symbol" w:hAnsi="Symbol" w:hint="default"/>
      </w:rPr>
    </w:lvl>
    <w:lvl w:ilvl="7" w:tplc="14090003">
      <w:start w:val="1"/>
      <w:numFmt w:val="bullet"/>
      <w:lvlText w:val="o"/>
      <w:lvlJc w:val="left"/>
      <w:pPr>
        <w:ind w:left="6109" w:hanging="360"/>
      </w:pPr>
      <w:rPr>
        <w:rFonts w:ascii="Courier New" w:hAnsi="Courier New" w:cs="Times New Roman" w:hint="default"/>
      </w:rPr>
    </w:lvl>
    <w:lvl w:ilvl="8" w:tplc="14090005">
      <w:start w:val="1"/>
      <w:numFmt w:val="bullet"/>
      <w:lvlText w:val=""/>
      <w:lvlJc w:val="left"/>
      <w:pPr>
        <w:ind w:left="6829" w:hanging="360"/>
      </w:pPr>
      <w:rPr>
        <w:rFonts w:ascii="Wingdings" w:hAnsi="Wingdings" w:hint="default"/>
      </w:rPr>
    </w:lvl>
  </w:abstractNum>
  <w:abstractNum w:abstractNumId="13">
    <w:nsid w:val="35F538C8"/>
    <w:multiLevelType w:val="singleLevel"/>
    <w:tmpl w:val="04FC9F52"/>
    <w:lvl w:ilvl="0">
      <w:start w:val="1"/>
      <w:numFmt w:val="bullet"/>
      <w:pStyle w:val="TableBullet"/>
      <w:lvlText w:val=""/>
      <w:lvlJc w:val="left"/>
      <w:pPr>
        <w:tabs>
          <w:tab w:val="num" w:pos="284"/>
        </w:tabs>
        <w:ind w:left="284" w:hanging="284"/>
      </w:pPr>
      <w:rPr>
        <w:rFonts w:ascii="Wingdings" w:hAnsi="Wingdings" w:hint="default"/>
        <w:sz w:val="12"/>
        <w:szCs w:val="12"/>
      </w:rPr>
    </w:lvl>
  </w:abstractNum>
  <w:abstractNum w:abstractNumId="14">
    <w:nsid w:val="3FB365F1"/>
    <w:multiLevelType w:val="singleLevel"/>
    <w:tmpl w:val="64825B68"/>
    <w:lvl w:ilvl="0">
      <w:start w:val="1"/>
      <w:numFmt w:val="bullet"/>
      <w:pStyle w:val="BoxBullet"/>
      <w:lvlText w:val=""/>
      <w:lvlJc w:val="left"/>
      <w:pPr>
        <w:tabs>
          <w:tab w:val="num" w:pos="1134"/>
        </w:tabs>
        <w:ind w:left="1134" w:hanging="283"/>
      </w:pPr>
      <w:rPr>
        <w:rFonts w:ascii="Wingdings" w:hAnsi="Wingdings" w:hint="default"/>
        <w:sz w:val="12"/>
        <w:szCs w:val="12"/>
      </w:rPr>
    </w:lvl>
  </w:abstractNum>
  <w:abstractNum w:abstractNumId="15">
    <w:nsid w:val="45411F9D"/>
    <w:multiLevelType w:val="hybridMultilevel"/>
    <w:tmpl w:val="1D709F22"/>
    <w:lvl w:ilvl="0" w:tplc="14090005">
      <w:start w:val="1"/>
      <w:numFmt w:val="bullet"/>
      <w:lvlText w:val=""/>
      <w:lvlJc w:val="left"/>
      <w:pPr>
        <w:ind w:left="720" w:hanging="360"/>
      </w:pPr>
      <w:rPr>
        <w:rFonts w:ascii="Wingdings" w:hAnsi="Wingdings" w:hint="default"/>
      </w:rPr>
    </w:lvl>
    <w:lvl w:ilvl="1" w:tplc="E152ACF2">
      <w:start w:val="1"/>
      <w:numFmt w:val="bullet"/>
      <w:lvlText w:val="­"/>
      <w:lvlJc w:val="left"/>
      <w:pPr>
        <w:ind w:left="5322"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E152ACF2">
      <w:start w:val="1"/>
      <w:numFmt w:val="bullet"/>
      <w:lvlText w:val="­"/>
      <w:lvlJc w:val="left"/>
      <w:pPr>
        <w:ind w:left="2880" w:hanging="360"/>
      </w:pPr>
      <w:rPr>
        <w:rFonts w:ascii="Courier New" w:hAnsi="Courier New" w:hint="default"/>
      </w:rPr>
    </w:lvl>
    <w:lvl w:ilvl="4" w:tplc="14090003">
      <w:start w:val="1"/>
      <w:numFmt w:val="bullet"/>
      <w:lvlText w:val="o"/>
      <w:lvlJc w:val="left"/>
      <w:pPr>
        <w:ind w:left="3600" w:hanging="360"/>
      </w:pPr>
      <w:rPr>
        <w:rFonts w:ascii="Courier New" w:hAnsi="Courier New" w:cs="Tms Rmn"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Tms Rmn"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454647EA"/>
    <w:multiLevelType w:val="hybridMultilevel"/>
    <w:tmpl w:val="9DBCA3BC"/>
    <w:lvl w:ilvl="0" w:tplc="14090005">
      <w:start w:val="1"/>
      <w:numFmt w:val="bullet"/>
      <w:pStyle w:val="List8"/>
      <w:lvlText w:val=""/>
      <w:lvlJc w:val="left"/>
      <w:pPr>
        <w:ind w:left="360" w:hanging="360"/>
      </w:pPr>
      <w:rPr>
        <w:rFonts w:ascii="Wingdings" w:hAnsi="Wingdings" w:hint="default"/>
      </w:rPr>
    </w:lvl>
    <w:lvl w:ilvl="1" w:tplc="E152ACF2">
      <w:start w:val="1"/>
      <w:numFmt w:val="bullet"/>
      <w:lvlText w:val="­"/>
      <w:lvlJc w:val="left"/>
      <w:pPr>
        <w:ind w:left="1080" w:hanging="360"/>
      </w:pPr>
      <w:rPr>
        <w:rFonts w:ascii="Courier New" w:hAnsi="Courier New" w:hint="default"/>
      </w:rPr>
    </w:lvl>
    <w:lvl w:ilvl="2" w:tplc="E152ACF2">
      <w:start w:val="1"/>
      <w:numFmt w:val="bullet"/>
      <w:lvlText w:val="­"/>
      <w:lvlJc w:val="left"/>
      <w:pPr>
        <w:ind w:left="1800" w:hanging="360"/>
      </w:pPr>
      <w:rPr>
        <w:rFonts w:ascii="Courier New" w:hAnsi="Courier New"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4FC323FE"/>
    <w:multiLevelType w:val="hybridMultilevel"/>
    <w:tmpl w:val="FFF2A26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nsid w:val="4FE54E2F"/>
    <w:multiLevelType w:val="hybridMultilevel"/>
    <w:tmpl w:val="6D468B6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nsid w:val="51711FCF"/>
    <w:multiLevelType w:val="hybridMultilevel"/>
    <w:tmpl w:val="4AF61C50"/>
    <w:lvl w:ilvl="0" w:tplc="994A2B2A">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5232121C"/>
    <w:multiLevelType w:val="hybridMultilevel"/>
    <w:tmpl w:val="F0385540"/>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Tms Rmn"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Tms Rmn"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Tms Rmn"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577E4B3B"/>
    <w:multiLevelType w:val="hybridMultilevel"/>
    <w:tmpl w:val="7AB843B8"/>
    <w:lvl w:ilvl="0" w:tplc="14090005">
      <w:start w:val="1"/>
      <w:numFmt w:val="bullet"/>
      <w:lvlText w:val=""/>
      <w:lvlJc w:val="left"/>
      <w:pPr>
        <w:ind w:left="2771" w:hanging="360"/>
      </w:pPr>
      <w:rPr>
        <w:rFonts w:ascii="Wingdings" w:hAnsi="Wingdings" w:hint="default"/>
      </w:rPr>
    </w:lvl>
    <w:lvl w:ilvl="1" w:tplc="E152ACF2">
      <w:start w:val="1"/>
      <w:numFmt w:val="bullet"/>
      <w:lvlText w:val="­"/>
      <w:lvlJc w:val="left"/>
      <w:pPr>
        <w:ind w:left="2149" w:hanging="360"/>
      </w:pPr>
      <w:rPr>
        <w:rFonts w:ascii="Courier New" w:hAnsi="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Tms Rmn"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Tms Rmn" w:hint="default"/>
      </w:rPr>
    </w:lvl>
    <w:lvl w:ilvl="8" w:tplc="14090005" w:tentative="1">
      <w:start w:val="1"/>
      <w:numFmt w:val="bullet"/>
      <w:lvlText w:val=""/>
      <w:lvlJc w:val="left"/>
      <w:pPr>
        <w:ind w:left="7189" w:hanging="360"/>
      </w:pPr>
      <w:rPr>
        <w:rFonts w:ascii="Wingdings" w:hAnsi="Wingdings" w:hint="default"/>
      </w:rPr>
    </w:lvl>
  </w:abstractNum>
  <w:abstractNum w:abstractNumId="22">
    <w:nsid w:val="5892271C"/>
    <w:multiLevelType w:val="hybridMultilevel"/>
    <w:tmpl w:val="577453B0"/>
    <w:lvl w:ilvl="0" w:tplc="99049B00">
      <w:numFmt w:val="bullet"/>
      <w:lvlText w:val="-"/>
      <w:lvlJc w:val="left"/>
      <w:pPr>
        <w:ind w:left="1080" w:hanging="360"/>
      </w:pPr>
      <w:rPr>
        <w:rFonts w:ascii="Arial" w:eastAsia="Times New Roman"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nsid w:val="625119D4"/>
    <w:multiLevelType w:val="hybridMultilevel"/>
    <w:tmpl w:val="08761B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nsid w:val="63575E80"/>
    <w:multiLevelType w:val="hybridMultilevel"/>
    <w:tmpl w:val="2A8491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Tms Rm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Tms Rmn"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Tms Rmn"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685E3AB9"/>
    <w:multiLevelType w:val="singleLevel"/>
    <w:tmpl w:val="695C6584"/>
    <w:lvl w:ilvl="0">
      <w:start w:val="1"/>
      <w:numFmt w:val="bullet"/>
      <w:pStyle w:val="Dash"/>
      <w:lvlText w:val="–"/>
      <w:lvlJc w:val="left"/>
      <w:pPr>
        <w:tabs>
          <w:tab w:val="num" w:pos="567"/>
        </w:tabs>
        <w:ind w:left="567" w:hanging="567"/>
      </w:pPr>
      <w:rPr>
        <w:rFonts w:ascii="Times New Roman" w:hAnsi="Times New Roman" w:hint="default"/>
        <w:sz w:val="24"/>
      </w:rPr>
    </w:lvl>
  </w:abstractNum>
  <w:abstractNum w:abstractNumId="26">
    <w:nsid w:val="6A9E7A90"/>
    <w:multiLevelType w:val="hybridMultilevel"/>
    <w:tmpl w:val="824E495E"/>
    <w:lvl w:ilvl="0" w:tplc="0409000F">
      <w:start w:val="1"/>
      <w:numFmt w:val="decimal"/>
      <w:lvlText w:val="%1."/>
      <w:lvlJc w:val="left"/>
      <w:pPr>
        <w:tabs>
          <w:tab w:val="num" w:pos="5040"/>
        </w:tabs>
        <w:ind w:left="5040" w:hanging="360"/>
      </w:pPr>
    </w:lvl>
    <w:lvl w:ilvl="1" w:tplc="04090019">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27">
    <w:nsid w:val="6BB975EE"/>
    <w:multiLevelType w:val="hybridMultilevel"/>
    <w:tmpl w:val="D0EEC020"/>
    <w:lvl w:ilvl="0" w:tplc="1FB6CD9E">
      <w:start w:val="1"/>
      <w:numFmt w:val="bullet"/>
      <w:lvlText w:val=""/>
      <w:lvlJc w:val="left"/>
      <w:pPr>
        <w:ind w:left="1800" w:hanging="360"/>
      </w:pPr>
      <w:rPr>
        <w:rFonts w:ascii="Wingdings" w:hAnsi="Wingdings" w:hint="default"/>
      </w:rPr>
    </w:lvl>
    <w:lvl w:ilvl="1" w:tplc="B5CABCAA">
      <w:start w:val="1"/>
      <w:numFmt w:val="bullet"/>
      <w:lvlText w:val="–"/>
      <w:lvlJc w:val="left"/>
      <w:pPr>
        <w:ind w:left="2520" w:hanging="360"/>
      </w:pPr>
      <w:rPr>
        <w:rFonts w:ascii="Times New Roman" w:hAnsi="Times New Roman" w:cs="Times New Roman" w:hint="default"/>
        <w:sz w:val="24"/>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Tms Rmn"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Tms Rmn" w:hint="default"/>
      </w:rPr>
    </w:lvl>
    <w:lvl w:ilvl="8" w:tplc="14090005" w:tentative="1">
      <w:start w:val="1"/>
      <w:numFmt w:val="bullet"/>
      <w:lvlText w:val=""/>
      <w:lvlJc w:val="left"/>
      <w:pPr>
        <w:ind w:left="7560" w:hanging="360"/>
      </w:pPr>
      <w:rPr>
        <w:rFonts w:ascii="Wingdings" w:hAnsi="Wingdings" w:hint="default"/>
      </w:rPr>
    </w:lvl>
  </w:abstractNum>
  <w:abstractNum w:abstractNumId="28">
    <w:nsid w:val="74122D00"/>
    <w:multiLevelType w:val="hybridMultilevel"/>
    <w:tmpl w:val="0A2A4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Tms Rm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Tms Rmn"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Tms Rmn"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74CD3529"/>
    <w:multiLevelType w:val="hybridMultilevel"/>
    <w:tmpl w:val="46B620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0">
    <w:nsid w:val="7D9B0031"/>
    <w:multiLevelType w:val="hybridMultilevel"/>
    <w:tmpl w:val="319A56D4"/>
    <w:lvl w:ilvl="0" w:tplc="E152ACF2">
      <w:start w:val="1"/>
      <w:numFmt w:val="bullet"/>
      <w:lvlText w:val="­"/>
      <w:lvlJc w:val="left"/>
      <w:pPr>
        <w:ind w:left="1494" w:hanging="360"/>
      </w:pPr>
      <w:rPr>
        <w:rFonts w:ascii="Courier New" w:hAnsi="Courier New" w:hint="default"/>
      </w:rPr>
    </w:lvl>
    <w:lvl w:ilvl="1" w:tplc="E152ACF2">
      <w:start w:val="1"/>
      <w:numFmt w:val="bullet"/>
      <w:lvlText w:val="­"/>
      <w:lvlJc w:val="left"/>
      <w:pPr>
        <w:ind w:left="6096" w:hanging="360"/>
      </w:pPr>
      <w:rPr>
        <w:rFonts w:ascii="Courier New" w:hAnsi="Courier New" w:hint="default"/>
      </w:rPr>
    </w:lvl>
    <w:lvl w:ilvl="2" w:tplc="14090005">
      <w:start w:val="1"/>
      <w:numFmt w:val="bullet"/>
      <w:lvlText w:val=""/>
      <w:lvlJc w:val="left"/>
      <w:pPr>
        <w:ind w:left="2934" w:hanging="360"/>
      </w:pPr>
      <w:rPr>
        <w:rFonts w:ascii="Wingdings" w:hAnsi="Wingdings" w:hint="default"/>
      </w:rPr>
    </w:lvl>
    <w:lvl w:ilvl="3" w:tplc="E152ACF2">
      <w:start w:val="1"/>
      <w:numFmt w:val="bullet"/>
      <w:lvlText w:val="­"/>
      <w:lvlJc w:val="left"/>
      <w:pPr>
        <w:ind w:left="3654" w:hanging="360"/>
      </w:pPr>
      <w:rPr>
        <w:rFonts w:ascii="Courier New" w:hAnsi="Courier New" w:hint="default"/>
      </w:rPr>
    </w:lvl>
    <w:lvl w:ilvl="4" w:tplc="14090003">
      <w:start w:val="1"/>
      <w:numFmt w:val="bullet"/>
      <w:lvlText w:val="o"/>
      <w:lvlJc w:val="left"/>
      <w:pPr>
        <w:ind w:left="4374" w:hanging="360"/>
      </w:pPr>
      <w:rPr>
        <w:rFonts w:ascii="Courier New" w:hAnsi="Courier New" w:cs="Tms Rmn"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Tms Rmn" w:hint="default"/>
      </w:rPr>
    </w:lvl>
    <w:lvl w:ilvl="8" w:tplc="14090005" w:tentative="1">
      <w:start w:val="1"/>
      <w:numFmt w:val="bullet"/>
      <w:lvlText w:val=""/>
      <w:lvlJc w:val="left"/>
      <w:pPr>
        <w:ind w:left="7254" w:hanging="360"/>
      </w:pPr>
      <w:rPr>
        <w:rFonts w:ascii="Wingdings" w:hAnsi="Wingdings" w:hint="default"/>
      </w:rPr>
    </w:lvl>
  </w:abstractNum>
  <w:abstractNum w:abstractNumId="31">
    <w:nsid w:val="7F203C25"/>
    <w:multiLevelType w:val="hybridMultilevel"/>
    <w:tmpl w:val="9D44AA9E"/>
    <w:lvl w:ilvl="0" w:tplc="14090013">
      <w:start w:val="1"/>
      <w:numFmt w:val="upperRoman"/>
      <w:lvlText w:val="%1."/>
      <w:lvlJc w:val="right"/>
      <w:pPr>
        <w:ind w:left="720" w:hanging="360"/>
      </w:pPr>
    </w:lvl>
    <w:lvl w:ilvl="1" w:tplc="14090013">
      <w:start w:val="1"/>
      <w:numFmt w:val="upperRoman"/>
      <w:lvlText w:val="%2."/>
      <w:lvlJc w:val="right"/>
      <w:pPr>
        <w:ind w:left="1440" w:hanging="360"/>
      </w:pPr>
    </w:lvl>
    <w:lvl w:ilvl="2" w:tplc="14090001">
      <w:start w:val="1"/>
      <w:numFmt w:val="bullet"/>
      <w:lvlText w:val=""/>
      <w:lvlJc w:val="left"/>
      <w:pPr>
        <w:ind w:left="2160" w:hanging="180"/>
      </w:pPr>
      <w:rPr>
        <w:rFonts w:ascii="Symbol" w:hAnsi="Symbol"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4"/>
  </w:num>
  <w:num w:numId="3">
    <w:abstractNumId w:val="13"/>
  </w:num>
  <w:num w:numId="4">
    <w:abstractNumId w:val="25"/>
  </w:num>
  <w:num w:numId="5">
    <w:abstractNumId w:val="5"/>
  </w:num>
  <w:num w:numId="6">
    <w:abstractNumId w:val="21"/>
  </w:num>
  <w:num w:numId="7">
    <w:abstractNumId w:val="15"/>
  </w:num>
  <w:num w:numId="8">
    <w:abstractNumId w:val="7"/>
  </w:num>
  <w:num w:numId="9">
    <w:abstractNumId w:val="26"/>
  </w:num>
  <w:num w:numId="10">
    <w:abstractNumId w:val="16"/>
  </w:num>
  <w:num w:numId="11">
    <w:abstractNumId w:val="20"/>
  </w:num>
  <w:num w:numId="12">
    <w:abstractNumId w:val="9"/>
  </w:num>
  <w:num w:numId="13">
    <w:abstractNumId w:val="27"/>
  </w:num>
  <w:num w:numId="14">
    <w:abstractNumId w:val="2"/>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16"/>
  </w:num>
  <w:num w:numId="17">
    <w:abstractNumId w:val="31"/>
  </w:num>
  <w:num w:numId="18">
    <w:abstractNumId w:val="4"/>
  </w:num>
  <w:num w:numId="19">
    <w:abstractNumId w:val="6"/>
  </w:num>
  <w:num w:numId="20">
    <w:abstractNumId w:val="16"/>
  </w:num>
  <w:num w:numId="21">
    <w:abstractNumId w:val="30"/>
  </w:num>
  <w:num w:numId="22">
    <w:abstractNumId w:val="28"/>
  </w:num>
  <w:num w:numId="23">
    <w:abstractNumId w:val="24"/>
  </w:num>
  <w:num w:numId="24">
    <w:abstractNumId w:val="5"/>
  </w:num>
  <w:num w:numId="25">
    <w:abstractNumId w:val="5"/>
  </w:num>
  <w:num w:numId="26">
    <w:abstractNumId w:val="5"/>
  </w:num>
  <w:num w:numId="27">
    <w:abstractNumId w:val="5"/>
  </w:num>
  <w:num w:numId="28">
    <w:abstractNumId w:val="5"/>
  </w:num>
  <w:num w:numId="29">
    <w:abstractNumId w:val="5"/>
  </w:num>
  <w:num w:numId="30">
    <w:abstractNumId w:val="16"/>
  </w:num>
  <w:num w:numId="31">
    <w:abstractNumId w:val="1"/>
  </w:num>
  <w:num w:numId="32">
    <w:abstractNumId w:val="8"/>
  </w:num>
  <w:num w:numId="33">
    <w:abstractNumId w:val="22"/>
  </w:num>
  <w:num w:numId="34">
    <w:abstractNumId w:val="19"/>
  </w:num>
  <w:num w:numId="35">
    <w:abstractNumId w:val="11"/>
  </w:num>
  <w:num w:numId="36">
    <w:abstractNumId w:val="3"/>
  </w:num>
  <w:num w:numId="37">
    <w:abstractNumId w:val="23"/>
  </w:num>
  <w:num w:numId="38">
    <w:abstractNumId w:val="10"/>
  </w:num>
  <w:num w:numId="39">
    <w:abstractNumId w:val="17"/>
  </w:num>
  <w:num w:numId="40">
    <w:abstractNumId w:val="29"/>
  </w:num>
  <w:num w:numId="4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09"/>
    <w:rsid w:val="00000B51"/>
    <w:rsid w:val="00000DF9"/>
    <w:rsid w:val="0000354C"/>
    <w:rsid w:val="000061EE"/>
    <w:rsid w:val="00010154"/>
    <w:rsid w:val="000104FD"/>
    <w:rsid w:val="00015152"/>
    <w:rsid w:val="000201AA"/>
    <w:rsid w:val="00020A02"/>
    <w:rsid w:val="0002437F"/>
    <w:rsid w:val="00026D7C"/>
    <w:rsid w:val="00027442"/>
    <w:rsid w:val="0003082A"/>
    <w:rsid w:val="0004037C"/>
    <w:rsid w:val="00045FD3"/>
    <w:rsid w:val="000477B3"/>
    <w:rsid w:val="000500B8"/>
    <w:rsid w:val="00052376"/>
    <w:rsid w:val="00055491"/>
    <w:rsid w:val="0005735F"/>
    <w:rsid w:val="0006194C"/>
    <w:rsid w:val="00061FCE"/>
    <w:rsid w:val="00065B33"/>
    <w:rsid w:val="00066B3E"/>
    <w:rsid w:val="00066E0B"/>
    <w:rsid w:val="0006735F"/>
    <w:rsid w:val="00067468"/>
    <w:rsid w:val="000707EE"/>
    <w:rsid w:val="00072E49"/>
    <w:rsid w:val="0007332E"/>
    <w:rsid w:val="00073559"/>
    <w:rsid w:val="00075B9E"/>
    <w:rsid w:val="00075C15"/>
    <w:rsid w:val="00077C56"/>
    <w:rsid w:val="000802AF"/>
    <w:rsid w:val="00083BDD"/>
    <w:rsid w:val="00086547"/>
    <w:rsid w:val="000873B6"/>
    <w:rsid w:val="0009325B"/>
    <w:rsid w:val="00097EB6"/>
    <w:rsid w:val="000A00B8"/>
    <w:rsid w:val="000A173E"/>
    <w:rsid w:val="000A246E"/>
    <w:rsid w:val="000A27FF"/>
    <w:rsid w:val="000A7413"/>
    <w:rsid w:val="000B6A0F"/>
    <w:rsid w:val="000B6C46"/>
    <w:rsid w:val="000C25E9"/>
    <w:rsid w:val="000C596F"/>
    <w:rsid w:val="000C7FCF"/>
    <w:rsid w:val="000D0353"/>
    <w:rsid w:val="000D0491"/>
    <w:rsid w:val="000D11C6"/>
    <w:rsid w:val="000D2864"/>
    <w:rsid w:val="000D5A64"/>
    <w:rsid w:val="000D5D2A"/>
    <w:rsid w:val="000D6104"/>
    <w:rsid w:val="000D67FA"/>
    <w:rsid w:val="000D6F6F"/>
    <w:rsid w:val="000D7DB1"/>
    <w:rsid w:val="000D7F64"/>
    <w:rsid w:val="000E0E57"/>
    <w:rsid w:val="000E11AD"/>
    <w:rsid w:val="000E59D8"/>
    <w:rsid w:val="000E7234"/>
    <w:rsid w:val="000E763C"/>
    <w:rsid w:val="000F11E3"/>
    <w:rsid w:val="000F11FA"/>
    <w:rsid w:val="000F21AD"/>
    <w:rsid w:val="000F2C25"/>
    <w:rsid w:val="000F2E64"/>
    <w:rsid w:val="000F4435"/>
    <w:rsid w:val="000F490D"/>
    <w:rsid w:val="0010093B"/>
    <w:rsid w:val="00100EE3"/>
    <w:rsid w:val="0010150B"/>
    <w:rsid w:val="001029B0"/>
    <w:rsid w:val="00113547"/>
    <w:rsid w:val="00114392"/>
    <w:rsid w:val="00117DFB"/>
    <w:rsid w:val="00125223"/>
    <w:rsid w:val="00125448"/>
    <w:rsid w:val="00127BDC"/>
    <w:rsid w:val="00127DF9"/>
    <w:rsid w:val="00130B45"/>
    <w:rsid w:val="0013173C"/>
    <w:rsid w:val="00137702"/>
    <w:rsid w:val="001423A0"/>
    <w:rsid w:val="0014248D"/>
    <w:rsid w:val="00142B38"/>
    <w:rsid w:val="00147013"/>
    <w:rsid w:val="00147DCD"/>
    <w:rsid w:val="00156BE7"/>
    <w:rsid w:val="00160648"/>
    <w:rsid w:val="00162140"/>
    <w:rsid w:val="00164FE6"/>
    <w:rsid w:val="00165169"/>
    <w:rsid w:val="00166DB0"/>
    <w:rsid w:val="00171560"/>
    <w:rsid w:val="001724FF"/>
    <w:rsid w:val="00172E76"/>
    <w:rsid w:val="00174EA9"/>
    <w:rsid w:val="00176F34"/>
    <w:rsid w:val="00177AA8"/>
    <w:rsid w:val="00195CB7"/>
    <w:rsid w:val="00196658"/>
    <w:rsid w:val="001A3EA3"/>
    <w:rsid w:val="001A4BF2"/>
    <w:rsid w:val="001A5441"/>
    <w:rsid w:val="001A7F54"/>
    <w:rsid w:val="001B017C"/>
    <w:rsid w:val="001B33C8"/>
    <w:rsid w:val="001B414F"/>
    <w:rsid w:val="001C12A1"/>
    <w:rsid w:val="001C21B8"/>
    <w:rsid w:val="001C3B89"/>
    <w:rsid w:val="001C547D"/>
    <w:rsid w:val="001C751C"/>
    <w:rsid w:val="001D3E08"/>
    <w:rsid w:val="001D669B"/>
    <w:rsid w:val="001D6D78"/>
    <w:rsid w:val="001E607C"/>
    <w:rsid w:val="001F0FA9"/>
    <w:rsid w:val="001F107F"/>
    <w:rsid w:val="001F22DA"/>
    <w:rsid w:val="001F2C1F"/>
    <w:rsid w:val="001F2F42"/>
    <w:rsid w:val="001F3B45"/>
    <w:rsid w:val="001F7099"/>
    <w:rsid w:val="001F7B48"/>
    <w:rsid w:val="0020060C"/>
    <w:rsid w:val="002028E8"/>
    <w:rsid w:val="00206B9C"/>
    <w:rsid w:val="00206E72"/>
    <w:rsid w:val="0021090D"/>
    <w:rsid w:val="00210D43"/>
    <w:rsid w:val="00211576"/>
    <w:rsid w:val="00211FAD"/>
    <w:rsid w:val="00211FEA"/>
    <w:rsid w:val="00213444"/>
    <w:rsid w:val="002152FB"/>
    <w:rsid w:val="00215BEB"/>
    <w:rsid w:val="00217B0E"/>
    <w:rsid w:val="00223B96"/>
    <w:rsid w:val="00226E0E"/>
    <w:rsid w:val="0022715A"/>
    <w:rsid w:val="00230B26"/>
    <w:rsid w:val="002378AB"/>
    <w:rsid w:val="00241F15"/>
    <w:rsid w:val="00243566"/>
    <w:rsid w:val="00246F71"/>
    <w:rsid w:val="002503A0"/>
    <w:rsid w:val="002614F6"/>
    <w:rsid w:val="00267D25"/>
    <w:rsid w:val="00267F44"/>
    <w:rsid w:val="00272D16"/>
    <w:rsid w:val="00273175"/>
    <w:rsid w:val="00275322"/>
    <w:rsid w:val="0028045B"/>
    <w:rsid w:val="0028051D"/>
    <w:rsid w:val="00280E09"/>
    <w:rsid w:val="00281170"/>
    <w:rsid w:val="002834B6"/>
    <w:rsid w:val="00283ABD"/>
    <w:rsid w:val="0028403F"/>
    <w:rsid w:val="002846D6"/>
    <w:rsid w:val="002855B9"/>
    <w:rsid w:val="00285BB1"/>
    <w:rsid w:val="00286D32"/>
    <w:rsid w:val="00291697"/>
    <w:rsid w:val="00292827"/>
    <w:rsid w:val="00292CC3"/>
    <w:rsid w:val="00293577"/>
    <w:rsid w:val="00297554"/>
    <w:rsid w:val="00297D75"/>
    <w:rsid w:val="002A0B2F"/>
    <w:rsid w:val="002A21F1"/>
    <w:rsid w:val="002A24F9"/>
    <w:rsid w:val="002A4684"/>
    <w:rsid w:val="002A6792"/>
    <w:rsid w:val="002B2E83"/>
    <w:rsid w:val="002B3F34"/>
    <w:rsid w:val="002B79DC"/>
    <w:rsid w:val="002C6EF1"/>
    <w:rsid w:val="002D50F7"/>
    <w:rsid w:val="002E0992"/>
    <w:rsid w:val="002E0A4E"/>
    <w:rsid w:val="002E1083"/>
    <w:rsid w:val="002E5156"/>
    <w:rsid w:val="002F189A"/>
    <w:rsid w:val="002F25FF"/>
    <w:rsid w:val="002F6579"/>
    <w:rsid w:val="002F6D61"/>
    <w:rsid w:val="003001A1"/>
    <w:rsid w:val="00300220"/>
    <w:rsid w:val="0030104E"/>
    <w:rsid w:val="00304676"/>
    <w:rsid w:val="003069F9"/>
    <w:rsid w:val="00306F07"/>
    <w:rsid w:val="003100A3"/>
    <w:rsid w:val="00313B7B"/>
    <w:rsid w:val="003160E0"/>
    <w:rsid w:val="00317895"/>
    <w:rsid w:val="00321ADE"/>
    <w:rsid w:val="00324BC3"/>
    <w:rsid w:val="0032656F"/>
    <w:rsid w:val="0032747B"/>
    <w:rsid w:val="00332377"/>
    <w:rsid w:val="0033296A"/>
    <w:rsid w:val="0033684E"/>
    <w:rsid w:val="00340A07"/>
    <w:rsid w:val="00341A89"/>
    <w:rsid w:val="00346925"/>
    <w:rsid w:val="00350D0D"/>
    <w:rsid w:val="00353BFA"/>
    <w:rsid w:val="003568BE"/>
    <w:rsid w:val="003574AC"/>
    <w:rsid w:val="00362164"/>
    <w:rsid w:val="003635A0"/>
    <w:rsid w:val="003645A2"/>
    <w:rsid w:val="0036476F"/>
    <w:rsid w:val="00367B24"/>
    <w:rsid w:val="0037087B"/>
    <w:rsid w:val="003719D5"/>
    <w:rsid w:val="00371B10"/>
    <w:rsid w:val="00372243"/>
    <w:rsid w:val="00372C38"/>
    <w:rsid w:val="003761E7"/>
    <w:rsid w:val="0038014A"/>
    <w:rsid w:val="00381C3F"/>
    <w:rsid w:val="00390442"/>
    <w:rsid w:val="00390B51"/>
    <w:rsid w:val="0039411E"/>
    <w:rsid w:val="003A4196"/>
    <w:rsid w:val="003A48DD"/>
    <w:rsid w:val="003A7593"/>
    <w:rsid w:val="003B3AF9"/>
    <w:rsid w:val="003B590E"/>
    <w:rsid w:val="003B7805"/>
    <w:rsid w:val="003C1CEE"/>
    <w:rsid w:val="003C4E8F"/>
    <w:rsid w:val="003C781A"/>
    <w:rsid w:val="003C7BC1"/>
    <w:rsid w:val="003D2DDA"/>
    <w:rsid w:val="003D76D1"/>
    <w:rsid w:val="003D794C"/>
    <w:rsid w:val="003E00FC"/>
    <w:rsid w:val="003E0365"/>
    <w:rsid w:val="003E1592"/>
    <w:rsid w:val="003E7AA9"/>
    <w:rsid w:val="003F3C88"/>
    <w:rsid w:val="003F7B1E"/>
    <w:rsid w:val="00400F7F"/>
    <w:rsid w:val="00403650"/>
    <w:rsid w:val="00404D58"/>
    <w:rsid w:val="0040540C"/>
    <w:rsid w:val="004056B2"/>
    <w:rsid w:val="00406B74"/>
    <w:rsid w:val="00407989"/>
    <w:rsid w:val="004101F8"/>
    <w:rsid w:val="00412364"/>
    <w:rsid w:val="0042205B"/>
    <w:rsid w:val="0042549B"/>
    <w:rsid w:val="0042791B"/>
    <w:rsid w:val="00427F4A"/>
    <w:rsid w:val="004317A1"/>
    <w:rsid w:val="0043382C"/>
    <w:rsid w:val="00434B51"/>
    <w:rsid w:val="00437186"/>
    <w:rsid w:val="004373DA"/>
    <w:rsid w:val="00437A1F"/>
    <w:rsid w:val="004400C2"/>
    <w:rsid w:val="00441D54"/>
    <w:rsid w:val="00444DB8"/>
    <w:rsid w:val="00450A90"/>
    <w:rsid w:val="00451E42"/>
    <w:rsid w:val="00453F78"/>
    <w:rsid w:val="00454145"/>
    <w:rsid w:val="00456366"/>
    <w:rsid w:val="0045637C"/>
    <w:rsid w:val="0045751D"/>
    <w:rsid w:val="004616A8"/>
    <w:rsid w:val="00463727"/>
    <w:rsid w:val="00465C49"/>
    <w:rsid w:val="00466972"/>
    <w:rsid w:val="00472D5D"/>
    <w:rsid w:val="00472FB1"/>
    <w:rsid w:val="00474C09"/>
    <w:rsid w:val="004811AA"/>
    <w:rsid w:val="0048315B"/>
    <w:rsid w:val="004868C7"/>
    <w:rsid w:val="00492829"/>
    <w:rsid w:val="00495917"/>
    <w:rsid w:val="004A10CD"/>
    <w:rsid w:val="004A48F2"/>
    <w:rsid w:val="004A592A"/>
    <w:rsid w:val="004B2662"/>
    <w:rsid w:val="004B6A19"/>
    <w:rsid w:val="004C0324"/>
    <w:rsid w:val="004C5C4C"/>
    <w:rsid w:val="004C614F"/>
    <w:rsid w:val="004D22CD"/>
    <w:rsid w:val="004E1278"/>
    <w:rsid w:val="004E2A25"/>
    <w:rsid w:val="004E644D"/>
    <w:rsid w:val="004E78DE"/>
    <w:rsid w:val="004E7E3F"/>
    <w:rsid w:val="004F0A89"/>
    <w:rsid w:val="004F2E22"/>
    <w:rsid w:val="004F4FDE"/>
    <w:rsid w:val="004F5859"/>
    <w:rsid w:val="00505053"/>
    <w:rsid w:val="0050631E"/>
    <w:rsid w:val="00506FC1"/>
    <w:rsid w:val="0050734D"/>
    <w:rsid w:val="005153FF"/>
    <w:rsid w:val="00520228"/>
    <w:rsid w:val="00523DFB"/>
    <w:rsid w:val="00525152"/>
    <w:rsid w:val="0053001A"/>
    <w:rsid w:val="00530903"/>
    <w:rsid w:val="00530A62"/>
    <w:rsid w:val="005310B0"/>
    <w:rsid w:val="0053222F"/>
    <w:rsid w:val="00534409"/>
    <w:rsid w:val="00535B54"/>
    <w:rsid w:val="005402D6"/>
    <w:rsid w:val="00541E02"/>
    <w:rsid w:val="00541E7F"/>
    <w:rsid w:val="00543ED6"/>
    <w:rsid w:val="00544057"/>
    <w:rsid w:val="00544745"/>
    <w:rsid w:val="00547F4D"/>
    <w:rsid w:val="0055069D"/>
    <w:rsid w:val="00554382"/>
    <w:rsid w:val="00555A5D"/>
    <w:rsid w:val="0056338A"/>
    <w:rsid w:val="00563C63"/>
    <w:rsid w:val="00565301"/>
    <w:rsid w:val="005653E4"/>
    <w:rsid w:val="005656D3"/>
    <w:rsid w:val="00567696"/>
    <w:rsid w:val="00567782"/>
    <w:rsid w:val="005719A8"/>
    <w:rsid w:val="005740D9"/>
    <w:rsid w:val="00581CB2"/>
    <w:rsid w:val="00584A70"/>
    <w:rsid w:val="0059179A"/>
    <w:rsid w:val="0059193C"/>
    <w:rsid w:val="005920E1"/>
    <w:rsid w:val="00594053"/>
    <w:rsid w:val="0059726C"/>
    <w:rsid w:val="005A2A51"/>
    <w:rsid w:val="005A5A41"/>
    <w:rsid w:val="005B0A5C"/>
    <w:rsid w:val="005B0E9F"/>
    <w:rsid w:val="005B103A"/>
    <w:rsid w:val="005B3839"/>
    <w:rsid w:val="005B5069"/>
    <w:rsid w:val="005B5F89"/>
    <w:rsid w:val="005B77C4"/>
    <w:rsid w:val="005C3BBD"/>
    <w:rsid w:val="005C5138"/>
    <w:rsid w:val="005C5194"/>
    <w:rsid w:val="005C5D5C"/>
    <w:rsid w:val="005C793E"/>
    <w:rsid w:val="005D10D6"/>
    <w:rsid w:val="005D3CA9"/>
    <w:rsid w:val="005D605E"/>
    <w:rsid w:val="005D6E3A"/>
    <w:rsid w:val="005D78C1"/>
    <w:rsid w:val="005E3391"/>
    <w:rsid w:val="005E5F14"/>
    <w:rsid w:val="005E65A2"/>
    <w:rsid w:val="005E7E61"/>
    <w:rsid w:val="005F513A"/>
    <w:rsid w:val="00602536"/>
    <w:rsid w:val="0060269B"/>
    <w:rsid w:val="0060370C"/>
    <w:rsid w:val="00610753"/>
    <w:rsid w:val="00617583"/>
    <w:rsid w:val="006176A5"/>
    <w:rsid w:val="006179C7"/>
    <w:rsid w:val="00622AEB"/>
    <w:rsid w:val="006260F8"/>
    <w:rsid w:val="00630574"/>
    <w:rsid w:val="00632A5D"/>
    <w:rsid w:val="00632BE0"/>
    <w:rsid w:val="006336D9"/>
    <w:rsid w:val="006407A6"/>
    <w:rsid w:val="006407CE"/>
    <w:rsid w:val="00642069"/>
    <w:rsid w:val="00644018"/>
    <w:rsid w:val="00645615"/>
    <w:rsid w:val="006501AF"/>
    <w:rsid w:val="006518FE"/>
    <w:rsid w:val="00653FCD"/>
    <w:rsid w:val="0066457B"/>
    <w:rsid w:val="00666B20"/>
    <w:rsid w:val="00672810"/>
    <w:rsid w:val="0067284A"/>
    <w:rsid w:val="00672BF4"/>
    <w:rsid w:val="00674C10"/>
    <w:rsid w:val="00675E78"/>
    <w:rsid w:val="0067627E"/>
    <w:rsid w:val="00680C42"/>
    <w:rsid w:val="00686E90"/>
    <w:rsid w:val="006910AA"/>
    <w:rsid w:val="0069220B"/>
    <w:rsid w:val="00693CD2"/>
    <w:rsid w:val="00697932"/>
    <w:rsid w:val="006A3E16"/>
    <w:rsid w:val="006A3E90"/>
    <w:rsid w:val="006A7C49"/>
    <w:rsid w:val="006B18A6"/>
    <w:rsid w:val="006B1E87"/>
    <w:rsid w:val="006B3B2A"/>
    <w:rsid w:val="006B489D"/>
    <w:rsid w:val="006C314B"/>
    <w:rsid w:val="006C5E20"/>
    <w:rsid w:val="006D02BB"/>
    <w:rsid w:val="006D3A62"/>
    <w:rsid w:val="006D4877"/>
    <w:rsid w:val="006E56A8"/>
    <w:rsid w:val="006E7917"/>
    <w:rsid w:val="006F0FA9"/>
    <w:rsid w:val="006F14E9"/>
    <w:rsid w:val="006F7EA3"/>
    <w:rsid w:val="0070006A"/>
    <w:rsid w:val="0070229E"/>
    <w:rsid w:val="0070405E"/>
    <w:rsid w:val="0070566E"/>
    <w:rsid w:val="00714C26"/>
    <w:rsid w:val="00716C08"/>
    <w:rsid w:val="007175CB"/>
    <w:rsid w:val="007241A0"/>
    <w:rsid w:val="00724F7C"/>
    <w:rsid w:val="00733109"/>
    <w:rsid w:val="0073502B"/>
    <w:rsid w:val="00737E4B"/>
    <w:rsid w:val="00741A56"/>
    <w:rsid w:val="00753EE1"/>
    <w:rsid w:val="0076344F"/>
    <w:rsid w:val="00766CA8"/>
    <w:rsid w:val="00771376"/>
    <w:rsid w:val="007715BA"/>
    <w:rsid w:val="0077393F"/>
    <w:rsid w:val="00775BEB"/>
    <w:rsid w:val="00776F16"/>
    <w:rsid w:val="0077714C"/>
    <w:rsid w:val="00782097"/>
    <w:rsid w:val="00787557"/>
    <w:rsid w:val="00790B62"/>
    <w:rsid w:val="00792643"/>
    <w:rsid w:val="007A269F"/>
    <w:rsid w:val="007A51D0"/>
    <w:rsid w:val="007A6FFF"/>
    <w:rsid w:val="007A7896"/>
    <w:rsid w:val="007B393C"/>
    <w:rsid w:val="007B44DA"/>
    <w:rsid w:val="007B5BC4"/>
    <w:rsid w:val="007B75E7"/>
    <w:rsid w:val="007B7FB7"/>
    <w:rsid w:val="007C6597"/>
    <w:rsid w:val="007C7317"/>
    <w:rsid w:val="007D17C5"/>
    <w:rsid w:val="007D53F3"/>
    <w:rsid w:val="007E0DA0"/>
    <w:rsid w:val="007E2CC3"/>
    <w:rsid w:val="007E440D"/>
    <w:rsid w:val="007E6E06"/>
    <w:rsid w:val="007E7253"/>
    <w:rsid w:val="007F1717"/>
    <w:rsid w:val="007F4B74"/>
    <w:rsid w:val="007F5611"/>
    <w:rsid w:val="007F5994"/>
    <w:rsid w:val="007F6CC2"/>
    <w:rsid w:val="00804EDA"/>
    <w:rsid w:val="00805029"/>
    <w:rsid w:val="00805A6B"/>
    <w:rsid w:val="00806BBA"/>
    <w:rsid w:val="008112F1"/>
    <w:rsid w:val="0081375A"/>
    <w:rsid w:val="00813D90"/>
    <w:rsid w:val="00815767"/>
    <w:rsid w:val="00821E4D"/>
    <w:rsid w:val="00825EA0"/>
    <w:rsid w:val="008263C3"/>
    <w:rsid w:val="00827AFA"/>
    <w:rsid w:val="00830E42"/>
    <w:rsid w:val="008328A3"/>
    <w:rsid w:val="0083306F"/>
    <w:rsid w:val="008346DB"/>
    <w:rsid w:val="00835A8B"/>
    <w:rsid w:val="008369FB"/>
    <w:rsid w:val="00841350"/>
    <w:rsid w:val="00842CF1"/>
    <w:rsid w:val="00846377"/>
    <w:rsid w:val="00847FDF"/>
    <w:rsid w:val="0085116F"/>
    <w:rsid w:val="00851828"/>
    <w:rsid w:val="008522D2"/>
    <w:rsid w:val="008523A8"/>
    <w:rsid w:val="0085356D"/>
    <w:rsid w:val="00856B3D"/>
    <w:rsid w:val="008570F7"/>
    <w:rsid w:val="0086229B"/>
    <w:rsid w:val="00862DDB"/>
    <w:rsid w:val="00863F42"/>
    <w:rsid w:val="008642D3"/>
    <w:rsid w:val="0087195C"/>
    <w:rsid w:val="0087212F"/>
    <w:rsid w:val="00872A73"/>
    <w:rsid w:val="00872F48"/>
    <w:rsid w:val="0087509F"/>
    <w:rsid w:val="008758A7"/>
    <w:rsid w:val="00876FF3"/>
    <w:rsid w:val="008807F1"/>
    <w:rsid w:val="00880DBB"/>
    <w:rsid w:val="00886D56"/>
    <w:rsid w:val="00890344"/>
    <w:rsid w:val="00891599"/>
    <w:rsid w:val="00891E5A"/>
    <w:rsid w:val="00892168"/>
    <w:rsid w:val="00892A47"/>
    <w:rsid w:val="00894943"/>
    <w:rsid w:val="00897A78"/>
    <w:rsid w:val="008A548A"/>
    <w:rsid w:val="008B1034"/>
    <w:rsid w:val="008B38B8"/>
    <w:rsid w:val="008B5237"/>
    <w:rsid w:val="008B61E5"/>
    <w:rsid w:val="008B66EC"/>
    <w:rsid w:val="008C039F"/>
    <w:rsid w:val="008C0EA9"/>
    <w:rsid w:val="008C283B"/>
    <w:rsid w:val="008C3DAD"/>
    <w:rsid w:val="008C5511"/>
    <w:rsid w:val="008D193A"/>
    <w:rsid w:val="008D1B4E"/>
    <w:rsid w:val="008D3FE2"/>
    <w:rsid w:val="008D431F"/>
    <w:rsid w:val="008D71D9"/>
    <w:rsid w:val="008D7AF1"/>
    <w:rsid w:val="008E2EEA"/>
    <w:rsid w:val="008E461F"/>
    <w:rsid w:val="008E4A3C"/>
    <w:rsid w:val="008F12AE"/>
    <w:rsid w:val="008F76FB"/>
    <w:rsid w:val="008F7FB2"/>
    <w:rsid w:val="00900F98"/>
    <w:rsid w:val="0090523C"/>
    <w:rsid w:val="0090586E"/>
    <w:rsid w:val="00906498"/>
    <w:rsid w:val="00914A77"/>
    <w:rsid w:val="00920958"/>
    <w:rsid w:val="00920B8F"/>
    <w:rsid w:val="009231F5"/>
    <w:rsid w:val="009236A0"/>
    <w:rsid w:val="00924061"/>
    <w:rsid w:val="009243C1"/>
    <w:rsid w:val="0092458F"/>
    <w:rsid w:val="009253BA"/>
    <w:rsid w:val="009303AE"/>
    <w:rsid w:val="00932EDC"/>
    <w:rsid w:val="009358D4"/>
    <w:rsid w:val="009365CC"/>
    <w:rsid w:val="00941810"/>
    <w:rsid w:val="00946057"/>
    <w:rsid w:val="0095104E"/>
    <w:rsid w:val="009520F0"/>
    <w:rsid w:val="00953DE3"/>
    <w:rsid w:val="009613BD"/>
    <w:rsid w:val="00962C7E"/>
    <w:rsid w:val="00962D48"/>
    <w:rsid w:val="00965FA9"/>
    <w:rsid w:val="009664E7"/>
    <w:rsid w:val="00974B8C"/>
    <w:rsid w:val="00976FB8"/>
    <w:rsid w:val="0098332A"/>
    <w:rsid w:val="00984E16"/>
    <w:rsid w:val="00985C93"/>
    <w:rsid w:val="00986BAF"/>
    <w:rsid w:val="00987BE1"/>
    <w:rsid w:val="0099063C"/>
    <w:rsid w:val="009924DB"/>
    <w:rsid w:val="0099310D"/>
    <w:rsid w:val="0099488E"/>
    <w:rsid w:val="009A173A"/>
    <w:rsid w:val="009A5DCC"/>
    <w:rsid w:val="009B1472"/>
    <w:rsid w:val="009B37A2"/>
    <w:rsid w:val="009B39CD"/>
    <w:rsid w:val="009B3CC1"/>
    <w:rsid w:val="009C0743"/>
    <w:rsid w:val="009C2D12"/>
    <w:rsid w:val="009C3127"/>
    <w:rsid w:val="009C35D0"/>
    <w:rsid w:val="009C3D1F"/>
    <w:rsid w:val="009C6E79"/>
    <w:rsid w:val="009C71ED"/>
    <w:rsid w:val="009C7306"/>
    <w:rsid w:val="009D44E9"/>
    <w:rsid w:val="009D6A6F"/>
    <w:rsid w:val="009D7343"/>
    <w:rsid w:val="009D76B7"/>
    <w:rsid w:val="009E1906"/>
    <w:rsid w:val="009E50B9"/>
    <w:rsid w:val="009E5CCE"/>
    <w:rsid w:val="009F070D"/>
    <w:rsid w:val="009F4E3E"/>
    <w:rsid w:val="009F5B00"/>
    <w:rsid w:val="00A00510"/>
    <w:rsid w:val="00A013F2"/>
    <w:rsid w:val="00A0547D"/>
    <w:rsid w:val="00A06C9F"/>
    <w:rsid w:val="00A104CA"/>
    <w:rsid w:val="00A10CAF"/>
    <w:rsid w:val="00A13880"/>
    <w:rsid w:val="00A16DCF"/>
    <w:rsid w:val="00A228C4"/>
    <w:rsid w:val="00A22D98"/>
    <w:rsid w:val="00A232F4"/>
    <w:rsid w:val="00A27373"/>
    <w:rsid w:val="00A3302D"/>
    <w:rsid w:val="00A35571"/>
    <w:rsid w:val="00A3626E"/>
    <w:rsid w:val="00A37C66"/>
    <w:rsid w:val="00A41957"/>
    <w:rsid w:val="00A46630"/>
    <w:rsid w:val="00A479AE"/>
    <w:rsid w:val="00A51DE2"/>
    <w:rsid w:val="00A52D1B"/>
    <w:rsid w:val="00A55315"/>
    <w:rsid w:val="00A56D8D"/>
    <w:rsid w:val="00A57621"/>
    <w:rsid w:val="00A60C4F"/>
    <w:rsid w:val="00A61AEC"/>
    <w:rsid w:val="00A63FEA"/>
    <w:rsid w:val="00A643F9"/>
    <w:rsid w:val="00A65289"/>
    <w:rsid w:val="00A65679"/>
    <w:rsid w:val="00A66885"/>
    <w:rsid w:val="00A73993"/>
    <w:rsid w:val="00A7582F"/>
    <w:rsid w:val="00A769EB"/>
    <w:rsid w:val="00A82F65"/>
    <w:rsid w:val="00A8377F"/>
    <w:rsid w:val="00A848A4"/>
    <w:rsid w:val="00A873F7"/>
    <w:rsid w:val="00A8775D"/>
    <w:rsid w:val="00A91EE1"/>
    <w:rsid w:val="00A926B9"/>
    <w:rsid w:val="00A939EB"/>
    <w:rsid w:val="00A95C01"/>
    <w:rsid w:val="00A973F0"/>
    <w:rsid w:val="00AA0187"/>
    <w:rsid w:val="00AA1807"/>
    <w:rsid w:val="00AA2461"/>
    <w:rsid w:val="00AA3CA0"/>
    <w:rsid w:val="00AA57E6"/>
    <w:rsid w:val="00AA68D1"/>
    <w:rsid w:val="00AB1EBD"/>
    <w:rsid w:val="00AB36E1"/>
    <w:rsid w:val="00AB5107"/>
    <w:rsid w:val="00AC18A3"/>
    <w:rsid w:val="00AC50C8"/>
    <w:rsid w:val="00AD253E"/>
    <w:rsid w:val="00AE145E"/>
    <w:rsid w:val="00AE1646"/>
    <w:rsid w:val="00AE2F54"/>
    <w:rsid w:val="00AE5DC3"/>
    <w:rsid w:val="00AE7234"/>
    <w:rsid w:val="00AE7500"/>
    <w:rsid w:val="00AF0A52"/>
    <w:rsid w:val="00AF3F3D"/>
    <w:rsid w:val="00AF65C3"/>
    <w:rsid w:val="00B04059"/>
    <w:rsid w:val="00B0444E"/>
    <w:rsid w:val="00B05065"/>
    <w:rsid w:val="00B059C1"/>
    <w:rsid w:val="00B05B3B"/>
    <w:rsid w:val="00B062E6"/>
    <w:rsid w:val="00B12E07"/>
    <w:rsid w:val="00B15222"/>
    <w:rsid w:val="00B2681A"/>
    <w:rsid w:val="00B27A5B"/>
    <w:rsid w:val="00B302C4"/>
    <w:rsid w:val="00B30D2D"/>
    <w:rsid w:val="00B3250B"/>
    <w:rsid w:val="00B360F8"/>
    <w:rsid w:val="00B40D13"/>
    <w:rsid w:val="00B4255E"/>
    <w:rsid w:val="00B503AA"/>
    <w:rsid w:val="00B5137C"/>
    <w:rsid w:val="00B55914"/>
    <w:rsid w:val="00B61F32"/>
    <w:rsid w:val="00B64372"/>
    <w:rsid w:val="00B70696"/>
    <w:rsid w:val="00B718F0"/>
    <w:rsid w:val="00B72123"/>
    <w:rsid w:val="00B72B8E"/>
    <w:rsid w:val="00B75465"/>
    <w:rsid w:val="00B7550C"/>
    <w:rsid w:val="00B7638C"/>
    <w:rsid w:val="00B77ED8"/>
    <w:rsid w:val="00B81A8B"/>
    <w:rsid w:val="00B83300"/>
    <w:rsid w:val="00B86A5C"/>
    <w:rsid w:val="00B9065B"/>
    <w:rsid w:val="00B90AA6"/>
    <w:rsid w:val="00B90DF7"/>
    <w:rsid w:val="00B9236E"/>
    <w:rsid w:val="00B94199"/>
    <w:rsid w:val="00B95431"/>
    <w:rsid w:val="00BA087D"/>
    <w:rsid w:val="00BA1040"/>
    <w:rsid w:val="00BA20BE"/>
    <w:rsid w:val="00BA6D98"/>
    <w:rsid w:val="00BA6E90"/>
    <w:rsid w:val="00BB0DA6"/>
    <w:rsid w:val="00BB40FC"/>
    <w:rsid w:val="00BB4E9A"/>
    <w:rsid w:val="00BB6F46"/>
    <w:rsid w:val="00BC5C8D"/>
    <w:rsid w:val="00BC7386"/>
    <w:rsid w:val="00BD142E"/>
    <w:rsid w:val="00BD2653"/>
    <w:rsid w:val="00BD2935"/>
    <w:rsid w:val="00BD3BC3"/>
    <w:rsid w:val="00BD6343"/>
    <w:rsid w:val="00BE398D"/>
    <w:rsid w:val="00BE5CB3"/>
    <w:rsid w:val="00BF1088"/>
    <w:rsid w:val="00BF626E"/>
    <w:rsid w:val="00BF78D7"/>
    <w:rsid w:val="00C02479"/>
    <w:rsid w:val="00C06229"/>
    <w:rsid w:val="00C06B52"/>
    <w:rsid w:val="00C12ABE"/>
    <w:rsid w:val="00C15F9A"/>
    <w:rsid w:val="00C20368"/>
    <w:rsid w:val="00C21696"/>
    <w:rsid w:val="00C22169"/>
    <w:rsid w:val="00C22FC7"/>
    <w:rsid w:val="00C26371"/>
    <w:rsid w:val="00C31D9D"/>
    <w:rsid w:val="00C33ADF"/>
    <w:rsid w:val="00C37C0C"/>
    <w:rsid w:val="00C41330"/>
    <w:rsid w:val="00C45F11"/>
    <w:rsid w:val="00C5209F"/>
    <w:rsid w:val="00C57CB9"/>
    <w:rsid w:val="00C6237C"/>
    <w:rsid w:val="00C62A93"/>
    <w:rsid w:val="00C631E8"/>
    <w:rsid w:val="00C65B0F"/>
    <w:rsid w:val="00C65B1F"/>
    <w:rsid w:val="00C71808"/>
    <w:rsid w:val="00C726EC"/>
    <w:rsid w:val="00C72E12"/>
    <w:rsid w:val="00C72EA2"/>
    <w:rsid w:val="00C73B3F"/>
    <w:rsid w:val="00C7513C"/>
    <w:rsid w:val="00C75F69"/>
    <w:rsid w:val="00C80E97"/>
    <w:rsid w:val="00C81B85"/>
    <w:rsid w:val="00C81E96"/>
    <w:rsid w:val="00C83A9C"/>
    <w:rsid w:val="00C8404E"/>
    <w:rsid w:val="00C92B14"/>
    <w:rsid w:val="00CA0D4C"/>
    <w:rsid w:val="00CA134E"/>
    <w:rsid w:val="00CA255F"/>
    <w:rsid w:val="00CA5F76"/>
    <w:rsid w:val="00CA77D8"/>
    <w:rsid w:val="00CA7B1F"/>
    <w:rsid w:val="00CB3450"/>
    <w:rsid w:val="00CB56CB"/>
    <w:rsid w:val="00CB5725"/>
    <w:rsid w:val="00CB6CC3"/>
    <w:rsid w:val="00CB73A6"/>
    <w:rsid w:val="00CB75FB"/>
    <w:rsid w:val="00CB7B8A"/>
    <w:rsid w:val="00CC20D2"/>
    <w:rsid w:val="00CD0ACE"/>
    <w:rsid w:val="00CD4705"/>
    <w:rsid w:val="00CD5232"/>
    <w:rsid w:val="00CD62BB"/>
    <w:rsid w:val="00CE4FB5"/>
    <w:rsid w:val="00CE5CEF"/>
    <w:rsid w:val="00CF0E83"/>
    <w:rsid w:val="00CF2FEA"/>
    <w:rsid w:val="00CF326D"/>
    <w:rsid w:val="00CF512E"/>
    <w:rsid w:val="00CF6349"/>
    <w:rsid w:val="00D01DA2"/>
    <w:rsid w:val="00D02188"/>
    <w:rsid w:val="00D02854"/>
    <w:rsid w:val="00D04CAC"/>
    <w:rsid w:val="00D07886"/>
    <w:rsid w:val="00D07F0D"/>
    <w:rsid w:val="00D1688D"/>
    <w:rsid w:val="00D16A17"/>
    <w:rsid w:val="00D22599"/>
    <w:rsid w:val="00D262B7"/>
    <w:rsid w:val="00D31409"/>
    <w:rsid w:val="00D362BF"/>
    <w:rsid w:val="00D37459"/>
    <w:rsid w:val="00D41376"/>
    <w:rsid w:val="00D43679"/>
    <w:rsid w:val="00D44A9B"/>
    <w:rsid w:val="00D44EF7"/>
    <w:rsid w:val="00D47F5E"/>
    <w:rsid w:val="00D5592F"/>
    <w:rsid w:val="00D55B70"/>
    <w:rsid w:val="00D62C0E"/>
    <w:rsid w:val="00D62CE4"/>
    <w:rsid w:val="00D63696"/>
    <w:rsid w:val="00D65E1F"/>
    <w:rsid w:val="00D7018D"/>
    <w:rsid w:val="00D710BC"/>
    <w:rsid w:val="00D721EE"/>
    <w:rsid w:val="00D818B7"/>
    <w:rsid w:val="00D81989"/>
    <w:rsid w:val="00D84602"/>
    <w:rsid w:val="00D853EF"/>
    <w:rsid w:val="00D85A9A"/>
    <w:rsid w:val="00D8760F"/>
    <w:rsid w:val="00D87AB7"/>
    <w:rsid w:val="00D91E4A"/>
    <w:rsid w:val="00D95D1D"/>
    <w:rsid w:val="00DA283B"/>
    <w:rsid w:val="00DA4C96"/>
    <w:rsid w:val="00DA4D53"/>
    <w:rsid w:val="00DA5123"/>
    <w:rsid w:val="00DB0144"/>
    <w:rsid w:val="00DB023F"/>
    <w:rsid w:val="00DB032B"/>
    <w:rsid w:val="00DB0AD4"/>
    <w:rsid w:val="00DD0202"/>
    <w:rsid w:val="00DD34EC"/>
    <w:rsid w:val="00DD4D22"/>
    <w:rsid w:val="00DD5FC1"/>
    <w:rsid w:val="00DD6C09"/>
    <w:rsid w:val="00DD7368"/>
    <w:rsid w:val="00DE0BAA"/>
    <w:rsid w:val="00DE0EF3"/>
    <w:rsid w:val="00DE639A"/>
    <w:rsid w:val="00DE76E8"/>
    <w:rsid w:val="00DF0463"/>
    <w:rsid w:val="00DF056D"/>
    <w:rsid w:val="00DF0EC0"/>
    <w:rsid w:val="00DF27FE"/>
    <w:rsid w:val="00DF389C"/>
    <w:rsid w:val="00DF4AFF"/>
    <w:rsid w:val="00DF4C27"/>
    <w:rsid w:val="00DF621E"/>
    <w:rsid w:val="00DF660A"/>
    <w:rsid w:val="00DF7389"/>
    <w:rsid w:val="00E01A7E"/>
    <w:rsid w:val="00E02E6A"/>
    <w:rsid w:val="00E035B7"/>
    <w:rsid w:val="00E118BD"/>
    <w:rsid w:val="00E22B83"/>
    <w:rsid w:val="00E25EE6"/>
    <w:rsid w:val="00E30B88"/>
    <w:rsid w:val="00E30EA5"/>
    <w:rsid w:val="00E31CBE"/>
    <w:rsid w:val="00E335B4"/>
    <w:rsid w:val="00E336DA"/>
    <w:rsid w:val="00E33CE7"/>
    <w:rsid w:val="00E36046"/>
    <w:rsid w:val="00E40F02"/>
    <w:rsid w:val="00E42884"/>
    <w:rsid w:val="00E4457D"/>
    <w:rsid w:val="00E4695E"/>
    <w:rsid w:val="00E47949"/>
    <w:rsid w:val="00E55F75"/>
    <w:rsid w:val="00E603B1"/>
    <w:rsid w:val="00E632E0"/>
    <w:rsid w:val="00E81AE0"/>
    <w:rsid w:val="00E83E33"/>
    <w:rsid w:val="00E85F5B"/>
    <w:rsid w:val="00E87D34"/>
    <w:rsid w:val="00E916BF"/>
    <w:rsid w:val="00E939B2"/>
    <w:rsid w:val="00E94D89"/>
    <w:rsid w:val="00E96127"/>
    <w:rsid w:val="00E9677B"/>
    <w:rsid w:val="00EA337F"/>
    <w:rsid w:val="00EA3BEB"/>
    <w:rsid w:val="00EA6F39"/>
    <w:rsid w:val="00EB2875"/>
    <w:rsid w:val="00EB3393"/>
    <w:rsid w:val="00EB769B"/>
    <w:rsid w:val="00EC06B8"/>
    <w:rsid w:val="00EC0A0F"/>
    <w:rsid w:val="00EE0FD1"/>
    <w:rsid w:val="00EE1401"/>
    <w:rsid w:val="00EE1BDB"/>
    <w:rsid w:val="00EE308B"/>
    <w:rsid w:val="00EE465A"/>
    <w:rsid w:val="00EF00AB"/>
    <w:rsid w:val="00EF43FF"/>
    <w:rsid w:val="00EF53CD"/>
    <w:rsid w:val="00EF54F2"/>
    <w:rsid w:val="00EF5864"/>
    <w:rsid w:val="00EF5CFC"/>
    <w:rsid w:val="00F03E59"/>
    <w:rsid w:val="00F054C0"/>
    <w:rsid w:val="00F0707A"/>
    <w:rsid w:val="00F103D6"/>
    <w:rsid w:val="00F10C65"/>
    <w:rsid w:val="00F126BC"/>
    <w:rsid w:val="00F16564"/>
    <w:rsid w:val="00F17B30"/>
    <w:rsid w:val="00F2138E"/>
    <w:rsid w:val="00F217DF"/>
    <w:rsid w:val="00F22616"/>
    <w:rsid w:val="00F2390A"/>
    <w:rsid w:val="00F24245"/>
    <w:rsid w:val="00F2473C"/>
    <w:rsid w:val="00F2527F"/>
    <w:rsid w:val="00F3091D"/>
    <w:rsid w:val="00F34D70"/>
    <w:rsid w:val="00F35570"/>
    <w:rsid w:val="00F36573"/>
    <w:rsid w:val="00F373E0"/>
    <w:rsid w:val="00F413EB"/>
    <w:rsid w:val="00F4263B"/>
    <w:rsid w:val="00F54ACF"/>
    <w:rsid w:val="00F556D1"/>
    <w:rsid w:val="00F569F8"/>
    <w:rsid w:val="00F57DA7"/>
    <w:rsid w:val="00F619E7"/>
    <w:rsid w:val="00F70465"/>
    <w:rsid w:val="00F70DF9"/>
    <w:rsid w:val="00F70E30"/>
    <w:rsid w:val="00F71ECA"/>
    <w:rsid w:val="00F72880"/>
    <w:rsid w:val="00F72955"/>
    <w:rsid w:val="00F74AC8"/>
    <w:rsid w:val="00F75270"/>
    <w:rsid w:val="00F80C86"/>
    <w:rsid w:val="00F80ECF"/>
    <w:rsid w:val="00F840EE"/>
    <w:rsid w:val="00F873CE"/>
    <w:rsid w:val="00F9512E"/>
    <w:rsid w:val="00F96E44"/>
    <w:rsid w:val="00FA5AE2"/>
    <w:rsid w:val="00FA697C"/>
    <w:rsid w:val="00FA7BE6"/>
    <w:rsid w:val="00FA7F4B"/>
    <w:rsid w:val="00FB0B56"/>
    <w:rsid w:val="00FB25E9"/>
    <w:rsid w:val="00FB2674"/>
    <w:rsid w:val="00FB58AA"/>
    <w:rsid w:val="00FB657C"/>
    <w:rsid w:val="00FC3004"/>
    <w:rsid w:val="00FC3C91"/>
    <w:rsid w:val="00FC4759"/>
    <w:rsid w:val="00FD08B3"/>
    <w:rsid w:val="00FD216B"/>
    <w:rsid w:val="00FD6899"/>
    <w:rsid w:val="00FE0079"/>
    <w:rsid w:val="00FE03F8"/>
    <w:rsid w:val="00FE2F05"/>
    <w:rsid w:val="00FF0997"/>
    <w:rsid w:val="00FF11A1"/>
    <w:rsid w:val="00FF17CD"/>
    <w:rsid w:val="00FF24B8"/>
    <w:rsid w:val="00FF2868"/>
    <w:rsid w:val="00FF2CF0"/>
    <w:rsid w:val="00FF52F8"/>
    <w:rsid w:val="00FF7289"/>
  </w:rsids>
  <m:mathPr>
    <m:mathFont m:val="Cambria Math"/>
    <m:brkBin m:val="before"/>
    <m:brkBinSub m:val="--"/>
    <m:smallFrac/>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C9C175F-74E1-41C2-B6DF-84AAC85D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NZ" w:eastAsia="en-NZ" w:bidi="ar-SA"/>
      </w:rPr>
    </w:rPrDefault>
    <w:pPrDefault/>
  </w:docDefaults>
  <w:latentStyles w:defLockedState="0" w:defUIPriority="0" w:defSemiHidden="0" w:defUnhideWhenUsed="0" w:defQFormat="0" w:count="37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6B2"/>
    <w:pPr>
      <w:spacing w:before="240"/>
      <w:ind w:left="709"/>
    </w:pPr>
    <w:rPr>
      <w:rFonts w:ascii="Arial" w:hAnsi="Arial"/>
      <w:sz w:val="22"/>
      <w:szCs w:val="22"/>
      <w:lang w:eastAsia="en-GB"/>
    </w:rPr>
  </w:style>
  <w:style w:type="paragraph" w:styleId="Heading1">
    <w:name w:val="heading 1"/>
    <w:aliases w:val="H1,Chapter Headline,Chapter Headline1,Chapter Headline2,Chapter Headline3,Chapter Headline4,Chapter Headline5,Chapter Headline6,Chapter Headline7,Chapter Headline8,Chapter Headline9,Chapter Headline10,Chapter Headline11,Chapter Headline12"/>
    <w:basedOn w:val="Normal"/>
    <w:next w:val="Normal"/>
    <w:link w:val="Heading1Char"/>
    <w:qFormat/>
    <w:rsid w:val="000032F0"/>
    <w:pPr>
      <w:spacing w:before="0" w:after="360"/>
      <w:ind w:left="0"/>
      <w:jc w:val="center"/>
      <w:outlineLvl w:val="0"/>
    </w:pPr>
    <w:rPr>
      <w:b/>
      <w:sz w:val="36"/>
      <w:szCs w:val="36"/>
    </w:rPr>
  </w:style>
  <w:style w:type="paragraph" w:styleId="Heading2">
    <w:name w:val="heading 2"/>
    <w:basedOn w:val="Normal"/>
    <w:next w:val="Normal"/>
    <w:link w:val="Heading2Char"/>
    <w:qFormat/>
    <w:rsid w:val="002F237A"/>
    <w:pPr>
      <w:keepNext/>
      <w:spacing w:before="720" w:after="120"/>
      <w:ind w:hanging="709"/>
      <w:outlineLvl w:val="1"/>
    </w:pPr>
    <w:rPr>
      <w:b/>
      <w:sz w:val="28"/>
      <w:szCs w:val="28"/>
    </w:rPr>
  </w:style>
  <w:style w:type="paragraph" w:styleId="Heading3">
    <w:name w:val="heading 3"/>
    <w:basedOn w:val="Normal"/>
    <w:next w:val="Normal"/>
    <w:link w:val="Heading3Char"/>
    <w:uiPriority w:val="99"/>
    <w:qFormat/>
    <w:rsid w:val="00B25787"/>
    <w:pPr>
      <w:keepNext/>
      <w:spacing w:before="360" w:after="240"/>
      <w:ind w:left="567" w:hanging="567"/>
      <w:outlineLvl w:val="2"/>
    </w:pPr>
    <w:rPr>
      <w:b/>
      <w:i/>
      <w:sz w:val="24"/>
      <w:szCs w:val="24"/>
    </w:rPr>
  </w:style>
  <w:style w:type="paragraph" w:styleId="Heading4">
    <w:name w:val="heading 4"/>
    <w:aliases w:val="List of figures"/>
    <w:basedOn w:val="Normal"/>
    <w:next w:val="Normal"/>
    <w:link w:val="Heading4Char"/>
    <w:qFormat/>
    <w:rsid w:val="00BD142E"/>
    <w:pPr>
      <w:keepNext/>
      <w:spacing w:after="240"/>
      <w:outlineLvl w:val="3"/>
    </w:pPr>
    <w:rPr>
      <w:b/>
    </w:rPr>
  </w:style>
  <w:style w:type="paragraph" w:styleId="Heading5">
    <w:name w:val="heading 5"/>
    <w:basedOn w:val="Normal"/>
    <w:next w:val="Normal"/>
    <w:link w:val="Heading5Char"/>
    <w:qFormat/>
    <w:rsid w:val="00BD142E"/>
    <w:pPr>
      <w:keepNext/>
      <w:spacing w:before="120" w:after="120"/>
      <w:outlineLvl w:val="4"/>
    </w:pPr>
    <w:rPr>
      <w:b/>
      <w:i/>
    </w:rPr>
  </w:style>
  <w:style w:type="paragraph" w:styleId="Heading6">
    <w:name w:val="heading 6"/>
    <w:basedOn w:val="Normal"/>
    <w:next w:val="Normal"/>
    <w:qFormat/>
    <w:rsid w:val="00BD142E"/>
    <w:pPr>
      <w:spacing w:before="120" w:after="120"/>
      <w:outlineLvl w:val="5"/>
    </w:pPr>
  </w:style>
  <w:style w:type="paragraph" w:styleId="Heading7">
    <w:name w:val="heading 7"/>
    <w:basedOn w:val="Normal"/>
    <w:next w:val="Normal"/>
    <w:qFormat/>
    <w:rsid w:val="00BD142E"/>
    <w:pPr>
      <w:numPr>
        <w:ilvl w:val="6"/>
        <w:numId w:val="1"/>
      </w:numPr>
      <w:spacing w:after="60"/>
      <w:outlineLvl w:val="6"/>
    </w:pPr>
    <w:rPr>
      <w:sz w:val="20"/>
      <w:lang w:val="en-AU"/>
    </w:rPr>
  </w:style>
  <w:style w:type="paragraph" w:styleId="Heading8">
    <w:name w:val="heading 8"/>
    <w:basedOn w:val="Normal"/>
    <w:next w:val="Normal"/>
    <w:qFormat/>
    <w:rsid w:val="00BD142E"/>
    <w:pPr>
      <w:numPr>
        <w:ilvl w:val="7"/>
        <w:numId w:val="1"/>
      </w:numPr>
      <w:spacing w:after="60"/>
      <w:outlineLvl w:val="7"/>
    </w:pPr>
    <w:rPr>
      <w:i/>
      <w:sz w:val="20"/>
      <w:lang w:val="en-AU"/>
    </w:rPr>
  </w:style>
  <w:style w:type="paragraph" w:styleId="Heading9">
    <w:name w:val="heading 9"/>
    <w:basedOn w:val="Normal"/>
    <w:next w:val="Normal"/>
    <w:qFormat/>
    <w:rsid w:val="00BD142E"/>
    <w:pPr>
      <w:numPr>
        <w:ilvl w:val="8"/>
        <w:numId w:val="1"/>
      </w:numPr>
      <w:spacing w:after="60"/>
      <w:outlineLvl w:val="8"/>
    </w:pPr>
    <w:rPr>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sh">
    <w:name w:val="Dash"/>
    <w:basedOn w:val="Normal"/>
    <w:rsid w:val="00DC7B0F"/>
    <w:pPr>
      <w:numPr>
        <w:numId w:val="4"/>
      </w:numPr>
      <w:tabs>
        <w:tab w:val="clear" w:pos="567"/>
        <w:tab w:val="num" w:pos="360"/>
        <w:tab w:val="left" w:pos="1843"/>
      </w:tabs>
      <w:spacing w:before="60"/>
      <w:ind w:left="709" w:firstLine="0"/>
    </w:pPr>
  </w:style>
  <w:style w:type="paragraph" w:customStyle="1" w:styleId="Bullet">
    <w:name w:val="Bullet"/>
    <w:basedOn w:val="Normal"/>
    <w:link w:val="BulletChar"/>
    <w:uiPriority w:val="99"/>
    <w:rsid w:val="00BB40FC"/>
    <w:pPr>
      <w:numPr>
        <w:numId w:val="5"/>
      </w:numPr>
      <w:tabs>
        <w:tab w:val="left" w:pos="1276"/>
      </w:tabs>
      <w:spacing w:before="120"/>
    </w:pPr>
  </w:style>
  <w:style w:type="paragraph" w:styleId="Quote">
    <w:name w:val="Quote"/>
    <w:basedOn w:val="Normal"/>
    <w:next w:val="Normal"/>
    <w:link w:val="QuoteChar"/>
    <w:qFormat/>
    <w:rsid w:val="00B671AB"/>
    <w:pPr>
      <w:spacing w:before="120"/>
      <w:ind w:left="1134" w:right="567"/>
    </w:pPr>
    <w:rPr>
      <w:i/>
    </w:rPr>
  </w:style>
  <w:style w:type="paragraph" w:styleId="TOC1">
    <w:name w:val="toc 1"/>
    <w:basedOn w:val="Normal"/>
    <w:next w:val="Normal"/>
    <w:uiPriority w:val="39"/>
    <w:rsid w:val="00C75AE2"/>
    <w:pPr>
      <w:tabs>
        <w:tab w:val="right" w:pos="5103"/>
      </w:tabs>
      <w:spacing w:before="300"/>
      <w:ind w:left="0" w:right="5103"/>
    </w:pPr>
  </w:style>
  <w:style w:type="paragraph" w:styleId="TOC2">
    <w:name w:val="toc 2"/>
    <w:basedOn w:val="Normal"/>
    <w:next w:val="Normal"/>
    <w:uiPriority w:val="39"/>
    <w:rsid w:val="00A44D12"/>
    <w:pPr>
      <w:tabs>
        <w:tab w:val="right" w:pos="5103"/>
      </w:tabs>
      <w:spacing w:before="60"/>
      <w:ind w:right="5103"/>
    </w:pPr>
    <w:rPr>
      <w:sz w:val="20"/>
    </w:rPr>
  </w:style>
  <w:style w:type="paragraph" w:styleId="FootnoteText">
    <w:name w:val="footnote text"/>
    <w:aliases w:val="Footnote Text Char Char"/>
    <w:basedOn w:val="Normal"/>
    <w:link w:val="FootnoteTextChar"/>
    <w:rsid w:val="00BD142E"/>
    <w:pPr>
      <w:spacing w:before="120"/>
      <w:ind w:left="284" w:hanging="284"/>
    </w:pPr>
    <w:rPr>
      <w:sz w:val="16"/>
    </w:rPr>
  </w:style>
  <w:style w:type="character" w:styleId="PageNumber">
    <w:name w:val="page number"/>
    <w:basedOn w:val="DefaultParagraphFont"/>
    <w:rsid w:val="00C11C5B"/>
    <w:rPr>
      <w:rFonts w:ascii="Arial" w:hAnsi="Arial"/>
      <w:b/>
      <w:spacing w:val="0"/>
      <w:kern w:val="0"/>
      <w:position w:val="0"/>
      <w:sz w:val="24"/>
      <w:szCs w:val="24"/>
    </w:rPr>
  </w:style>
  <w:style w:type="paragraph" w:customStyle="1" w:styleId="Table">
    <w:name w:val="Table"/>
    <w:basedOn w:val="Figure"/>
    <w:next w:val="Normal"/>
    <w:rsid w:val="00456366"/>
    <w:pPr>
      <w:spacing w:before="120" w:after="80"/>
      <w:ind w:left="0" w:firstLine="0"/>
      <w:jc w:val="center"/>
    </w:pPr>
  </w:style>
  <w:style w:type="paragraph" w:styleId="Footer">
    <w:name w:val="footer"/>
    <w:basedOn w:val="Normal"/>
    <w:link w:val="FooterChar"/>
    <w:uiPriority w:val="99"/>
    <w:rsid w:val="000032F0"/>
    <w:pPr>
      <w:spacing w:before="0"/>
      <w:ind w:left="0"/>
    </w:pPr>
    <w:rPr>
      <w:spacing w:val="40"/>
      <w:sz w:val="16"/>
      <w:szCs w:val="16"/>
    </w:rPr>
  </w:style>
  <w:style w:type="paragraph" w:styleId="Header">
    <w:name w:val="header"/>
    <w:basedOn w:val="Normal"/>
    <w:link w:val="HeaderChar"/>
    <w:uiPriority w:val="99"/>
    <w:rsid w:val="000032F0"/>
    <w:pPr>
      <w:spacing w:before="0"/>
      <w:ind w:left="0"/>
      <w:jc w:val="center"/>
    </w:pPr>
    <w:rPr>
      <w:smallCaps/>
      <w:spacing w:val="40"/>
      <w:sz w:val="16"/>
      <w:szCs w:val="16"/>
    </w:rPr>
  </w:style>
  <w:style w:type="paragraph" w:customStyle="1" w:styleId="Heading">
    <w:name w:val="Heading"/>
    <w:basedOn w:val="Heading1"/>
    <w:next w:val="Normal"/>
    <w:rsid w:val="00B25787"/>
    <w:pPr>
      <w:jc w:val="left"/>
    </w:pPr>
    <w:rPr>
      <w:sz w:val="28"/>
      <w:szCs w:val="28"/>
    </w:rPr>
  </w:style>
  <w:style w:type="character" w:styleId="Hyperlink">
    <w:name w:val="Hyperlink"/>
    <w:basedOn w:val="DefaultParagraphFont"/>
    <w:uiPriority w:val="99"/>
    <w:rsid w:val="00BD142E"/>
    <w:rPr>
      <w:color w:val="0000FF"/>
      <w:u w:val="single"/>
    </w:rPr>
  </w:style>
  <w:style w:type="paragraph" w:styleId="TOC3">
    <w:name w:val="toc 3"/>
    <w:basedOn w:val="Normal"/>
    <w:next w:val="Normal"/>
    <w:autoRedefine/>
    <w:semiHidden/>
    <w:rsid w:val="00BD142E"/>
    <w:pPr>
      <w:tabs>
        <w:tab w:val="right" w:pos="8222"/>
      </w:tabs>
      <w:spacing w:before="120"/>
      <w:ind w:left="567" w:right="851" w:hanging="567"/>
    </w:pPr>
    <w:rPr>
      <w:sz w:val="18"/>
    </w:rPr>
  </w:style>
  <w:style w:type="character" w:styleId="FootnoteReference">
    <w:name w:val="footnote reference"/>
    <w:basedOn w:val="DefaultParagraphFont"/>
    <w:rsid w:val="00BD142E"/>
    <w:rPr>
      <w:vertAlign w:val="superscript"/>
    </w:rPr>
  </w:style>
  <w:style w:type="paragraph" w:customStyle="1" w:styleId="TableText">
    <w:name w:val="TableText"/>
    <w:basedOn w:val="Normal"/>
    <w:rsid w:val="0021521A"/>
    <w:pPr>
      <w:spacing w:before="80" w:after="80"/>
      <w:ind w:left="0"/>
    </w:pPr>
    <w:rPr>
      <w:sz w:val="20"/>
      <w:szCs w:val="20"/>
    </w:rPr>
  </w:style>
  <w:style w:type="paragraph" w:customStyle="1" w:styleId="ClientName">
    <w:name w:val="Client Name"/>
    <w:basedOn w:val="Normal"/>
    <w:rsid w:val="00A92022"/>
    <w:pPr>
      <w:spacing w:before="0" w:after="3000"/>
      <w:ind w:left="0"/>
      <w:jc w:val="center"/>
    </w:pPr>
    <w:rPr>
      <w:sz w:val="36"/>
      <w:szCs w:val="36"/>
    </w:rPr>
  </w:style>
  <w:style w:type="paragraph" w:styleId="Title">
    <w:name w:val="Title"/>
    <w:basedOn w:val="Normal"/>
    <w:qFormat/>
    <w:rsid w:val="00C75AE2"/>
    <w:pPr>
      <w:pBdr>
        <w:top w:val="single" w:sz="4" w:space="31" w:color="C0C0C0"/>
        <w:left w:val="single" w:sz="4" w:space="12" w:color="C0C0C0"/>
        <w:bottom w:val="single" w:sz="4" w:space="31" w:color="C0C0C0"/>
        <w:right w:val="single" w:sz="4" w:space="12" w:color="C0C0C0"/>
      </w:pBdr>
      <w:shd w:val="clear" w:color="auto" w:fill="FFFFFF"/>
      <w:spacing w:before="0" w:after="2000"/>
      <w:ind w:left="1985" w:right="1985"/>
      <w:jc w:val="center"/>
    </w:pPr>
    <w:rPr>
      <w:b/>
      <w:sz w:val="36"/>
      <w:szCs w:val="36"/>
    </w:rPr>
  </w:style>
  <w:style w:type="paragraph" w:customStyle="1" w:styleId="TableBullet">
    <w:name w:val="TableBullet"/>
    <w:basedOn w:val="TableText"/>
    <w:next w:val="Subtitle"/>
    <w:rsid w:val="00CF2680"/>
    <w:pPr>
      <w:numPr>
        <w:numId w:val="3"/>
      </w:numPr>
      <w:spacing w:before="0"/>
    </w:pPr>
  </w:style>
  <w:style w:type="paragraph" w:styleId="Subtitle">
    <w:name w:val="Subtitle"/>
    <w:basedOn w:val="Normal"/>
    <w:qFormat/>
    <w:rsid w:val="00B25787"/>
    <w:pPr>
      <w:spacing w:before="0" w:after="2000"/>
      <w:ind w:left="0"/>
      <w:outlineLvl w:val="1"/>
    </w:pPr>
    <w:rPr>
      <w:b/>
      <w:sz w:val="36"/>
      <w:szCs w:val="36"/>
    </w:rPr>
  </w:style>
  <w:style w:type="character" w:styleId="FollowedHyperlink">
    <w:name w:val="FollowedHyperlink"/>
    <w:basedOn w:val="DefaultParagraphFont"/>
    <w:rsid w:val="00A848A4"/>
    <w:rPr>
      <w:color w:val="800080"/>
      <w:u w:val="single"/>
    </w:rPr>
  </w:style>
  <w:style w:type="paragraph" w:customStyle="1" w:styleId="Box">
    <w:name w:val="Box"/>
    <w:basedOn w:val="Normal"/>
    <w:rsid w:val="00B671AB"/>
    <w:pPr>
      <w:pBdr>
        <w:top w:val="single" w:sz="4" w:space="12" w:color="auto"/>
        <w:left w:val="single" w:sz="4" w:space="12" w:color="auto"/>
        <w:bottom w:val="single" w:sz="4" w:space="12" w:color="auto"/>
        <w:right w:val="single" w:sz="4" w:space="12" w:color="auto"/>
      </w:pBdr>
      <w:spacing w:before="120"/>
      <w:ind w:left="851" w:right="284"/>
    </w:pPr>
    <w:rPr>
      <w:sz w:val="20"/>
    </w:rPr>
  </w:style>
  <w:style w:type="paragraph" w:customStyle="1" w:styleId="BoxHeading">
    <w:name w:val="BoxHeading"/>
    <w:basedOn w:val="Box"/>
    <w:next w:val="Box"/>
    <w:rsid w:val="00BD142E"/>
    <w:pPr>
      <w:keepNext/>
    </w:pPr>
    <w:rPr>
      <w:b/>
    </w:rPr>
  </w:style>
  <w:style w:type="paragraph" w:customStyle="1" w:styleId="BoxBullet">
    <w:name w:val="BoxBullet"/>
    <w:basedOn w:val="Box"/>
    <w:rsid w:val="00EA434F"/>
    <w:pPr>
      <w:numPr>
        <w:numId w:val="2"/>
      </w:numPr>
    </w:pPr>
  </w:style>
  <w:style w:type="paragraph" w:customStyle="1" w:styleId="Figure">
    <w:name w:val="Figure"/>
    <w:basedOn w:val="Normal"/>
    <w:next w:val="Normal"/>
    <w:rsid w:val="002F237A"/>
    <w:pPr>
      <w:keepNext/>
      <w:spacing w:after="120"/>
      <w:ind w:left="1701" w:hanging="992"/>
    </w:pPr>
    <w:rPr>
      <w:b/>
      <w:sz w:val="20"/>
    </w:rPr>
  </w:style>
  <w:style w:type="character" w:customStyle="1" w:styleId="HeaderChar">
    <w:name w:val="Header Char"/>
    <w:basedOn w:val="DefaultParagraphFont"/>
    <w:link w:val="Header"/>
    <w:uiPriority w:val="99"/>
    <w:rsid w:val="00D31409"/>
    <w:rPr>
      <w:rFonts w:ascii="Arial" w:hAnsi="Arial"/>
      <w:smallCaps/>
      <w:spacing w:val="40"/>
      <w:sz w:val="16"/>
      <w:szCs w:val="16"/>
      <w:lang w:eastAsia="en-GB"/>
    </w:rPr>
  </w:style>
  <w:style w:type="character" w:customStyle="1" w:styleId="Heading1Char">
    <w:name w:val="Heading 1 Char"/>
    <w:aliases w:val="H1 Char,Chapter Headline Char,Chapter Headline1 Char,Chapter Headline2 Char,Chapter Headline3 Char,Chapter Headline4 Char,Chapter Headline5 Char,Chapter Headline6 Char,Chapter Headline7 Char,Chapter Headline8 Char,Chapter Headline9 Char"/>
    <w:basedOn w:val="DefaultParagraphFont"/>
    <w:link w:val="Heading1"/>
    <w:rsid w:val="00D31409"/>
    <w:rPr>
      <w:rFonts w:ascii="Arial" w:hAnsi="Arial"/>
      <w:b/>
      <w:sz w:val="36"/>
      <w:szCs w:val="36"/>
      <w:lang w:eastAsia="en-GB"/>
    </w:rPr>
  </w:style>
  <w:style w:type="character" w:customStyle="1" w:styleId="Heading2Char">
    <w:name w:val="Heading 2 Char"/>
    <w:link w:val="Heading2"/>
    <w:rsid w:val="00D31409"/>
    <w:rPr>
      <w:rFonts w:ascii="Arial" w:hAnsi="Arial"/>
      <w:b/>
      <w:sz w:val="28"/>
      <w:szCs w:val="28"/>
      <w:lang w:eastAsia="en-GB"/>
    </w:rPr>
  </w:style>
  <w:style w:type="character" w:customStyle="1" w:styleId="FootnoteTextChar">
    <w:name w:val="Footnote Text Char"/>
    <w:aliases w:val="Footnote Text Char Char Char"/>
    <w:basedOn w:val="DefaultParagraphFont"/>
    <w:link w:val="FootnoteText"/>
    <w:rsid w:val="00D31409"/>
    <w:rPr>
      <w:rFonts w:ascii="Arial" w:hAnsi="Arial"/>
      <w:sz w:val="16"/>
      <w:szCs w:val="22"/>
      <w:lang w:eastAsia="en-GB"/>
    </w:rPr>
  </w:style>
  <w:style w:type="paragraph" w:customStyle="1" w:styleId="List8">
    <w:name w:val="List 8"/>
    <w:basedOn w:val="Normal"/>
    <w:uiPriority w:val="99"/>
    <w:rsid w:val="00D31409"/>
    <w:pPr>
      <w:numPr>
        <w:numId w:val="10"/>
      </w:numPr>
      <w:spacing w:before="0"/>
    </w:pPr>
    <w:rPr>
      <w:rFonts w:ascii="Times New Roman" w:hAnsi="Times New Roman"/>
      <w:sz w:val="20"/>
      <w:szCs w:val="20"/>
      <w:lang w:val="en-AU" w:eastAsia="en-US"/>
    </w:rPr>
  </w:style>
  <w:style w:type="character" w:customStyle="1" w:styleId="BulletChar">
    <w:name w:val="Bullet Char"/>
    <w:link w:val="Bullet"/>
    <w:uiPriority w:val="99"/>
    <w:locked/>
    <w:rsid w:val="00D31409"/>
    <w:rPr>
      <w:rFonts w:ascii="Arial" w:hAnsi="Arial"/>
      <w:sz w:val="22"/>
      <w:szCs w:val="22"/>
      <w:lang w:eastAsia="en-GB"/>
    </w:rPr>
  </w:style>
  <w:style w:type="character" w:customStyle="1" w:styleId="Heading3Char">
    <w:name w:val="Heading 3 Char"/>
    <w:basedOn w:val="DefaultParagraphFont"/>
    <w:link w:val="Heading3"/>
    <w:uiPriority w:val="99"/>
    <w:rsid w:val="00D31409"/>
    <w:rPr>
      <w:rFonts w:ascii="Arial" w:hAnsi="Arial"/>
      <w:b/>
      <w:i/>
      <w:sz w:val="24"/>
      <w:szCs w:val="24"/>
      <w:lang w:eastAsia="en-GB"/>
    </w:rPr>
  </w:style>
  <w:style w:type="paragraph" w:styleId="ListParagraph">
    <w:name w:val="List Paragraph"/>
    <w:basedOn w:val="Normal"/>
    <w:uiPriority w:val="34"/>
    <w:qFormat/>
    <w:rsid w:val="00390442"/>
    <w:pPr>
      <w:ind w:left="720"/>
      <w:contextualSpacing/>
    </w:pPr>
  </w:style>
  <w:style w:type="table" w:styleId="MediumShading1-Accent3">
    <w:name w:val="Medium Shading 1 Accent 3"/>
    <w:basedOn w:val="TableNormal"/>
    <w:uiPriority w:val="63"/>
    <w:rsid w:val="00390442"/>
    <w:rPr>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unhideWhenUsed/>
    <w:rsid w:val="00F2473C"/>
    <w:pPr>
      <w:spacing w:before="0"/>
      <w:ind w:left="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rsid w:val="00F2473C"/>
    <w:rPr>
      <w:rFonts w:ascii="Tahoma" w:eastAsiaTheme="minorHAnsi" w:hAnsi="Tahoma" w:cs="Tahoma"/>
      <w:sz w:val="16"/>
      <w:szCs w:val="16"/>
      <w:lang w:eastAsia="en-US"/>
    </w:rPr>
  </w:style>
  <w:style w:type="character" w:customStyle="1" w:styleId="Heading2Char1">
    <w:name w:val="Heading 2 Char1"/>
    <w:rsid w:val="00F2473C"/>
    <w:rPr>
      <w:rFonts w:ascii="Arial" w:hAnsi="Arial"/>
      <w:b/>
      <w:sz w:val="28"/>
      <w:szCs w:val="28"/>
      <w:lang w:eastAsia="en-GB"/>
    </w:rPr>
  </w:style>
  <w:style w:type="paragraph" w:customStyle="1" w:styleId="Default">
    <w:name w:val="Default"/>
    <w:rsid w:val="008B5237"/>
    <w:pPr>
      <w:autoSpaceDE w:val="0"/>
      <w:autoSpaceDN w:val="0"/>
      <w:adjustRightInd w:val="0"/>
    </w:pPr>
    <w:rPr>
      <w:rFonts w:ascii="Arial" w:eastAsiaTheme="minorHAnsi" w:hAnsi="Arial" w:cs="Arial"/>
      <w:color w:val="000000"/>
      <w:lang w:eastAsia="en-US"/>
    </w:rPr>
  </w:style>
  <w:style w:type="character" w:customStyle="1" w:styleId="Heading4Char">
    <w:name w:val="Heading 4 Char"/>
    <w:aliases w:val="List of figures Char"/>
    <w:basedOn w:val="DefaultParagraphFont"/>
    <w:link w:val="Heading4"/>
    <w:rsid w:val="00B81A8B"/>
    <w:rPr>
      <w:rFonts w:ascii="Arial" w:hAnsi="Arial"/>
      <w:b/>
      <w:sz w:val="22"/>
      <w:szCs w:val="22"/>
      <w:lang w:eastAsia="en-GB"/>
    </w:rPr>
  </w:style>
  <w:style w:type="table" w:styleId="TableGrid">
    <w:name w:val="Table Grid"/>
    <w:basedOn w:val="TableNormal"/>
    <w:uiPriority w:val="59"/>
    <w:rsid w:val="0041236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412364"/>
    <w:pPr>
      <w:spacing w:before="120" w:after="120"/>
    </w:pPr>
    <w:rPr>
      <w:rFonts w:cs="Arial"/>
      <w:b/>
      <w:sz w:val="20"/>
    </w:rPr>
  </w:style>
  <w:style w:type="character" w:customStyle="1" w:styleId="QuoteChar">
    <w:name w:val="Quote Char"/>
    <w:basedOn w:val="DefaultParagraphFont"/>
    <w:link w:val="Quote"/>
    <w:rsid w:val="00830E42"/>
    <w:rPr>
      <w:rFonts w:ascii="Arial" w:hAnsi="Arial"/>
      <w:i/>
      <w:sz w:val="22"/>
      <w:szCs w:val="22"/>
      <w:lang w:eastAsia="en-GB"/>
    </w:rPr>
  </w:style>
  <w:style w:type="paragraph" w:customStyle="1" w:styleId="Pa40">
    <w:name w:val="Pa40"/>
    <w:basedOn w:val="Default"/>
    <w:next w:val="Default"/>
    <w:uiPriority w:val="99"/>
    <w:rsid w:val="009B1472"/>
    <w:pPr>
      <w:spacing w:line="221" w:lineRule="atLeast"/>
    </w:pPr>
    <w:rPr>
      <w:rFonts w:eastAsia="Times New Roman"/>
      <w:color w:val="auto"/>
      <w:lang w:eastAsia="en-NZ"/>
    </w:rPr>
  </w:style>
  <w:style w:type="character" w:customStyle="1" w:styleId="A20">
    <w:name w:val="A20"/>
    <w:uiPriority w:val="99"/>
    <w:rsid w:val="009B1472"/>
    <w:rPr>
      <w:color w:val="000000"/>
      <w:sz w:val="16"/>
      <w:szCs w:val="16"/>
    </w:rPr>
  </w:style>
  <w:style w:type="character" w:customStyle="1" w:styleId="st">
    <w:name w:val="st"/>
    <w:basedOn w:val="DefaultParagraphFont"/>
    <w:rsid w:val="00941810"/>
  </w:style>
  <w:style w:type="character" w:styleId="CommentReference">
    <w:name w:val="annotation reference"/>
    <w:basedOn w:val="DefaultParagraphFont"/>
    <w:uiPriority w:val="99"/>
    <w:semiHidden/>
    <w:unhideWhenUsed/>
    <w:rsid w:val="00127BDC"/>
    <w:rPr>
      <w:sz w:val="18"/>
      <w:szCs w:val="18"/>
    </w:rPr>
  </w:style>
  <w:style w:type="paragraph" w:styleId="CommentText">
    <w:name w:val="annotation text"/>
    <w:basedOn w:val="Normal"/>
    <w:link w:val="CommentTextChar"/>
    <w:uiPriority w:val="99"/>
    <w:semiHidden/>
    <w:unhideWhenUsed/>
    <w:rsid w:val="00127BDC"/>
    <w:rPr>
      <w:sz w:val="24"/>
      <w:szCs w:val="24"/>
    </w:rPr>
  </w:style>
  <w:style w:type="character" w:customStyle="1" w:styleId="CommentTextChar">
    <w:name w:val="Comment Text Char"/>
    <w:basedOn w:val="DefaultParagraphFont"/>
    <w:link w:val="CommentText"/>
    <w:uiPriority w:val="99"/>
    <w:semiHidden/>
    <w:rsid w:val="00127BDC"/>
    <w:rPr>
      <w:rFonts w:ascii="Arial" w:hAnsi="Arial"/>
      <w:sz w:val="24"/>
      <w:szCs w:val="24"/>
      <w:lang w:eastAsia="en-GB"/>
    </w:rPr>
  </w:style>
  <w:style w:type="paragraph" w:styleId="CommentSubject">
    <w:name w:val="annotation subject"/>
    <w:basedOn w:val="CommentText"/>
    <w:next w:val="CommentText"/>
    <w:link w:val="CommentSubjectChar"/>
    <w:uiPriority w:val="99"/>
    <w:semiHidden/>
    <w:unhideWhenUsed/>
    <w:rsid w:val="00127BDC"/>
    <w:rPr>
      <w:b/>
      <w:bCs/>
      <w:sz w:val="20"/>
      <w:szCs w:val="20"/>
    </w:rPr>
  </w:style>
  <w:style w:type="character" w:customStyle="1" w:styleId="CommentSubjectChar">
    <w:name w:val="Comment Subject Char"/>
    <w:basedOn w:val="CommentTextChar"/>
    <w:link w:val="CommentSubject"/>
    <w:uiPriority w:val="99"/>
    <w:semiHidden/>
    <w:rsid w:val="00127BDC"/>
    <w:rPr>
      <w:rFonts w:ascii="Arial" w:hAnsi="Arial"/>
      <w:b/>
      <w:bCs/>
      <w:sz w:val="24"/>
      <w:szCs w:val="24"/>
      <w:lang w:eastAsia="en-GB"/>
    </w:rPr>
  </w:style>
  <w:style w:type="paragraph" w:styleId="DocumentMap">
    <w:name w:val="Document Map"/>
    <w:basedOn w:val="Normal"/>
    <w:link w:val="DocumentMapChar"/>
    <w:uiPriority w:val="99"/>
    <w:semiHidden/>
    <w:unhideWhenUsed/>
    <w:rsid w:val="00D362BF"/>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362BF"/>
    <w:rPr>
      <w:rFonts w:ascii="Lucida Grande" w:hAnsi="Lucida Grande" w:cs="Lucida Grande"/>
      <w:sz w:val="24"/>
      <w:szCs w:val="24"/>
      <w:lang w:eastAsia="en-GB"/>
    </w:rPr>
  </w:style>
  <w:style w:type="paragraph" w:styleId="Revision">
    <w:name w:val="Revision"/>
    <w:hidden/>
    <w:uiPriority w:val="99"/>
    <w:semiHidden/>
    <w:rsid w:val="00A3302D"/>
    <w:rPr>
      <w:rFonts w:ascii="Arial" w:hAnsi="Arial"/>
      <w:sz w:val="22"/>
      <w:szCs w:val="22"/>
      <w:lang w:eastAsia="en-GB"/>
    </w:rPr>
  </w:style>
  <w:style w:type="character" w:customStyle="1" w:styleId="Heading5Char">
    <w:name w:val="Heading 5 Char"/>
    <w:basedOn w:val="DefaultParagraphFont"/>
    <w:link w:val="Heading5"/>
    <w:rsid w:val="00C37C0C"/>
    <w:rPr>
      <w:rFonts w:ascii="Arial" w:hAnsi="Arial"/>
      <w:b/>
      <w:i/>
      <w:sz w:val="22"/>
      <w:szCs w:val="22"/>
      <w:lang w:eastAsia="en-GB"/>
    </w:rPr>
  </w:style>
  <w:style w:type="paragraph" w:customStyle="1" w:styleId="UnnumtextBodytext">
    <w:name w:val="Unnum text: Body text"/>
    <w:basedOn w:val="Normal"/>
    <w:qFormat/>
    <w:rsid w:val="00EA3BEB"/>
    <w:pPr>
      <w:spacing w:before="0" w:after="170" w:line="260" w:lineRule="atLeast"/>
      <w:ind w:left="0"/>
    </w:pPr>
    <w:rPr>
      <w:rFonts w:ascii="Garamond" w:hAnsi="Garamond"/>
      <w:szCs w:val="20"/>
      <w:lang w:eastAsia="en-US"/>
    </w:rPr>
  </w:style>
  <w:style w:type="paragraph" w:customStyle="1" w:styleId="NumtextIndent1">
    <w:name w:val="Num text:  Indent 1"/>
    <w:basedOn w:val="Normal"/>
    <w:rsid w:val="00EA3BEB"/>
    <w:pPr>
      <w:numPr>
        <w:numId w:val="19"/>
      </w:numPr>
      <w:spacing w:before="0" w:after="170" w:line="260" w:lineRule="atLeast"/>
    </w:pPr>
    <w:rPr>
      <w:rFonts w:ascii="Garamond" w:hAnsi="Garamond"/>
      <w:szCs w:val="20"/>
      <w:lang w:eastAsia="en-US"/>
    </w:rPr>
  </w:style>
  <w:style w:type="table" w:customStyle="1" w:styleId="TableSapereGrid">
    <w:name w:val="Table Sapere Grid"/>
    <w:basedOn w:val="TableGrid"/>
    <w:rsid w:val="00381C3F"/>
    <w:rPr>
      <w:rFonts w:ascii="Garamond" w:eastAsia="Times New Roman" w:hAnsi="Garamond" w:cs="Times New Roman"/>
      <w:szCs w:val="20"/>
      <w:lang w:val="en-US"/>
    </w:rPr>
    <w:tblPr>
      <w:tblInd w:w="0" w:type="dxa"/>
      <w:tblBorders>
        <w:top w:val="single" w:sz="4" w:space="0" w:color="7B5E05"/>
        <w:bottom w:val="single" w:sz="4" w:space="0" w:color="7B5E05"/>
        <w:insideH w:val="single" w:sz="4" w:space="0" w:color="7B5E05"/>
        <w:insideV w:val="single" w:sz="4" w:space="0" w:color="7B5E05"/>
      </w:tblBorders>
      <w:tblCellMar>
        <w:top w:w="113" w:type="dxa"/>
        <w:left w:w="108" w:type="dxa"/>
        <w:bottom w:w="113" w:type="dxa"/>
        <w:right w:w="108" w:type="dxa"/>
      </w:tblCellMar>
    </w:tblPr>
    <w:tblStylePr w:type="firstRow">
      <w:tblPr/>
      <w:trPr>
        <w:tblHeader/>
      </w:trPr>
      <w:tcPr>
        <w:tcBorders>
          <w:top w:val="single" w:sz="4" w:space="0" w:color="7B5E05"/>
          <w:left w:val="single" w:sz="4" w:space="0" w:color="7B5E05"/>
          <w:bottom w:val="nil"/>
          <w:right w:val="single" w:sz="4" w:space="0" w:color="7B5E05"/>
          <w:insideH w:val="nil"/>
          <w:insideV w:val="single" w:sz="4" w:space="0" w:color="FFFFFF"/>
          <w:tl2br w:val="nil"/>
          <w:tr2bl w:val="nil"/>
        </w:tcBorders>
        <w:shd w:val="clear" w:color="auto" w:fill="7B5E05"/>
        <w:tcMar>
          <w:top w:w="113" w:type="dxa"/>
          <w:left w:w="0" w:type="nil"/>
          <w:bottom w:w="142" w:type="dxa"/>
          <w:right w:w="0" w:type="nil"/>
        </w:tcMar>
        <w:vAlign w:val="center"/>
      </w:tcPr>
    </w:tblStylePr>
  </w:style>
  <w:style w:type="paragraph" w:customStyle="1" w:styleId="Table-bodytext">
    <w:name w:val="Table - body text"/>
    <w:basedOn w:val="Normal"/>
    <w:rsid w:val="00EA3BEB"/>
    <w:pPr>
      <w:spacing w:before="0" w:after="120" w:line="190" w:lineRule="atLeast"/>
      <w:ind w:left="0"/>
    </w:pPr>
    <w:rPr>
      <w:rFonts w:ascii="Garamond" w:hAnsi="Garamond"/>
      <w:szCs w:val="20"/>
      <w:lang w:eastAsia="en-US"/>
    </w:rPr>
  </w:style>
  <w:style w:type="character" w:customStyle="1" w:styleId="FooterChar">
    <w:name w:val="Footer Char"/>
    <w:basedOn w:val="DefaultParagraphFont"/>
    <w:link w:val="Footer"/>
    <w:uiPriority w:val="99"/>
    <w:rsid w:val="00147DCD"/>
    <w:rPr>
      <w:rFonts w:ascii="Arial" w:hAnsi="Arial"/>
      <w:spacing w:val="40"/>
      <w:sz w:val="16"/>
      <w:szCs w:val="16"/>
      <w:lang w:eastAsia="en-GB"/>
    </w:rPr>
  </w:style>
  <w:style w:type="paragraph" w:styleId="Caption">
    <w:name w:val="caption"/>
    <w:basedOn w:val="Normal"/>
    <w:next w:val="Normal"/>
    <w:uiPriority w:val="35"/>
    <w:unhideWhenUsed/>
    <w:qFormat/>
    <w:rsid w:val="00147DCD"/>
    <w:pPr>
      <w:spacing w:before="0" w:after="200"/>
      <w:ind w:left="0"/>
    </w:pPr>
    <w:rPr>
      <w:rFonts w:asciiTheme="minorHAnsi" w:eastAsiaTheme="minorHAnsi" w:hAnsiTheme="minorHAnsi" w:cstheme="minorBidi"/>
      <w:i/>
      <w:iCs/>
      <w:color w:val="1F497D" w:themeColor="text2"/>
      <w:sz w:val="18"/>
      <w:szCs w:val="18"/>
      <w:lang w:eastAsia="en-US"/>
    </w:rPr>
  </w:style>
  <w:style w:type="paragraph" w:customStyle="1" w:styleId="Table-headingrow1">
    <w:name w:val="Table - heading (row 1)"/>
    <w:basedOn w:val="Normal"/>
    <w:rsid w:val="00962C7E"/>
    <w:pPr>
      <w:spacing w:before="0" w:line="260" w:lineRule="atLeast"/>
      <w:ind w:left="0"/>
    </w:pPr>
    <w:rPr>
      <w:rFonts w:ascii="Garamond" w:hAnsi="Garamond"/>
      <w:b/>
      <w:color w:val="FFFFFF"/>
      <w:szCs w:val="20"/>
      <w:lang w:eastAsia="en-US"/>
    </w:rPr>
  </w:style>
  <w:style w:type="paragraph" w:styleId="NormalWeb">
    <w:name w:val="Normal (Web)"/>
    <w:basedOn w:val="Normal"/>
    <w:uiPriority w:val="99"/>
    <w:unhideWhenUsed/>
    <w:rsid w:val="00F0707A"/>
    <w:pPr>
      <w:spacing w:before="0"/>
      <w:ind w:left="0"/>
    </w:pPr>
    <w:rPr>
      <w:rFonts w:ascii="Times New Roman" w:eastAsiaTheme="minorHAnsi" w:hAnsi="Times New Roman"/>
      <w:sz w:val="24"/>
      <w:szCs w:val="24"/>
      <w:lang w:eastAsia="en-NZ"/>
    </w:rPr>
  </w:style>
  <w:style w:type="character" w:styleId="Emphasis">
    <w:name w:val="Emphasis"/>
    <w:basedOn w:val="DefaultParagraphFont"/>
    <w:uiPriority w:val="20"/>
    <w:qFormat/>
    <w:rsid w:val="000E11AD"/>
    <w:rPr>
      <w:b/>
      <w:bCs/>
      <w:i w:val="0"/>
      <w:iCs w:val="0"/>
    </w:rPr>
  </w:style>
  <w:style w:type="character" w:customStyle="1" w:styleId="st1">
    <w:name w:val="st1"/>
    <w:basedOn w:val="DefaultParagraphFont"/>
    <w:rsid w:val="000E11AD"/>
  </w:style>
  <w:style w:type="character" w:customStyle="1" w:styleId="A3">
    <w:name w:val="A3"/>
    <w:uiPriority w:val="99"/>
    <w:rsid w:val="006C314B"/>
    <w:rPr>
      <w:rFonts w:cs="Gotham Rounded Light"/>
      <w:color w:val="000000"/>
      <w:sz w:val="20"/>
      <w:szCs w:val="20"/>
    </w:rPr>
  </w:style>
  <w:style w:type="character" w:customStyle="1" w:styleId="A2">
    <w:name w:val="A2"/>
    <w:uiPriority w:val="99"/>
    <w:rsid w:val="006C314B"/>
    <w:rPr>
      <w:rFonts w:cs="Gotham Rounded Light"/>
      <w:color w:val="000000"/>
      <w:sz w:val="20"/>
      <w:szCs w:val="20"/>
    </w:rPr>
  </w:style>
  <w:style w:type="paragraph" w:customStyle="1" w:styleId="Pa7">
    <w:name w:val="Pa7"/>
    <w:basedOn w:val="Default"/>
    <w:next w:val="Default"/>
    <w:uiPriority w:val="99"/>
    <w:rsid w:val="006C314B"/>
    <w:pPr>
      <w:spacing w:line="241" w:lineRule="atLeast"/>
    </w:pPr>
    <w:rPr>
      <w:rFonts w:ascii="Gotham Rounded Light" w:eastAsia="Times New Roman" w:hAnsi="Gotham Rounded Light" w:cs="Times New Roman"/>
      <w:color w:val="auto"/>
      <w:lang w:eastAsia="en-NZ"/>
    </w:rPr>
  </w:style>
  <w:style w:type="character" w:customStyle="1" w:styleId="A7">
    <w:name w:val="A7"/>
    <w:uiPriority w:val="99"/>
    <w:rsid w:val="006C314B"/>
    <w:rPr>
      <w:rFonts w:ascii="Gotham Rounded Bold" w:hAnsi="Gotham Rounded Bold" w:cs="Gotham Rounded Bold"/>
      <w:color w:val="00000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041">
      <w:bodyDiv w:val="1"/>
      <w:marLeft w:val="0"/>
      <w:marRight w:val="0"/>
      <w:marTop w:val="0"/>
      <w:marBottom w:val="0"/>
      <w:divBdr>
        <w:top w:val="none" w:sz="0" w:space="0" w:color="auto"/>
        <w:left w:val="none" w:sz="0" w:space="0" w:color="auto"/>
        <w:bottom w:val="none" w:sz="0" w:space="0" w:color="auto"/>
        <w:right w:val="none" w:sz="0" w:space="0" w:color="auto"/>
      </w:divBdr>
    </w:div>
    <w:div w:id="22823570">
      <w:bodyDiv w:val="1"/>
      <w:marLeft w:val="0"/>
      <w:marRight w:val="0"/>
      <w:marTop w:val="0"/>
      <w:marBottom w:val="0"/>
      <w:divBdr>
        <w:top w:val="none" w:sz="0" w:space="0" w:color="auto"/>
        <w:left w:val="none" w:sz="0" w:space="0" w:color="auto"/>
        <w:bottom w:val="none" w:sz="0" w:space="0" w:color="auto"/>
        <w:right w:val="none" w:sz="0" w:space="0" w:color="auto"/>
      </w:divBdr>
    </w:div>
    <w:div w:id="39911495">
      <w:bodyDiv w:val="1"/>
      <w:marLeft w:val="0"/>
      <w:marRight w:val="0"/>
      <w:marTop w:val="0"/>
      <w:marBottom w:val="0"/>
      <w:divBdr>
        <w:top w:val="none" w:sz="0" w:space="0" w:color="auto"/>
        <w:left w:val="none" w:sz="0" w:space="0" w:color="auto"/>
        <w:bottom w:val="none" w:sz="0" w:space="0" w:color="auto"/>
        <w:right w:val="none" w:sz="0" w:space="0" w:color="auto"/>
      </w:divBdr>
    </w:div>
    <w:div w:id="48237015">
      <w:bodyDiv w:val="1"/>
      <w:marLeft w:val="0"/>
      <w:marRight w:val="0"/>
      <w:marTop w:val="0"/>
      <w:marBottom w:val="0"/>
      <w:divBdr>
        <w:top w:val="none" w:sz="0" w:space="0" w:color="auto"/>
        <w:left w:val="none" w:sz="0" w:space="0" w:color="auto"/>
        <w:bottom w:val="none" w:sz="0" w:space="0" w:color="auto"/>
        <w:right w:val="none" w:sz="0" w:space="0" w:color="auto"/>
      </w:divBdr>
    </w:div>
    <w:div w:id="108739502">
      <w:bodyDiv w:val="1"/>
      <w:marLeft w:val="0"/>
      <w:marRight w:val="0"/>
      <w:marTop w:val="0"/>
      <w:marBottom w:val="0"/>
      <w:divBdr>
        <w:top w:val="none" w:sz="0" w:space="0" w:color="auto"/>
        <w:left w:val="none" w:sz="0" w:space="0" w:color="auto"/>
        <w:bottom w:val="none" w:sz="0" w:space="0" w:color="auto"/>
        <w:right w:val="none" w:sz="0" w:space="0" w:color="auto"/>
      </w:divBdr>
    </w:div>
    <w:div w:id="171604813">
      <w:bodyDiv w:val="1"/>
      <w:marLeft w:val="0"/>
      <w:marRight w:val="0"/>
      <w:marTop w:val="0"/>
      <w:marBottom w:val="0"/>
      <w:divBdr>
        <w:top w:val="none" w:sz="0" w:space="0" w:color="auto"/>
        <w:left w:val="none" w:sz="0" w:space="0" w:color="auto"/>
        <w:bottom w:val="none" w:sz="0" w:space="0" w:color="auto"/>
        <w:right w:val="none" w:sz="0" w:space="0" w:color="auto"/>
      </w:divBdr>
    </w:div>
    <w:div w:id="185412099">
      <w:bodyDiv w:val="1"/>
      <w:marLeft w:val="0"/>
      <w:marRight w:val="0"/>
      <w:marTop w:val="0"/>
      <w:marBottom w:val="0"/>
      <w:divBdr>
        <w:top w:val="none" w:sz="0" w:space="0" w:color="auto"/>
        <w:left w:val="none" w:sz="0" w:space="0" w:color="auto"/>
        <w:bottom w:val="none" w:sz="0" w:space="0" w:color="auto"/>
        <w:right w:val="none" w:sz="0" w:space="0" w:color="auto"/>
      </w:divBdr>
    </w:div>
    <w:div w:id="199170799">
      <w:bodyDiv w:val="1"/>
      <w:marLeft w:val="0"/>
      <w:marRight w:val="0"/>
      <w:marTop w:val="0"/>
      <w:marBottom w:val="0"/>
      <w:divBdr>
        <w:top w:val="none" w:sz="0" w:space="0" w:color="auto"/>
        <w:left w:val="none" w:sz="0" w:space="0" w:color="auto"/>
        <w:bottom w:val="none" w:sz="0" w:space="0" w:color="auto"/>
        <w:right w:val="none" w:sz="0" w:space="0" w:color="auto"/>
      </w:divBdr>
    </w:div>
    <w:div w:id="238103588">
      <w:bodyDiv w:val="1"/>
      <w:marLeft w:val="0"/>
      <w:marRight w:val="0"/>
      <w:marTop w:val="0"/>
      <w:marBottom w:val="0"/>
      <w:divBdr>
        <w:top w:val="none" w:sz="0" w:space="0" w:color="auto"/>
        <w:left w:val="none" w:sz="0" w:space="0" w:color="auto"/>
        <w:bottom w:val="none" w:sz="0" w:space="0" w:color="auto"/>
        <w:right w:val="none" w:sz="0" w:space="0" w:color="auto"/>
      </w:divBdr>
    </w:div>
    <w:div w:id="391120035">
      <w:bodyDiv w:val="1"/>
      <w:marLeft w:val="0"/>
      <w:marRight w:val="0"/>
      <w:marTop w:val="0"/>
      <w:marBottom w:val="0"/>
      <w:divBdr>
        <w:top w:val="none" w:sz="0" w:space="0" w:color="auto"/>
        <w:left w:val="none" w:sz="0" w:space="0" w:color="auto"/>
        <w:bottom w:val="none" w:sz="0" w:space="0" w:color="auto"/>
        <w:right w:val="none" w:sz="0" w:space="0" w:color="auto"/>
      </w:divBdr>
    </w:div>
    <w:div w:id="395008604">
      <w:bodyDiv w:val="1"/>
      <w:marLeft w:val="0"/>
      <w:marRight w:val="0"/>
      <w:marTop w:val="0"/>
      <w:marBottom w:val="0"/>
      <w:divBdr>
        <w:top w:val="none" w:sz="0" w:space="0" w:color="auto"/>
        <w:left w:val="none" w:sz="0" w:space="0" w:color="auto"/>
        <w:bottom w:val="none" w:sz="0" w:space="0" w:color="auto"/>
        <w:right w:val="none" w:sz="0" w:space="0" w:color="auto"/>
      </w:divBdr>
    </w:div>
    <w:div w:id="401753403">
      <w:bodyDiv w:val="1"/>
      <w:marLeft w:val="0"/>
      <w:marRight w:val="0"/>
      <w:marTop w:val="0"/>
      <w:marBottom w:val="0"/>
      <w:divBdr>
        <w:top w:val="none" w:sz="0" w:space="0" w:color="auto"/>
        <w:left w:val="none" w:sz="0" w:space="0" w:color="auto"/>
        <w:bottom w:val="none" w:sz="0" w:space="0" w:color="auto"/>
        <w:right w:val="none" w:sz="0" w:space="0" w:color="auto"/>
      </w:divBdr>
    </w:div>
    <w:div w:id="409087677">
      <w:bodyDiv w:val="1"/>
      <w:marLeft w:val="0"/>
      <w:marRight w:val="0"/>
      <w:marTop w:val="0"/>
      <w:marBottom w:val="0"/>
      <w:divBdr>
        <w:top w:val="none" w:sz="0" w:space="0" w:color="auto"/>
        <w:left w:val="none" w:sz="0" w:space="0" w:color="auto"/>
        <w:bottom w:val="none" w:sz="0" w:space="0" w:color="auto"/>
        <w:right w:val="none" w:sz="0" w:space="0" w:color="auto"/>
      </w:divBdr>
    </w:div>
    <w:div w:id="427314096">
      <w:bodyDiv w:val="1"/>
      <w:marLeft w:val="0"/>
      <w:marRight w:val="0"/>
      <w:marTop w:val="0"/>
      <w:marBottom w:val="0"/>
      <w:divBdr>
        <w:top w:val="none" w:sz="0" w:space="0" w:color="auto"/>
        <w:left w:val="none" w:sz="0" w:space="0" w:color="auto"/>
        <w:bottom w:val="none" w:sz="0" w:space="0" w:color="auto"/>
        <w:right w:val="none" w:sz="0" w:space="0" w:color="auto"/>
      </w:divBdr>
    </w:div>
    <w:div w:id="464204461">
      <w:bodyDiv w:val="1"/>
      <w:marLeft w:val="0"/>
      <w:marRight w:val="0"/>
      <w:marTop w:val="0"/>
      <w:marBottom w:val="0"/>
      <w:divBdr>
        <w:top w:val="none" w:sz="0" w:space="0" w:color="auto"/>
        <w:left w:val="none" w:sz="0" w:space="0" w:color="auto"/>
        <w:bottom w:val="none" w:sz="0" w:space="0" w:color="auto"/>
        <w:right w:val="none" w:sz="0" w:space="0" w:color="auto"/>
      </w:divBdr>
    </w:div>
    <w:div w:id="477919483">
      <w:bodyDiv w:val="1"/>
      <w:marLeft w:val="0"/>
      <w:marRight w:val="0"/>
      <w:marTop w:val="0"/>
      <w:marBottom w:val="0"/>
      <w:divBdr>
        <w:top w:val="none" w:sz="0" w:space="0" w:color="auto"/>
        <w:left w:val="none" w:sz="0" w:space="0" w:color="auto"/>
        <w:bottom w:val="none" w:sz="0" w:space="0" w:color="auto"/>
        <w:right w:val="none" w:sz="0" w:space="0" w:color="auto"/>
      </w:divBdr>
    </w:div>
    <w:div w:id="492843893">
      <w:bodyDiv w:val="1"/>
      <w:marLeft w:val="0"/>
      <w:marRight w:val="0"/>
      <w:marTop w:val="0"/>
      <w:marBottom w:val="0"/>
      <w:divBdr>
        <w:top w:val="none" w:sz="0" w:space="0" w:color="auto"/>
        <w:left w:val="none" w:sz="0" w:space="0" w:color="auto"/>
        <w:bottom w:val="none" w:sz="0" w:space="0" w:color="auto"/>
        <w:right w:val="none" w:sz="0" w:space="0" w:color="auto"/>
      </w:divBdr>
    </w:div>
    <w:div w:id="548952239">
      <w:bodyDiv w:val="1"/>
      <w:marLeft w:val="0"/>
      <w:marRight w:val="0"/>
      <w:marTop w:val="0"/>
      <w:marBottom w:val="0"/>
      <w:divBdr>
        <w:top w:val="none" w:sz="0" w:space="0" w:color="auto"/>
        <w:left w:val="none" w:sz="0" w:space="0" w:color="auto"/>
        <w:bottom w:val="none" w:sz="0" w:space="0" w:color="auto"/>
        <w:right w:val="none" w:sz="0" w:space="0" w:color="auto"/>
      </w:divBdr>
    </w:div>
    <w:div w:id="614674862">
      <w:bodyDiv w:val="1"/>
      <w:marLeft w:val="0"/>
      <w:marRight w:val="0"/>
      <w:marTop w:val="0"/>
      <w:marBottom w:val="0"/>
      <w:divBdr>
        <w:top w:val="none" w:sz="0" w:space="0" w:color="auto"/>
        <w:left w:val="none" w:sz="0" w:space="0" w:color="auto"/>
        <w:bottom w:val="none" w:sz="0" w:space="0" w:color="auto"/>
        <w:right w:val="none" w:sz="0" w:space="0" w:color="auto"/>
      </w:divBdr>
    </w:div>
    <w:div w:id="651448602">
      <w:bodyDiv w:val="1"/>
      <w:marLeft w:val="0"/>
      <w:marRight w:val="0"/>
      <w:marTop w:val="0"/>
      <w:marBottom w:val="0"/>
      <w:divBdr>
        <w:top w:val="none" w:sz="0" w:space="0" w:color="auto"/>
        <w:left w:val="none" w:sz="0" w:space="0" w:color="auto"/>
        <w:bottom w:val="none" w:sz="0" w:space="0" w:color="auto"/>
        <w:right w:val="none" w:sz="0" w:space="0" w:color="auto"/>
      </w:divBdr>
    </w:div>
    <w:div w:id="666832611">
      <w:bodyDiv w:val="1"/>
      <w:marLeft w:val="0"/>
      <w:marRight w:val="0"/>
      <w:marTop w:val="0"/>
      <w:marBottom w:val="0"/>
      <w:divBdr>
        <w:top w:val="none" w:sz="0" w:space="0" w:color="auto"/>
        <w:left w:val="none" w:sz="0" w:space="0" w:color="auto"/>
        <w:bottom w:val="none" w:sz="0" w:space="0" w:color="auto"/>
        <w:right w:val="none" w:sz="0" w:space="0" w:color="auto"/>
      </w:divBdr>
    </w:div>
    <w:div w:id="715931244">
      <w:bodyDiv w:val="1"/>
      <w:marLeft w:val="0"/>
      <w:marRight w:val="0"/>
      <w:marTop w:val="0"/>
      <w:marBottom w:val="0"/>
      <w:divBdr>
        <w:top w:val="none" w:sz="0" w:space="0" w:color="auto"/>
        <w:left w:val="none" w:sz="0" w:space="0" w:color="auto"/>
        <w:bottom w:val="none" w:sz="0" w:space="0" w:color="auto"/>
        <w:right w:val="none" w:sz="0" w:space="0" w:color="auto"/>
      </w:divBdr>
    </w:div>
    <w:div w:id="824129797">
      <w:bodyDiv w:val="1"/>
      <w:marLeft w:val="0"/>
      <w:marRight w:val="0"/>
      <w:marTop w:val="0"/>
      <w:marBottom w:val="0"/>
      <w:divBdr>
        <w:top w:val="none" w:sz="0" w:space="0" w:color="auto"/>
        <w:left w:val="none" w:sz="0" w:space="0" w:color="auto"/>
        <w:bottom w:val="none" w:sz="0" w:space="0" w:color="auto"/>
        <w:right w:val="none" w:sz="0" w:space="0" w:color="auto"/>
      </w:divBdr>
    </w:div>
    <w:div w:id="949161578">
      <w:bodyDiv w:val="1"/>
      <w:marLeft w:val="0"/>
      <w:marRight w:val="0"/>
      <w:marTop w:val="0"/>
      <w:marBottom w:val="0"/>
      <w:divBdr>
        <w:top w:val="none" w:sz="0" w:space="0" w:color="auto"/>
        <w:left w:val="none" w:sz="0" w:space="0" w:color="auto"/>
        <w:bottom w:val="none" w:sz="0" w:space="0" w:color="auto"/>
        <w:right w:val="none" w:sz="0" w:space="0" w:color="auto"/>
      </w:divBdr>
    </w:div>
    <w:div w:id="989165417">
      <w:bodyDiv w:val="1"/>
      <w:marLeft w:val="0"/>
      <w:marRight w:val="0"/>
      <w:marTop w:val="0"/>
      <w:marBottom w:val="0"/>
      <w:divBdr>
        <w:top w:val="none" w:sz="0" w:space="0" w:color="auto"/>
        <w:left w:val="none" w:sz="0" w:space="0" w:color="auto"/>
        <w:bottom w:val="none" w:sz="0" w:space="0" w:color="auto"/>
        <w:right w:val="none" w:sz="0" w:space="0" w:color="auto"/>
      </w:divBdr>
    </w:div>
    <w:div w:id="1000699356">
      <w:bodyDiv w:val="1"/>
      <w:marLeft w:val="0"/>
      <w:marRight w:val="0"/>
      <w:marTop w:val="0"/>
      <w:marBottom w:val="0"/>
      <w:divBdr>
        <w:top w:val="none" w:sz="0" w:space="0" w:color="auto"/>
        <w:left w:val="none" w:sz="0" w:space="0" w:color="auto"/>
        <w:bottom w:val="none" w:sz="0" w:space="0" w:color="auto"/>
        <w:right w:val="none" w:sz="0" w:space="0" w:color="auto"/>
      </w:divBdr>
    </w:div>
    <w:div w:id="1025711820">
      <w:bodyDiv w:val="1"/>
      <w:marLeft w:val="0"/>
      <w:marRight w:val="0"/>
      <w:marTop w:val="0"/>
      <w:marBottom w:val="0"/>
      <w:divBdr>
        <w:top w:val="none" w:sz="0" w:space="0" w:color="auto"/>
        <w:left w:val="none" w:sz="0" w:space="0" w:color="auto"/>
        <w:bottom w:val="none" w:sz="0" w:space="0" w:color="auto"/>
        <w:right w:val="none" w:sz="0" w:space="0" w:color="auto"/>
      </w:divBdr>
    </w:div>
    <w:div w:id="1065837208">
      <w:bodyDiv w:val="1"/>
      <w:marLeft w:val="0"/>
      <w:marRight w:val="0"/>
      <w:marTop w:val="0"/>
      <w:marBottom w:val="0"/>
      <w:divBdr>
        <w:top w:val="none" w:sz="0" w:space="0" w:color="auto"/>
        <w:left w:val="none" w:sz="0" w:space="0" w:color="auto"/>
        <w:bottom w:val="none" w:sz="0" w:space="0" w:color="auto"/>
        <w:right w:val="none" w:sz="0" w:space="0" w:color="auto"/>
      </w:divBdr>
    </w:div>
    <w:div w:id="1087337811">
      <w:bodyDiv w:val="1"/>
      <w:marLeft w:val="0"/>
      <w:marRight w:val="0"/>
      <w:marTop w:val="0"/>
      <w:marBottom w:val="0"/>
      <w:divBdr>
        <w:top w:val="none" w:sz="0" w:space="0" w:color="auto"/>
        <w:left w:val="none" w:sz="0" w:space="0" w:color="auto"/>
        <w:bottom w:val="none" w:sz="0" w:space="0" w:color="auto"/>
        <w:right w:val="none" w:sz="0" w:space="0" w:color="auto"/>
      </w:divBdr>
    </w:div>
    <w:div w:id="1152912187">
      <w:bodyDiv w:val="1"/>
      <w:marLeft w:val="0"/>
      <w:marRight w:val="0"/>
      <w:marTop w:val="0"/>
      <w:marBottom w:val="0"/>
      <w:divBdr>
        <w:top w:val="none" w:sz="0" w:space="0" w:color="auto"/>
        <w:left w:val="none" w:sz="0" w:space="0" w:color="auto"/>
        <w:bottom w:val="none" w:sz="0" w:space="0" w:color="auto"/>
        <w:right w:val="none" w:sz="0" w:space="0" w:color="auto"/>
      </w:divBdr>
    </w:div>
    <w:div w:id="1170173669">
      <w:bodyDiv w:val="1"/>
      <w:marLeft w:val="0"/>
      <w:marRight w:val="0"/>
      <w:marTop w:val="0"/>
      <w:marBottom w:val="0"/>
      <w:divBdr>
        <w:top w:val="none" w:sz="0" w:space="0" w:color="auto"/>
        <w:left w:val="none" w:sz="0" w:space="0" w:color="auto"/>
        <w:bottom w:val="none" w:sz="0" w:space="0" w:color="auto"/>
        <w:right w:val="none" w:sz="0" w:space="0" w:color="auto"/>
      </w:divBdr>
      <w:divsChild>
        <w:div w:id="158885437">
          <w:marLeft w:val="0"/>
          <w:marRight w:val="1"/>
          <w:marTop w:val="0"/>
          <w:marBottom w:val="0"/>
          <w:divBdr>
            <w:top w:val="none" w:sz="0" w:space="0" w:color="auto"/>
            <w:left w:val="none" w:sz="0" w:space="0" w:color="auto"/>
            <w:bottom w:val="none" w:sz="0" w:space="0" w:color="auto"/>
            <w:right w:val="none" w:sz="0" w:space="0" w:color="auto"/>
          </w:divBdr>
          <w:divsChild>
            <w:div w:id="177430375">
              <w:marLeft w:val="0"/>
              <w:marRight w:val="0"/>
              <w:marTop w:val="0"/>
              <w:marBottom w:val="0"/>
              <w:divBdr>
                <w:top w:val="none" w:sz="0" w:space="0" w:color="auto"/>
                <w:left w:val="none" w:sz="0" w:space="0" w:color="auto"/>
                <w:bottom w:val="none" w:sz="0" w:space="0" w:color="auto"/>
                <w:right w:val="none" w:sz="0" w:space="0" w:color="auto"/>
              </w:divBdr>
              <w:divsChild>
                <w:div w:id="1018238267">
                  <w:marLeft w:val="0"/>
                  <w:marRight w:val="1"/>
                  <w:marTop w:val="0"/>
                  <w:marBottom w:val="0"/>
                  <w:divBdr>
                    <w:top w:val="none" w:sz="0" w:space="0" w:color="auto"/>
                    <w:left w:val="none" w:sz="0" w:space="0" w:color="auto"/>
                    <w:bottom w:val="none" w:sz="0" w:space="0" w:color="auto"/>
                    <w:right w:val="none" w:sz="0" w:space="0" w:color="auto"/>
                  </w:divBdr>
                  <w:divsChild>
                    <w:div w:id="2019846803">
                      <w:marLeft w:val="0"/>
                      <w:marRight w:val="0"/>
                      <w:marTop w:val="0"/>
                      <w:marBottom w:val="0"/>
                      <w:divBdr>
                        <w:top w:val="none" w:sz="0" w:space="0" w:color="auto"/>
                        <w:left w:val="none" w:sz="0" w:space="0" w:color="auto"/>
                        <w:bottom w:val="none" w:sz="0" w:space="0" w:color="auto"/>
                        <w:right w:val="none" w:sz="0" w:space="0" w:color="auto"/>
                      </w:divBdr>
                      <w:divsChild>
                        <w:div w:id="796877040">
                          <w:marLeft w:val="0"/>
                          <w:marRight w:val="0"/>
                          <w:marTop w:val="0"/>
                          <w:marBottom w:val="0"/>
                          <w:divBdr>
                            <w:top w:val="none" w:sz="0" w:space="0" w:color="auto"/>
                            <w:left w:val="none" w:sz="0" w:space="0" w:color="auto"/>
                            <w:bottom w:val="none" w:sz="0" w:space="0" w:color="auto"/>
                            <w:right w:val="none" w:sz="0" w:space="0" w:color="auto"/>
                          </w:divBdr>
                          <w:divsChild>
                            <w:div w:id="1574195504">
                              <w:marLeft w:val="0"/>
                              <w:marRight w:val="0"/>
                              <w:marTop w:val="120"/>
                              <w:marBottom w:val="360"/>
                              <w:divBdr>
                                <w:top w:val="none" w:sz="0" w:space="0" w:color="auto"/>
                                <w:left w:val="none" w:sz="0" w:space="0" w:color="auto"/>
                                <w:bottom w:val="none" w:sz="0" w:space="0" w:color="auto"/>
                                <w:right w:val="none" w:sz="0" w:space="0" w:color="auto"/>
                              </w:divBdr>
                              <w:divsChild>
                                <w:div w:id="5914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954718">
      <w:bodyDiv w:val="1"/>
      <w:marLeft w:val="0"/>
      <w:marRight w:val="0"/>
      <w:marTop w:val="0"/>
      <w:marBottom w:val="0"/>
      <w:divBdr>
        <w:top w:val="none" w:sz="0" w:space="0" w:color="auto"/>
        <w:left w:val="none" w:sz="0" w:space="0" w:color="auto"/>
        <w:bottom w:val="none" w:sz="0" w:space="0" w:color="auto"/>
        <w:right w:val="none" w:sz="0" w:space="0" w:color="auto"/>
      </w:divBdr>
    </w:div>
    <w:div w:id="1280068276">
      <w:bodyDiv w:val="1"/>
      <w:marLeft w:val="0"/>
      <w:marRight w:val="0"/>
      <w:marTop w:val="0"/>
      <w:marBottom w:val="0"/>
      <w:divBdr>
        <w:top w:val="none" w:sz="0" w:space="0" w:color="auto"/>
        <w:left w:val="none" w:sz="0" w:space="0" w:color="auto"/>
        <w:bottom w:val="none" w:sz="0" w:space="0" w:color="auto"/>
        <w:right w:val="none" w:sz="0" w:space="0" w:color="auto"/>
      </w:divBdr>
    </w:div>
    <w:div w:id="1311639607">
      <w:bodyDiv w:val="1"/>
      <w:marLeft w:val="0"/>
      <w:marRight w:val="0"/>
      <w:marTop w:val="0"/>
      <w:marBottom w:val="0"/>
      <w:divBdr>
        <w:top w:val="none" w:sz="0" w:space="0" w:color="auto"/>
        <w:left w:val="none" w:sz="0" w:space="0" w:color="auto"/>
        <w:bottom w:val="none" w:sz="0" w:space="0" w:color="auto"/>
        <w:right w:val="none" w:sz="0" w:space="0" w:color="auto"/>
      </w:divBdr>
    </w:div>
    <w:div w:id="1317764108">
      <w:bodyDiv w:val="1"/>
      <w:marLeft w:val="0"/>
      <w:marRight w:val="0"/>
      <w:marTop w:val="0"/>
      <w:marBottom w:val="0"/>
      <w:divBdr>
        <w:top w:val="none" w:sz="0" w:space="0" w:color="auto"/>
        <w:left w:val="none" w:sz="0" w:space="0" w:color="auto"/>
        <w:bottom w:val="none" w:sz="0" w:space="0" w:color="auto"/>
        <w:right w:val="none" w:sz="0" w:space="0" w:color="auto"/>
      </w:divBdr>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
    <w:div w:id="1351759766">
      <w:bodyDiv w:val="1"/>
      <w:marLeft w:val="0"/>
      <w:marRight w:val="0"/>
      <w:marTop w:val="0"/>
      <w:marBottom w:val="0"/>
      <w:divBdr>
        <w:top w:val="none" w:sz="0" w:space="0" w:color="auto"/>
        <w:left w:val="none" w:sz="0" w:space="0" w:color="auto"/>
        <w:bottom w:val="none" w:sz="0" w:space="0" w:color="auto"/>
        <w:right w:val="none" w:sz="0" w:space="0" w:color="auto"/>
      </w:divBdr>
    </w:div>
    <w:div w:id="1392194129">
      <w:bodyDiv w:val="1"/>
      <w:marLeft w:val="0"/>
      <w:marRight w:val="0"/>
      <w:marTop w:val="0"/>
      <w:marBottom w:val="0"/>
      <w:divBdr>
        <w:top w:val="none" w:sz="0" w:space="0" w:color="auto"/>
        <w:left w:val="none" w:sz="0" w:space="0" w:color="auto"/>
        <w:bottom w:val="none" w:sz="0" w:space="0" w:color="auto"/>
        <w:right w:val="none" w:sz="0" w:space="0" w:color="auto"/>
      </w:divBdr>
    </w:div>
    <w:div w:id="1438792025">
      <w:bodyDiv w:val="1"/>
      <w:marLeft w:val="0"/>
      <w:marRight w:val="0"/>
      <w:marTop w:val="0"/>
      <w:marBottom w:val="0"/>
      <w:divBdr>
        <w:top w:val="none" w:sz="0" w:space="0" w:color="auto"/>
        <w:left w:val="none" w:sz="0" w:space="0" w:color="auto"/>
        <w:bottom w:val="none" w:sz="0" w:space="0" w:color="auto"/>
        <w:right w:val="none" w:sz="0" w:space="0" w:color="auto"/>
      </w:divBdr>
    </w:div>
    <w:div w:id="1463419519">
      <w:bodyDiv w:val="1"/>
      <w:marLeft w:val="0"/>
      <w:marRight w:val="0"/>
      <w:marTop w:val="0"/>
      <w:marBottom w:val="0"/>
      <w:divBdr>
        <w:top w:val="none" w:sz="0" w:space="0" w:color="auto"/>
        <w:left w:val="none" w:sz="0" w:space="0" w:color="auto"/>
        <w:bottom w:val="none" w:sz="0" w:space="0" w:color="auto"/>
        <w:right w:val="none" w:sz="0" w:space="0" w:color="auto"/>
      </w:divBdr>
    </w:div>
    <w:div w:id="1475828197">
      <w:bodyDiv w:val="1"/>
      <w:marLeft w:val="0"/>
      <w:marRight w:val="0"/>
      <w:marTop w:val="0"/>
      <w:marBottom w:val="0"/>
      <w:divBdr>
        <w:top w:val="none" w:sz="0" w:space="0" w:color="auto"/>
        <w:left w:val="none" w:sz="0" w:space="0" w:color="auto"/>
        <w:bottom w:val="none" w:sz="0" w:space="0" w:color="auto"/>
        <w:right w:val="none" w:sz="0" w:space="0" w:color="auto"/>
      </w:divBdr>
    </w:div>
    <w:div w:id="1483741529">
      <w:bodyDiv w:val="1"/>
      <w:marLeft w:val="0"/>
      <w:marRight w:val="0"/>
      <w:marTop w:val="0"/>
      <w:marBottom w:val="0"/>
      <w:divBdr>
        <w:top w:val="none" w:sz="0" w:space="0" w:color="auto"/>
        <w:left w:val="none" w:sz="0" w:space="0" w:color="auto"/>
        <w:bottom w:val="none" w:sz="0" w:space="0" w:color="auto"/>
        <w:right w:val="none" w:sz="0" w:space="0" w:color="auto"/>
      </w:divBdr>
    </w:div>
    <w:div w:id="1487551740">
      <w:bodyDiv w:val="1"/>
      <w:marLeft w:val="0"/>
      <w:marRight w:val="0"/>
      <w:marTop w:val="0"/>
      <w:marBottom w:val="0"/>
      <w:divBdr>
        <w:top w:val="none" w:sz="0" w:space="0" w:color="auto"/>
        <w:left w:val="none" w:sz="0" w:space="0" w:color="auto"/>
        <w:bottom w:val="none" w:sz="0" w:space="0" w:color="auto"/>
        <w:right w:val="none" w:sz="0" w:space="0" w:color="auto"/>
      </w:divBdr>
    </w:div>
    <w:div w:id="1497454425">
      <w:bodyDiv w:val="1"/>
      <w:marLeft w:val="0"/>
      <w:marRight w:val="0"/>
      <w:marTop w:val="0"/>
      <w:marBottom w:val="0"/>
      <w:divBdr>
        <w:top w:val="none" w:sz="0" w:space="0" w:color="auto"/>
        <w:left w:val="none" w:sz="0" w:space="0" w:color="auto"/>
        <w:bottom w:val="none" w:sz="0" w:space="0" w:color="auto"/>
        <w:right w:val="none" w:sz="0" w:space="0" w:color="auto"/>
      </w:divBdr>
    </w:div>
    <w:div w:id="1498229573">
      <w:bodyDiv w:val="1"/>
      <w:marLeft w:val="0"/>
      <w:marRight w:val="0"/>
      <w:marTop w:val="0"/>
      <w:marBottom w:val="0"/>
      <w:divBdr>
        <w:top w:val="none" w:sz="0" w:space="0" w:color="auto"/>
        <w:left w:val="none" w:sz="0" w:space="0" w:color="auto"/>
        <w:bottom w:val="none" w:sz="0" w:space="0" w:color="auto"/>
        <w:right w:val="none" w:sz="0" w:space="0" w:color="auto"/>
      </w:divBdr>
    </w:div>
    <w:div w:id="1543319753">
      <w:bodyDiv w:val="1"/>
      <w:marLeft w:val="0"/>
      <w:marRight w:val="0"/>
      <w:marTop w:val="0"/>
      <w:marBottom w:val="0"/>
      <w:divBdr>
        <w:top w:val="none" w:sz="0" w:space="0" w:color="auto"/>
        <w:left w:val="none" w:sz="0" w:space="0" w:color="auto"/>
        <w:bottom w:val="none" w:sz="0" w:space="0" w:color="auto"/>
        <w:right w:val="none" w:sz="0" w:space="0" w:color="auto"/>
      </w:divBdr>
    </w:div>
    <w:div w:id="1547403013">
      <w:bodyDiv w:val="1"/>
      <w:marLeft w:val="0"/>
      <w:marRight w:val="0"/>
      <w:marTop w:val="0"/>
      <w:marBottom w:val="0"/>
      <w:divBdr>
        <w:top w:val="none" w:sz="0" w:space="0" w:color="auto"/>
        <w:left w:val="none" w:sz="0" w:space="0" w:color="auto"/>
        <w:bottom w:val="none" w:sz="0" w:space="0" w:color="auto"/>
        <w:right w:val="none" w:sz="0" w:space="0" w:color="auto"/>
      </w:divBdr>
    </w:div>
    <w:div w:id="1576163242">
      <w:bodyDiv w:val="1"/>
      <w:marLeft w:val="0"/>
      <w:marRight w:val="0"/>
      <w:marTop w:val="0"/>
      <w:marBottom w:val="0"/>
      <w:divBdr>
        <w:top w:val="none" w:sz="0" w:space="0" w:color="auto"/>
        <w:left w:val="none" w:sz="0" w:space="0" w:color="auto"/>
        <w:bottom w:val="none" w:sz="0" w:space="0" w:color="auto"/>
        <w:right w:val="none" w:sz="0" w:space="0" w:color="auto"/>
      </w:divBdr>
    </w:div>
    <w:div w:id="1579097597">
      <w:bodyDiv w:val="1"/>
      <w:marLeft w:val="0"/>
      <w:marRight w:val="0"/>
      <w:marTop w:val="0"/>
      <w:marBottom w:val="0"/>
      <w:divBdr>
        <w:top w:val="none" w:sz="0" w:space="0" w:color="auto"/>
        <w:left w:val="none" w:sz="0" w:space="0" w:color="auto"/>
        <w:bottom w:val="none" w:sz="0" w:space="0" w:color="auto"/>
        <w:right w:val="none" w:sz="0" w:space="0" w:color="auto"/>
      </w:divBdr>
    </w:div>
    <w:div w:id="1579562231">
      <w:bodyDiv w:val="1"/>
      <w:marLeft w:val="0"/>
      <w:marRight w:val="0"/>
      <w:marTop w:val="0"/>
      <w:marBottom w:val="0"/>
      <w:divBdr>
        <w:top w:val="none" w:sz="0" w:space="0" w:color="auto"/>
        <w:left w:val="none" w:sz="0" w:space="0" w:color="auto"/>
        <w:bottom w:val="none" w:sz="0" w:space="0" w:color="auto"/>
        <w:right w:val="none" w:sz="0" w:space="0" w:color="auto"/>
      </w:divBdr>
    </w:div>
    <w:div w:id="1583950862">
      <w:bodyDiv w:val="1"/>
      <w:marLeft w:val="0"/>
      <w:marRight w:val="0"/>
      <w:marTop w:val="0"/>
      <w:marBottom w:val="0"/>
      <w:divBdr>
        <w:top w:val="none" w:sz="0" w:space="0" w:color="auto"/>
        <w:left w:val="none" w:sz="0" w:space="0" w:color="auto"/>
        <w:bottom w:val="none" w:sz="0" w:space="0" w:color="auto"/>
        <w:right w:val="none" w:sz="0" w:space="0" w:color="auto"/>
      </w:divBdr>
    </w:div>
    <w:div w:id="1596933630">
      <w:bodyDiv w:val="1"/>
      <w:marLeft w:val="0"/>
      <w:marRight w:val="0"/>
      <w:marTop w:val="0"/>
      <w:marBottom w:val="0"/>
      <w:divBdr>
        <w:top w:val="none" w:sz="0" w:space="0" w:color="auto"/>
        <w:left w:val="none" w:sz="0" w:space="0" w:color="auto"/>
        <w:bottom w:val="none" w:sz="0" w:space="0" w:color="auto"/>
        <w:right w:val="none" w:sz="0" w:space="0" w:color="auto"/>
      </w:divBdr>
    </w:div>
    <w:div w:id="1598296485">
      <w:bodyDiv w:val="1"/>
      <w:marLeft w:val="0"/>
      <w:marRight w:val="0"/>
      <w:marTop w:val="0"/>
      <w:marBottom w:val="0"/>
      <w:divBdr>
        <w:top w:val="none" w:sz="0" w:space="0" w:color="auto"/>
        <w:left w:val="none" w:sz="0" w:space="0" w:color="auto"/>
        <w:bottom w:val="none" w:sz="0" w:space="0" w:color="auto"/>
        <w:right w:val="none" w:sz="0" w:space="0" w:color="auto"/>
      </w:divBdr>
    </w:div>
    <w:div w:id="1627390736">
      <w:bodyDiv w:val="1"/>
      <w:marLeft w:val="0"/>
      <w:marRight w:val="0"/>
      <w:marTop w:val="0"/>
      <w:marBottom w:val="0"/>
      <w:divBdr>
        <w:top w:val="none" w:sz="0" w:space="0" w:color="auto"/>
        <w:left w:val="none" w:sz="0" w:space="0" w:color="auto"/>
        <w:bottom w:val="none" w:sz="0" w:space="0" w:color="auto"/>
        <w:right w:val="none" w:sz="0" w:space="0" w:color="auto"/>
      </w:divBdr>
    </w:div>
    <w:div w:id="1632783797">
      <w:bodyDiv w:val="1"/>
      <w:marLeft w:val="0"/>
      <w:marRight w:val="0"/>
      <w:marTop w:val="0"/>
      <w:marBottom w:val="0"/>
      <w:divBdr>
        <w:top w:val="none" w:sz="0" w:space="0" w:color="auto"/>
        <w:left w:val="none" w:sz="0" w:space="0" w:color="auto"/>
        <w:bottom w:val="none" w:sz="0" w:space="0" w:color="auto"/>
        <w:right w:val="none" w:sz="0" w:space="0" w:color="auto"/>
      </w:divBdr>
    </w:div>
    <w:div w:id="1690839642">
      <w:bodyDiv w:val="1"/>
      <w:marLeft w:val="0"/>
      <w:marRight w:val="0"/>
      <w:marTop w:val="0"/>
      <w:marBottom w:val="0"/>
      <w:divBdr>
        <w:top w:val="none" w:sz="0" w:space="0" w:color="auto"/>
        <w:left w:val="none" w:sz="0" w:space="0" w:color="auto"/>
        <w:bottom w:val="none" w:sz="0" w:space="0" w:color="auto"/>
        <w:right w:val="none" w:sz="0" w:space="0" w:color="auto"/>
      </w:divBdr>
    </w:div>
    <w:div w:id="1724330261">
      <w:bodyDiv w:val="1"/>
      <w:marLeft w:val="0"/>
      <w:marRight w:val="0"/>
      <w:marTop w:val="0"/>
      <w:marBottom w:val="0"/>
      <w:divBdr>
        <w:top w:val="none" w:sz="0" w:space="0" w:color="auto"/>
        <w:left w:val="none" w:sz="0" w:space="0" w:color="auto"/>
        <w:bottom w:val="none" w:sz="0" w:space="0" w:color="auto"/>
        <w:right w:val="none" w:sz="0" w:space="0" w:color="auto"/>
      </w:divBdr>
    </w:div>
    <w:div w:id="1755856400">
      <w:bodyDiv w:val="1"/>
      <w:marLeft w:val="0"/>
      <w:marRight w:val="0"/>
      <w:marTop w:val="0"/>
      <w:marBottom w:val="0"/>
      <w:divBdr>
        <w:top w:val="none" w:sz="0" w:space="0" w:color="auto"/>
        <w:left w:val="none" w:sz="0" w:space="0" w:color="auto"/>
        <w:bottom w:val="none" w:sz="0" w:space="0" w:color="auto"/>
        <w:right w:val="none" w:sz="0" w:space="0" w:color="auto"/>
      </w:divBdr>
    </w:div>
    <w:div w:id="1758625076">
      <w:bodyDiv w:val="1"/>
      <w:marLeft w:val="0"/>
      <w:marRight w:val="0"/>
      <w:marTop w:val="0"/>
      <w:marBottom w:val="0"/>
      <w:divBdr>
        <w:top w:val="none" w:sz="0" w:space="0" w:color="auto"/>
        <w:left w:val="none" w:sz="0" w:space="0" w:color="auto"/>
        <w:bottom w:val="none" w:sz="0" w:space="0" w:color="auto"/>
        <w:right w:val="none" w:sz="0" w:space="0" w:color="auto"/>
      </w:divBdr>
    </w:div>
    <w:div w:id="1807238108">
      <w:bodyDiv w:val="1"/>
      <w:marLeft w:val="0"/>
      <w:marRight w:val="0"/>
      <w:marTop w:val="0"/>
      <w:marBottom w:val="0"/>
      <w:divBdr>
        <w:top w:val="none" w:sz="0" w:space="0" w:color="auto"/>
        <w:left w:val="none" w:sz="0" w:space="0" w:color="auto"/>
        <w:bottom w:val="none" w:sz="0" w:space="0" w:color="auto"/>
        <w:right w:val="none" w:sz="0" w:space="0" w:color="auto"/>
      </w:divBdr>
    </w:div>
    <w:div w:id="1839227837">
      <w:bodyDiv w:val="1"/>
      <w:marLeft w:val="0"/>
      <w:marRight w:val="0"/>
      <w:marTop w:val="0"/>
      <w:marBottom w:val="0"/>
      <w:divBdr>
        <w:top w:val="none" w:sz="0" w:space="0" w:color="auto"/>
        <w:left w:val="none" w:sz="0" w:space="0" w:color="auto"/>
        <w:bottom w:val="none" w:sz="0" w:space="0" w:color="auto"/>
        <w:right w:val="none" w:sz="0" w:space="0" w:color="auto"/>
      </w:divBdr>
    </w:div>
    <w:div w:id="1885828005">
      <w:bodyDiv w:val="1"/>
      <w:marLeft w:val="0"/>
      <w:marRight w:val="0"/>
      <w:marTop w:val="0"/>
      <w:marBottom w:val="0"/>
      <w:divBdr>
        <w:top w:val="none" w:sz="0" w:space="0" w:color="auto"/>
        <w:left w:val="none" w:sz="0" w:space="0" w:color="auto"/>
        <w:bottom w:val="none" w:sz="0" w:space="0" w:color="auto"/>
        <w:right w:val="none" w:sz="0" w:space="0" w:color="auto"/>
      </w:divBdr>
    </w:div>
    <w:div w:id="1889997543">
      <w:bodyDiv w:val="1"/>
      <w:marLeft w:val="0"/>
      <w:marRight w:val="0"/>
      <w:marTop w:val="0"/>
      <w:marBottom w:val="0"/>
      <w:divBdr>
        <w:top w:val="none" w:sz="0" w:space="0" w:color="auto"/>
        <w:left w:val="none" w:sz="0" w:space="0" w:color="auto"/>
        <w:bottom w:val="none" w:sz="0" w:space="0" w:color="auto"/>
        <w:right w:val="none" w:sz="0" w:space="0" w:color="auto"/>
      </w:divBdr>
    </w:div>
    <w:div w:id="1984843847">
      <w:bodyDiv w:val="1"/>
      <w:marLeft w:val="0"/>
      <w:marRight w:val="0"/>
      <w:marTop w:val="0"/>
      <w:marBottom w:val="0"/>
      <w:divBdr>
        <w:top w:val="none" w:sz="0" w:space="0" w:color="auto"/>
        <w:left w:val="none" w:sz="0" w:space="0" w:color="auto"/>
        <w:bottom w:val="none" w:sz="0" w:space="0" w:color="auto"/>
        <w:right w:val="none" w:sz="0" w:space="0" w:color="auto"/>
      </w:divBdr>
    </w:div>
    <w:div w:id="2016955150">
      <w:bodyDiv w:val="1"/>
      <w:marLeft w:val="0"/>
      <w:marRight w:val="0"/>
      <w:marTop w:val="0"/>
      <w:marBottom w:val="0"/>
      <w:divBdr>
        <w:top w:val="none" w:sz="0" w:space="0" w:color="auto"/>
        <w:left w:val="none" w:sz="0" w:space="0" w:color="auto"/>
        <w:bottom w:val="none" w:sz="0" w:space="0" w:color="auto"/>
        <w:right w:val="none" w:sz="0" w:space="0" w:color="auto"/>
      </w:divBdr>
    </w:div>
    <w:div w:id="2122409114">
      <w:bodyDiv w:val="1"/>
      <w:marLeft w:val="0"/>
      <w:marRight w:val="0"/>
      <w:marTop w:val="0"/>
      <w:marBottom w:val="0"/>
      <w:divBdr>
        <w:top w:val="none" w:sz="0" w:space="0" w:color="auto"/>
        <w:left w:val="none" w:sz="0" w:space="0" w:color="auto"/>
        <w:bottom w:val="none" w:sz="0" w:space="0" w:color="auto"/>
        <w:right w:val="none" w:sz="0" w:space="0" w:color="auto"/>
      </w:divBdr>
    </w:div>
    <w:div w:id="212665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tlove@srgexpert.com" TargetMode="External"/><Relationship Id="rId26" Type="http://schemas.openxmlformats.org/officeDocument/2006/relationships/footer" Target="footer7.xml"/><Relationship Id="rId39" Type="http://schemas.openxmlformats.org/officeDocument/2006/relationships/hyperlink" Target="http://legacy.screening.nhs.uk/" TargetMode="External"/><Relationship Id="rId21" Type="http://schemas.openxmlformats.org/officeDocument/2006/relationships/header" Target="header6.xml"/><Relationship Id="rId34" Type="http://schemas.openxmlformats.org/officeDocument/2006/relationships/image" Target="media/image13.png"/><Relationship Id="rId42" Type="http://schemas.openxmlformats.org/officeDocument/2006/relationships/hyperlink" Target="http://www.ncbi.nlm.nih.gov/pubmed/?term=Esterman%20A%5BAuthor%5D&amp;cauthor=true&amp;cauthor_uid=17626705" TargetMode="External"/><Relationship Id="rId47" Type="http://schemas.openxmlformats.org/officeDocument/2006/relationships/hyperlink" Target="http://www.ncbi.nlm.nih.gov/pubmed/23378981" TargetMode="External"/><Relationship Id="rId50" Type="http://schemas.openxmlformats.org/officeDocument/2006/relationships/hyperlink" Target="http://www.health.govt.nz/node/8367" TargetMode="External"/><Relationship Id="rId55" Type="http://schemas.openxmlformats.org/officeDocument/2006/relationships/hyperlink" Target="http://www.health.govt.nz/node/8367"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B.Borman@massey.ac.nz" TargetMode="External"/><Relationship Id="rId25" Type="http://schemas.openxmlformats.org/officeDocument/2006/relationships/header" Target="header8.xml"/><Relationship Id="rId33" Type="http://schemas.openxmlformats.org/officeDocument/2006/relationships/image" Target="media/image12.png"/><Relationship Id="rId38" Type="http://schemas.openxmlformats.org/officeDocument/2006/relationships/hyperlink" Target="http://www.ncbi.nlm.nih.gov/pubmed/?term=Butterly%20LF%5Bauth%5D" TargetMode="External"/><Relationship Id="rId46" Type="http://schemas.openxmlformats.org/officeDocument/2006/relationships/hyperlink" Target="http://www.ncbi.nlm.nih.gov/pubmed/?term=de%20Jonge%20V%5BAuthor%5D&amp;cauthor=true&amp;cauthor_uid=23378981" TargetMode="External"/><Relationship Id="rId2" Type="http://schemas.openxmlformats.org/officeDocument/2006/relationships/numbering" Target="numbering.xml"/><Relationship Id="rId16" Type="http://schemas.openxmlformats.org/officeDocument/2006/relationships/hyperlink" Target="mailto:liz@litmus.co.nz" TargetMode="External"/><Relationship Id="rId20" Type="http://schemas.openxmlformats.org/officeDocument/2006/relationships/header" Target="header5.xml"/><Relationship Id="rId29" Type="http://schemas.openxmlformats.org/officeDocument/2006/relationships/image" Target="media/image8.emf"/><Relationship Id="rId41" Type="http://schemas.openxmlformats.org/officeDocument/2006/relationships/hyperlink" Target="http://www.ncbi.nlm.nih.gov/pubmed/?term=Butterly%20LF%5Bauth%5D" TargetMode="External"/><Relationship Id="rId54" Type="http://schemas.openxmlformats.org/officeDocument/2006/relationships/hyperlink" Target="http://www.health.govt.nz/node/83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image" Target="media/image11.png"/><Relationship Id="rId37" Type="http://schemas.openxmlformats.org/officeDocument/2006/relationships/hyperlink" Target="http://www.ncbi.nlm.nih.gov/pubmed/?term=Anderson%20JC%5Bauth%5D" TargetMode="External"/><Relationship Id="rId40" Type="http://schemas.openxmlformats.org/officeDocument/2006/relationships/hyperlink" Target="http://www.ncbi.nlm.nih.gov/pubmed/?term=Anderson%20JC%5Bauth%5D" TargetMode="External"/><Relationship Id="rId45" Type="http://schemas.openxmlformats.org/officeDocument/2006/relationships/hyperlink" Target="http://www.ncbi.nlm.nih.gov/pubmed/?term=Sint%20Nicolaas%20J%5BAuthor%5D&amp;cauthor=true&amp;cauthor_uid=23378981" TargetMode="External"/><Relationship Id="rId53" Type="http://schemas.openxmlformats.org/officeDocument/2006/relationships/hyperlink" Target="http://www.health.govt.nz/node/5114"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image" Target="media/image15.png"/><Relationship Id="rId49" Type="http://schemas.openxmlformats.org/officeDocument/2006/relationships/hyperlink" Target="http://www.health.govt.nz/node/8367" TargetMode="External"/><Relationship Id="rId57"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image" Target="media/image10.png"/><Relationship Id="rId44" Type="http://schemas.openxmlformats.org/officeDocument/2006/relationships/hyperlink" Target="http://www.ncbi.nlm.nih.gov/pubmed/?term=Schreuders%20E%5BAuthor%5D&amp;cauthor=true&amp;cauthor_uid=23378981" TargetMode="External"/><Relationship Id="rId52" Type="http://schemas.openxmlformats.org/officeDocument/2006/relationships/hyperlink" Target="http://www.health.govt.nz/node/836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hyperlink" Target="http://www.ncbi.nlm.nih.gov/pubmed/?term=Young%20GP%5BAuthor%5D&amp;cauthor=true&amp;cauthor_uid=17626705" TargetMode="External"/><Relationship Id="rId48" Type="http://schemas.openxmlformats.org/officeDocument/2006/relationships/hyperlink" Target="http://www.cancerscreening.nhs.uk/bowel/finalreport.pdf"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health.govt.nz/node/8367"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jpe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7.wmf"/></Relationships>
</file>

<file path=word/_rels/footer6.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jpeg"/><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jpeg"/><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jpe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eases-and-conditions/cancer-programme/bowel-cancer-programme/bowel-screening-pilot/bowel-screening-pilot-resul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8DC1E-CC04-4668-9C78-3B1175BED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528E5BAE</Template>
  <TotalTime>3</TotalTime>
  <Pages>106</Pages>
  <Words>37545</Words>
  <Characters>214007</Characters>
  <Application>Microsoft Office Word</Application>
  <DocSecurity>0</DocSecurity>
  <Lines>1783</Lines>
  <Paragraphs>502</Paragraphs>
  <ScaleCrop>false</ScaleCrop>
  <HeadingPairs>
    <vt:vector size="2" baseType="variant">
      <vt:variant>
        <vt:lpstr>Title</vt:lpstr>
      </vt:variant>
      <vt:variant>
        <vt:i4>1</vt:i4>
      </vt:variant>
    </vt:vector>
  </HeadingPairs>
  <TitlesOfParts>
    <vt:vector size="1" baseType="lpstr">
      <vt:lpstr>Final Evaluation Report of the Bowel Screening Pilot - Screening Rounds One and Two</vt:lpstr>
    </vt:vector>
  </TitlesOfParts>
  <Company>Wordprocessing Services</Company>
  <LinksUpToDate>false</LinksUpToDate>
  <CharactersWithSpaces>251050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Evaluation Report of the Bowel Screening Pilot - Screening Rounds One and Two</dc:title>
  <dc:creator>Sapere</dc:creator>
  <cp:lastModifiedBy>Allan Potter</cp:lastModifiedBy>
  <cp:revision>5</cp:revision>
  <cp:lastPrinted>2017-01-31T20:19:00Z</cp:lastPrinted>
  <dcterms:created xsi:type="dcterms:W3CDTF">2017-01-31T20:18:00Z</dcterms:created>
  <dcterms:modified xsi:type="dcterms:W3CDTF">2017-01-31T20:21:00Z</dcterms:modified>
</cp:coreProperties>
</file>