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3FC0E" w14:textId="77777777" w:rsidR="00C86248" w:rsidRPr="00D54D50" w:rsidRDefault="003C1D1F" w:rsidP="00D54D50">
      <w:pPr>
        <w:pStyle w:val="Title"/>
      </w:pPr>
      <w:r>
        <w:t>Professional Standards for School-</w:t>
      </w:r>
      <w:r w:rsidR="00E63B37">
        <w:t>b</w:t>
      </w:r>
      <w:r>
        <w:t>ased Immunisation Service Delivery</w:t>
      </w:r>
    </w:p>
    <w:p w14:paraId="3AC9903C" w14:textId="77777777" w:rsidR="00C86248" w:rsidRDefault="00C86248" w:rsidP="00343365">
      <w:pPr>
        <w:pStyle w:val="Subhead"/>
      </w:pPr>
    </w:p>
    <w:p w14:paraId="61AF1E0B" w14:textId="77777777" w:rsidR="00142954" w:rsidRPr="00142954" w:rsidRDefault="00142954" w:rsidP="00142954">
      <w:pPr>
        <w:sectPr w:rsidR="00142954" w:rsidRPr="00142954" w:rsidSect="000F2AE2">
          <w:headerReference w:type="even" r:id="rId8"/>
          <w:headerReference w:type="default" r:id="rId9"/>
          <w:footerReference w:type="even" r:id="rId10"/>
          <w:footerReference w:type="default" r:id="rId11"/>
          <w:headerReference w:type="first" r:id="rId12"/>
          <w:footerReference w:type="first" r:id="rId13"/>
          <w:pgSz w:w="11907" w:h="16834" w:code="9"/>
          <w:pgMar w:top="3969" w:right="851" w:bottom="851" w:left="2552" w:header="851" w:footer="851" w:gutter="0"/>
          <w:cols w:space="720"/>
        </w:sectPr>
      </w:pPr>
    </w:p>
    <w:p w14:paraId="16207A71" w14:textId="77777777" w:rsidR="00A80363" w:rsidRPr="00442C1C" w:rsidRDefault="00A80363">
      <w:pPr>
        <w:pStyle w:val="Imprint"/>
      </w:pPr>
      <w:r>
        <w:lastRenderedPageBreak/>
        <w:t xml:space="preserve">Citation: </w:t>
      </w:r>
      <w:r w:rsidR="00442C1C">
        <w:t xml:space="preserve">Ministry of Health. </w:t>
      </w:r>
      <w:r w:rsidR="003C1D1F">
        <w:t>2016</w:t>
      </w:r>
      <w:r w:rsidR="00442C1C">
        <w:t xml:space="preserve">. </w:t>
      </w:r>
      <w:r w:rsidR="003C1D1F">
        <w:rPr>
          <w:i/>
        </w:rPr>
        <w:t>Professional Standards for School-</w:t>
      </w:r>
      <w:r w:rsidR="00E63B37">
        <w:rPr>
          <w:i/>
        </w:rPr>
        <w:t>b</w:t>
      </w:r>
      <w:r w:rsidR="003C1D1F">
        <w:rPr>
          <w:i/>
        </w:rPr>
        <w:t>ased Immunisation Service Delivery</w:t>
      </w:r>
      <w:r w:rsidR="00442C1C">
        <w:t>. Wellington: Ministry of Health.</w:t>
      </w:r>
    </w:p>
    <w:p w14:paraId="770610D9" w14:textId="77777777" w:rsidR="00C86248" w:rsidRDefault="00C86248">
      <w:pPr>
        <w:pStyle w:val="Imprint"/>
      </w:pPr>
      <w:r>
        <w:t xml:space="preserve">Published in </w:t>
      </w:r>
      <w:r w:rsidR="00942740" w:rsidRPr="00CC74D3">
        <w:t>December</w:t>
      </w:r>
      <w:r w:rsidR="003C1D1F">
        <w:t xml:space="preserve"> 2016</w:t>
      </w:r>
      <w:r w:rsidR="005019AE">
        <w:br/>
      </w:r>
      <w:r>
        <w:t>by the</w:t>
      </w:r>
      <w:r w:rsidR="00442C1C">
        <w:t xml:space="preserve"> </w:t>
      </w:r>
      <w:r>
        <w:t>Ministry of Health</w:t>
      </w:r>
      <w:r>
        <w:br/>
        <w:t>PO Box 5013, Wellington</w:t>
      </w:r>
      <w:r w:rsidR="00A80363">
        <w:t xml:space="preserve"> 614</w:t>
      </w:r>
      <w:r w:rsidR="006041F0">
        <w:t>0</w:t>
      </w:r>
      <w:r>
        <w:t>, New Zealand</w:t>
      </w:r>
    </w:p>
    <w:p w14:paraId="3EC13FD4" w14:textId="77777777" w:rsidR="00082CD6" w:rsidRPr="009C0F2D" w:rsidRDefault="00D863D0" w:rsidP="00082CD6">
      <w:pPr>
        <w:pStyle w:val="Imprint"/>
      </w:pPr>
      <w:r>
        <w:t>ISBN</w:t>
      </w:r>
      <w:r w:rsidR="00442C1C">
        <w:t xml:space="preserve"> </w:t>
      </w:r>
      <w:r w:rsidR="000B40F5" w:rsidRPr="000B40F5">
        <w:rPr>
          <w:rFonts w:eastAsia="Arial" w:cs="Arial"/>
          <w:color w:val="000000"/>
        </w:rPr>
        <w:t>978-0-947515-42-3</w:t>
      </w:r>
      <w:r w:rsidR="00442C1C">
        <w:t xml:space="preserve"> </w:t>
      </w:r>
      <w:r>
        <w:t>(</w:t>
      </w:r>
      <w:r w:rsidR="00442C1C">
        <w:t>online</w:t>
      </w:r>
      <w:r>
        <w:t>)</w:t>
      </w:r>
      <w:r w:rsidR="00082CD6">
        <w:br/>
      </w:r>
      <w:r w:rsidR="00082CD6" w:rsidRPr="009C0F2D">
        <w:t xml:space="preserve">HP </w:t>
      </w:r>
      <w:r w:rsidR="00814A49">
        <w:t>6457</w:t>
      </w:r>
    </w:p>
    <w:p w14:paraId="16BA908B" w14:textId="4E538CB6" w:rsidR="00C86248" w:rsidRDefault="00C86248">
      <w:pPr>
        <w:pStyle w:val="Imprint"/>
      </w:pPr>
      <w:r>
        <w:t xml:space="preserve">This document is available </w:t>
      </w:r>
      <w:r w:rsidR="0071741C">
        <w:t xml:space="preserve">at </w:t>
      </w:r>
      <w:r>
        <w:t>h</w:t>
      </w:r>
      <w:r w:rsidR="00A80363">
        <w:t>ealth</w:t>
      </w:r>
      <w:r>
        <w:t>.govt.nz</w:t>
      </w:r>
    </w:p>
    <w:p w14:paraId="0E47E6E3" w14:textId="77777777" w:rsidR="00C86248" w:rsidRDefault="008C64C4">
      <w:pPr>
        <w:jc w:val="center"/>
      </w:pPr>
      <w:r w:rsidRPr="009A7CEC">
        <w:rPr>
          <w:noProof/>
          <w:lang w:eastAsia="en-NZ"/>
        </w:rPr>
        <w:drawing>
          <wp:inline distT="0" distB="0" distL="0" distR="0" wp14:anchorId="46F33F8E" wp14:editId="7CDA0BD7">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14:paraId="77714364" w14:textId="77777777" w:rsidR="007E74F1" w:rsidRPr="001F45A7" w:rsidRDefault="007E74F1" w:rsidP="001F45A7">
      <w:pPr>
        <w:spacing w:before="240"/>
        <w:ind w:right="-851"/>
        <w:rPr>
          <w:sz w:val="18"/>
          <w:szCs w:val="18"/>
        </w:rPr>
      </w:pPr>
      <w:r w:rsidRPr="009A7CEC">
        <w:rPr>
          <w:b/>
          <w:noProof/>
          <w:sz w:val="18"/>
          <w:szCs w:val="18"/>
          <w:lang w:eastAsia="en-NZ"/>
        </w:rPr>
        <w:drawing>
          <wp:inline distT="0" distB="0" distL="0" distR="0" wp14:anchorId="54052E77" wp14:editId="65D472B4">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ie, copy and redistribute the material in any medium or format; adapt ie, remix, transform and build upon the material. </w:t>
      </w:r>
      <w:r w:rsidRPr="001F45A7">
        <w:rPr>
          <w:bCs/>
          <w:sz w:val="18"/>
          <w:szCs w:val="18"/>
        </w:rPr>
        <w:t>You must give appropriate credit, provide a link to the licence and indicate if changes were made.</w:t>
      </w:r>
    </w:p>
    <w:p w14:paraId="4F33449E" w14:textId="77777777" w:rsidR="00C86248" w:rsidRDefault="00C86248">
      <w:pPr>
        <w:jc w:val="center"/>
        <w:sectPr w:rsidR="00C86248" w:rsidSect="0016468A">
          <w:footerReference w:type="even" r:id="rId16"/>
          <w:footerReference w:type="default" r:id="rId17"/>
          <w:pgSz w:w="11907" w:h="16834" w:code="9"/>
          <w:pgMar w:top="1701" w:right="1134" w:bottom="1134" w:left="1985" w:header="0" w:footer="0" w:gutter="0"/>
          <w:cols w:space="720"/>
          <w:vAlign w:val="bottom"/>
        </w:sectPr>
      </w:pPr>
    </w:p>
    <w:p w14:paraId="7CDC53D0" w14:textId="77777777" w:rsidR="00C86248" w:rsidRDefault="00C86248">
      <w:pPr>
        <w:pStyle w:val="IntroHead"/>
      </w:pPr>
      <w:bookmarkStart w:id="0" w:name="_Toc405792991"/>
      <w:bookmarkStart w:id="1" w:name="_Toc405793224"/>
      <w:r>
        <w:lastRenderedPageBreak/>
        <w:t>Contents</w:t>
      </w:r>
      <w:bookmarkEnd w:id="0"/>
      <w:bookmarkEnd w:id="1"/>
    </w:p>
    <w:p w14:paraId="2E6B8887" w14:textId="4AB35BE4" w:rsidR="00C200EA"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C200EA">
        <w:rPr>
          <w:noProof/>
        </w:rPr>
        <w:t>Introduction</w:t>
      </w:r>
      <w:r w:rsidR="00C200EA">
        <w:rPr>
          <w:noProof/>
        </w:rPr>
        <w:tab/>
      </w:r>
      <w:r w:rsidR="00C200EA">
        <w:rPr>
          <w:noProof/>
        </w:rPr>
        <w:fldChar w:fldCharType="begin"/>
      </w:r>
      <w:r w:rsidR="00C200EA">
        <w:rPr>
          <w:noProof/>
        </w:rPr>
        <w:instrText xml:space="preserve"> PAGEREF _Toc465165459 \h </w:instrText>
      </w:r>
      <w:r w:rsidR="00C200EA">
        <w:rPr>
          <w:noProof/>
        </w:rPr>
      </w:r>
      <w:r w:rsidR="00C200EA">
        <w:rPr>
          <w:noProof/>
        </w:rPr>
        <w:fldChar w:fldCharType="separate"/>
      </w:r>
      <w:r w:rsidR="00385740">
        <w:rPr>
          <w:noProof/>
        </w:rPr>
        <w:t>1</w:t>
      </w:r>
      <w:r w:rsidR="00C200EA">
        <w:rPr>
          <w:noProof/>
        </w:rPr>
        <w:fldChar w:fldCharType="end"/>
      </w:r>
    </w:p>
    <w:p w14:paraId="6E6170F8" w14:textId="69AF517E" w:rsidR="00C200EA" w:rsidRDefault="00C200EA">
      <w:pPr>
        <w:pStyle w:val="TOC2"/>
        <w:rPr>
          <w:rFonts w:asciiTheme="minorHAnsi" w:eastAsiaTheme="minorEastAsia" w:hAnsiTheme="minorHAnsi" w:cstheme="minorBidi"/>
          <w:noProof/>
          <w:szCs w:val="22"/>
          <w:lang w:eastAsia="en-NZ"/>
        </w:rPr>
      </w:pPr>
      <w:r>
        <w:rPr>
          <w:noProof/>
        </w:rPr>
        <w:t>Purpose</w:t>
      </w:r>
      <w:r>
        <w:rPr>
          <w:noProof/>
        </w:rPr>
        <w:tab/>
      </w:r>
      <w:r>
        <w:rPr>
          <w:noProof/>
        </w:rPr>
        <w:fldChar w:fldCharType="begin"/>
      </w:r>
      <w:r>
        <w:rPr>
          <w:noProof/>
        </w:rPr>
        <w:instrText xml:space="preserve"> PAGEREF _Toc465165460 \h </w:instrText>
      </w:r>
      <w:r>
        <w:rPr>
          <w:noProof/>
        </w:rPr>
      </w:r>
      <w:r>
        <w:rPr>
          <w:noProof/>
        </w:rPr>
        <w:fldChar w:fldCharType="separate"/>
      </w:r>
      <w:r w:rsidR="00385740">
        <w:rPr>
          <w:noProof/>
        </w:rPr>
        <w:t>1</w:t>
      </w:r>
      <w:r>
        <w:rPr>
          <w:noProof/>
        </w:rPr>
        <w:fldChar w:fldCharType="end"/>
      </w:r>
    </w:p>
    <w:p w14:paraId="2B37BBD7" w14:textId="06C95F37" w:rsidR="00C200EA" w:rsidRDefault="00C200EA">
      <w:pPr>
        <w:pStyle w:val="TOC2"/>
        <w:rPr>
          <w:rFonts w:asciiTheme="minorHAnsi" w:eastAsiaTheme="minorEastAsia" w:hAnsiTheme="minorHAnsi" w:cstheme="minorBidi"/>
          <w:noProof/>
          <w:szCs w:val="22"/>
          <w:lang w:eastAsia="en-NZ"/>
        </w:rPr>
      </w:pPr>
      <w:r>
        <w:rPr>
          <w:noProof/>
        </w:rPr>
        <w:t>Structure</w:t>
      </w:r>
      <w:r>
        <w:rPr>
          <w:noProof/>
        </w:rPr>
        <w:tab/>
      </w:r>
      <w:r>
        <w:rPr>
          <w:noProof/>
        </w:rPr>
        <w:fldChar w:fldCharType="begin"/>
      </w:r>
      <w:r>
        <w:rPr>
          <w:noProof/>
        </w:rPr>
        <w:instrText xml:space="preserve"> PAGEREF _Toc465165461 \h </w:instrText>
      </w:r>
      <w:r>
        <w:rPr>
          <w:noProof/>
        </w:rPr>
      </w:r>
      <w:r>
        <w:rPr>
          <w:noProof/>
        </w:rPr>
        <w:fldChar w:fldCharType="separate"/>
      </w:r>
      <w:r w:rsidR="00385740">
        <w:rPr>
          <w:noProof/>
        </w:rPr>
        <w:t>1</w:t>
      </w:r>
      <w:r>
        <w:rPr>
          <w:noProof/>
        </w:rPr>
        <w:fldChar w:fldCharType="end"/>
      </w:r>
    </w:p>
    <w:p w14:paraId="142DEBF8" w14:textId="6EB2D32E" w:rsidR="00C200EA" w:rsidRDefault="00C200EA">
      <w:pPr>
        <w:pStyle w:val="TOC2"/>
        <w:rPr>
          <w:rFonts w:asciiTheme="minorHAnsi" w:eastAsiaTheme="minorEastAsia" w:hAnsiTheme="minorHAnsi" w:cstheme="minorBidi"/>
          <w:noProof/>
          <w:szCs w:val="22"/>
          <w:lang w:eastAsia="en-NZ"/>
        </w:rPr>
      </w:pPr>
      <w:r>
        <w:rPr>
          <w:noProof/>
        </w:rPr>
        <w:t>Acknowledgements</w:t>
      </w:r>
      <w:r>
        <w:rPr>
          <w:noProof/>
        </w:rPr>
        <w:tab/>
      </w:r>
      <w:r>
        <w:rPr>
          <w:noProof/>
        </w:rPr>
        <w:fldChar w:fldCharType="begin"/>
      </w:r>
      <w:r>
        <w:rPr>
          <w:noProof/>
        </w:rPr>
        <w:instrText xml:space="preserve"> PAGEREF _Toc465165462 \h </w:instrText>
      </w:r>
      <w:r>
        <w:rPr>
          <w:noProof/>
        </w:rPr>
      </w:r>
      <w:r>
        <w:rPr>
          <w:noProof/>
        </w:rPr>
        <w:fldChar w:fldCharType="separate"/>
      </w:r>
      <w:r w:rsidR="00385740">
        <w:rPr>
          <w:noProof/>
        </w:rPr>
        <w:t>1</w:t>
      </w:r>
      <w:r>
        <w:rPr>
          <w:noProof/>
        </w:rPr>
        <w:fldChar w:fldCharType="end"/>
      </w:r>
    </w:p>
    <w:p w14:paraId="40C239CC" w14:textId="764A0C23" w:rsidR="00C200EA" w:rsidRDefault="00C200EA">
      <w:pPr>
        <w:pStyle w:val="TOC1"/>
        <w:rPr>
          <w:rFonts w:asciiTheme="minorHAnsi" w:eastAsiaTheme="minorEastAsia" w:hAnsiTheme="minorHAnsi" w:cstheme="minorBidi"/>
          <w:b w:val="0"/>
          <w:noProof/>
          <w:szCs w:val="22"/>
          <w:lang w:eastAsia="en-NZ"/>
        </w:rPr>
      </w:pPr>
      <w:r>
        <w:rPr>
          <w:noProof/>
        </w:rPr>
        <w:t>1</w:t>
      </w:r>
      <w:r>
        <w:rPr>
          <w:rFonts w:asciiTheme="minorHAnsi" w:eastAsiaTheme="minorEastAsia" w:hAnsiTheme="minorHAnsi" w:cstheme="minorBidi"/>
          <w:b w:val="0"/>
          <w:noProof/>
          <w:szCs w:val="22"/>
          <w:lang w:eastAsia="en-NZ"/>
        </w:rPr>
        <w:tab/>
      </w:r>
      <w:r>
        <w:rPr>
          <w:noProof/>
        </w:rPr>
        <w:t xml:space="preserve">Programme </w:t>
      </w:r>
      <w:r w:rsidR="00385740">
        <w:rPr>
          <w:noProof/>
        </w:rPr>
        <w:t>o</w:t>
      </w:r>
      <w:r>
        <w:rPr>
          <w:noProof/>
        </w:rPr>
        <w:t>verview</w:t>
      </w:r>
      <w:r>
        <w:rPr>
          <w:noProof/>
        </w:rPr>
        <w:tab/>
      </w:r>
      <w:r>
        <w:rPr>
          <w:noProof/>
        </w:rPr>
        <w:fldChar w:fldCharType="begin"/>
      </w:r>
      <w:r>
        <w:rPr>
          <w:noProof/>
        </w:rPr>
        <w:instrText xml:space="preserve"> PAGEREF _Toc465165463 \h </w:instrText>
      </w:r>
      <w:r>
        <w:rPr>
          <w:noProof/>
        </w:rPr>
      </w:r>
      <w:r>
        <w:rPr>
          <w:noProof/>
        </w:rPr>
        <w:fldChar w:fldCharType="separate"/>
      </w:r>
      <w:r w:rsidR="00385740">
        <w:rPr>
          <w:noProof/>
        </w:rPr>
        <w:t>2</w:t>
      </w:r>
      <w:r>
        <w:rPr>
          <w:noProof/>
        </w:rPr>
        <w:fldChar w:fldCharType="end"/>
      </w:r>
    </w:p>
    <w:p w14:paraId="7630237E" w14:textId="40F8A276" w:rsidR="00C200EA" w:rsidRDefault="00C200EA">
      <w:pPr>
        <w:pStyle w:val="TOC2"/>
        <w:rPr>
          <w:rFonts w:asciiTheme="minorHAnsi" w:eastAsiaTheme="minorEastAsia" w:hAnsiTheme="minorHAnsi" w:cstheme="minorBidi"/>
          <w:noProof/>
          <w:szCs w:val="22"/>
          <w:lang w:eastAsia="en-NZ"/>
        </w:rPr>
      </w:pPr>
      <w:r>
        <w:rPr>
          <w:noProof/>
        </w:rPr>
        <w:t>1.1</w:t>
      </w:r>
      <w:r>
        <w:rPr>
          <w:rFonts w:asciiTheme="minorHAnsi" w:eastAsiaTheme="minorEastAsia" w:hAnsiTheme="minorHAnsi" w:cstheme="minorBidi"/>
          <w:noProof/>
          <w:szCs w:val="22"/>
          <w:lang w:eastAsia="en-NZ"/>
        </w:rPr>
        <w:tab/>
      </w:r>
      <w:r>
        <w:rPr>
          <w:noProof/>
        </w:rPr>
        <w:t>Purpose</w:t>
      </w:r>
      <w:r>
        <w:rPr>
          <w:noProof/>
        </w:rPr>
        <w:tab/>
      </w:r>
      <w:r>
        <w:rPr>
          <w:noProof/>
        </w:rPr>
        <w:fldChar w:fldCharType="begin"/>
      </w:r>
      <w:r>
        <w:rPr>
          <w:noProof/>
        </w:rPr>
        <w:instrText xml:space="preserve"> PAGEREF _Toc465165464 \h </w:instrText>
      </w:r>
      <w:r>
        <w:rPr>
          <w:noProof/>
        </w:rPr>
      </w:r>
      <w:r>
        <w:rPr>
          <w:noProof/>
        </w:rPr>
        <w:fldChar w:fldCharType="separate"/>
      </w:r>
      <w:r w:rsidR="00385740">
        <w:rPr>
          <w:noProof/>
        </w:rPr>
        <w:t>2</w:t>
      </w:r>
      <w:r>
        <w:rPr>
          <w:noProof/>
        </w:rPr>
        <w:fldChar w:fldCharType="end"/>
      </w:r>
    </w:p>
    <w:p w14:paraId="2FCE978E" w14:textId="6FB35ABD" w:rsidR="00C200EA" w:rsidRDefault="00C200EA">
      <w:pPr>
        <w:pStyle w:val="TOC2"/>
        <w:rPr>
          <w:rFonts w:asciiTheme="minorHAnsi" w:eastAsiaTheme="minorEastAsia" w:hAnsiTheme="minorHAnsi" w:cstheme="minorBidi"/>
          <w:noProof/>
          <w:szCs w:val="22"/>
          <w:lang w:eastAsia="en-NZ"/>
        </w:rPr>
      </w:pPr>
      <w:r>
        <w:rPr>
          <w:noProof/>
        </w:rPr>
        <w:t>1.2</w:t>
      </w:r>
      <w:r>
        <w:rPr>
          <w:rFonts w:asciiTheme="minorHAnsi" w:eastAsiaTheme="minorEastAsia" w:hAnsiTheme="minorHAnsi" w:cstheme="minorBidi"/>
          <w:noProof/>
          <w:szCs w:val="22"/>
          <w:lang w:eastAsia="en-NZ"/>
        </w:rPr>
        <w:tab/>
      </w:r>
      <w:r>
        <w:rPr>
          <w:noProof/>
        </w:rPr>
        <w:t>Goal</w:t>
      </w:r>
      <w:r>
        <w:rPr>
          <w:noProof/>
        </w:rPr>
        <w:tab/>
      </w:r>
      <w:r>
        <w:rPr>
          <w:noProof/>
        </w:rPr>
        <w:fldChar w:fldCharType="begin"/>
      </w:r>
      <w:r>
        <w:rPr>
          <w:noProof/>
        </w:rPr>
        <w:instrText xml:space="preserve"> PAGEREF _Toc465165465 \h </w:instrText>
      </w:r>
      <w:r>
        <w:rPr>
          <w:noProof/>
        </w:rPr>
      </w:r>
      <w:r>
        <w:rPr>
          <w:noProof/>
        </w:rPr>
        <w:fldChar w:fldCharType="separate"/>
      </w:r>
      <w:r w:rsidR="00385740">
        <w:rPr>
          <w:noProof/>
        </w:rPr>
        <w:t>2</w:t>
      </w:r>
      <w:r>
        <w:rPr>
          <w:noProof/>
        </w:rPr>
        <w:fldChar w:fldCharType="end"/>
      </w:r>
    </w:p>
    <w:p w14:paraId="2398E2F4" w14:textId="5F60FB71" w:rsidR="00C200EA" w:rsidRDefault="00C200EA">
      <w:pPr>
        <w:pStyle w:val="TOC2"/>
        <w:rPr>
          <w:rFonts w:asciiTheme="minorHAnsi" w:eastAsiaTheme="minorEastAsia" w:hAnsiTheme="minorHAnsi" w:cstheme="minorBidi"/>
          <w:noProof/>
          <w:szCs w:val="22"/>
          <w:lang w:eastAsia="en-NZ"/>
        </w:rPr>
      </w:pPr>
      <w:r>
        <w:rPr>
          <w:noProof/>
        </w:rPr>
        <w:t>1.3</w:t>
      </w:r>
      <w:r>
        <w:rPr>
          <w:rFonts w:asciiTheme="minorHAnsi" w:eastAsiaTheme="minorEastAsia" w:hAnsiTheme="minorHAnsi" w:cstheme="minorBidi"/>
          <w:noProof/>
          <w:szCs w:val="22"/>
          <w:lang w:eastAsia="en-NZ"/>
        </w:rPr>
        <w:tab/>
      </w:r>
      <w:r>
        <w:rPr>
          <w:noProof/>
        </w:rPr>
        <w:t>Objectives</w:t>
      </w:r>
      <w:r>
        <w:rPr>
          <w:noProof/>
        </w:rPr>
        <w:tab/>
      </w:r>
      <w:r>
        <w:rPr>
          <w:noProof/>
        </w:rPr>
        <w:fldChar w:fldCharType="begin"/>
      </w:r>
      <w:r>
        <w:rPr>
          <w:noProof/>
        </w:rPr>
        <w:instrText xml:space="preserve"> PAGEREF _Toc465165466 \h </w:instrText>
      </w:r>
      <w:r>
        <w:rPr>
          <w:noProof/>
        </w:rPr>
      </w:r>
      <w:r>
        <w:rPr>
          <w:noProof/>
        </w:rPr>
        <w:fldChar w:fldCharType="separate"/>
      </w:r>
      <w:r w:rsidR="00385740">
        <w:rPr>
          <w:noProof/>
        </w:rPr>
        <w:t>2</w:t>
      </w:r>
      <w:r>
        <w:rPr>
          <w:noProof/>
        </w:rPr>
        <w:fldChar w:fldCharType="end"/>
      </w:r>
    </w:p>
    <w:p w14:paraId="3B475F3E" w14:textId="2307CD49" w:rsidR="00C200EA" w:rsidRDefault="00C200EA">
      <w:pPr>
        <w:pStyle w:val="TOC2"/>
        <w:rPr>
          <w:rFonts w:asciiTheme="minorHAnsi" w:eastAsiaTheme="minorEastAsia" w:hAnsiTheme="minorHAnsi" w:cstheme="minorBidi"/>
          <w:noProof/>
          <w:szCs w:val="22"/>
          <w:lang w:eastAsia="en-NZ"/>
        </w:rPr>
      </w:pPr>
      <w:r>
        <w:rPr>
          <w:noProof/>
        </w:rPr>
        <w:t>1.4</w:t>
      </w:r>
      <w:r>
        <w:rPr>
          <w:rFonts w:asciiTheme="minorHAnsi" w:eastAsiaTheme="minorEastAsia" w:hAnsiTheme="minorHAnsi" w:cstheme="minorBidi"/>
          <w:noProof/>
          <w:szCs w:val="22"/>
          <w:lang w:eastAsia="en-NZ"/>
        </w:rPr>
        <w:tab/>
      </w:r>
      <w:r>
        <w:rPr>
          <w:noProof/>
        </w:rPr>
        <w:t>Priorities</w:t>
      </w:r>
      <w:r>
        <w:rPr>
          <w:noProof/>
        </w:rPr>
        <w:tab/>
      </w:r>
      <w:r>
        <w:rPr>
          <w:noProof/>
        </w:rPr>
        <w:fldChar w:fldCharType="begin"/>
      </w:r>
      <w:r>
        <w:rPr>
          <w:noProof/>
        </w:rPr>
        <w:instrText xml:space="preserve"> PAGEREF _Toc465165467 \h </w:instrText>
      </w:r>
      <w:r>
        <w:rPr>
          <w:noProof/>
        </w:rPr>
      </w:r>
      <w:r>
        <w:rPr>
          <w:noProof/>
        </w:rPr>
        <w:fldChar w:fldCharType="separate"/>
      </w:r>
      <w:r w:rsidR="00385740">
        <w:rPr>
          <w:noProof/>
        </w:rPr>
        <w:t>2</w:t>
      </w:r>
      <w:r>
        <w:rPr>
          <w:noProof/>
        </w:rPr>
        <w:fldChar w:fldCharType="end"/>
      </w:r>
    </w:p>
    <w:p w14:paraId="3C1D94A2" w14:textId="2E56F313" w:rsidR="00C200EA" w:rsidRDefault="00C200EA">
      <w:pPr>
        <w:pStyle w:val="TOC1"/>
        <w:rPr>
          <w:rFonts w:asciiTheme="minorHAnsi" w:eastAsiaTheme="minorEastAsia" w:hAnsiTheme="minorHAnsi" w:cstheme="minorBidi"/>
          <w:b w:val="0"/>
          <w:noProof/>
          <w:szCs w:val="22"/>
          <w:lang w:eastAsia="en-NZ"/>
        </w:rPr>
      </w:pPr>
      <w:r>
        <w:rPr>
          <w:noProof/>
        </w:rPr>
        <w:t>2</w:t>
      </w:r>
      <w:r>
        <w:rPr>
          <w:rFonts w:asciiTheme="minorHAnsi" w:eastAsiaTheme="minorEastAsia" w:hAnsiTheme="minorHAnsi" w:cstheme="minorBidi"/>
          <w:b w:val="0"/>
          <w:noProof/>
          <w:szCs w:val="22"/>
          <w:lang w:eastAsia="en-NZ"/>
        </w:rPr>
        <w:tab/>
      </w:r>
      <w:r>
        <w:rPr>
          <w:noProof/>
        </w:rPr>
        <w:t>Programme logistics and operational planning</w:t>
      </w:r>
      <w:r>
        <w:rPr>
          <w:noProof/>
        </w:rPr>
        <w:tab/>
      </w:r>
      <w:r>
        <w:rPr>
          <w:noProof/>
        </w:rPr>
        <w:fldChar w:fldCharType="begin"/>
      </w:r>
      <w:r>
        <w:rPr>
          <w:noProof/>
        </w:rPr>
        <w:instrText xml:space="preserve"> PAGEREF _Toc465165468 \h </w:instrText>
      </w:r>
      <w:r>
        <w:rPr>
          <w:noProof/>
        </w:rPr>
      </w:r>
      <w:r>
        <w:rPr>
          <w:noProof/>
        </w:rPr>
        <w:fldChar w:fldCharType="separate"/>
      </w:r>
      <w:r w:rsidR="00385740">
        <w:rPr>
          <w:noProof/>
        </w:rPr>
        <w:t>3</w:t>
      </w:r>
      <w:r>
        <w:rPr>
          <w:noProof/>
        </w:rPr>
        <w:fldChar w:fldCharType="end"/>
      </w:r>
    </w:p>
    <w:p w14:paraId="55DBCCCA" w14:textId="21686890" w:rsidR="00C200EA" w:rsidRDefault="00C200EA">
      <w:pPr>
        <w:pStyle w:val="TOC2"/>
        <w:rPr>
          <w:rFonts w:asciiTheme="minorHAnsi" w:eastAsiaTheme="minorEastAsia" w:hAnsiTheme="minorHAnsi" w:cstheme="minorBidi"/>
          <w:noProof/>
          <w:szCs w:val="22"/>
          <w:lang w:eastAsia="en-NZ"/>
        </w:rPr>
      </w:pPr>
      <w:r>
        <w:rPr>
          <w:noProof/>
        </w:rPr>
        <w:t>2.1</w:t>
      </w:r>
      <w:r>
        <w:rPr>
          <w:rFonts w:asciiTheme="minorHAnsi" w:eastAsiaTheme="minorEastAsia" w:hAnsiTheme="minorHAnsi" w:cstheme="minorBidi"/>
          <w:noProof/>
          <w:szCs w:val="22"/>
          <w:lang w:eastAsia="en-NZ"/>
        </w:rPr>
        <w:tab/>
      </w:r>
      <w:r>
        <w:rPr>
          <w:noProof/>
        </w:rPr>
        <w:t>Introduction</w:t>
      </w:r>
      <w:r>
        <w:rPr>
          <w:noProof/>
        </w:rPr>
        <w:tab/>
      </w:r>
      <w:r>
        <w:rPr>
          <w:noProof/>
        </w:rPr>
        <w:fldChar w:fldCharType="begin"/>
      </w:r>
      <w:r>
        <w:rPr>
          <w:noProof/>
        </w:rPr>
        <w:instrText xml:space="preserve"> PAGEREF _Toc465165469 \h </w:instrText>
      </w:r>
      <w:r>
        <w:rPr>
          <w:noProof/>
        </w:rPr>
      </w:r>
      <w:r>
        <w:rPr>
          <w:noProof/>
        </w:rPr>
        <w:fldChar w:fldCharType="separate"/>
      </w:r>
      <w:r w:rsidR="00385740">
        <w:rPr>
          <w:noProof/>
        </w:rPr>
        <w:t>3</w:t>
      </w:r>
      <w:r>
        <w:rPr>
          <w:noProof/>
        </w:rPr>
        <w:fldChar w:fldCharType="end"/>
      </w:r>
    </w:p>
    <w:p w14:paraId="6C4C353A" w14:textId="7A488C3C" w:rsidR="00C200EA" w:rsidRDefault="00C200EA">
      <w:pPr>
        <w:pStyle w:val="TOC2"/>
        <w:rPr>
          <w:rFonts w:asciiTheme="minorHAnsi" w:eastAsiaTheme="minorEastAsia" w:hAnsiTheme="minorHAnsi" w:cstheme="minorBidi"/>
          <w:noProof/>
          <w:szCs w:val="22"/>
          <w:lang w:eastAsia="en-NZ"/>
        </w:rPr>
      </w:pPr>
      <w:r>
        <w:rPr>
          <w:noProof/>
        </w:rPr>
        <w:t>2.2</w:t>
      </w:r>
      <w:r>
        <w:rPr>
          <w:rFonts w:asciiTheme="minorHAnsi" w:eastAsiaTheme="minorEastAsia" w:hAnsiTheme="minorHAnsi" w:cstheme="minorBidi"/>
          <w:noProof/>
          <w:szCs w:val="22"/>
          <w:lang w:eastAsia="en-NZ"/>
        </w:rPr>
        <w:tab/>
      </w:r>
      <w:r>
        <w:rPr>
          <w:noProof/>
        </w:rPr>
        <w:t>Building on existing relationships to engage schools</w:t>
      </w:r>
      <w:r>
        <w:rPr>
          <w:noProof/>
        </w:rPr>
        <w:tab/>
      </w:r>
      <w:r>
        <w:rPr>
          <w:noProof/>
        </w:rPr>
        <w:fldChar w:fldCharType="begin"/>
      </w:r>
      <w:r>
        <w:rPr>
          <w:noProof/>
        </w:rPr>
        <w:instrText xml:space="preserve"> PAGEREF _Toc465165470 \h </w:instrText>
      </w:r>
      <w:r>
        <w:rPr>
          <w:noProof/>
        </w:rPr>
      </w:r>
      <w:r>
        <w:rPr>
          <w:noProof/>
        </w:rPr>
        <w:fldChar w:fldCharType="separate"/>
      </w:r>
      <w:r w:rsidR="00385740">
        <w:rPr>
          <w:noProof/>
        </w:rPr>
        <w:t>4</w:t>
      </w:r>
      <w:r>
        <w:rPr>
          <w:noProof/>
        </w:rPr>
        <w:fldChar w:fldCharType="end"/>
      </w:r>
    </w:p>
    <w:p w14:paraId="42A2D5BA" w14:textId="39FF1B8B" w:rsidR="00C200EA" w:rsidRDefault="00C200EA">
      <w:pPr>
        <w:pStyle w:val="TOC2"/>
        <w:rPr>
          <w:rFonts w:asciiTheme="minorHAnsi" w:eastAsiaTheme="minorEastAsia" w:hAnsiTheme="minorHAnsi" w:cstheme="minorBidi"/>
          <w:noProof/>
          <w:szCs w:val="22"/>
          <w:lang w:eastAsia="en-NZ"/>
        </w:rPr>
      </w:pPr>
      <w:r>
        <w:rPr>
          <w:noProof/>
        </w:rPr>
        <w:t>2.3</w:t>
      </w:r>
      <w:r>
        <w:rPr>
          <w:rFonts w:asciiTheme="minorHAnsi" w:eastAsiaTheme="minorEastAsia" w:hAnsiTheme="minorHAnsi" w:cstheme="minorBidi"/>
          <w:noProof/>
          <w:szCs w:val="22"/>
          <w:lang w:eastAsia="en-NZ"/>
        </w:rPr>
        <w:tab/>
      </w:r>
      <w:r>
        <w:rPr>
          <w:noProof/>
        </w:rPr>
        <w:t>Vaccine supply and cold chain management</w:t>
      </w:r>
      <w:r>
        <w:rPr>
          <w:noProof/>
        </w:rPr>
        <w:tab/>
      </w:r>
      <w:r>
        <w:rPr>
          <w:noProof/>
        </w:rPr>
        <w:fldChar w:fldCharType="begin"/>
      </w:r>
      <w:r>
        <w:rPr>
          <w:noProof/>
        </w:rPr>
        <w:instrText xml:space="preserve"> PAGEREF _Toc465165471 \h </w:instrText>
      </w:r>
      <w:r>
        <w:rPr>
          <w:noProof/>
        </w:rPr>
      </w:r>
      <w:r>
        <w:rPr>
          <w:noProof/>
        </w:rPr>
        <w:fldChar w:fldCharType="separate"/>
      </w:r>
      <w:r w:rsidR="00385740">
        <w:rPr>
          <w:noProof/>
        </w:rPr>
        <w:t>5</w:t>
      </w:r>
      <w:r>
        <w:rPr>
          <w:noProof/>
        </w:rPr>
        <w:fldChar w:fldCharType="end"/>
      </w:r>
    </w:p>
    <w:p w14:paraId="7BEE0A85" w14:textId="7B06422E" w:rsidR="00C200EA" w:rsidRDefault="00C200EA">
      <w:pPr>
        <w:pStyle w:val="TOC2"/>
        <w:rPr>
          <w:rFonts w:asciiTheme="minorHAnsi" w:eastAsiaTheme="minorEastAsia" w:hAnsiTheme="minorHAnsi" w:cstheme="minorBidi"/>
          <w:noProof/>
          <w:szCs w:val="22"/>
          <w:lang w:eastAsia="en-NZ"/>
        </w:rPr>
      </w:pPr>
      <w:r>
        <w:rPr>
          <w:noProof/>
        </w:rPr>
        <w:t>2.4</w:t>
      </w:r>
      <w:r>
        <w:rPr>
          <w:rFonts w:asciiTheme="minorHAnsi" w:eastAsiaTheme="minorEastAsia" w:hAnsiTheme="minorHAnsi" w:cstheme="minorBidi"/>
          <w:noProof/>
          <w:szCs w:val="22"/>
          <w:lang w:eastAsia="en-NZ"/>
        </w:rPr>
        <w:tab/>
      </w:r>
      <w:r>
        <w:rPr>
          <w:noProof/>
        </w:rPr>
        <w:t>Equipment and logistics</w:t>
      </w:r>
      <w:r>
        <w:rPr>
          <w:noProof/>
        </w:rPr>
        <w:tab/>
      </w:r>
      <w:r>
        <w:rPr>
          <w:noProof/>
        </w:rPr>
        <w:fldChar w:fldCharType="begin"/>
      </w:r>
      <w:r>
        <w:rPr>
          <w:noProof/>
        </w:rPr>
        <w:instrText xml:space="preserve"> PAGEREF _Toc465165472 \h </w:instrText>
      </w:r>
      <w:r>
        <w:rPr>
          <w:noProof/>
        </w:rPr>
      </w:r>
      <w:r>
        <w:rPr>
          <w:noProof/>
        </w:rPr>
        <w:fldChar w:fldCharType="separate"/>
      </w:r>
      <w:r w:rsidR="00385740">
        <w:rPr>
          <w:noProof/>
        </w:rPr>
        <w:t>6</w:t>
      </w:r>
      <w:r>
        <w:rPr>
          <w:noProof/>
        </w:rPr>
        <w:fldChar w:fldCharType="end"/>
      </w:r>
    </w:p>
    <w:p w14:paraId="76169B3B" w14:textId="57368796" w:rsidR="00C200EA" w:rsidRDefault="00C200EA">
      <w:pPr>
        <w:pStyle w:val="TOC1"/>
        <w:rPr>
          <w:rFonts w:asciiTheme="minorHAnsi" w:eastAsiaTheme="minorEastAsia" w:hAnsiTheme="minorHAnsi" w:cstheme="minorBidi"/>
          <w:b w:val="0"/>
          <w:noProof/>
          <w:szCs w:val="22"/>
          <w:lang w:eastAsia="en-NZ"/>
        </w:rPr>
      </w:pPr>
      <w:r>
        <w:rPr>
          <w:noProof/>
        </w:rPr>
        <w:t>3</w:t>
      </w:r>
      <w:r>
        <w:rPr>
          <w:rFonts w:asciiTheme="minorHAnsi" w:eastAsiaTheme="minorEastAsia" w:hAnsiTheme="minorHAnsi" w:cstheme="minorBidi"/>
          <w:b w:val="0"/>
          <w:noProof/>
          <w:szCs w:val="22"/>
          <w:lang w:eastAsia="en-NZ"/>
        </w:rPr>
        <w:tab/>
      </w:r>
      <w:r>
        <w:rPr>
          <w:noProof/>
        </w:rPr>
        <w:t>Planning, preparation and implementation</w:t>
      </w:r>
      <w:r>
        <w:rPr>
          <w:noProof/>
        </w:rPr>
        <w:tab/>
      </w:r>
      <w:r>
        <w:rPr>
          <w:noProof/>
        </w:rPr>
        <w:fldChar w:fldCharType="begin"/>
      </w:r>
      <w:r>
        <w:rPr>
          <w:noProof/>
        </w:rPr>
        <w:instrText xml:space="preserve"> PAGEREF _Toc465165473 \h </w:instrText>
      </w:r>
      <w:r>
        <w:rPr>
          <w:noProof/>
        </w:rPr>
      </w:r>
      <w:r>
        <w:rPr>
          <w:noProof/>
        </w:rPr>
        <w:fldChar w:fldCharType="separate"/>
      </w:r>
      <w:r w:rsidR="00385740">
        <w:rPr>
          <w:noProof/>
        </w:rPr>
        <w:t>7</w:t>
      </w:r>
      <w:r>
        <w:rPr>
          <w:noProof/>
        </w:rPr>
        <w:fldChar w:fldCharType="end"/>
      </w:r>
    </w:p>
    <w:p w14:paraId="5C4E1DA5" w14:textId="2DB085B6" w:rsidR="00C200EA" w:rsidRDefault="00C200EA">
      <w:pPr>
        <w:pStyle w:val="TOC2"/>
        <w:rPr>
          <w:rFonts w:asciiTheme="minorHAnsi" w:eastAsiaTheme="minorEastAsia" w:hAnsiTheme="minorHAnsi" w:cstheme="minorBidi"/>
          <w:noProof/>
          <w:szCs w:val="22"/>
          <w:lang w:eastAsia="en-NZ"/>
        </w:rPr>
      </w:pPr>
      <w:r>
        <w:rPr>
          <w:noProof/>
        </w:rPr>
        <w:t>3.1</w:t>
      </w:r>
      <w:r>
        <w:rPr>
          <w:rFonts w:asciiTheme="minorHAnsi" w:eastAsiaTheme="minorEastAsia" w:hAnsiTheme="minorHAnsi" w:cstheme="minorBidi"/>
          <w:noProof/>
          <w:szCs w:val="22"/>
          <w:lang w:eastAsia="en-NZ"/>
        </w:rPr>
        <w:tab/>
      </w:r>
      <w:r>
        <w:rPr>
          <w:noProof/>
        </w:rPr>
        <w:t>Overview</w:t>
      </w:r>
      <w:r>
        <w:rPr>
          <w:noProof/>
        </w:rPr>
        <w:tab/>
      </w:r>
      <w:r>
        <w:rPr>
          <w:noProof/>
        </w:rPr>
        <w:fldChar w:fldCharType="begin"/>
      </w:r>
      <w:r>
        <w:rPr>
          <w:noProof/>
        </w:rPr>
        <w:instrText xml:space="preserve"> PAGEREF _Toc465165474 \h </w:instrText>
      </w:r>
      <w:r>
        <w:rPr>
          <w:noProof/>
        </w:rPr>
      </w:r>
      <w:r>
        <w:rPr>
          <w:noProof/>
        </w:rPr>
        <w:fldChar w:fldCharType="separate"/>
      </w:r>
      <w:r w:rsidR="00385740">
        <w:rPr>
          <w:noProof/>
        </w:rPr>
        <w:t>7</w:t>
      </w:r>
      <w:r>
        <w:rPr>
          <w:noProof/>
        </w:rPr>
        <w:fldChar w:fldCharType="end"/>
      </w:r>
    </w:p>
    <w:p w14:paraId="3BD41C7B" w14:textId="57B2B4FF" w:rsidR="00C200EA" w:rsidRDefault="00C200EA">
      <w:pPr>
        <w:pStyle w:val="TOC2"/>
        <w:rPr>
          <w:rFonts w:asciiTheme="minorHAnsi" w:eastAsiaTheme="minorEastAsia" w:hAnsiTheme="minorHAnsi" w:cstheme="minorBidi"/>
          <w:noProof/>
          <w:szCs w:val="22"/>
          <w:lang w:eastAsia="en-NZ"/>
        </w:rPr>
      </w:pPr>
      <w:r>
        <w:rPr>
          <w:noProof/>
        </w:rPr>
        <w:t>3.2</w:t>
      </w:r>
      <w:r>
        <w:rPr>
          <w:rFonts w:asciiTheme="minorHAnsi" w:eastAsiaTheme="minorEastAsia" w:hAnsiTheme="minorHAnsi" w:cstheme="minorBidi"/>
          <w:noProof/>
          <w:szCs w:val="22"/>
          <w:lang w:eastAsia="en-NZ"/>
        </w:rPr>
        <w:tab/>
      </w:r>
      <w:r>
        <w:rPr>
          <w:noProof/>
        </w:rPr>
        <w:t>Timely scheduling</w:t>
      </w:r>
      <w:r>
        <w:rPr>
          <w:noProof/>
        </w:rPr>
        <w:tab/>
      </w:r>
      <w:r>
        <w:rPr>
          <w:noProof/>
        </w:rPr>
        <w:fldChar w:fldCharType="begin"/>
      </w:r>
      <w:r>
        <w:rPr>
          <w:noProof/>
        </w:rPr>
        <w:instrText xml:space="preserve"> PAGEREF _Toc465165475 \h </w:instrText>
      </w:r>
      <w:r>
        <w:rPr>
          <w:noProof/>
        </w:rPr>
      </w:r>
      <w:r>
        <w:rPr>
          <w:noProof/>
        </w:rPr>
        <w:fldChar w:fldCharType="separate"/>
      </w:r>
      <w:r w:rsidR="00385740">
        <w:rPr>
          <w:noProof/>
        </w:rPr>
        <w:t>7</w:t>
      </w:r>
      <w:r>
        <w:rPr>
          <w:noProof/>
        </w:rPr>
        <w:fldChar w:fldCharType="end"/>
      </w:r>
    </w:p>
    <w:p w14:paraId="535576D8" w14:textId="2A333BFB" w:rsidR="00C200EA" w:rsidRDefault="00C200EA">
      <w:pPr>
        <w:pStyle w:val="TOC1"/>
        <w:rPr>
          <w:rFonts w:asciiTheme="minorHAnsi" w:eastAsiaTheme="minorEastAsia" w:hAnsiTheme="minorHAnsi" w:cstheme="minorBidi"/>
          <w:b w:val="0"/>
          <w:noProof/>
          <w:szCs w:val="22"/>
          <w:lang w:eastAsia="en-NZ"/>
        </w:rPr>
      </w:pPr>
      <w:r>
        <w:rPr>
          <w:noProof/>
        </w:rPr>
        <w:t>4</w:t>
      </w:r>
      <w:r>
        <w:rPr>
          <w:rFonts w:asciiTheme="minorHAnsi" w:eastAsiaTheme="minorEastAsia" w:hAnsiTheme="minorHAnsi" w:cstheme="minorBidi"/>
          <w:b w:val="0"/>
          <w:noProof/>
          <w:szCs w:val="22"/>
          <w:lang w:eastAsia="en-NZ"/>
        </w:rPr>
        <w:tab/>
      </w:r>
      <w:r>
        <w:rPr>
          <w:noProof/>
        </w:rPr>
        <w:t>Immunisation information systems</w:t>
      </w:r>
      <w:r>
        <w:rPr>
          <w:noProof/>
        </w:rPr>
        <w:tab/>
      </w:r>
      <w:r>
        <w:rPr>
          <w:noProof/>
        </w:rPr>
        <w:fldChar w:fldCharType="begin"/>
      </w:r>
      <w:r>
        <w:rPr>
          <w:noProof/>
        </w:rPr>
        <w:instrText xml:space="preserve"> PAGEREF _Toc465165476 \h </w:instrText>
      </w:r>
      <w:r>
        <w:rPr>
          <w:noProof/>
        </w:rPr>
      </w:r>
      <w:r>
        <w:rPr>
          <w:noProof/>
        </w:rPr>
        <w:fldChar w:fldCharType="separate"/>
      </w:r>
      <w:r w:rsidR="00385740">
        <w:rPr>
          <w:noProof/>
        </w:rPr>
        <w:t>11</w:t>
      </w:r>
      <w:r>
        <w:rPr>
          <w:noProof/>
        </w:rPr>
        <w:fldChar w:fldCharType="end"/>
      </w:r>
    </w:p>
    <w:p w14:paraId="10BD2658" w14:textId="7254172E" w:rsidR="00C200EA" w:rsidRDefault="00C200EA">
      <w:pPr>
        <w:pStyle w:val="TOC2"/>
        <w:rPr>
          <w:rFonts w:asciiTheme="minorHAnsi" w:eastAsiaTheme="minorEastAsia" w:hAnsiTheme="minorHAnsi" w:cstheme="minorBidi"/>
          <w:noProof/>
          <w:szCs w:val="22"/>
          <w:lang w:eastAsia="en-NZ"/>
        </w:rPr>
      </w:pPr>
      <w:r>
        <w:rPr>
          <w:noProof/>
        </w:rPr>
        <w:t>4.1</w:t>
      </w:r>
      <w:r>
        <w:rPr>
          <w:rFonts w:asciiTheme="minorHAnsi" w:eastAsiaTheme="minorEastAsia" w:hAnsiTheme="minorHAnsi" w:cstheme="minorBidi"/>
          <w:noProof/>
          <w:szCs w:val="22"/>
          <w:lang w:eastAsia="en-NZ"/>
        </w:rPr>
        <w:tab/>
      </w:r>
      <w:r>
        <w:rPr>
          <w:noProof/>
        </w:rPr>
        <w:t>The National Immunisation Register</w:t>
      </w:r>
      <w:r>
        <w:rPr>
          <w:noProof/>
        </w:rPr>
        <w:tab/>
      </w:r>
      <w:r>
        <w:rPr>
          <w:noProof/>
        </w:rPr>
        <w:fldChar w:fldCharType="begin"/>
      </w:r>
      <w:r>
        <w:rPr>
          <w:noProof/>
        </w:rPr>
        <w:instrText xml:space="preserve"> PAGEREF _Toc465165477 \h </w:instrText>
      </w:r>
      <w:r>
        <w:rPr>
          <w:noProof/>
        </w:rPr>
      </w:r>
      <w:r>
        <w:rPr>
          <w:noProof/>
        </w:rPr>
        <w:fldChar w:fldCharType="separate"/>
      </w:r>
      <w:r w:rsidR="00385740">
        <w:rPr>
          <w:noProof/>
        </w:rPr>
        <w:t>11</w:t>
      </w:r>
      <w:r>
        <w:rPr>
          <w:noProof/>
        </w:rPr>
        <w:fldChar w:fldCharType="end"/>
      </w:r>
    </w:p>
    <w:p w14:paraId="4374CAB2" w14:textId="63B66E9F" w:rsidR="00C200EA" w:rsidRDefault="00C200EA">
      <w:pPr>
        <w:pStyle w:val="TOC2"/>
        <w:rPr>
          <w:rFonts w:asciiTheme="minorHAnsi" w:eastAsiaTheme="minorEastAsia" w:hAnsiTheme="minorHAnsi" w:cstheme="minorBidi"/>
          <w:noProof/>
          <w:szCs w:val="22"/>
          <w:lang w:eastAsia="en-NZ"/>
        </w:rPr>
      </w:pPr>
      <w:r>
        <w:rPr>
          <w:noProof/>
        </w:rPr>
        <w:t>4.2</w:t>
      </w:r>
      <w:r>
        <w:rPr>
          <w:rFonts w:asciiTheme="minorHAnsi" w:eastAsiaTheme="minorEastAsia" w:hAnsiTheme="minorHAnsi" w:cstheme="minorBidi"/>
          <w:noProof/>
          <w:szCs w:val="22"/>
          <w:lang w:eastAsia="en-NZ"/>
        </w:rPr>
        <w:tab/>
      </w:r>
      <w:r>
        <w:rPr>
          <w:noProof/>
        </w:rPr>
        <w:t>The school-based vaccination system</w:t>
      </w:r>
      <w:r>
        <w:rPr>
          <w:noProof/>
        </w:rPr>
        <w:tab/>
      </w:r>
      <w:r>
        <w:rPr>
          <w:noProof/>
        </w:rPr>
        <w:fldChar w:fldCharType="begin"/>
      </w:r>
      <w:r>
        <w:rPr>
          <w:noProof/>
        </w:rPr>
        <w:instrText xml:space="preserve"> PAGEREF _Toc465165478 \h </w:instrText>
      </w:r>
      <w:r>
        <w:rPr>
          <w:noProof/>
        </w:rPr>
      </w:r>
      <w:r>
        <w:rPr>
          <w:noProof/>
        </w:rPr>
        <w:fldChar w:fldCharType="separate"/>
      </w:r>
      <w:r w:rsidR="00385740">
        <w:rPr>
          <w:noProof/>
        </w:rPr>
        <w:t>12</w:t>
      </w:r>
      <w:r>
        <w:rPr>
          <w:noProof/>
        </w:rPr>
        <w:fldChar w:fldCharType="end"/>
      </w:r>
    </w:p>
    <w:p w14:paraId="7290E880" w14:textId="7540B4FC" w:rsidR="00C200EA" w:rsidRDefault="00C200EA">
      <w:pPr>
        <w:pStyle w:val="TOC1"/>
        <w:rPr>
          <w:rFonts w:asciiTheme="minorHAnsi" w:eastAsiaTheme="minorEastAsia" w:hAnsiTheme="minorHAnsi" w:cstheme="minorBidi"/>
          <w:b w:val="0"/>
          <w:noProof/>
          <w:szCs w:val="22"/>
          <w:lang w:eastAsia="en-NZ"/>
        </w:rPr>
      </w:pPr>
      <w:r>
        <w:rPr>
          <w:noProof/>
        </w:rPr>
        <w:t>5</w:t>
      </w:r>
      <w:r>
        <w:rPr>
          <w:rFonts w:asciiTheme="minorHAnsi" w:eastAsiaTheme="minorEastAsia" w:hAnsiTheme="minorHAnsi" w:cstheme="minorBidi"/>
          <w:b w:val="0"/>
          <w:noProof/>
          <w:szCs w:val="22"/>
          <w:lang w:eastAsia="en-NZ"/>
        </w:rPr>
        <w:tab/>
      </w:r>
      <w:r>
        <w:rPr>
          <w:noProof/>
        </w:rPr>
        <w:t>Consent for vaccination</w:t>
      </w:r>
      <w:r>
        <w:rPr>
          <w:noProof/>
        </w:rPr>
        <w:tab/>
      </w:r>
      <w:r>
        <w:rPr>
          <w:noProof/>
        </w:rPr>
        <w:fldChar w:fldCharType="begin"/>
      </w:r>
      <w:r>
        <w:rPr>
          <w:noProof/>
        </w:rPr>
        <w:instrText xml:space="preserve"> PAGEREF _Toc465165479 \h </w:instrText>
      </w:r>
      <w:r>
        <w:rPr>
          <w:noProof/>
        </w:rPr>
      </w:r>
      <w:r>
        <w:rPr>
          <w:noProof/>
        </w:rPr>
        <w:fldChar w:fldCharType="separate"/>
      </w:r>
      <w:r w:rsidR="00385740">
        <w:rPr>
          <w:noProof/>
        </w:rPr>
        <w:t>13</w:t>
      </w:r>
      <w:r>
        <w:rPr>
          <w:noProof/>
        </w:rPr>
        <w:fldChar w:fldCharType="end"/>
      </w:r>
    </w:p>
    <w:p w14:paraId="3C346E89" w14:textId="243B3993" w:rsidR="00C200EA" w:rsidRDefault="00C200EA">
      <w:pPr>
        <w:pStyle w:val="TOC2"/>
        <w:rPr>
          <w:rFonts w:asciiTheme="minorHAnsi" w:eastAsiaTheme="minorEastAsia" w:hAnsiTheme="minorHAnsi" w:cstheme="minorBidi"/>
          <w:noProof/>
          <w:szCs w:val="22"/>
          <w:lang w:eastAsia="en-NZ"/>
        </w:rPr>
      </w:pPr>
      <w:r>
        <w:rPr>
          <w:noProof/>
        </w:rPr>
        <w:t>5.1</w:t>
      </w:r>
      <w:r>
        <w:rPr>
          <w:rFonts w:asciiTheme="minorHAnsi" w:eastAsiaTheme="minorEastAsia" w:hAnsiTheme="minorHAnsi" w:cstheme="minorBidi"/>
          <w:noProof/>
          <w:szCs w:val="22"/>
          <w:lang w:eastAsia="en-NZ"/>
        </w:rPr>
        <w:tab/>
      </w:r>
      <w:r>
        <w:rPr>
          <w:noProof/>
        </w:rPr>
        <w:t>Managing students with existing medical conditions</w:t>
      </w:r>
      <w:r>
        <w:rPr>
          <w:noProof/>
        </w:rPr>
        <w:tab/>
      </w:r>
      <w:r>
        <w:rPr>
          <w:noProof/>
        </w:rPr>
        <w:fldChar w:fldCharType="begin"/>
      </w:r>
      <w:r>
        <w:rPr>
          <w:noProof/>
        </w:rPr>
        <w:instrText xml:space="preserve"> PAGEREF _Toc465165480 \h </w:instrText>
      </w:r>
      <w:r>
        <w:rPr>
          <w:noProof/>
        </w:rPr>
      </w:r>
      <w:r>
        <w:rPr>
          <w:noProof/>
        </w:rPr>
        <w:fldChar w:fldCharType="separate"/>
      </w:r>
      <w:r w:rsidR="00385740">
        <w:rPr>
          <w:noProof/>
        </w:rPr>
        <w:t>13</w:t>
      </w:r>
      <w:r>
        <w:rPr>
          <w:noProof/>
        </w:rPr>
        <w:fldChar w:fldCharType="end"/>
      </w:r>
    </w:p>
    <w:p w14:paraId="4281574F" w14:textId="523BEE0E" w:rsidR="00C200EA" w:rsidRDefault="00C200EA">
      <w:pPr>
        <w:pStyle w:val="TOC2"/>
        <w:rPr>
          <w:rFonts w:asciiTheme="minorHAnsi" w:eastAsiaTheme="minorEastAsia" w:hAnsiTheme="minorHAnsi" w:cstheme="minorBidi"/>
          <w:noProof/>
          <w:szCs w:val="22"/>
          <w:lang w:eastAsia="en-NZ"/>
        </w:rPr>
      </w:pPr>
      <w:r>
        <w:rPr>
          <w:noProof/>
        </w:rPr>
        <w:t>5.2</w:t>
      </w:r>
      <w:r>
        <w:rPr>
          <w:rFonts w:asciiTheme="minorHAnsi" w:eastAsiaTheme="minorEastAsia" w:hAnsiTheme="minorHAnsi" w:cstheme="minorBidi"/>
          <w:noProof/>
          <w:szCs w:val="22"/>
          <w:lang w:eastAsia="en-NZ"/>
        </w:rPr>
        <w:tab/>
      </w:r>
      <w:r>
        <w:rPr>
          <w:noProof/>
        </w:rPr>
        <w:t>Alternatives to parental consent</w:t>
      </w:r>
      <w:r>
        <w:rPr>
          <w:noProof/>
        </w:rPr>
        <w:tab/>
      </w:r>
      <w:r>
        <w:rPr>
          <w:noProof/>
        </w:rPr>
        <w:fldChar w:fldCharType="begin"/>
      </w:r>
      <w:r>
        <w:rPr>
          <w:noProof/>
        </w:rPr>
        <w:instrText xml:space="preserve"> PAGEREF _Toc465165481 \h </w:instrText>
      </w:r>
      <w:r>
        <w:rPr>
          <w:noProof/>
        </w:rPr>
      </w:r>
      <w:r>
        <w:rPr>
          <w:noProof/>
        </w:rPr>
        <w:fldChar w:fldCharType="separate"/>
      </w:r>
      <w:r w:rsidR="00385740">
        <w:rPr>
          <w:noProof/>
        </w:rPr>
        <w:t>13</w:t>
      </w:r>
      <w:r>
        <w:rPr>
          <w:noProof/>
        </w:rPr>
        <w:fldChar w:fldCharType="end"/>
      </w:r>
    </w:p>
    <w:p w14:paraId="76FF4DDC" w14:textId="09ACF981" w:rsidR="00C200EA" w:rsidRDefault="00C200EA">
      <w:pPr>
        <w:pStyle w:val="TOC2"/>
        <w:rPr>
          <w:rFonts w:asciiTheme="minorHAnsi" w:eastAsiaTheme="minorEastAsia" w:hAnsiTheme="minorHAnsi" w:cstheme="minorBidi"/>
          <w:noProof/>
          <w:szCs w:val="22"/>
          <w:lang w:eastAsia="en-NZ"/>
        </w:rPr>
      </w:pPr>
      <w:r>
        <w:rPr>
          <w:noProof/>
        </w:rPr>
        <w:t>5.3</w:t>
      </w:r>
      <w:r>
        <w:rPr>
          <w:rFonts w:asciiTheme="minorHAnsi" w:eastAsiaTheme="minorEastAsia" w:hAnsiTheme="minorHAnsi" w:cstheme="minorBidi"/>
          <w:noProof/>
          <w:szCs w:val="22"/>
          <w:lang w:eastAsia="en-NZ"/>
        </w:rPr>
        <w:tab/>
      </w:r>
      <w:r>
        <w:rPr>
          <w:noProof/>
        </w:rPr>
        <w:t>Following up students who refuse immunisation</w:t>
      </w:r>
      <w:r>
        <w:rPr>
          <w:noProof/>
        </w:rPr>
        <w:tab/>
      </w:r>
      <w:r>
        <w:rPr>
          <w:noProof/>
        </w:rPr>
        <w:fldChar w:fldCharType="begin"/>
      </w:r>
      <w:r>
        <w:rPr>
          <w:noProof/>
        </w:rPr>
        <w:instrText xml:space="preserve"> PAGEREF _Toc465165482 \h </w:instrText>
      </w:r>
      <w:r>
        <w:rPr>
          <w:noProof/>
        </w:rPr>
      </w:r>
      <w:r>
        <w:rPr>
          <w:noProof/>
        </w:rPr>
        <w:fldChar w:fldCharType="separate"/>
      </w:r>
      <w:r w:rsidR="00385740">
        <w:rPr>
          <w:noProof/>
        </w:rPr>
        <w:t>14</w:t>
      </w:r>
      <w:r>
        <w:rPr>
          <w:noProof/>
        </w:rPr>
        <w:fldChar w:fldCharType="end"/>
      </w:r>
    </w:p>
    <w:p w14:paraId="3B5ADACC" w14:textId="4D1DC6EB" w:rsidR="00C200EA" w:rsidRDefault="00C200EA">
      <w:pPr>
        <w:pStyle w:val="TOC2"/>
        <w:rPr>
          <w:rFonts w:asciiTheme="minorHAnsi" w:eastAsiaTheme="minorEastAsia" w:hAnsiTheme="minorHAnsi" w:cstheme="minorBidi"/>
          <w:noProof/>
          <w:szCs w:val="22"/>
          <w:lang w:eastAsia="en-NZ"/>
        </w:rPr>
      </w:pPr>
      <w:r>
        <w:rPr>
          <w:noProof/>
        </w:rPr>
        <w:t>5.4</w:t>
      </w:r>
      <w:r>
        <w:rPr>
          <w:rFonts w:asciiTheme="minorHAnsi" w:eastAsiaTheme="minorEastAsia" w:hAnsiTheme="minorHAnsi" w:cstheme="minorBidi"/>
          <w:noProof/>
          <w:szCs w:val="22"/>
          <w:lang w:eastAsia="en-NZ"/>
        </w:rPr>
        <w:tab/>
      </w:r>
      <w:r>
        <w:rPr>
          <w:noProof/>
        </w:rPr>
        <w:t>Students referred to their GP or primary care</w:t>
      </w:r>
      <w:r>
        <w:rPr>
          <w:noProof/>
        </w:rPr>
        <w:tab/>
      </w:r>
      <w:r>
        <w:rPr>
          <w:noProof/>
        </w:rPr>
        <w:fldChar w:fldCharType="begin"/>
      </w:r>
      <w:r>
        <w:rPr>
          <w:noProof/>
        </w:rPr>
        <w:instrText xml:space="preserve"> PAGEREF _Toc465165483 \h </w:instrText>
      </w:r>
      <w:r>
        <w:rPr>
          <w:noProof/>
        </w:rPr>
      </w:r>
      <w:r>
        <w:rPr>
          <w:noProof/>
        </w:rPr>
        <w:fldChar w:fldCharType="separate"/>
      </w:r>
      <w:r w:rsidR="00385740">
        <w:rPr>
          <w:noProof/>
        </w:rPr>
        <w:t>14</w:t>
      </w:r>
      <w:r>
        <w:rPr>
          <w:noProof/>
        </w:rPr>
        <w:fldChar w:fldCharType="end"/>
      </w:r>
    </w:p>
    <w:p w14:paraId="278890EA" w14:textId="6317C453" w:rsidR="00C200EA" w:rsidRDefault="00C200EA">
      <w:pPr>
        <w:pStyle w:val="TOC2"/>
        <w:rPr>
          <w:rFonts w:asciiTheme="minorHAnsi" w:eastAsiaTheme="minorEastAsia" w:hAnsiTheme="minorHAnsi" w:cstheme="minorBidi"/>
          <w:noProof/>
          <w:szCs w:val="22"/>
          <w:lang w:eastAsia="en-NZ"/>
        </w:rPr>
      </w:pPr>
      <w:r>
        <w:rPr>
          <w:noProof/>
        </w:rPr>
        <w:t>5.5</w:t>
      </w:r>
      <w:r>
        <w:rPr>
          <w:rFonts w:asciiTheme="minorHAnsi" w:eastAsiaTheme="minorEastAsia" w:hAnsiTheme="minorHAnsi" w:cstheme="minorBidi"/>
          <w:noProof/>
          <w:szCs w:val="22"/>
          <w:lang w:eastAsia="en-NZ"/>
        </w:rPr>
        <w:tab/>
      </w:r>
      <w:r>
        <w:rPr>
          <w:noProof/>
        </w:rPr>
        <w:t>GP recall process</w:t>
      </w:r>
      <w:r>
        <w:rPr>
          <w:noProof/>
        </w:rPr>
        <w:tab/>
      </w:r>
      <w:r>
        <w:rPr>
          <w:noProof/>
        </w:rPr>
        <w:fldChar w:fldCharType="begin"/>
      </w:r>
      <w:r>
        <w:rPr>
          <w:noProof/>
        </w:rPr>
        <w:instrText xml:space="preserve"> PAGEREF _Toc465165484 \h </w:instrText>
      </w:r>
      <w:r>
        <w:rPr>
          <w:noProof/>
        </w:rPr>
      </w:r>
      <w:r>
        <w:rPr>
          <w:noProof/>
        </w:rPr>
        <w:fldChar w:fldCharType="separate"/>
      </w:r>
      <w:r w:rsidR="00385740">
        <w:rPr>
          <w:noProof/>
        </w:rPr>
        <w:t>14</w:t>
      </w:r>
      <w:r>
        <w:rPr>
          <w:noProof/>
        </w:rPr>
        <w:fldChar w:fldCharType="end"/>
      </w:r>
    </w:p>
    <w:p w14:paraId="3D2C1B74" w14:textId="4E27364F" w:rsidR="00C200EA" w:rsidRDefault="00C200EA">
      <w:pPr>
        <w:pStyle w:val="TOC1"/>
        <w:rPr>
          <w:rFonts w:asciiTheme="minorHAnsi" w:eastAsiaTheme="minorEastAsia" w:hAnsiTheme="minorHAnsi" w:cstheme="minorBidi"/>
          <w:b w:val="0"/>
          <w:noProof/>
          <w:szCs w:val="22"/>
          <w:lang w:eastAsia="en-NZ"/>
        </w:rPr>
      </w:pPr>
      <w:r>
        <w:rPr>
          <w:noProof/>
        </w:rPr>
        <w:t>6</w:t>
      </w:r>
      <w:r>
        <w:rPr>
          <w:rFonts w:asciiTheme="minorHAnsi" w:eastAsiaTheme="minorEastAsia" w:hAnsiTheme="minorHAnsi" w:cstheme="minorBidi"/>
          <w:b w:val="0"/>
          <w:noProof/>
          <w:szCs w:val="22"/>
          <w:lang w:eastAsia="en-NZ"/>
        </w:rPr>
        <w:tab/>
      </w:r>
      <w:r>
        <w:rPr>
          <w:noProof/>
        </w:rPr>
        <w:t>Suggested equipment list</w:t>
      </w:r>
      <w:r>
        <w:rPr>
          <w:noProof/>
        </w:rPr>
        <w:tab/>
      </w:r>
      <w:r>
        <w:rPr>
          <w:noProof/>
        </w:rPr>
        <w:fldChar w:fldCharType="begin"/>
      </w:r>
      <w:r>
        <w:rPr>
          <w:noProof/>
        </w:rPr>
        <w:instrText xml:space="preserve"> PAGEREF _Toc465165485 \h </w:instrText>
      </w:r>
      <w:r>
        <w:rPr>
          <w:noProof/>
        </w:rPr>
      </w:r>
      <w:r>
        <w:rPr>
          <w:noProof/>
        </w:rPr>
        <w:fldChar w:fldCharType="separate"/>
      </w:r>
      <w:r w:rsidR="00385740">
        <w:rPr>
          <w:noProof/>
        </w:rPr>
        <w:t>15</w:t>
      </w:r>
      <w:r>
        <w:rPr>
          <w:noProof/>
        </w:rPr>
        <w:fldChar w:fldCharType="end"/>
      </w:r>
    </w:p>
    <w:p w14:paraId="6025FEB1" w14:textId="386AA416" w:rsidR="00C200EA" w:rsidRDefault="00C200EA">
      <w:pPr>
        <w:pStyle w:val="TOC1"/>
        <w:rPr>
          <w:rFonts w:asciiTheme="minorHAnsi" w:eastAsiaTheme="minorEastAsia" w:hAnsiTheme="minorHAnsi" w:cstheme="minorBidi"/>
          <w:b w:val="0"/>
          <w:noProof/>
          <w:szCs w:val="22"/>
          <w:lang w:eastAsia="en-NZ"/>
        </w:rPr>
      </w:pPr>
      <w:r>
        <w:rPr>
          <w:noProof/>
        </w:rPr>
        <w:t>7</w:t>
      </w:r>
      <w:r>
        <w:rPr>
          <w:rFonts w:asciiTheme="minorHAnsi" w:eastAsiaTheme="minorEastAsia" w:hAnsiTheme="minorHAnsi" w:cstheme="minorBidi"/>
          <w:b w:val="0"/>
          <w:noProof/>
          <w:szCs w:val="22"/>
          <w:lang w:eastAsia="en-NZ"/>
        </w:rPr>
        <w:tab/>
      </w:r>
      <w:r>
        <w:rPr>
          <w:noProof/>
        </w:rPr>
        <w:t>Programme cold chain</w:t>
      </w:r>
      <w:r>
        <w:rPr>
          <w:noProof/>
        </w:rPr>
        <w:tab/>
      </w:r>
      <w:r>
        <w:rPr>
          <w:noProof/>
        </w:rPr>
        <w:fldChar w:fldCharType="begin"/>
      </w:r>
      <w:r>
        <w:rPr>
          <w:noProof/>
        </w:rPr>
        <w:instrText xml:space="preserve"> PAGEREF _Toc465165486 \h </w:instrText>
      </w:r>
      <w:r>
        <w:rPr>
          <w:noProof/>
        </w:rPr>
      </w:r>
      <w:r>
        <w:rPr>
          <w:noProof/>
        </w:rPr>
        <w:fldChar w:fldCharType="separate"/>
      </w:r>
      <w:r w:rsidR="00385740">
        <w:rPr>
          <w:noProof/>
        </w:rPr>
        <w:t>16</w:t>
      </w:r>
      <w:r>
        <w:rPr>
          <w:noProof/>
        </w:rPr>
        <w:fldChar w:fldCharType="end"/>
      </w:r>
    </w:p>
    <w:p w14:paraId="2CA8A611" w14:textId="39E68013" w:rsidR="00C200EA" w:rsidRDefault="00C200EA">
      <w:pPr>
        <w:pStyle w:val="TOC2"/>
        <w:rPr>
          <w:rFonts w:asciiTheme="minorHAnsi" w:eastAsiaTheme="minorEastAsia" w:hAnsiTheme="minorHAnsi" w:cstheme="minorBidi"/>
          <w:noProof/>
          <w:szCs w:val="22"/>
          <w:lang w:eastAsia="en-NZ"/>
        </w:rPr>
      </w:pPr>
      <w:r>
        <w:rPr>
          <w:noProof/>
        </w:rPr>
        <w:t>7.1</w:t>
      </w:r>
      <w:r>
        <w:rPr>
          <w:rFonts w:asciiTheme="minorHAnsi" w:eastAsiaTheme="minorEastAsia" w:hAnsiTheme="minorHAnsi" w:cstheme="minorBidi"/>
          <w:noProof/>
          <w:szCs w:val="22"/>
          <w:lang w:eastAsia="en-NZ"/>
        </w:rPr>
        <w:tab/>
      </w:r>
      <w:r>
        <w:rPr>
          <w:noProof/>
        </w:rPr>
        <w:t>Cold chain management flow chart</w:t>
      </w:r>
      <w:r>
        <w:rPr>
          <w:noProof/>
        </w:rPr>
        <w:tab/>
      </w:r>
      <w:r>
        <w:rPr>
          <w:noProof/>
        </w:rPr>
        <w:fldChar w:fldCharType="begin"/>
      </w:r>
      <w:r>
        <w:rPr>
          <w:noProof/>
        </w:rPr>
        <w:instrText xml:space="preserve"> PAGEREF _Toc465165487 \h </w:instrText>
      </w:r>
      <w:r>
        <w:rPr>
          <w:noProof/>
        </w:rPr>
      </w:r>
      <w:r>
        <w:rPr>
          <w:noProof/>
        </w:rPr>
        <w:fldChar w:fldCharType="separate"/>
      </w:r>
      <w:r w:rsidR="00385740">
        <w:rPr>
          <w:noProof/>
        </w:rPr>
        <w:t>16</w:t>
      </w:r>
      <w:r>
        <w:rPr>
          <w:noProof/>
        </w:rPr>
        <w:fldChar w:fldCharType="end"/>
      </w:r>
    </w:p>
    <w:p w14:paraId="5CF7A4E1" w14:textId="6719B0D0" w:rsidR="00C200EA" w:rsidRDefault="00C200EA">
      <w:pPr>
        <w:pStyle w:val="TOC2"/>
        <w:rPr>
          <w:rFonts w:asciiTheme="minorHAnsi" w:eastAsiaTheme="minorEastAsia" w:hAnsiTheme="minorHAnsi" w:cstheme="minorBidi"/>
          <w:noProof/>
          <w:szCs w:val="22"/>
          <w:lang w:eastAsia="en-NZ"/>
        </w:rPr>
      </w:pPr>
      <w:r>
        <w:rPr>
          <w:noProof/>
        </w:rPr>
        <w:t>7.2</w:t>
      </w:r>
      <w:r>
        <w:rPr>
          <w:rFonts w:asciiTheme="minorHAnsi" w:eastAsiaTheme="minorEastAsia" w:hAnsiTheme="minorHAnsi" w:cstheme="minorBidi"/>
          <w:noProof/>
          <w:szCs w:val="22"/>
          <w:lang w:eastAsia="en-NZ"/>
        </w:rPr>
        <w:tab/>
      </w:r>
      <w:r>
        <w:rPr>
          <w:noProof/>
        </w:rPr>
        <w:t>Vaccine supply from ProPharma Limited</w:t>
      </w:r>
      <w:r>
        <w:rPr>
          <w:noProof/>
        </w:rPr>
        <w:tab/>
      </w:r>
      <w:r>
        <w:rPr>
          <w:noProof/>
        </w:rPr>
        <w:fldChar w:fldCharType="begin"/>
      </w:r>
      <w:r>
        <w:rPr>
          <w:noProof/>
        </w:rPr>
        <w:instrText xml:space="preserve"> PAGEREF _Toc465165488 \h </w:instrText>
      </w:r>
      <w:r>
        <w:rPr>
          <w:noProof/>
        </w:rPr>
      </w:r>
      <w:r>
        <w:rPr>
          <w:noProof/>
        </w:rPr>
        <w:fldChar w:fldCharType="separate"/>
      </w:r>
      <w:r w:rsidR="00385740">
        <w:rPr>
          <w:noProof/>
        </w:rPr>
        <w:t>17</w:t>
      </w:r>
      <w:r>
        <w:rPr>
          <w:noProof/>
        </w:rPr>
        <w:fldChar w:fldCharType="end"/>
      </w:r>
    </w:p>
    <w:p w14:paraId="237D2940" w14:textId="415A0F65" w:rsidR="00C200EA" w:rsidRDefault="00C200EA">
      <w:pPr>
        <w:pStyle w:val="TOC2"/>
        <w:rPr>
          <w:rFonts w:asciiTheme="minorHAnsi" w:eastAsiaTheme="minorEastAsia" w:hAnsiTheme="minorHAnsi" w:cstheme="minorBidi"/>
          <w:noProof/>
          <w:szCs w:val="22"/>
          <w:lang w:eastAsia="en-NZ"/>
        </w:rPr>
      </w:pPr>
      <w:r>
        <w:rPr>
          <w:noProof/>
        </w:rPr>
        <w:t>7.3</w:t>
      </w:r>
      <w:r>
        <w:rPr>
          <w:rFonts w:asciiTheme="minorHAnsi" w:eastAsiaTheme="minorEastAsia" w:hAnsiTheme="minorHAnsi" w:cstheme="minorBidi"/>
          <w:noProof/>
          <w:szCs w:val="22"/>
          <w:lang w:eastAsia="en-NZ"/>
        </w:rPr>
        <w:tab/>
      </w:r>
      <w:r>
        <w:rPr>
          <w:noProof/>
        </w:rPr>
        <w:t>Guidelines for the purchase of chilly bins for off-site immunisations</w:t>
      </w:r>
      <w:r>
        <w:rPr>
          <w:noProof/>
        </w:rPr>
        <w:tab/>
      </w:r>
      <w:r>
        <w:rPr>
          <w:noProof/>
        </w:rPr>
        <w:fldChar w:fldCharType="begin"/>
      </w:r>
      <w:r>
        <w:rPr>
          <w:noProof/>
        </w:rPr>
        <w:instrText xml:space="preserve"> PAGEREF _Toc465165489 \h </w:instrText>
      </w:r>
      <w:r>
        <w:rPr>
          <w:noProof/>
        </w:rPr>
      </w:r>
      <w:r>
        <w:rPr>
          <w:noProof/>
        </w:rPr>
        <w:fldChar w:fldCharType="separate"/>
      </w:r>
      <w:r w:rsidR="00385740">
        <w:rPr>
          <w:noProof/>
        </w:rPr>
        <w:t>17</w:t>
      </w:r>
      <w:r>
        <w:rPr>
          <w:noProof/>
        </w:rPr>
        <w:fldChar w:fldCharType="end"/>
      </w:r>
    </w:p>
    <w:p w14:paraId="13A44A1B" w14:textId="18CA4E19" w:rsidR="00C200EA" w:rsidRDefault="00C200EA">
      <w:pPr>
        <w:pStyle w:val="TOC2"/>
        <w:rPr>
          <w:rFonts w:asciiTheme="minorHAnsi" w:eastAsiaTheme="minorEastAsia" w:hAnsiTheme="minorHAnsi" w:cstheme="minorBidi"/>
          <w:noProof/>
          <w:szCs w:val="22"/>
          <w:lang w:eastAsia="en-NZ"/>
        </w:rPr>
      </w:pPr>
      <w:r>
        <w:rPr>
          <w:noProof/>
        </w:rPr>
        <w:t>7.4</w:t>
      </w:r>
      <w:r>
        <w:rPr>
          <w:rFonts w:asciiTheme="minorHAnsi" w:eastAsiaTheme="minorEastAsia" w:hAnsiTheme="minorHAnsi" w:cstheme="minorBidi"/>
          <w:noProof/>
          <w:szCs w:val="22"/>
          <w:lang w:eastAsia="en-NZ"/>
        </w:rPr>
        <w:tab/>
      </w:r>
      <w:r>
        <w:rPr>
          <w:noProof/>
        </w:rPr>
        <w:t>Managing cold chain events</w:t>
      </w:r>
      <w:r>
        <w:rPr>
          <w:noProof/>
        </w:rPr>
        <w:tab/>
      </w:r>
      <w:r>
        <w:rPr>
          <w:noProof/>
        </w:rPr>
        <w:fldChar w:fldCharType="begin"/>
      </w:r>
      <w:r>
        <w:rPr>
          <w:noProof/>
        </w:rPr>
        <w:instrText xml:space="preserve"> PAGEREF _Toc465165490 \h </w:instrText>
      </w:r>
      <w:r>
        <w:rPr>
          <w:noProof/>
        </w:rPr>
      </w:r>
      <w:r>
        <w:rPr>
          <w:noProof/>
        </w:rPr>
        <w:fldChar w:fldCharType="separate"/>
      </w:r>
      <w:r w:rsidR="00385740">
        <w:rPr>
          <w:noProof/>
        </w:rPr>
        <w:t>17</w:t>
      </w:r>
      <w:r>
        <w:rPr>
          <w:noProof/>
        </w:rPr>
        <w:fldChar w:fldCharType="end"/>
      </w:r>
    </w:p>
    <w:p w14:paraId="73E03AB8" w14:textId="4DCEEEA9" w:rsidR="009A7CEC" w:rsidRDefault="009A7CEC" w:rsidP="009A7CEC">
      <w:pPr>
        <w:pStyle w:val="TOC1"/>
        <w:keepNext/>
        <w:rPr>
          <w:noProof/>
        </w:rPr>
      </w:pPr>
      <w:r>
        <w:rPr>
          <w:noProof/>
        </w:rPr>
        <w:lastRenderedPageBreak/>
        <w:t>Appendices</w:t>
      </w:r>
    </w:p>
    <w:p w14:paraId="20BB96B9" w14:textId="692F3CAF" w:rsidR="00C200EA" w:rsidRDefault="00C200EA" w:rsidP="009A7CEC">
      <w:pPr>
        <w:pStyle w:val="TOC2"/>
        <w:keepNext/>
        <w:rPr>
          <w:rFonts w:asciiTheme="minorHAnsi" w:eastAsiaTheme="minorEastAsia" w:hAnsiTheme="minorHAnsi" w:cstheme="minorBidi"/>
          <w:b/>
          <w:noProof/>
          <w:szCs w:val="22"/>
          <w:lang w:eastAsia="en-NZ"/>
        </w:rPr>
      </w:pPr>
      <w:r>
        <w:rPr>
          <w:noProof/>
        </w:rPr>
        <w:t>Appendix 1: Programme areas of responsibility for education and health providers</w:t>
      </w:r>
      <w:r>
        <w:rPr>
          <w:noProof/>
        </w:rPr>
        <w:tab/>
      </w:r>
      <w:r>
        <w:rPr>
          <w:noProof/>
        </w:rPr>
        <w:fldChar w:fldCharType="begin"/>
      </w:r>
      <w:r>
        <w:rPr>
          <w:noProof/>
        </w:rPr>
        <w:instrText xml:space="preserve"> PAGEREF _Toc465165491 \h </w:instrText>
      </w:r>
      <w:r>
        <w:rPr>
          <w:noProof/>
        </w:rPr>
      </w:r>
      <w:r>
        <w:rPr>
          <w:noProof/>
        </w:rPr>
        <w:fldChar w:fldCharType="separate"/>
      </w:r>
      <w:r w:rsidR="00385740">
        <w:rPr>
          <w:noProof/>
        </w:rPr>
        <w:t>18</w:t>
      </w:r>
      <w:r>
        <w:rPr>
          <w:noProof/>
        </w:rPr>
        <w:fldChar w:fldCharType="end"/>
      </w:r>
    </w:p>
    <w:p w14:paraId="5791F16D" w14:textId="005FE1B7" w:rsidR="00C200EA" w:rsidRDefault="00C200EA" w:rsidP="009A7CEC">
      <w:pPr>
        <w:pStyle w:val="TOC2"/>
        <w:rPr>
          <w:rFonts w:asciiTheme="minorHAnsi" w:eastAsiaTheme="minorEastAsia" w:hAnsiTheme="minorHAnsi" w:cstheme="minorBidi"/>
          <w:b/>
          <w:noProof/>
          <w:szCs w:val="22"/>
          <w:lang w:eastAsia="en-NZ"/>
        </w:rPr>
      </w:pPr>
      <w:r>
        <w:rPr>
          <w:noProof/>
        </w:rPr>
        <w:t>Appendix 2: Authorised vaccinator</w:t>
      </w:r>
      <w:r>
        <w:rPr>
          <w:noProof/>
        </w:rPr>
        <w:tab/>
      </w:r>
      <w:r>
        <w:rPr>
          <w:noProof/>
        </w:rPr>
        <w:fldChar w:fldCharType="begin"/>
      </w:r>
      <w:r>
        <w:rPr>
          <w:noProof/>
        </w:rPr>
        <w:instrText xml:space="preserve"> PAGEREF _Toc465165492 \h </w:instrText>
      </w:r>
      <w:r>
        <w:rPr>
          <w:noProof/>
        </w:rPr>
      </w:r>
      <w:r>
        <w:rPr>
          <w:noProof/>
        </w:rPr>
        <w:fldChar w:fldCharType="separate"/>
      </w:r>
      <w:r w:rsidR="00385740">
        <w:rPr>
          <w:noProof/>
        </w:rPr>
        <w:t>20</w:t>
      </w:r>
      <w:r>
        <w:rPr>
          <w:noProof/>
        </w:rPr>
        <w:fldChar w:fldCharType="end"/>
      </w:r>
    </w:p>
    <w:p w14:paraId="14E7C19C" w14:textId="61A96A54" w:rsidR="00C200EA" w:rsidRDefault="00C200EA" w:rsidP="009A7CEC">
      <w:pPr>
        <w:pStyle w:val="TOC2"/>
        <w:rPr>
          <w:rFonts w:asciiTheme="minorHAnsi" w:eastAsiaTheme="minorEastAsia" w:hAnsiTheme="minorHAnsi" w:cstheme="minorBidi"/>
          <w:b/>
          <w:noProof/>
          <w:szCs w:val="22"/>
          <w:lang w:eastAsia="en-NZ"/>
        </w:rPr>
      </w:pPr>
      <w:r>
        <w:rPr>
          <w:noProof/>
        </w:rPr>
        <w:t>Appendix 3: Transportation of oxygen</w:t>
      </w:r>
      <w:r>
        <w:rPr>
          <w:noProof/>
        </w:rPr>
        <w:tab/>
      </w:r>
      <w:r>
        <w:rPr>
          <w:noProof/>
        </w:rPr>
        <w:fldChar w:fldCharType="begin"/>
      </w:r>
      <w:r>
        <w:rPr>
          <w:noProof/>
        </w:rPr>
        <w:instrText xml:space="preserve"> PAGEREF _Toc465165493 \h </w:instrText>
      </w:r>
      <w:r>
        <w:rPr>
          <w:noProof/>
        </w:rPr>
      </w:r>
      <w:r>
        <w:rPr>
          <w:noProof/>
        </w:rPr>
        <w:fldChar w:fldCharType="separate"/>
      </w:r>
      <w:r w:rsidR="00385740">
        <w:rPr>
          <w:noProof/>
        </w:rPr>
        <w:t>22</w:t>
      </w:r>
      <w:r>
        <w:rPr>
          <w:noProof/>
        </w:rPr>
        <w:fldChar w:fldCharType="end"/>
      </w:r>
    </w:p>
    <w:p w14:paraId="19FB3D70" w14:textId="15AAEBC7" w:rsidR="00C200EA" w:rsidRDefault="00C200EA" w:rsidP="009A7CEC">
      <w:pPr>
        <w:pStyle w:val="TOC2"/>
        <w:rPr>
          <w:rFonts w:asciiTheme="minorHAnsi" w:eastAsiaTheme="minorEastAsia" w:hAnsiTheme="minorHAnsi" w:cstheme="minorBidi"/>
          <w:b/>
          <w:noProof/>
          <w:szCs w:val="22"/>
          <w:lang w:eastAsia="en-NZ"/>
        </w:rPr>
      </w:pPr>
      <w:r>
        <w:rPr>
          <w:noProof/>
        </w:rPr>
        <w:t>Appendix 4: Adverse events following immunisation</w:t>
      </w:r>
      <w:r>
        <w:rPr>
          <w:noProof/>
        </w:rPr>
        <w:tab/>
      </w:r>
      <w:r>
        <w:rPr>
          <w:noProof/>
        </w:rPr>
        <w:fldChar w:fldCharType="begin"/>
      </w:r>
      <w:r>
        <w:rPr>
          <w:noProof/>
        </w:rPr>
        <w:instrText xml:space="preserve"> PAGEREF _Toc465165494 \h </w:instrText>
      </w:r>
      <w:r>
        <w:rPr>
          <w:noProof/>
        </w:rPr>
      </w:r>
      <w:r>
        <w:rPr>
          <w:noProof/>
        </w:rPr>
        <w:fldChar w:fldCharType="separate"/>
      </w:r>
      <w:r w:rsidR="00385740">
        <w:rPr>
          <w:noProof/>
        </w:rPr>
        <w:t>24</w:t>
      </w:r>
      <w:r>
        <w:rPr>
          <w:noProof/>
        </w:rPr>
        <w:fldChar w:fldCharType="end"/>
      </w:r>
    </w:p>
    <w:p w14:paraId="5670BB44" w14:textId="54DD7F44" w:rsidR="00C200EA" w:rsidRDefault="00C200EA" w:rsidP="009A7CEC">
      <w:pPr>
        <w:pStyle w:val="TOC2"/>
        <w:rPr>
          <w:rFonts w:asciiTheme="minorHAnsi" w:eastAsiaTheme="minorEastAsia" w:hAnsiTheme="minorHAnsi" w:cstheme="minorBidi"/>
          <w:b/>
          <w:noProof/>
          <w:szCs w:val="22"/>
          <w:lang w:eastAsia="en-NZ"/>
        </w:rPr>
      </w:pPr>
      <w:r>
        <w:rPr>
          <w:noProof/>
        </w:rPr>
        <w:t>Appendix 5: Vaccinations offered in the Programme</w:t>
      </w:r>
      <w:r>
        <w:rPr>
          <w:noProof/>
        </w:rPr>
        <w:tab/>
      </w:r>
      <w:r>
        <w:rPr>
          <w:noProof/>
        </w:rPr>
        <w:fldChar w:fldCharType="begin"/>
      </w:r>
      <w:r>
        <w:rPr>
          <w:noProof/>
        </w:rPr>
        <w:instrText xml:space="preserve"> PAGEREF _Toc465165495 \h </w:instrText>
      </w:r>
      <w:r>
        <w:rPr>
          <w:noProof/>
        </w:rPr>
      </w:r>
      <w:r>
        <w:rPr>
          <w:noProof/>
        </w:rPr>
        <w:fldChar w:fldCharType="separate"/>
      </w:r>
      <w:r w:rsidR="00385740">
        <w:rPr>
          <w:noProof/>
        </w:rPr>
        <w:t>25</w:t>
      </w:r>
      <w:r>
        <w:rPr>
          <w:noProof/>
        </w:rPr>
        <w:fldChar w:fldCharType="end"/>
      </w:r>
    </w:p>
    <w:p w14:paraId="3DCD07C7" w14:textId="4A542063" w:rsidR="00C200EA" w:rsidRDefault="00C200EA" w:rsidP="009A7CEC">
      <w:pPr>
        <w:pStyle w:val="TOC2"/>
        <w:rPr>
          <w:rFonts w:asciiTheme="minorHAnsi" w:eastAsiaTheme="minorEastAsia" w:hAnsiTheme="minorHAnsi" w:cstheme="minorBidi"/>
          <w:b/>
          <w:noProof/>
          <w:szCs w:val="22"/>
          <w:lang w:eastAsia="en-NZ"/>
        </w:rPr>
      </w:pPr>
      <w:r>
        <w:rPr>
          <w:noProof/>
        </w:rPr>
        <w:t>Appendix 6: Eligibility criteria for the Programme</w:t>
      </w:r>
      <w:r>
        <w:rPr>
          <w:noProof/>
        </w:rPr>
        <w:tab/>
      </w:r>
      <w:r>
        <w:rPr>
          <w:noProof/>
        </w:rPr>
        <w:fldChar w:fldCharType="begin"/>
      </w:r>
      <w:r>
        <w:rPr>
          <w:noProof/>
        </w:rPr>
        <w:instrText xml:space="preserve"> PAGEREF _Toc465165496 \h </w:instrText>
      </w:r>
      <w:r>
        <w:rPr>
          <w:noProof/>
        </w:rPr>
      </w:r>
      <w:r>
        <w:rPr>
          <w:noProof/>
        </w:rPr>
        <w:fldChar w:fldCharType="separate"/>
      </w:r>
      <w:r w:rsidR="00385740">
        <w:rPr>
          <w:noProof/>
        </w:rPr>
        <w:t>27</w:t>
      </w:r>
      <w:r>
        <w:rPr>
          <w:noProof/>
        </w:rPr>
        <w:fldChar w:fldCharType="end"/>
      </w:r>
    </w:p>
    <w:p w14:paraId="7DB04298" w14:textId="6A4E4792" w:rsidR="00C200EA" w:rsidRDefault="00C200EA">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_Toc465165497 \h </w:instrText>
      </w:r>
      <w:r>
        <w:rPr>
          <w:noProof/>
        </w:rPr>
      </w:r>
      <w:r>
        <w:rPr>
          <w:noProof/>
        </w:rPr>
        <w:fldChar w:fldCharType="separate"/>
      </w:r>
      <w:r w:rsidR="00385740">
        <w:rPr>
          <w:noProof/>
        </w:rPr>
        <w:t>28</w:t>
      </w:r>
      <w:r>
        <w:rPr>
          <w:noProof/>
        </w:rPr>
        <w:fldChar w:fldCharType="end"/>
      </w:r>
    </w:p>
    <w:p w14:paraId="6DF7B13C" w14:textId="5DCC666B" w:rsidR="00C200EA" w:rsidRDefault="00C200EA">
      <w:pPr>
        <w:pStyle w:val="TOC2"/>
        <w:rPr>
          <w:rFonts w:asciiTheme="minorHAnsi" w:eastAsiaTheme="minorEastAsia" w:hAnsiTheme="minorHAnsi" w:cstheme="minorBidi"/>
          <w:noProof/>
          <w:szCs w:val="22"/>
          <w:lang w:eastAsia="en-NZ"/>
        </w:rPr>
      </w:pPr>
      <w:r w:rsidRPr="0076313A">
        <w:rPr>
          <w:rFonts w:eastAsia="Calibri"/>
          <w:noProof/>
        </w:rPr>
        <w:t>Legislation and codes</w:t>
      </w:r>
      <w:r>
        <w:rPr>
          <w:noProof/>
        </w:rPr>
        <w:tab/>
      </w:r>
      <w:r>
        <w:rPr>
          <w:noProof/>
        </w:rPr>
        <w:fldChar w:fldCharType="begin"/>
      </w:r>
      <w:r>
        <w:rPr>
          <w:noProof/>
        </w:rPr>
        <w:instrText xml:space="preserve"> PAGEREF _Toc465165498 \h </w:instrText>
      </w:r>
      <w:r>
        <w:rPr>
          <w:noProof/>
        </w:rPr>
      </w:r>
      <w:r>
        <w:rPr>
          <w:noProof/>
        </w:rPr>
        <w:fldChar w:fldCharType="separate"/>
      </w:r>
      <w:r w:rsidR="00385740">
        <w:rPr>
          <w:noProof/>
        </w:rPr>
        <w:t>29</w:t>
      </w:r>
      <w:r>
        <w:rPr>
          <w:noProof/>
        </w:rPr>
        <w:fldChar w:fldCharType="end"/>
      </w:r>
    </w:p>
    <w:p w14:paraId="6BF7D4D1" w14:textId="77777777" w:rsidR="00C86248" w:rsidRDefault="00C86248">
      <w:r>
        <w:rPr>
          <w:b/>
        </w:rPr>
        <w:fldChar w:fldCharType="end"/>
      </w:r>
    </w:p>
    <w:p w14:paraId="1DAC55C2" w14:textId="77777777" w:rsidR="00C86248" w:rsidRDefault="00C86248"/>
    <w:p w14:paraId="7762A274" w14:textId="77777777" w:rsidR="00C86248" w:rsidRDefault="00C86248" w:rsidP="003B1D10">
      <w:pPr>
        <w:pStyle w:val="TOC1"/>
        <w:keepNext/>
      </w:pPr>
      <w:r>
        <w:t xml:space="preserve">List of </w:t>
      </w:r>
      <w:r w:rsidR="00942740">
        <w:t>t</w:t>
      </w:r>
      <w:r>
        <w:t>ables</w:t>
      </w:r>
    </w:p>
    <w:p w14:paraId="1DFF3813" w14:textId="7511DCCF" w:rsidR="00FC32FC" w:rsidRDefault="00C86248">
      <w:pPr>
        <w:pStyle w:val="TOC3"/>
        <w:rPr>
          <w:rFonts w:asciiTheme="minorHAnsi" w:eastAsiaTheme="minorEastAsia" w:hAnsiTheme="minorHAnsi" w:cstheme="minorBidi"/>
          <w:noProof/>
          <w:szCs w:val="22"/>
          <w:lang w:eastAsia="en-NZ"/>
        </w:rPr>
      </w:pPr>
      <w:r>
        <w:rPr>
          <w:sz w:val="20"/>
        </w:rPr>
        <w:fldChar w:fldCharType="begin"/>
      </w:r>
      <w:r>
        <w:instrText xml:space="preserve"> TOC \t "Table,3" </w:instrText>
      </w:r>
      <w:r>
        <w:rPr>
          <w:sz w:val="20"/>
        </w:rPr>
        <w:fldChar w:fldCharType="separate"/>
      </w:r>
      <w:r w:rsidR="00FC32FC">
        <w:rPr>
          <w:noProof/>
        </w:rPr>
        <w:t>Table 1:</w:t>
      </w:r>
      <w:r w:rsidR="00FC32FC">
        <w:rPr>
          <w:noProof/>
        </w:rPr>
        <w:tab/>
        <w:t>Planning, preparation and implementation for managers</w:t>
      </w:r>
      <w:r w:rsidR="00FC32FC">
        <w:rPr>
          <w:noProof/>
        </w:rPr>
        <w:tab/>
      </w:r>
      <w:r w:rsidR="00FC32FC">
        <w:rPr>
          <w:noProof/>
        </w:rPr>
        <w:fldChar w:fldCharType="begin"/>
      </w:r>
      <w:r w:rsidR="00FC32FC">
        <w:rPr>
          <w:noProof/>
        </w:rPr>
        <w:instrText xml:space="preserve"> PAGEREF _Toc455752862 \h </w:instrText>
      </w:r>
      <w:r w:rsidR="00FC32FC">
        <w:rPr>
          <w:noProof/>
        </w:rPr>
      </w:r>
      <w:r w:rsidR="00FC32FC">
        <w:rPr>
          <w:noProof/>
        </w:rPr>
        <w:fldChar w:fldCharType="separate"/>
      </w:r>
      <w:r w:rsidR="00385740">
        <w:rPr>
          <w:noProof/>
        </w:rPr>
        <w:t>8</w:t>
      </w:r>
      <w:r w:rsidR="00FC32FC">
        <w:rPr>
          <w:noProof/>
        </w:rPr>
        <w:fldChar w:fldCharType="end"/>
      </w:r>
    </w:p>
    <w:p w14:paraId="6316F529" w14:textId="4163ACED" w:rsidR="00FC32FC" w:rsidRDefault="00FC32FC">
      <w:pPr>
        <w:pStyle w:val="TOC3"/>
        <w:rPr>
          <w:rFonts w:asciiTheme="minorHAnsi" w:eastAsiaTheme="minorEastAsia" w:hAnsiTheme="minorHAnsi" w:cstheme="minorBidi"/>
          <w:noProof/>
          <w:szCs w:val="22"/>
          <w:lang w:eastAsia="en-NZ"/>
        </w:rPr>
      </w:pPr>
      <w:r>
        <w:rPr>
          <w:noProof/>
        </w:rPr>
        <w:t>Table 2:</w:t>
      </w:r>
      <w:r>
        <w:rPr>
          <w:noProof/>
        </w:rPr>
        <w:tab/>
        <w:t>Planning, preparation and implementation for public health</w:t>
      </w:r>
      <w:r>
        <w:rPr>
          <w:noProof/>
        </w:rPr>
        <w:tab/>
      </w:r>
      <w:r>
        <w:rPr>
          <w:noProof/>
        </w:rPr>
        <w:fldChar w:fldCharType="begin"/>
      </w:r>
      <w:r>
        <w:rPr>
          <w:noProof/>
        </w:rPr>
        <w:instrText xml:space="preserve"> PAGEREF _Toc455752863 \h </w:instrText>
      </w:r>
      <w:r>
        <w:rPr>
          <w:noProof/>
        </w:rPr>
      </w:r>
      <w:r>
        <w:rPr>
          <w:noProof/>
        </w:rPr>
        <w:fldChar w:fldCharType="separate"/>
      </w:r>
      <w:r w:rsidR="00385740">
        <w:rPr>
          <w:noProof/>
        </w:rPr>
        <w:t>9</w:t>
      </w:r>
      <w:r>
        <w:rPr>
          <w:noProof/>
        </w:rPr>
        <w:fldChar w:fldCharType="end"/>
      </w:r>
    </w:p>
    <w:p w14:paraId="02C811F2" w14:textId="6AEE3C6F" w:rsidR="00FC32FC" w:rsidRDefault="00FC32FC">
      <w:pPr>
        <w:pStyle w:val="TOC3"/>
        <w:rPr>
          <w:rFonts w:asciiTheme="minorHAnsi" w:eastAsiaTheme="minorEastAsia" w:hAnsiTheme="minorHAnsi" w:cstheme="minorBidi"/>
          <w:noProof/>
          <w:szCs w:val="22"/>
          <w:lang w:eastAsia="en-NZ"/>
        </w:rPr>
      </w:pPr>
      <w:r>
        <w:rPr>
          <w:noProof/>
        </w:rPr>
        <w:t>Table 3:</w:t>
      </w:r>
      <w:r>
        <w:rPr>
          <w:noProof/>
        </w:rPr>
        <w:tab/>
        <w:t>Suggested equipment list, per team, for the Programme</w:t>
      </w:r>
      <w:r>
        <w:rPr>
          <w:noProof/>
        </w:rPr>
        <w:tab/>
      </w:r>
      <w:r>
        <w:rPr>
          <w:noProof/>
        </w:rPr>
        <w:fldChar w:fldCharType="begin"/>
      </w:r>
      <w:r>
        <w:rPr>
          <w:noProof/>
        </w:rPr>
        <w:instrText xml:space="preserve"> PAGEREF _Toc455752864 \h </w:instrText>
      </w:r>
      <w:r>
        <w:rPr>
          <w:noProof/>
        </w:rPr>
      </w:r>
      <w:r>
        <w:rPr>
          <w:noProof/>
        </w:rPr>
        <w:fldChar w:fldCharType="separate"/>
      </w:r>
      <w:r w:rsidR="00385740">
        <w:rPr>
          <w:noProof/>
        </w:rPr>
        <w:t>15</w:t>
      </w:r>
      <w:r>
        <w:rPr>
          <w:noProof/>
        </w:rPr>
        <w:fldChar w:fldCharType="end"/>
      </w:r>
    </w:p>
    <w:p w14:paraId="5D44528C" w14:textId="77777777" w:rsidR="00C86248" w:rsidRDefault="00C86248" w:rsidP="0030382F">
      <w:r>
        <w:fldChar w:fldCharType="end"/>
      </w:r>
    </w:p>
    <w:p w14:paraId="7906966C" w14:textId="7953D716" w:rsidR="003A5FEA" w:rsidRDefault="003A5FEA" w:rsidP="003A5FEA"/>
    <w:p w14:paraId="0CC596D0" w14:textId="77777777" w:rsidR="00C86248" w:rsidRDefault="00C86248" w:rsidP="0086388B"/>
    <w:p w14:paraId="13375A7E" w14:textId="77777777" w:rsidR="00C86248" w:rsidRDefault="00C86248">
      <w:pPr>
        <w:sectPr w:rsidR="00C86248" w:rsidSect="009D5125">
          <w:headerReference w:type="even" r:id="rId18"/>
          <w:headerReference w:type="default" r:id="rId19"/>
          <w:footerReference w:type="even" r:id="rId20"/>
          <w:footerReference w:type="default" r:id="rId21"/>
          <w:pgSz w:w="11907" w:h="16840" w:code="9"/>
          <w:pgMar w:top="851" w:right="1134" w:bottom="1134" w:left="1134" w:header="284" w:footer="567" w:gutter="284"/>
          <w:pgNumType w:fmt="lowerRoman"/>
          <w:cols w:space="720"/>
        </w:sectPr>
      </w:pPr>
    </w:p>
    <w:p w14:paraId="4D975EB4" w14:textId="77777777" w:rsidR="008C2973" w:rsidRDefault="0086388B" w:rsidP="008817FF">
      <w:pPr>
        <w:pStyle w:val="Heading1"/>
        <w:numPr>
          <w:ilvl w:val="0"/>
          <w:numId w:val="0"/>
        </w:numPr>
      </w:pPr>
      <w:bookmarkStart w:id="2" w:name="_Toc465165459"/>
      <w:r>
        <w:lastRenderedPageBreak/>
        <w:t>Introduction</w:t>
      </w:r>
      <w:bookmarkEnd w:id="2"/>
    </w:p>
    <w:p w14:paraId="4318EB71" w14:textId="77777777" w:rsidR="003C1D1F" w:rsidRPr="005D1DD1" w:rsidRDefault="003C1D1F" w:rsidP="004519AA">
      <w:pPr>
        <w:pStyle w:val="Heading2"/>
        <w:numPr>
          <w:ilvl w:val="0"/>
          <w:numId w:val="0"/>
        </w:numPr>
      </w:pPr>
      <w:bookmarkStart w:id="3" w:name="_Toc454971502"/>
      <w:bookmarkStart w:id="4" w:name="_Toc465165460"/>
      <w:r w:rsidRPr="005D1DD1">
        <w:t>Purpose</w:t>
      </w:r>
      <w:bookmarkEnd w:id="3"/>
      <w:bookmarkEnd w:id="4"/>
    </w:p>
    <w:p w14:paraId="2E0D35E7" w14:textId="1B831908" w:rsidR="003C1D1F" w:rsidRPr="00BC451B" w:rsidRDefault="003C1D1F" w:rsidP="008817FF">
      <w:r w:rsidRPr="00BC451B">
        <w:t>The purpose of this document is to provide advice and information on the standards and systems that will assist the efficient, effective and safe delivery of vaccination programmes in the school setting.</w:t>
      </w:r>
      <w:r>
        <w:t xml:space="preserve"> </w:t>
      </w:r>
      <w:r w:rsidR="009409C5">
        <w:t xml:space="preserve">The School Based Immunisation Programme (SBIP/the Programme) leads and team are </w:t>
      </w:r>
      <w:r w:rsidRPr="00BC451B">
        <w:t>the main audiences for this document.</w:t>
      </w:r>
    </w:p>
    <w:p w14:paraId="4BD9AF51" w14:textId="77777777" w:rsidR="003C1D1F" w:rsidRPr="00BC451B" w:rsidRDefault="003C1D1F" w:rsidP="008817FF"/>
    <w:p w14:paraId="79278C71" w14:textId="242DB9E2" w:rsidR="003C1D1F" w:rsidRDefault="003C1D1F" w:rsidP="008817FF">
      <w:r w:rsidRPr="00BC451B">
        <w:t xml:space="preserve">School immunisation programmes play a vital part </w:t>
      </w:r>
      <w:r>
        <w:t>in</w:t>
      </w:r>
      <w:r w:rsidRPr="00BC451B">
        <w:t xml:space="preserve"> New Zealand immunisation because they are associated with higher coverage rates and reduced inequalities compared to vaccine delivery in other settings for this age group (Centers for Disease Control and Prevention 2005</w:t>
      </w:r>
      <w:r>
        <w:t>;</w:t>
      </w:r>
      <w:r w:rsidRPr="00BC451B">
        <w:t xml:space="preserve"> CBG Health Research 2006</w:t>
      </w:r>
      <w:r w:rsidR="00244B21">
        <w:t>;</w:t>
      </w:r>
      <w:r w:rsidR="00244B21" w:rsidRPr="00244B21">
        <w:rPr>
          <w:rFonts w:eastAsia="Calibri"/>
          <w:lang w:val="en"/>
        </w:rPr>
        <w:t xml:space="preserve"> </w:t>
      </w:r>
      <w:r w:rsidR="00244B21" w:rsidRPr="00244B21">
        <w:rPr>
          <w:lang w:val="en"/>
        </w:rPr>
        <w:t>Jacob V</w:t>
      </w:r>
      <w:r w:rsidR="00244B21">
        <w:rPr>
          <w:lang w:val="en"/>
        </w:rPr>
        <w:t xml:space="preserve"> et al 2016</w:t>
      </w:r>
      <w:r w:rsidRPr="00BC451B">
        <w:t xml:space="preserve">). </w:t>
      </w:r>
      <w:r>
        <w:t>Although</w:t>
      </w:r>
      <w:r w:rsidRPr="00BC451B">
        <w:t xml:space="preserve"> much of th</w:t>
      </w:r>
      <w:r>
        <w:t>e</w:t>
      </w:r>
      <w:r w:rsidRPr="00BC451B">
        <w:t xml:space="preserve"> information </w:t>
      </w:r>
      <w:r>
        <w:t xml:space="preserve">provided here </w:t>
      </w:r>
      <w:r w:rsidRPr="00BC451B">
        <w:t xml:space="preserve">is intentionally generic, some sections do apply specifically to those vaccines administered in the </w:t>
      </w:r>
      <w:r>
        <w:t>2017</w:t>
      </w:r>
      <w:r w:rsidRPr="00BC451B">
        <w:t xml:space="preserve"> Programme.</w:t>
      </w:r>
    </w:p>
    <w:p w14:paraId="7D43B8F8" w14:textId="77777777" w:rsidR="003C1D1F" w:rsidRDefault="003C1D1F" w:rsidP="008817FF"/>
    <w:p w14:paraId="2A1BEDEB" w14:textId="77777777" w:rsidR="003C1D1F" w:rsidRPr="005D1DD1" w:rsidRDefault="003C1D1F" w:rsidP="004519AA">
      <w:pPr>
        <w:pStyle w:val="Heading2"/>
        <w:numPr>
          <w:ilvl w:val="0"/>
          <w:numId w:val="0"/>
        </w:numPr>
      </w:pPr>
      <w:bookmarkStart w:id="5" w:name="_Toc454971503"/>
      <w:bookmarkStart w:id="6" w:name="_Toc465165461"/>
      <w:r w:rsidRPr="005D1DD1">
        <w:t>Structure</w:t>
      </w:r>
      <w:bookmarkEnd w:id="5"/>
      <w:bookmarkEnd w:id="6"/>
    </w:p>
    <w:p w14:paraId="0C831289" w14:textId="7D35D7F3" w:rsidR="003C1D1F" w:rsidRPr="00BC451B" w:rsidRDefault="003C1D1F" w:rsidP="008817FF">
      <w:r>
        <w:t xml:space="preserve">Chapter 1, </w:t>
      </w:r>
      <w:r w:rsidR="009A7CEC">
        <w:t>‘</w:t>
      </w:r>
      <w:r>
        <w:t>Overview of the Programme,</w:t>
      </w:r>
      <w:r w:rsidRPr="00BC451B">
        <w:t xml:space="preserve"> explains the purpose, goal, objectives and priorities </w:t>
      </w:r>
      <w:r>
        <w:t>of</w:t>
      </w:r>
      <w:r w:rsidRPr="00BC451B">
        <w:t xml:space="preserve"> the Programme.</w:t>
      </w:r>
      <w:r>
        <w:t xml:space="preserve"> </w:t>
      </w:r>
      <w:r w:rsidRPr="00BC451B">
        <w:t xml:space="preserve">The </w:t>
      </w:r>
      <w:r w:rsidR="009A7CEC">
        <w:t>‘</w:t>
      </w:r>
      <w:r w:rsidRPr="00BC451B">
        <w:t>Programme logistics and operation planning</w:t>
      </w:r>
      <w:r w:rsidR="009A7CEC">
        <w:t>’</w:t>
      </w:r>
      <w:r w:rsidRPr="00BC451B">
        <w:t xml:space="preserve"> chapter </w:t>
      </w:r>
      <w:r>
        <w:t xml:space="preserve">then </w:t>
      </w:r>
      <w:r w:rsidRPr="00BC451B">
        <w:t xml:space="preserve">provides a </w:t>
      </w:r>
      <w:r w:rsidR="00CD517F">
        <w:t>high level</w:t>
      </w:r>
      <w:r w:rsidRPr="00BC451B">
        <w:t xml:space="preserve"> overview of the</w:t>
      </w:r>
      <w:r w:rsidR="00CD517F">
        <w:t xml:space="preserve"> aspects </w:t>
      </w:r>
      <w:r w:rsidR="002F1619">
        <w:t xml:space="preserve">of the </w:t>
      </w:r>
      <w:r w:rsidRPr="00BC451B">
        <w:t>Programme</w:t>
      </w:r>
      <w:r w:rsidR="00CD517F">
        <w:t>, these are further expanded on in the chapters following</w:t>
      </w:r>
      <w:r w:rsidRPr="00BC451B">
        <w:t>.</w:t>
      </w:r>
    </w:p>
    <w:p w14:paraId="1B6AD429" w14:textId="77777777" w:rsidR="003C1D1F" w:rsidRPr="005D1DD1" w:rsidRDefault="003C1D1F" w:rsidP="008817FF"/>
    <w:p w14:paraId="091B3A20" w14:textId="77777777" w:rsidR="009A7CEC" w:rsidRDefault="00CD517F" w:rsidP="0086083E">
      <w:r>
        <w:t>Chapter</w:t>
      </w:r>
      <w:r w:rsidR="002F1619">
        <w:t>s</w:t>
      </w:r>
      <w:r>
        <w:t xml:space="preserve"> 3, 4, 5, 6 and 7 provide more detail </w:t>
      </w:r>
      <w:r w:rsidR="0086083E">
        <w:t>and</w:t>
      </w:r>
      <w:r w:rsidR="002F1619">
        <w:t>,</w:t>
      </w:r>
      <w:r w:rsidR="0086083E">
        <w:t xml:space="preserve"> where thought to be helpful</w:t>
      </w:r>
      <w:r w:rsidR="002F1619">
        <w:t>,</w:t>
      </w:r>
      <w:r w:rsidR="0086083E">
        <w:t xml:space="preserve"> there are checklist</w:t>
      </w:r>
      <w:r w:rsidR="009C0F04">
        <w:t>s</w:t>
      </w:r>
      <w:r w:rsidR="002F1619">
        <w:t xml:space="preserve"> available to act</w:t>
      </w:r>
      <w:r w:rsidR="0086083E">
        <w:t xml:space="preserve"> as a guide to implementing aspects of the programme</w:t>
      </w:r>
      <w:r w:rsidR="002F1619">
        <w:t>.</w:t>
      </w:r>
    </w:p>
    <w:p w14:paraId="4E063E95" w14:textId="40A15A8A" w:rsidR="0086083E" w:rsidRDefault="0086083E" w:rsidP="0086083E"/>
    <w:p w14:paraId="609BA62E" w14:textId="259D0C31" w:rsidR="0086083E" w:rsidRDefault="0086083E" w:rsidP="0086083E">
      <w:r>
        <w:t xml:space="preserve">The </w:t>
      </w:r>
      <w:r w:rsidR="00E35F7C">
        <w:t>Appendices</w:t>
      </w:r>
      <w:r>
        <w:t xml:space="preserve"> hold additional information that has be collated as it is not readily available from one source.</w:t>
      </w:r>
    </w:p>
    <w:p w14:paraId="1C403846" w14:textId="77777777" w:rsidR="003C1D1F" w:rsidRPr="00BC451B" w:rsidRDefault="003C1D1F" w:rsidP="0086083E"/>
    <w:p w14:paraId="66BB9AE3" w14:textId="77777777" w:rsidR="003C1D1F" w:rsidRPr="00BC451B" w:rsidRDefault="003C1D1F" w:rsidP="008817FF">
      <w:r w:rsidRPr="00BC451B">
        <w:rPr>
          <w:b/>
        </w:rPr>
        <w:t>Note:</w:t>
      </w:r>
      <w:r w:rsidRPr="00BC451B">
        <w:t xml:space="preserve"> </w:t>
      </w:r>
      <w:r>
        <w:t>t</w:t>
      </w:r>
      <w:r w:rsidRPr="00BC451B">
        <w:t xml:space="preserve">his document will be updated </w:t>
      </w:r>
      <w:r>
        <w:t>if</w:t>
      </w:r>
      <w:r w:rsidRPr="00BC451B">
        <w:t xml:space="preserve"> details change or if additional vaccines are included in the Programme.</w:t>
      </w:r>
    </w:p>
    <w:p w14:paraId="4631DEEA" w14:textId="77777777" w:rsidR="003C1D1F" w:rsidRPr="00BC451B" w:rsidRDefault="003C1D1F" w:rsidP="008817FF"/>
    <w:p w14:paraId="1055BA2A" w14:textId="4A81C969" w:rsidR="009A7CEC" w:rsidRDefault="003C1D1F" w:rsidP="008817FF">
      <w:r w:rsidRPr="00BC451B">
        <w:t>The information contained in this document has been extracted from the Ministry of Health</w:t>
      </w:r>
      <w:r w:rsidR="009A7CEC">
        <w:t>’</w:t>
      </w:r>
      <w:r w:rsidRPr="00BC451B">
        <w:t xml:space="preserve">s </w:t>
      </w:r>
      <w:r w:rsidR="0086083E">
        <w:t xml:space="preserve">current </w:t>
      </w:r>
      <w:r w:rsidRPr="00BC451B">
        <w:rPr>
          <w:i/>
        </w:rPr>
        <w:t>Immunisation Handbook</w:t>
      </w:r>
      <w:r w:rsidR="0086083E">
        <w:rPr>
          <w:i/>
        </w:rPr>
        <w:t>,</w:t>
      </w:r>
      <w:r w:rsidRPr="00BC451B">
        <w:t xml:space="preserve"> available online at:</w:t>
      </w:r>
      <w:r w:rsidR="0086083E">
        <w:t xml:space="preserve"> </w:t>
      </w:r>
      <w:hyperlink r:id="rId22" w:history="1">
        <w:r w:rsidR="0086083E" w:rsidRPr="00A66070">
          <w:rPr>
            <w:rStyle w:val="Hyperlink"/>
          </w:rPr>
          <w:t>http://immunisation.book.health.govt.nz/</w:t>
        </w:r>
      </w:hyperlink>
    </w:p>
    <w:p w14:paraId="7B4E54A9" w14:textId="749196DE" w:rsidR="003C1D1F" w:rsidRDefault="003C1D1F" w:rsidP="008817FF"/>
    <w:p w14:paraId="0712E457" w14:textId="77777777" w:rsidR="003C1D1F" w:rsidRPr="005D1DD1" w:rsidRDefault="003C1D1F" w:rsidP="004519AA">
      <w:pPr>
        <w:pStyle w:val="Heading2"/>
        <w:numPr>
          <w:ilvl w:val="0"/>
          <w:numId w:val="0"/>
        </w:numPr>
      </w:pPr>
      <w:bookmarkStart w:id="7" w:name="_Toc454971504"/>
      <w:bookmarkStart w:id="8" w:name="_Toc465165462"/>
      <w:r w:rsidRPr="005D1DD1">
        <w:t>Acknowledgements</w:t>
      </w:r>
      <w:bookmarkEnd w:id="7"/>
      <w:bookmarkEnd w:id="8"/>
    </w:p>
    <w:p w14:paraId="7ACE8457" w14:textId="45030266" w:rsidR="003C1D1F" w:rsidRPr="00BC451B" w:rsidRDefault="003C1D1F" w:rsidP="008817FF">
      <w:r w:rsidRPr="00BC451B">
        <w:t xml:space="preserve">We would like to acknowledge the assistance and advice of Programme leads, </w:t>
      </w:r>
      <w:r w:rsidR="009409C5">
        <w:t xml:space="preserve">SBIP </w:t>
      </w:r>
      <w:r>
        <w:t>coordinators and</w:t>
      </w:r>
      <w:r w:rsidRPr="00BC451B">
        <w:t xml:space="preserve"> team leaders</w:t>
      </w:r>
      <w:r>
        <w:t>,</w:t>
      </w:r>
      <w:r w:rsidRPr="00BC451B">
        <w:t xml:space="preserve"> and </w:t>
      </w:r>
      <w:r>
        <w:t xml:space="preserve">staff from the </w:t>
      </w:r>
      <w:r w:rsidRPr="00BC451B">
        <w:t>Immunisation Advisory Centre (IMAC)</w:t>
      </w:r>
      <w:r>
        <w:t>,</w:t>
      </w:r>
      <w:r w:rsidRPr="00BC451B">
        <w:t xml:space="preserve"> who have </w:t>
      </w:r>
      <w:r>
        <w:t xml:space="preserve">all </w:t>
      </w:r>
      <w:r w:rsidRPr="00BC451B">
        <w:t>contributed to this document.</w:t>
      </w:r>
    </w:p>
    <w:p w14:paraId="5FB7FA49" w14:textId="11C09BBF" w:rsidR="003C1D1F" w:rsidRPr="00457902" w:rsidRDefault="00942740" w:rsidP="008817FF">
      <w:pPr>
        <w:pStyle w:val="Heading1"/>
      </w:pPr>
      <w:bookmarkStart w:id="9" w:name="_Toc454528212"/>
      <w:bookmarkStart w:id="10" w:name="_Toc454528378"/>
      <w:bookmarkStart w:id="11" w:name="_Toc454528543"/>
      <w:bookmarkStart w:id="12" w:name="_Toc454528708"/>
      <w:bookmarkStart w:id="13" w:name="_Toc454528873"/>
      <w:bookmarkStart w:id="14" w:name="_Toc454528213"/>
      <w:bookmarkStart w:id="15" w:name="_Toc454528379"/>
      <w:bookmarkStart w:id="16" w:name="_Toc454528544"/>
      <w:bookmarkStart w:id="17" w:name="_Toc454528709"/>
      <w:bookmarkStart w:id="18" w:name="_Toc454528874"/>
      <w:bookmarkStart w:id="19" w:name="_Toc454528214"/>
      <w:bookmarkStart w:id="20" w:name="_Toc454528380"/>
      <w:bookmarkStart w:id="21" w:name="_Toc454528545"/>
      <w:bookmarkStart w:id="22" w:name="_Toc454528710"/>
      <w:bookmarkStart w:id="23" w:name="_Toc454528875"/>
      <w:bookmarkStart w:id="24" w:name="_Toc454528215"/>
      <w:bookmarkStart w:id="25" w:name="_Toc454528381"/>
      <w:bookmarkStart w:id="26" w:name="_Toc454528546"/>
      <w:bookmarkStart w:id="27" w:name="_Toc454528711"/>
      <w:bookmarkStart w:id="28" w:name="_Toc454528876"/>
      <w:bookmarkStart w:id="29" w:name="_Toc454528216"/>
      <w:bookmarkStart w:id="30" w:name="_Toc454528382"/>
      <w:bookmarkStart w:id="31" w:name="_Toc454528547"/>
      <w:bookmarkStart w:id="32" w:name="_Toc454528712"/>
      <w:bookmarkStart w:id="33" w:name="_Toc454528877"/>
      <w:bookmarkStart w:id="34" w:name="_Toc454528217"/>
      <w:bookmarkStart w:id="35" w:name="_Toc454528383"/>
      <w:bookmarkStart w:id="36" w:name="_Toc454528548"/>
      <w:bookmarkStart w:id="37" w:name="_Toc454528713"/>
      <w:bookmarkStart w:id="38" w:name="_Toc454528878"/>
      <w:bookmarkStart w:id="39" w:name="_Toc454528218"/>
      <w:bookmarkStart w:id="40" w:name="_Toc454528384"/>
      <w:bookmarkStart w:id="41" w:name="_Toc454528549"/>
      <w:bookmarkStart w:id="42" w:name="_Toc454528714"/>
      <w:bookmarkStart w:id="43" w:name="_Toc454528879"/>
      <w:bookmarkStart w:id="44" w:name="_Toc454528219"/>
      <w:bookmarkStart w:id="45" w:name="_Toc454528385"/>
      <w:bookmarkStart w:id="46" w:name="_Toc454528550"/>
      <w:bookmarkStart w:id="47" w:name="_Toc454528715"/>
      <w:bookmarkStart w:id="48" w:name="_Toc454528880"/>
      <w:bookmarkStart w:id="49" w:name="_Toc454528220"/>
      <w:bookmarkStart w:id="50" w:name="_Toc454528386"/>
      <w:bookmarkStart w:id="51" w:name="_Toc454528551"/>
      <w:bookmarkStart w:id="52" w:name="_Toc454528716"/>
      <w:bookmarkStart w:id="53" w:name="_Toc454528881"/>
      <w:bookmarkStart w:id="54" w:name="_Toc454528221"/>
      <w:bookmarkStart w:id="55" w:name="_Toc454528387"/>
      <w:bookmarkStart w:id="56" w:name="_Toc454528552"/>
      <w:bookmarkStart w:id="57" w:name="_Toc454528717"/>
      <w:bookmarkStart w:id="58" w:name="_Toc454528882"/>
      <w:bookmarkStart w:id="59" w:name="_Toc454528222"/>
      <w:bookmarkStart w:id="60" w:name="_Toc454528388"/>
      <w:bookmarkStart w:id="61" w:name="_Toc454528553"/>
      <w:bookmarkStart w:id="62" w:name="_Toc454528718"/>
      <w:bookmarkStart w:id="63" w:name="_Toc454528883"/>
      <w:bookmarkStart w:id="64" w:name="_Toc454528223"/>
      <w:bookmarkStart w:id="65" w:name="_Toc454528389"/>
      <w:bookmarkStart w:id="66" w:name="_Toc454528554"/>
      <w:bookmarkStart w:id="67" w:name="_Toc454528719"/>
      <w:bookmarkStart w:id="68" w:name="_Toc454528884"/>
      <w:bookmarkStart w:id="69" w:name="_Toc454528224"/>
      <w:bookmarkStart w:id="70" w:name="_Toc454528390"/>
      <w:bookmarkStart w:id="71" w:name="_Toc454528555"/>
      <w:bookmarkStart w:id="72" w:name="_Toc454528720"/>
      <w:bookmarkStart w:id="73" w:name="_Toc454528885"/>
      <w:bookmarkStart w:id="74" w:name="_Toc454528225"/>
      <w:bookmarkStart w:id="75" w:name="_Toc454528391"/>
      <w:bookmarkStart w:id="76" w:name="_Toc454528556"/>
      <w:bookmarkStart w:id="77" w:name="_Toc454528721"/>
      <w:bookmarkStart w:id="78" w:name="_Toc454528886"/>
      <w:bookmarkStart w:id="79" w:name="_Toc454528226"/>
      <w:bookmarkStart w:id="80" w:name="_Toc454528392"/>
      <w:bookmarkStart w:id="81" w:name="_Toc454528557"/>
      <w:bookmarkStart w:id="82" w:name="_Toc454528722"/>
      <w:bookmarkStart w:id="83" w:name="_Toc454528887"/>
      <w:bookmarkStart w:id="84" w:name="_Toc454528227"/>
      <w:bookmarkStart w:id="85" w:name="_Toc454528393"/>
      <w:bookmarkStart w:id="86" w:name="_Toc454528558"/>
      <w:bookmarkStart w:id="87" w:name="_Toc454528723"/>
      <w:bookmarkStart w:id="88" w:name="_Toc454528888"/>
      <w:bookmarkStart w:id="89" w:name="_Toc454528228"/>
      <w:bookmarkStart w:id="90" w:name="_Toc454528394"/>
      <w:bookmarkStart w:id="91" w:name="_Toc454528559"/>
      <w:bookmarkStart w:id="92" w:name="_Toc454528724"/>
      <w:bookmarkStart w:id="93" w:name="_Toc454528889"/>
      <w:bookmarkStart w:id="94" w:name="_Toc454528229"/>
      <w:bookmarkStart w:id="95" w:name="_Toc454528395"/>
      <w:bookmarkStart w:id="96" w:name="_Toc454528560"/>
      <w:bookmarkStart w:id="97" w:name="_Toc454528725"/>
      <w:bookmarkStart w:id="98" w:name="_Toc454528890"/>
      <w:bookmarkStart w:id="99" w:name="_Toc454528230"/>
      <w:bookmarkStart w:id="100" w:name="_Toc454528396"/>
      <w:bookmarkStart w:id="101" w:name="_Toc454528561"/>
      <w:bookmarkStart w:id="102" w:name="_Toc454528726"/>
      <w:bookmarkStart w:id="103" w:name="_Toc454528891"/>
      <w:bookmarkStart w:id="104" w:name="_Toc454528231"/>
      <w:bookmarkStart w:id="105" w:name="_Toc454528397"/>
      <w:bookmarkStart w:id="106" w:name="_Toc454528562"/>
      <w:bookmarkStart w:id="107" w:name="_Toc454528727"/>
      <w:bookmarkStart w:id="108" w:name="_Toc454528892"/>
      <w:bookmarkStart w:id="109" w:name="_Toc454528232"/>
      <w:bookmarkStart w:id="110" w:name="_Toc454528398"/>
      <w:bookmarkStart w:id="111" w:name="_Toc454528563"/>
      <w:bookmarkStart w:id="112" w:name="_Toc454528728"/>
      <w:bookmarkStart w:id="113" w:name="_Toc454528893"/>
      <w:bookmarkStart w:id="114" w:name="_Toc454528233"/>
      <w:bookmarkStart w:id="115" w:name="_Toc454528399"/>
      <w:bookmarkStart w:id="116" w:name="_Toc454528564"/>
      <w:bookmarkStart w:id="117" w:name="_Toc454528729"/>
      <w:bookmarkStart w:id="118" w:name="_Toc454528894"/>
      <w:bookmarkStart w:id="119" w:name="_Toc454528234"/>
      <w:bookmarkStart w:id="120" w:name="_Toc454528400"/>
      <w:bookmarkStart w:id="121" w:name="_Toc454528565"/>
      <w:bookmarkStart w:id="122" w:name="_Toc454528730"/>
      <w:bookmarkStart w:id="123" w:name="_Toc454528895"/>
      <w:bookmarkStart w:id="124" w:name="_Toc200997882"/>
      <w:bookmarkStart w:id="125" w:name="_Toc465165463"/>
      <w:bookmarkStart w:id="126" w:name="_Toc45497150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lastRenderedPageBreak/>
        <w:t>P</w:t>
      </w:r>
      <w:r w:rsidRPr="006E15CC">
        <w:t>rogramm</w:t>
      </w:r>
      <w:r w:rsidRPr="00457902">
        <w:t>e</w:t>
      </w:r>
      <w:r w:rsidRPr="00BE4F15">
        <w:t xml:space="preserve"> </w:t>
      </w:r>
      <w:bookmarkEnd w:id="124"/>
      <w:r w:rsidR="00B317B2">
        <w:t>o</w:t>
      </w:r>
      <w:r w:rsidR="003C1D1F" w:rsidRPr="006E15CC">
        <w:t>verview</w:t>
      </w:r>
      <w:bookmarkEnd w:id="125"/>
      <w:bookmarkEnd w:id="126"/>
    </w:p>
    <w:p w14:paraId="3009A5F3" w14:textId="77777777" w:rsidR="003C1D1F" w:rsidRDefault="003C1D1F" w:rsidP="003357C6">
      <w:bookmarkStart w:id="127" w:name="_Toc200997891"/>
      <w:r w:rsidRPr="00BC451B">
        <w:t xml:space="preserve">These standards incorporate information from </w:t>
      </w:r>
      <w:r w:rsidRPr="00BC451B">
        <w:rPr>
          <w:i/>
        </w:rPr>
        <w:t>The HPV (Human Papillomavirus) Immunisation Programme National Implementation Strategic Overview</w:t>
      </w:r>
      <w:r w:rsidRPr="00BC451B">
        <w:t xml:space="preserve"> (</w:t>
      </w:r>
      <w:r>
        <w:t xml:space="preserve">Ministry of Health </w:t>
      </w:r>
      <w:r w:rsidRPr="00BC451B">
        <w:t xml:space="preserve">2008) and have been adapted for use in any </w:t>
      </w:r>
      <w:r w:rsidR="003357C6">
        <w:t>s</w:t>
      </w:r>
      <w:r w:rsidRPr="00BC451B">
        <w:t>chool</w:t>
      </w:r>
      <w:r w:rsidR="003357C6">
        <w:t>-b</w:t>
      </w:r>
      <w:r w:rsidRPr="00BC451B">
        <w:t xml:space="preserve">ased </w:t>
      </w:r>
      <w:r w:rsidR="003357C6">
        <w:t>i</w:t>
      </w:r>
      <w:r w:rsidRPr="00BC451B">
        <w:t xml:space="preserve">mmunisation </w:t>
      </w:r>
      <w:r w:rsidR="003357C6">
        <w:t>p</w:t>
      </w:r>
      <w:r w:rsidRPr="00BC451B">
        <w:t>rogramme.</w:t>
      </w:r>
    </w:p>
    <w:p w14:paraId="7D303689" w14:textId="77777777" w:rsidR="003357C6" w:rsidRPr="00BC451B" w:rsidRDefault="003357C6" w:rsidP="003357C6"/>
    <w:p w14:paraId="3DA92F1D" w14:textId="77777777" w:rsidR="003C1D1F" w:rsidRPr="005D1DD1" w:rsidRDefault="003C1D1F" w:rsidP="008817FF">
      <w:pPr>
        <w:pStyle w:val="Heading2"/>
      </w:pPr>
      <w:bookmarkStart w:id="128" w:name="_Toc454971506"/>
      <w:bookmarkStart w:id="129" w:name="_Toc465165464"/>
      <w:r w:rsidRPr="005D1DD1">
        <w:t>Purpose</w:t>
      </w:r>
      <w:bookmarkEnd w:id="127"/>
      <w:bookmarkEnd w:id="128"/>
      <w:bookmarkEnd w:id="129"/>
    </w:p>
    <w:p w14:paraId="1E81436E" w14:textId="77777777" w:rsidR="003C1D1F" w:rsidRDefault="003C1D1F" w:rsidP="00E82B10">
      <w:r w:rsidRPr="00BC451B">
        <w:t>The overall purpose of the Programme is to reduce the incidence of vaccine</w:t>
      </w:r>
      <w:r>
        <w:t>-</w:t>
      </w:r>
      <w:r w:rsidRPr="00BC451B">
        <w:t>preventable diseases and the subsequent morbidity and mortality that can result from these diseases.</w:t>
      </w:r>
    </w:p>
    <w:p w14:paraId="600488E8" w14:textId="77777777" w:rsidR="00E82B10" w:rsidRPr="00BC451B" w:rsidRDefault="00E82B10" w:rsidP="00E82B10"/>
    <w:p w14:paraId="29052418" w14:textId="77777777" w:rsidR="003C1D1F" w:rsidRPr="005D1DD1" w:rsidRDefault="003C1D1F" w:rsidP="00E82B10">
      <w:pPr>
        <w:pStyle w:val="Heading2"/>
      </w:pPr>
      <w:bookmarkStart w:id="130" w:name="_Toc200997893"/>
      <w:bookmarkStart w:id="131" w:name="_Toc454971507"/>
      <w:bookmarkStart w:id="132" w:name="_Toc465165465"/>
      <w:r w:rsidRPr="005D1DD1">
        <w:t>Goal</w:t>
      </w:r>
      <w:bookmarkEnd w:id="130"/>
      <w:bookmarkEnd w:id="131"/>
      <w:bookmarkEnd w:id="132"/>
    </w:p>
    <w:p w14:paraId="45467134" w14:textId="77777777" w:rsidR="003C1D1F" w:rsidRDefault="003C1D1F" w:rsidP="00E82B10">
      <w:r w:rsidRPr="00BC451B">
        <w:t xml:space="preserve">To implement an equitable, ongoing immunisation programme for children in school </w:t>
      </w:r>
      <w:r>
        <w:t>y</w:t>
      </w:r>
      <w:r w:rsidRPr="00BC451B">
        <w:t>ear</w:t>
      </w:r>
      <w:r>
        <w:t>s</w:t>
      </w:r>
      <w:r w:rsidRPr="00BC451B">
        <w:t xml:space="preserve"> 7 and 8.</w:t>
      </w:r>
    </w:p>
    <w:p w14:paraId="3A71B27B" w14:textId="77777777" w:rsidR="00E82B10" w:rsidRPr="00BC451B" w:rsidRDefault="00E82B10" w:rsidP="00E82B10"/>
    <w:p w14:paraId="36D8E350" w14:textId="77777777" w:rsidR="003C1D1F" w:rsidRPr="005D1DD1" w:rsidRDefault="003C1D1F" w:rsidP="00E82B10">
      <w:pPr>
        <w:pStyle w:val="Heading2"/>
      </w:pPr>
      <w:bookmarkStart w:id="133" w:name="_Toc200997894"/>
      <w:bookmarkStart w:id="134" w:name="_Toc454971508"/>
      <w:bookmarkStart w:id="135" w:name="_Toc465165466"/>
      <w:r w:rsidRPr="005D1DD1">
        <w:t>Objectives</w:t>
      </w:r>
      <w:bookmarkEnd w:id="133"/>
      <w:bookmarkEnd w:id="134"/>
      <w:bookmarkEnd w:id="135"/>
    </w:p>
    <w:p w14:paraId="39954A9B" w14:textId="77777777" w:rsidR="003C1D1F" w:rsidRPr="00BC451B" w:rsidRDefault="00E82B10" w:rsidP="00E82B10">
      <w:pPr>
        <w:ind w:left="567" w:hanging="567"/>
      </w:pPr>
      <w:r>
        <w:t>1.</w:t>
      </w:r>
      <w:r>
        <w:tab/>
      </w:r>
      <w:r w:rsidR="003C1D1F" w:rsidRPr="00BC451B">
        <w:t xml:space="preserve">To ensure the equitable delivery of an ongoing safe and effective </w:t>
      </w:r>
      <w:r w:rsidR="003C1D1F" w:rsidRPr="005D1DD1">
        <w:t xml:space="preserve">Programme </w:t>
      </w:r>
      <w:r w:rsidR="003C1D1F" w:rsidRPr="00BC451B">
        <w:t xml:space="preserve">to all eligible students in school </w:t>
      </w:r>
      <w:r w:rsidR="003C1D1F">
        <w:t>y</w:t>
      </w:r>
      <w:r w:rsidR="003C1D1F" w:rsidRPr="00BC451B">
        <w:t>ear</w:t>
      </w:r>
      <w:r w:rsidR="003C1D1F">
        <w:t>s</w:t>
      </w:r>
      <w:r w:rsidR="003C1D1F" w:rsidRPr="00BC451B">
        <w:t xml:space="preserve"> 7 and 8.</w:t>
      </w:r>
    </w:p>
    <w:p w14:paraId="2F5BEE48" w14:textId="77777777" w:rsidR="003C1D1F" w:rsidRDefault="00E82B10" w:rsidP="00E82B10">
      <w:pPr>
        <w:spacing w:before="120"/>
        <w:ind w:left="567" w:hanging="567"/>
      </w:pPr>
      <w:r>
        <w:t>2.</w:t>
      </w:r>
      <w:r>
        <w:tab/>
      </w:r>
      <w:r w:rsidR="003C1D1F" w:rsidRPr="00BC451B">
        <w:t xml:space="preserve">To have a clear focus on achieving equity in order to enable Māori and Pacific people to </w:t>
      </w:r>
      <w:r w:rsidR="003C1D1F" w:rsidRPr="00C54391">
        <w:t>have equal opportunity to benefit from the Programme as</w:t>
      </w:r>
      <w:r w:rsidR="003C1D1F" w:rsidRPr="00BC451B">
        <w:t xml:space="preserve"> other New Zealanders.</w:t>
      </w:r>
    </w:p>
    <w:p w14:paraId="74D10F0E" w14:textId="77777777" w:rsidR="00E82B10" w:rsidRPr="00BC451B" w:rsidRDefault="00E82B10" w:rsidP="00E82B10"/>
    <w:p w14:paraId="133B7031" w14:textId="77777777" w:rsidR="003C1D1F" w:rsidRPr="005D1DD1" w:rsidRDefault="003C1D1F" w:rsidP="00E82B10">
      <w:pPr>
        <w:pStyle w:val="Heading2"/>
      </w:pPr>
      <w:bookmarkStart w:id="136" w:name="_Toc454971509"/>
      <w:bookmarkStart w:id="137" w:name="_Toc465165467"/>
      <w:r w:rsidRPr="005D1DD1">
        <w:t>Priorities</w:t>
      </w:r>
      <w:bookmarkEnd w:id="136"/>
      <w:bookmarkEnd w:id="137"/>
    </w:p>
    <w:p w14:paraId="552814FC" w14:textId="1BAA24A0" w:rsidR="009A7CEC" w:rsidRDefault="009826B6" w:rsidP="00E82B10">
      <w:r>
        <w:t xml:space="preserve">School Based Immunisation Programmes have consistently shown that they are able to deliver equitable coverage to </w:t>
      </w:r>
      <w:r w:rsidRPr="00BC451B">
        <w:t>Māori and Pacific</w:t>
      </w:r>
      <w:r>
        <w:t xml:space="preserve"> students, this remains a</w:t>
      </w:r>
      <w:r w:rsidR="00486C64">
        <w:t xml:space="preserve"> priority </w:t>
      </w:r>
      <w:r w:rsidR="00C47B30">
        <w:t xml:space="preserve">for the Programme to ensure </w:t>
      </w:r>
      <w:r w:rsidR="00486C64">
        <w:t>healthy futures for all New Zealanders</w:t>
      </w:r>
      <w:r w:rsidR="00244B21">
        <w:t xml:space="preserve"> (Ministry of Health 2002 </w:t>
      </w:r>
      <w:r w:rsidR="00B317B2">
        <w:t>and</w:t>
      </w:r>
      <w:r w:rsidR="00244B21">
        <w:t xml:space="preserve"> 2014b)</w:t>
      </w:r>
      <w:r w:rsidR="00486C64">
        <w:t>.</w:t>
      </w:r>
    </w:p>
    <w:p w14:paraId="4E4C0F84" w14:textId="75338952" w:rsidR="00486C64" w:rsidRDefault="00486C64" w:rsidP="00E82B10"/>
    <w:p w14:paraId="60DFCF6D" w14:textId="7FC13886" w:rsidR="009A7CEC" w:rsidRDefault="003C1D1F" w:rsidP="00E82B10">
      <w:r w:rsidRPr="00BC451B">
        <w:t xml:space="preserve">Māori and Pacific </w:t>
      </w:r>
      <w:r>
        <w:t>people</w:t>
      </w:r>
      <w:r w:rsidRPr="00BC451B">
        <w:t xml:space="preserve"> </w:t>
      </w:r>
      <w:r w:rsidR="00486C64">
        <w:t xml:space="preserve">continue to be </w:t>
      </w:r>
      <w:r w:rsidRPr="00BC451B">
        <w:t xml:space="preserve">at higher risk of diseases </w:t>
      </w:r>
      <w:r>
        <w:t>and have</w:t>
      </w:r>
      <w:r w:rsidRPr="00BC451B">
        <w:t xml:space="preserve"> shorter life expectancies</w:t>
      </w:r>
      <w:r w:rsidR="00486C64">
        <w:t xml:space="preserve">, making </w:t>
      </w:r>
      <w:r w:rsidR="00C47B30">
        <w:t>preven</w:t>
      </w:r>
      <w:r w:rsidR="00486C64">
        <w:t>tion programmes such as Immunisation a key to better outcomes</w:t>
      </w:r>
      <w:r w:rsidR="00C47B30">
        <w:t xml:space="preserve"> for this population</w:t>
      </w:r>
      <w:r w:rsidR="00486C64">
        <w:t>.</w:t>
      </w:r>
      <w:r w:rsidRPr="00BC451B">
        <w:t xml:space="preserve"> </w:t>
      </w:r>
      <w:r w:rsidR="00C47B30">
        <w:t>Increasing and maintaining immunisation coverage must remain a focus for the Programme. Engaging with community providers such as Wh</w:t>
      </w:r>
      <w:r w:rsidR="00C47B30" w:rsidRPr="00BC451B">
        <w:t>ā</w:t>
      </w:r>
      <w:r w:rsidR="00C47B30">
        <w:t>nau Ora, M</w:t>
      </w:r>
      <w:r w:rsidR="00C47B30" w:rsidRPr="00BC451B">
        <w:t>ā</w:t>
      </w:r>
      <w:r w:rsidR="00C47B30">
        <w:t>ori Womens Welfare League and the Pacific Allied (Women</w:t>
      </w:r>
      <w:r w:rsidR="009A7CEC">
        <w:t>’</w:t>
      </w:r>
      <w:r w:rsidR="00C47B30">
        <w:t>s</w:t>
      </w:r>
      <w:r w:rsidR="00BB52DD">
        <w:t>) Council provide</w:t>
      </w:r>
      <w:r w:rsidR="00C47B30">
        <w:t xml:space="preserve"> an opportunity for the Programme to increase coverage</w:t>
      </w:r>
      <w:r w:rsidR="00244B21">
        <w:t xml:space="preserve"> (Ministry of Health 2015)</w:t>
      </w:r>
      <w:r w:rsidR="00C47B30">
        <w:t>.</w:t>
      </w:r>
    </w:p>
    <w:p w14:paraId="74CAEEF0" w14:textId="7DB9EDAC" w:rsidR="00C47B30" w:rsidRDefault="00C47B30" w:rsidP="00E82B10"/>
    <w:p w14:paraId="6A4BD50D" w14:textId="730384F6" w:rsidR="005D1DD1" w:rsidRDefault="003C1D1F" w:rsidP="00E82B10">
      <w:r w:rsidRPr="00BC451B">
        <w:t>Vaccinating students in schools (especially Māori) is where the greatest benefit is to be gained for children aged 10 to 13 years</w:t>
      </w:r>
      <w:r>
        <w:t>, and so a</w:t>
      </w:r>
      <w:r w:rsidRPr="00BC451B">
        <w:t>chieving high immunisation coverage for these students is where the greatest effort should be directed.</w:t>
      </w:r>
      <w:r w:rsidR="00C47B30">
        <w:t xml:space="preserve"> However greater engagement with Primary Health Care for those young people outside the Programme and for those who decline the service will help ensure a co-ordinated approach.</w:t>
      </w:r>
    </w:p>
    <w:p w14:paraId="7A3937F9" w14:textId="77777777" w:rsidR="003C1D1F" w:rsidRPr="00BC451B" w:rsidRDefault="003C1D1F" w:rsidP="00E82B10"/>
    <w:p w14:paraId="08661B88" w14:textId="014FA7A4" w:rsidR="009A7CEC" w:rsidRDefault="003C1D1F" w:rsidP="00320F6B">
      <w:r w:rsidRPr="00BC451B">
        <w:t xml:space="preserve">While Māori, Pacific and Asian children have responded well to having their vaccinations at school, there has been less uptake by the </w:t>
      </w:r>
      <w:r w:rsidR="009A7CEC">
        <w:t>‘</w:t>
      </w:r>
      <w:r w:rsidRPr="00BC451B">
        <w:t>Other</w:t>
      </w:r>
      <w:r w:rsidR="009A7CEC">
        <w:t>’</w:t>
      </w:r>
      <w:r w:rsidRPr="00BC451B">
        <w:t xml:space="preserve"> group (ie, individuals of any ethnicity except Māori, Pacific and Asian). The Programme needs to increase </w:t>
      </w:r>
      <w:r>
        <w:t xml:space="preserve">the </w:t>
      </w:r>
      <w:r w:rsidRPr="00BC451B">
        <w:t xml:space="preserve">uptake of vaccinations by </w:t>
      </w:r>
      <w:r>
        <w:t xml:space="preserve">the </w:t>
      </w:r>
      <w:r w:rsidR="009A7CEC">
        <w:t>‘</w:t>
      </w:r>
      <w:r w:rsidRPr="00BC451B">
        <w:t>Other</w:t>
      </w:r>
      <w:r w:rsidR="009A7CEC">
        <w:t>’</w:t>
      </w:r>
      <w:r w:rsidRPr="00BC451B">
        <w:t xml:space="preserve"> group while maintaining the high Māori, Pacific and Asian coverag</w:t>
      </w:r>
      <w:r w:rsidR="00244B21">
        <w:t>e</w:t>
      </w:r>
      <w:r w:rsidRPr="00BC451B">
        <w:t>.</w:t>
      </w:r>
    </w:p>
    <w:p w14:paraId="62BBAAC0" w14:textId="0A55EFB5" w:rsidR="00320F6B" w:rsidRDefault="00320F6B">
      <w:pPr>
        <w:spacing w:line="240" w:lineRule="auto"/>
      </w:pPr>
    </w:p>
    <w:p w14:paraId="3B19893A" w14:textId="4577BFE3" w:rsidR="00320F6B" w:rsidRPr="006E15CC" w:rsidRDefault="00320F6B" w:rsidP="00320F6B">
      <w:pPr>
        <w:pStyle w:val="Heading1"/>
      </w:pPr>
      <w:bookmarkStart w:id="138" w:name="_Toc465165468"/>
      <w:r>
        <w:lastRenderedPageBreak/>
        <w:t>P</w:t>
      </w:r>
      <w:r w:rsidRPr="00BE4F15">
        <w:t>rog</w:t>
      </w:r>
      <w:bookmarkStart w:id="139" w:name="_GoBack"/>
      <w:bookmarkEnd w:id="139"/>
      <w:r w:rsidRPr="00BE4F15">
        <w:t xml:space="preserve">ramme </w:t>
      </w:r>
      <w:r w:rsidRPr="00B726F8">
        <w:t xml:space="preserve">logistics and </w:t>
      </w:r>
      <w:r w:rsidRPr="006E15CC">
        <w:t>operation</w:t>
      </w:r>
      <w:r>
        <w:t>al</w:t>
      </w:r>
      <w:r w:rsidRPr="006E15CC">
        <w:t xml:space="preserve"> planning</w:t>
      </w:r>
      <w:bookmarkEnd w:id="138"/>
    </w:p>
    <w:p w14:paraId="5E9B6EC2" w14:textId="77777777" w:rsidR="003C1D1F" w:rsidRDefault="003C1D1F" w:rsidP="00E82B10">
      <w:bookmarkStart w:id="140" w:name="_Toc454528240"/>
      <w:bookmarkStart w:id="141" w:name="_Toc454528406"/>
      <w:bookmarkStart w:id="142" w:name="_Toc454528571"/>
      <w:bookmarkStart w:id="143" w:name="_Toc454528736"/>
      <w:bookmarkStart w:id="144" w:name="_Toc454528901"/>
      <w:bookmarkStart w:id="145" w:name="_Toc454528241"/>
      <w:bookmarkStart w:id="146" w:name="_Toc454528407"/>
      <w:bookmarkStart w:id="147" w:name="_Toc454528572"/>
      <w:bookmarkStart w:id="148" w:name="_Toc454528737"/>
      <w:bookmarkStart w:id="149" w:name="_Toc454528902"/>
      <w:bookmarkStart w:id="150" w:name="_Toc454528242"/>
      <w:bookmarkStart w:id="151" w:name="_Toc454528408"/>
      <w:bookmarkStart w:id="152" w:name="_Toc454528573"/>
      <w:bookmarkStart w:id="153" w:name="_Toc454528738"/>
      <w:bookmarkStart w:id="154" w:name="_Toc454528903"/>
      <w:bookmarkStart w:id="155" w:name="_Toc454528243"/>
      <w:bookmarkStart w:id="156" w:name="_Toc454528409"/>
      <w:bookmarkStart w:id="157" w:name="_Toc454528574"/>
      <w:bookmarkStart w:id="158" w:name="_Toc454528739"/>
      <w:bookmarkStart w:id="159" w:name="_Toc454528904"/>
      <w:bookmarkStart w:id="160" w:name="_Toc454528244"/>
      <w:bookmarkStart w:id="161" w:name="_Toc454528410"/>
      <w:bookmarkStart w:id="162" w:name="_Toc454528575"/>
      <w:bookmarkStart w:id="163" w:name="_Toc454528740"/>
      <w:bookmarkStart w:id="164" w:name="_Toc454528905"/>
      <w:bookmarkStart w:id="165" w:name="_Toc454528245"/>
      <w:bookmarkStart w:id="166" w:name="_Toc454528411"/>
      <w:bookmarkStart w:id="167" w:name="_Toc454528576"/>
      <w:bookmarkStart w:id="168" w:name="_Toc454528741"/>
      <w:bookmarkStart w:id="169" w:name="_Toc454528906"/>
      <w:bookmarkStart w:id="170" w:name="_Toc454528246"/>
      <w:bookmarkStart w:id="171" w:name="_Toc454528412"/>
      <w:bookmarkStart w:id="172" w:name="_Toc454528577"/>
      <w:bookmarkStart w:id="173" w:name="_Toc454528742"/>
      <w:bookmarkStart w:id="174" w:name="_Toc454528907"/>
      <w:bookmarkStart w:id="175" w:name="_Toc454528247"/>
      <w:bookmarkStart w:id="176" w:name="_Toc454528413"/>
      <w:bookmarkStart w:id="177" w:name="_Toc454528578"/>
      <w:bookmarkStart w:id="178" w:name="_Toc454528743"/>
      <w:bookmarkStart w:id="179" w:name="_Toc454528908"/>
      <w:bookmarkStart w:id="180" w:name="_Toc454528248"/>
      <w:bookmarkStart w:id="181" w:name="_Toc454528414"/>
      <w:bookmarkStart w:id="182" w:name="_Toc454528579"/>
      <w:bookmarkStart w:id="183" w:name="_Toc454528744"/>
      <w:bookmarkStart w:id="184" w:name="_Toc454528909"/>
      <w:bookmarkStart w:id="185" w:name="_Toc454528249"/>
      <w:bookmarkStart w:id="186" w:name="_Toc454528415"/>
      <w:bookmarkStart w:id="187" w:name="_Toc454528580"/>
      <w:bookmarkStart w:id="188" w:name="_Toc454528745"/>
      <w:bookmarkStart w:id="189" w:name="_Toc454528910"/>
      <w:bookmarkStart w:id="190" w:name="_Toc454528250"/>
      <w:bookmarkStart w:id="191" w:name="_Toc454528416"/>
      <w:bookmarkStart w:id="192" w:name="_Toc454528581"/>
      <w:bookmarkStart w:id="193" w:name="_Toc454528746"/>
      <w:bookmarkStart w:id="194" w:name="_Toc454528911"/>
      <w:bookmarkStart w:id="195" w:name="_Toc454528251"/>
      <w:bookmarkStart w:id="196" w:name="_Toc454528417"/>
      <w:bookmarkStart w:id="197" w:name="_Toc454528582"/>
      <w:bookmarkStart w:id="198" w:name="_Toc454528747"/>
      <w:bookmarkStart w:id="199" w:name="_Toc454528912"/>
      <w:bookmarkStart w:id="200" w:name="_Toc454528252"/>
      <w:bookmarkStart w:id="201" w:name="_Toc454528418"/>
      <w:bookmarkStart w:id="202" w:name="_Toc454528583"/>
      <w:bookmarkStart w:id="203" w:name="_Toc454528748"/>
      <w:bookmarkStart w:id="204" w:name="_Toc454528913"/>
      <w:bookmarkStart w:id="205" w:name="_Toc454528253"/>
      <w:bookmarkStart w:id="206" w:name="_Toc454528419"/>
      <w:bookmarkStart w:id="207" w:name="_Toc454528584"/>
      <w:bookmarkStart w:id="208" w:name="_Toc454528749"/>
      <w:bookmarkStart w:id="209" w:name="_Toc454528914"/>
      <w:bookmarkStart w:id="210" w:name="_Toc454528254"/>
      <w:bookmarkStart w:id="211" w:name="_Toc454528420"/>
      <w:bookmarkStart w:id="212" w:name="_Toc454528585"/>
      <w:bookmarkStart w:id="213" w:name="_Toc454528750"/>
      <w:bookmarkStart w:id="214" w:name="_Toc454528915"/>
      <w:bookmarkStart w:id="215" w:name="_Toc454528255"/>
      <w:bookmarkStart w:id="216" w:name="_Toc454528421"/>
      <w:bookmarkStart w:id="217" w:name="_Toc454528586"/>
      <w:bookmarkStart w:id="218" w:name="_Toc454528751"/>
      <w:bookmarkStart w:id="219" w:name="_Toc454528916"/>
      <w:bookmarkStart w:id="220" w:name="_Toc454528256"/>
      <w:bookmarkStart w:id="221" w:name="_Toc454528422"/>
      <w:bookmarkStart w:id="222" w:name="_Toc454528587"/>
      <w:bookmarkStart w:id="223" w:name="_Toc454528752"/>
      <w:bookmarkStart w:id="224" w:name="_Toc454528917"/>
      <w:bookmarkStart w:id="225" w:name="_Toc454528257"/>
      <w:bookmarkStart w:id="226" w:name="_Toc454528423"/>
      <w:bookmarkStart w:id="227" w:name="_Toc454528588"/>
      <w:bookmarkStart w:id="228" w:name="_Toc454528753"/>
      <w:bookmarkStart w:id="229" w:name="_Toc454528918"/>
      <w:bookmarkStart w:id="230" w:name="_Toc454528258"/>
      <w:bookmarkStart w:id="231" w:name="_Toc454528424"/>
      <w:bookmarkStart w:id="232" w:name="_Toc454528589"/>
      <w:bookmarkStart w:id="233" w:name="_Toc454528754"/>
      <w:bookmarkStart w:id="234" w:name="_Toc454528919"/>
      <w:bookmarkStart w:id="235" w:name="_Toc454528259"/>
      <w:bookmarkStart w:id="236" w:name="_Toc454528425"/>
      <w:bookmarkStart w:id="237" w:name="_Toc454528590"/>
      <w:bookmarkStart w:id="238" w:name="_Toc454528755"/>
      <w:bookmarkStart w:id="239" w:name="_Toc454528920"/>
      <w:bookmarkStart w:id="240" w:name="_Toc454528260"/>
      <w:bookmarkStart w:id="241" w:name="_Toc454528426"/>
      <w:bookmarkStart w:id="242" w:name="_Toc454528591"/>
      <w:bookmarkStart w:id="243" w:name="_Toc454528756"/>
      <w:bookmarkStart w:id="244" w:name="_Toc454528921"/>
      <w:bookmarkStart w:id="245" w:name="_Toc454528261"/>
      <w:bookmarkStart w:id="246" w:name="_Toc454528427"/>
      <w:bookmarkStart w:id="247" w:name="_Toc454528592"/>
      <w:bookmarkStart w:id="248" w:name="_Toc454528757"/>
      <w:bookmarkStart w:id="249" w:name="_Toc454528922"/>
      <w:bookmarkStart w:id="250" w:name="_Toc454528263"/>
      <w:bookmarkStart w:id="251" w:name="_Toc454528429"/>
      <w:bookmarkStart w:id="252" w:name="_Toc454528594"/>
      <w:bookmarkStart w:id="253" w:name="_Toc454528759"/>
      <w:bookmarkStart w:id="254" w:name="_Toc454528924"/>
      <w:bookmarkStart w:id="255" w:name="_Toc454528264"/>
      <w:bookmarkStart w:id="256" w:name="_Toc454528430"/>
      <w:bookmarkStart w:id="257" w:name="_Toc454528595"/>
      <w:bookmarkStart w:id="258" w:name="_Toc454528760"/>
      <w:bookmarkStart w:id="259" w:name="_Toc454528925"/>
      <w:bookmarkStart w:id="260" w:name="_Toc454528265"/>
      <w:bookmarkStart w:id="261" w:name="_Toc454528431"/>
      <w:bookmarkStart w:id="262" w:name="_Toc454528596"/>
      <w:bookmarkStart w:id="263" w:name="_Toc454528761"/>
      <w:bookmarkStart w:id="264" w:name="_Toc454528926"/>
      <w:bookmarkStart w:id="265" w:name="_Toc454528266"/>
      <w:bookmarkStart w:id="266" w:name="_Toc454528432"/>
      <w:bookmarkStart w:id="267" w:name="_Toc454528597"/>
      <w:bookmarkStart w:id="268" w:name="_Toc454528762"/>
      <w:bookmarkStart w:id="269" w:name="_Toc454528927"/>
      <w:bookmarkStart w:id="270" w:name="_Toc454528267"/>
      <w:bookmarkStart w:id="271" w:name="_Toc454528433"/>
      <w:bookmarkStart w:id="272" w:name="_Toc454528598"/>
      <w:bookmarkStart w:id="273" w:name="_Toc454528763"/>
      <w:bookmarkStart w:id="274" w:name="_Toc454528928"/>
      <w:bookmarkStart w:id="275" w:name="_Toc454528268"/>
      <w:bookmarkStart w:id="276" w:name="_Toc454528434"/>
      <w:bookmarkStart w:id="277" w:name="_Toc454528599"/>
      <w:bookmarkStart w:id="278" w:name="_Toc454528764"/>
      <w:bookmarkStart w:id="279" w:name="_Toc454528929"/>
      <w:bookmarkStart w:id="280" w:name="_Toc454528269"/>
      <w:bookmarkStart w:id="281" w:name="_Toc454528435"/>
      <w:bookmarkStart w:id="282" w:name="_Toc454528600"/>
      <w:bookmarkStart w:id="283" w:name="_Toc454528765"/>
      <w:bookmarkStart w:id="284" w:name="_Toc454528930"/>
      <w:bookmarkStart w:id="285" w:name="_Toc216564858"/>
      <w:bookmarkStart w:id="286" w:name="_Toc216565527"/>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BC451B">
        <w:t xml:space="preserve">The following guidelines can be used as a toolkit for Programme planners and managers to strategically plan their </w:t>
      </w:r>
      <w:r>
        <w:t>p</w:t>
      </w:r>
      <w:r w:rsidRPr="00BC451B">
        <w:t>rogrammes.</w:t>
      </w:r>
    </w:p>
    <w:p w14:paraId="0BF4F31A" w14:textId="77777777" w:rsidR="00E82B10" w:rsidRPr="00BC451B" w:rsidRDefault="00E82B10" w:rsidP="00E82B10"/>
    <w:p w14:paraId="4F1EF221" w14:textId="77777777" w:rsidR="003C1D1F" w:rsidRPr="005D1DD1" w:rsidRDefault="003C1D1F" w:rsidP="00E82B10">
      <w:pPr>
        <w:pStyle w:val="Heading2"/>
      </w:pPr>
      <w:bookmarkStart w:id="287" w:name="_Toc454971511"/>
      <w:bookmarkStart w:id="288" w:name="_Toc465165469"/>
      <w:r w:rsidRPr="005D1DD1">
        <w:t>Introduction</w:t>
      </w:r>
      <w:bookmarkEnd w:id="287"/>
      <w:bookmarkEnd w:id="288"/>
    </w:p>
    <w:p w14:paraId="713BB2FA" w14:textId="77777777" w:rsidR="003C1D1F" w:rsidRPr="00BC451B" w:rsidRDefault="00FC0528" w:rsidP="00E82B10">
      <w:r>
        <w:t>SBIP</w:t>
      </w:r>
      <w:r w:rsidR="003C1D1F" w:rsidRPr="00BC451B">
        <w:t xml:space="preserve"> services have a long history of successfully delivering the Programme.</w:t>
      </w:r>
      <w:r w:rsidR="003C1D1F">
        <w:t xml:space="preserve"> </w:t>
      </w:r>
      <w:r w:rsidR="003C1D1F" w:rsidRPr="00BC451B">
        <w:t xml:space="preserve">As with other </w:t>
      </w:r>
      <w:r w:rsidR="003C1D1F">
        <w:t>p</w:t>
      </w:r>
      <w:r w:rsidR="003C1D1F" w:rsidRPr="00BC451B">
        <w:t xml:space="preserve">rogrammes, the </w:t>
      </w:r>
      <w:r>
        <w:t>SBIP</w:t>
      </w:r>
      <w:r w:rsidR="003C1D1F" w:rsidRPr="00BC451B">
        <w:t xml:space="preserve"> will:</w:t>
      </w:r>
    </w:p>
    <w:p w14:paraId="1A4E1C9B" w14:textId="3E5E9488" w:rsidR="003C1D1F" w:rsidRPr="005D1DD1" w:rsidRDefault="003C1D1F" w:rsidP="00E82B10">
      <w:pPr>
        <w:pStyle w:val="Bullet"/>
      </w:pPr>
      <w:r w:rsidRPr="005D1DD1">
        <w:t>provide accessible</w:t>
      </w:r>
      <w:r w:rsidR="002F1619">
        <w:t xml:space="preserve"> and</w:t>
      </w:r>
      <w:r w:rsidRPr="005D1DD1">
        <w:t xml:space="preserve"> culturally appropriate information that will enable Māori, Pacific and other groups to make an informed choice regarding immunisation</w:t>
      </w:r>
    </w:p>
    <w:p w14:paraId="41AC1C7B" w14:textId="77777777" w:rsidR="003C1D1F" w:rsidRPr="005D1DD1" w:rsidRDefault="003C1D1F" w:rsidP="00E82B10">
      <w:pPr>
        <w:pStyle w:val="Bullet"/>
      </w:pPr>
      <w:r w:rsidRPr="005D1DD1">
        <w:t>endeavour to ensure all eligible students (following parent/guardian consent) are fully immunised with all of their scheduled vaccine regimens</w:t>
      </w:r>
    </w:p>
    <w:p w14:paraId="02CD810A" w14:textId="77777777" w:rsidR="003C1D1F" w:rsidRPr="005D1DD1" w:rsidRDefault="003C1D1F" w:rsidP="00E82B10">
      <w:pPr>
        <w:pStyle w:val="Bullet"/>
      </w:pPr>
      <w:r w:rsidRPr="005D1DD1">
        <w:t>maintain clinical safety</w:t>
      </w:r>
    </w:p>
    <w:p w14:paraId="20DC14C2" w14:textId="77777777" w:rsidR="003C1D1F" w:rsidRPr="005D1DD1" w:rsidRDefault="003C1D1F" w:rsidP="00E82B10">
      <w:pPr>
        <w:pStyle w:val="Bullet"/>
      </w:pPr>
      <w:r w:rsidRPr="005D1DD1">
        <w:t>comply with the National Immunisation Register (NIR), the School-Based Vaccination System (SBVS) and the practice management system (PMS) requirements (refer to chapter 4)</w:t>
      </w:r>
    </w:p>
    <w:p w14:paraId="36150BD4" w14:textId="77777777" w:rsidR="003C1D1F" w:rsidRPr="005D1DD1" w:rsidRDefault="003C1D1F" w:rsidP="00E82B10">
      <w:pPr>
        <w:pStyle w:val="Bullet"/>
      </w:pPr>
      <w:r w:rsidRPr="005D1DD1">
        <w:t>fulfil Ministry of Health reporting requirements.</w:t>
      </w:r>
    </w:p>
    <w:p w14:paraId="60739B15" w14:textId="77777777" w:rsidR="003C1D1F" w:rsidRPr="00965335" w:rsidRDefault="003C1D1F" w:rsidP="00E82B10"/>
    <w:p w14:paraId="4E115104" w14:textId="4B97BBCF" w:rsidR="003C1D1F" w:rsidRPr="004E563C" w:rsidRDefault="003C1D1F" w:rsidP="00E82B10">
      <w:r w:rsidRPr="004E563C">
        <w:t xml:space="preserve">The planning and operations team </w:t>
      </w:r>
      <w:r w:rsidRPr="00C012AF">
        <w:t xml:space="preserve">in partnership with the </w:t>
      </w:r>
      <w:r w:rsidR="00FC0528">
        <w:t xml:space="preserve">SBIP </w:t>
      </w:r>
      <w:r w:rsidRPr="00C012AF">
        <w:t>lead, m</w:t>
      </w:r>
      <w:r w:rsidRPr="004E563C">
        <w:t xml:space="preserve">edical </w:t>
      </w:r>
      <w:r w:rsidRPr="00C012AF">
        <w:t>o</w:t>
      </w:r>
      <w:r w:rsidRPr="004E563C">
        <w:t xml:space="preserve">fficer of </w:t>
      </w:r>
      <w:r w:rsidRPr="00C012AF">
        <w:t>health and primary health organisations (PHOs</w:t>
      </w:r>
      <w:r>
        <w:t>)</w:t>
      </w:r>
      <w:r w:rsidR="002F1619">
        <w:t xml:space="preserve"> will</w:t>
      </w:r>
      <w:r w:rsidRPr="00C012AF">
        <w:t>:</w:t>
      </w:r>
    </w:p>
    <w:p w14:paraId="095DDEDF" w14:textId="77777777" w:rsidR="003C1D1F" w:rsidRPr="005D1DD1" w:rsidRDefault="003C1D1F" w:rsidP="00E82B10">
      <w:pPr>
        <w:pStyle w:val="Bullet"/>
      </w:pPr>
      <w:r w:rsidRPr="005D1DD1">
        <w:t>help to implement the district health board (DHB) communication strategy</w:t>
      </w:r>
    </w:p>
    <w:p w14:paraId="713BD15F" w14:textId="77777777" w:rsidR="003C1D1F" w:rsidRPr="005D1DD1" w:rsidRDefault="003C1D1F" w:rsidP="00E82B10">
      <w:pPr>
        <w:pStyle w:val="Bullet"/>
      </w:pPr>
      <w:r w:rsidRPr="005D1DD1">
        <w:t xml:space="preserve">make key planning and operation decisions for the </w:t>
      </w:r>
      <w:r w:rsidRPr="00BC451B">
        <w:t>Programme</w:t>
      </w:r>
    </w:p>
    <w:p w14:paraId="1EDC2AD7" w14:textId="77777777" w:rsidR="003C1D1F" w:rsidRPr="005D1DD1" w:rsidRDefault="003C1D1F" w:rsidP="00E82B10">
      <w:pPr>
        <w:pStyle w:val="Bullet"/>
      </w:pPr>
      <w:r w:rsidRPr="005D1DD1">
        <w:t>develop risk management strategies</w:t>
      </w:r>
    </w:p>
    <w:p w14:paraId="7F64415C" w14:textId="77777777" w:rsidR="003C1D1F" w:rsidRPr="005D1DD1" w:rsidRDefault="003C1D1F" w:rsidP="00E82B10">
      <w:pPr>
        <w:pStyle w:val="Bullet"/>
      </w:pPr>
      <w:r w:rsidRPr="005D1DD1">
        <w:t>continually monitor, adjust and adapt operations as needed.</w:t>
      </w:r>
    </w:p>
    <w:p w14:paraId="442C5CA9" w14:textId="77777777" w:rsidR="003C1D1F" w:rsidRPr="005D1DD1" w:rsidRDefault="003C1D1F" w:rsidP="00E82B10"/>
    <w:p w14:paraId="74EB8B25" w14:textId="77777777" w:rsidR="003C1D1F" w:rsidRPr="004E563C" w:rsidRDefault="003C1D1F" w:rsidP="00E82B10">
      <w:r w:rsidRPr="005D1DD1">
        <w:t xml:space="preserve">There are a number of activities necessary to ensuring the </w:t>
      </w:r>
      <w:r w:rsidRPr="00965335">
        <w:t xml:space="preserve">Programme </w:t>
      </w:r>
      <w:r w:rsidRPr="005D1DD1">
        <w:t>takes place in a streamlined way.</w:t>
      </w:r>
      <w:r w:rsidR="004B320D">
        <w:t xml:space="preserve"> </w:t>
      </w:r>
      <w:r w:rsidRPr="004E563C">
        <w:t>The</w:t>
      </w:r>
      <w:r>
        <w:t>se</w:t>
      </w:r>
      <w:r w:rsidRPr="004E563C">
        <w:t xml:space="preserve"> activities include:</w:t>
      </w:r>
    </w:p>
    <w:p w14:paraId="0B45FCC9" w14:textId="77777777" w:rsidR="003C1D1F" w:rsidRPr="005D1DD1" w:rsidRDefault="003C1D1F" w:rsidP="00E82B10">
      <w:pPr>
        <w:pStyle w:val="Bullet"/>
      </w:pPr>
      <w:r w:rsidRPr="005D1DD1">
        <w:t>communications</w:t>
      </w:r>
    </w:p>
    <w:p w14:paraId="16FF65B1" w14:textId="77777777" w:rsidR="003C1D1F" w:rsidRPr="005D1DD1" w:rsidRDefault="003C1D1F" w:rsidP="00E82B10">
      <w:pPr>
        <w:pStyle w:val="Bullet"/>
      </w:pPr>
      <w:r w:rsidRPr="005D1DD1">
        <w:t>providing relevant education and health promotion to identified groups and communities</w:t>
      </w:r>
    </w:p>
    <w:p w14:paraId="5EECF364" w14:textId="170CDFA6" w:rsidR="003C1D1F" w:rsidRPr="005D1DD1" w:rsidRDefault="003C1D1F" w:rsidP="00E82B10">
      <w:pPr>
        <w:pStyle w:val="Bullet"/>
      </w:pPr>
      <w:r w:rsidRPr="005D1DD1">
        <w:t xml:space="preserve">general practitioners (GPs) recalling individuals at age 14 years who have not </w:t>
      </w:r>
      <w:r w:rsidR="00FC0528">
        <w:t xml:space="preserve">commenced or </w:t>
      </w:r>
      <w:r w:rsidRPr="005D1DD1">
        <w:t>completed their Programme immunisations (refer to Chapter 5.5</w:t>
      </w:r>
      <w:r w:rsidR="005D1DD1" w:rsidRPr="005D1DD1">
        <w:t xml:space="preserve"> – </w:t>
      </w:r>
      <w:r w:rsidRPr="005D1DD1">
        <w:t>GP recall process)</w:t>
      </w:r>
    </w:p>
    <w:p w14:paraId="43423718" w14:textId="694BDD6F" w:rsidR="003C1D1F" w:rsidRPr="005D1DD1" w:rsidRDefault="003C1D1F" w:rsidP="00E82B10">
      <w:pPr>
        <w:pStyle w:val="Bullet"/>
      </w:pPr>
      <w:r w:rsidRPr="00BC451B">
        <w:t xml:space="preserve">Programme </w:t>
      </w:r>
      <w:r w:rsidRPr="00BC451B">
        <w:rPr>
          <w:rFonts w:cs="Arial"/>
        </w:rPr>
        <w:t>leads notifying GPs of individuals who wish to have their vaccinations from their GP provider</w:t>
      </w:r>
      <w:r>
        <w:rPr>
          <w:rFonts w:cs="Arial"/>
        </w:rPr>
        <w:t>,</w:t>
      </w:r>
      <w:r w:rsidRPr="00BC451B">
        <w:rPr>
          <w:rFonts w:cs="Arial"/>
        </w:rPr>
        <w:t xml:space="preserve"> so </w:t>
      </w:r>
      <w:r>
        <w:rPr>
          <w:rFonts w:cs="Arial"/>
        </w:rPr>
        <w:t xml:space="preserve">that </w:t>
      </w:r>
      <w:r w:rsidR="00FC0528">
        <w:rPr>
          <w:rFonts w:cs="Arial"/>
        </w:rPr>
        <w:t xml:space="preserve">they can be </w:t>
      </w:r>
      <w:r w:rsidRPr="00BC451B">
        <w:rPr>
          <w:rFonts w:cs="Arial"/>
        </w:rPr>
        <w:t>recalled</w:t>
      </w:r>
    </w:p>
    <w:p w14:paraId="5E485F8B" w14:textId="77777777" w:rsidR="005D1DD1" w:rsidRPr="005D1DD1" w:rsidRDefault="003C1D1F" w:rsidP="00E82B10">
      <w:pPr>
        <w:pStyle w:val="Bullet"/>
      </w:pPr>
      <w:r w:rsidRPr="005D1DD1">
        <w:t>human resources, administration services and support services</w:t>
      </w:r>
    </w:p>
    <w:p w14:paraId="198650CF" w14:textId="77777777" w:rsidR="003C1D1F" w:rsidRPr="005D1DD1" w:rsidRDefault="003C1D1F" w:rsidP="00E82B10">
      <w:pPr>
        <w:pStyle w:val="Bullet"/>
      </w:pPr>
      <w:r w:rsidRPr="005D1DD1">
        <w:t xml:space="preserve">liaising with schools to determine the </w:t>
      </w:r>
      <w:r w:rsidRPr="00BC451B">
        <w:t xml:space="preserve">Programme </w:t>
      </w:r>
      <w:r w:rsidRPr="005D1DD1">
        <w:t>days and times that reduce potential clashes with other school events</w:t>
      </w:r>
    </w:p>
    <w:p w14:paraId="50D6CB99" w14:textId="77777777" w:rsidR="003C1D1F" w:rsidRPr="005D1DD1" w:rsidRDefault="003C1D1F" w:rsidP="00E82B10">
      <w:pPr>
        <w:pStyle w:val="Bullet"/>
      </w:pPr>
      <w:r w:rsidRPr="005D1DD1">
        <w:t>managing logistics (supplies and resources)</w:t>
      </w:r>
    </w:p>
    <w:p w14:paraId="5B4D8179" w14:textId="77777777" w:rsidR="003C1D1F" w:rsidRPr="005D1DD1" w:rsidRDefault="003C1D1F" w:rsidP="00E82B10">
      <w:pPr>
        <w:pStyle w:val="Bullet"/>
      </w:pPr>
      <w:r w:rsidRPr="005D1DD1">
        <w:t>distributing, collecting and following up non-returned consent forms</w:t>
      </w:r>
    </w:p>
    <w:p w14:paraId="476CF771" w14:textId="77777777" w:rsidR="003C1D1F" w:rsidRPr="005D1DD1" w:rsidRDefault="003C1D1F" w:rsidP="00E82B10">
      <w:pPr>
        <w:pStyle w:val="Bullet"/>
      </w:pPr>
      <w:r w:rsidRPr="005D1DD1">
        <w:t>working with community workers and providers to help increase coverage in identified priority populations (eg, Māori and Pacific people)</w:t>
      </w:r>
    </w:p>
    <w:p w14:paraId="3A5D86E3" w14:textId="77777777" w:rsidR="003C1D1F" w:rsidRPr="005D1DD1" w:rsidRDefault="003C1D1F" w:rsidP="00E82B10">
      <w:pPr>
        <w:pStyle w:val="Bullet"/>
      </w:pPr>
      <w:r w:rsidRPr="005D1DD1">
        <w:lastRenderedPageBreak/>
        <w:t>scheduling teams</w:t>
      </w:r>
    </w:p>
    <w:p w14:paraId="310C8E54" w14:textId="77777777" w:rsidR="005D1DD1" w:rsidRPr="005D1DD1" w:rsidRDefault="003C1D1F" w:rsidP="00E82B10">
      <w:pPr>
        <w:pStyle w:val="Bullet"/>
      </w:pPr>
      <w:r w:rsidRPr="005D1DD1">
        <w:t>scheduling the delivery of resources</w:t>
      </w:r>
    </w:p>
    <w:p w14:paraId="49BCFA84" w14:textId="77777777" w:rsidR="003C1D1F" w:rsidRPr="005D1DD1" w:rsidRDefault="003C1D1F" w:rsidP="00E82B10">
      <w:pPr>
        <w:pStyle w:val="Bullet"/>
      </w:pPr>
      <w:r w:rsidRPr="005D1DD1">
        <w:t>organising the venue, dates, times and equipment in the venue</w:t>
      </w:r>
    </w:p>
    <w:p w14:paraId="71E37729" w14:textId="77777777" w:rsidR="003C1D1F" w:rsidRPr="005D1DD1" w:rsidRDefault="003C1D1F" w:rsidP="00E82B10">
      <w:pPr>
        <w:pStyle w:val="Bullet"/>
      </w:pPr>
      <w:r w:rsidRPr="005D1DD1">
        <w:t>setting up vaccination day triage, immunisation delivery and post-immunisation recovery areas</w:t>
      </w:r>
    </w:p>
    <w:p w14:paraId="3E5F5E99" w14:textId="77777777" w:rsidR="003C1D1F" w:rsidRPr="005D1DD1" w:rsidRDefault="003C1D1F" w:rsidP="00E82B10">
      <w:pPr>
        <w:pStyle w:val="Bullet"/>
      </w:pPr>
      <w:r w:rsidRPr="005D1DD1">
        <w:t>documenting the immunisation events</w:t>
      </w:r>
    </w:p>
    <w:p w14:paraId="6BBCF36A" w14:textId="77777777" w:rsidR="003C1D1F" w:rsidRPr="005D1DD1" w:rsidRDefault="003C1D1F" w:rsidP="00E82B10">
      <w:pPr>
        <w:pStyle w:val="Bullet"/>
      </w:pPr>
      <w:r w:rsidRPr="005D1DD1">
        <w:t>following up students not present on the day of vaccination</w:t>
      </w:r>
    </w:p>
    <w:p w14:paraId="4AD30F8F" w14:textId="77777777" w:rsidR="003C1D1F" w:rsidRPr="005D1DD1" w:rsidRDefault="003C1D1F" w:rsidP="00E82B10">
      <w:pPr>
        <w:pStyle w:val="Bullet"/>
      </w:pPr>
      <w:r w:rsidRPr="005D1DD1">
        <w:t xml:space="preserve">referring individuals who </w:t>
      </w:r>
      <w:r w:rsidR="00FC0528">
        <w:t>have contraindications to</w:t>
      </w:r>
      <w:r w:rsidRPr="005D1DD1">
        <w:t xml:space="preserve"> any </w:t>
      </w:r>
      <w:r w:rsidRPr="00BC451B">
        <w:t xml:space="preserve">Programme </w:t>
      </w:r>
      <w:r w:rsidRPr="005D1DD1">
        <w:t>vaccinations to their GP.</w:t>
      </w:r>
    </w:p>
    <w:p w14:paraId="1E08CA13" w14:textId="77777777" w:rsidR="005D1DD1" w:rsidRPr="005D1DD1" w:rsidRDefault="005D1DD1" w:rsidP="00E82B10"/>
    <w:p w14:paraId="523D0EAC" w14:textId="77777777" w:rsidR="003C1D1F" w:rsidRPr="005D1DD1" w:rsidRDefault="003C1D1F" w:rsidP="00E82B10">
      <w:r w:rsidRPr="005D1DD1">
        <w:t>Suggested human resource requirements for each vaccination team are as follows:</w:t>
      </w:r>
    </w:p>
    <w:p w14:paraId="0B68B92D" w14:textId="77777777" w:rsidR="003C1D1F" w:rsidRPr="005D1DD1" w:rsidRDefault="003C1D1F" w:rsidP="00E82B10">
      <w:pPr>
        <w:pStyle w:val="Bullet"/>
      </w:pPr>
      <w:r w:rsidRPr="005D1DD1">
        <w:t>school/site coordinator(s)</w:t>
      </w:r>
    </w:p>
    <w:p w14:paraId="4B949AE9" w14:textId="77777777" w:rsidR="003C1D1F" w:rsidRPr="005D1DD1" w:rsidRDefault="003C1D1F" w:rsidP="00E82B10">
      <w:pPr>
        <w:pStyle w:val="Bullet"/>
      </w:pPr>
      <w:r w:rsidRPr="005D1DD1">
        <w:t>for each vaccination team:</w:t>
      </w:r>
    </w:p>
    <w:p w14:paraId="1F07B2E4" w14:textId="63ECA8E9" w:rsidR="003C1D1F" w:rsidRPr="005D1DD1" w:rsidRDefault="003C1D1F" w:rsidP="00E82B10">
      <w:pPr>
        <w:pStyle w:val="Dash"/>
      </w:pPr>
      <w:r w:rsidRPr="005D1DD1">
        <w:t xml:space="preserve">person(s) to bring </w:t>
      </w:r>
      <w:r w:rsidR="002F1619">
        <w:t>students</w:t>
      </w:r>
      <w:r w:rsidR="002F1619" w:rsidRPr="005D1DD1">
        <w:t xml:space="preserve"> </w:t>
      </w:r>
      <w:r w:rsidRPr="005D1DD1">
        <w:t>to the vaccination room</w:t>
      </w:r>
      <w:r w:rsidR="00FC0528">
        <w:t xml:space="preserve"> (maybe supplied by school)</w:t>
      </w:r>
    </w:p>
    <w:p w14:paraId="05668AEE" w14:textId="77777777" w:rsidR="003C1D1F" w:rsidRPr="005D1DD1" w:rsidRDefault="003C1D1F" w:rsidP="00E82B10">
      <w:pPr>
        <w:pStyle w:val="Dash"/>
      </w:pPr>
      <w:r w:rsidRPr="005D1DD1">
        <w:t>person(s) for the triage area – pre-check, identification and consent form</w:t>
      </w:r>
    </w:p>
    <w:p w14:paraId="49EC857B" w14:textId="77777777" w:rsidR="003C1D1F" w:rsidRPr="005D1DD1" w:rsidRDefault="003C1D1F" w:rsidP="00E82B10">
      <w:pPr>
        <w:pStyle w:val="Dash"/>
      </w:pPr>
      <w:r w:rsidRPr="005D1DD1">
        <w:t>registered nurse (RN) to circulate (if there are a large number of students)</w:t>
      </w:r>
    </w:p>
    <w:p w14:paraId="11C9A24B" w14:textId="77777777" w:rsidR="003C1D1F" w:rsidRPr="005D1DD1" w:rsidRDefault="003C1D1F" w:rsidP="00E82B10">
      <w:pPr>
        <w:pStyle w:val="Dash"/>
      </w:pPr>
      <w:r w:rsidRPr="005D1DD1">
        <w:t>RN(s) to vaccinate (authorised vaccinators)</w:t>
      </w:r>
    </w:p>
    <w:p w14:paraId="7F63CC38" w14:textId="77777777" w:rsidR="003C1D1F" w:rsidRPr="005D1DD1" w:rsidRDefault="003C1D1F" w:rsidP="00E82B10">
      <w:pPr>
        <w:pStyle w:val="Dash"/>
      </w:pPr>
      <w:r w:rsidRPr="005D1DD1">
        <w:t>RN(s) for the post-vaccination area (a ratio of not less than two nurses to every 30</w:t>
      </w:r>
      <w:r w:rsidR="00E82B10">
        <w:t> </w:t>
      </w:r>
      <w:r w:rsidRPr="005D1DD1">
        <w:t>students being monitored post-vaccination)</w:t>
      </w:r>
    </w:p>
    <w:p w14:paraId="329E6A4B" w14:textId="77777777" w:rsidR="003C1D1F" w:rsidRDefault="00FC0528" w:rsidP="00E82B10">
      <w:pPr>
        <w:pStyle w:val="Bullet"/>
      </w:pPr>
      <w:r>
        <w:t>SBIP</w:t>
      </w:r>
      <w:r w:rsidR="003C1D1F" w:rsidRPr="005D1DD1">
        <w:t xml:space="preserve"> administrators.</w:t>
      </w:r>
    </w:p>
    <w:p w14:paraId="58695118" w14:textId="77777777" w:rsidR="00B317B2" w:rsidRDefault="00B317B2" w:rsidP="00B317B2"/>
    <w:p w14:paraId="02609318" w14:textId="77CB96E9" w:rsidR="0076303E" w:rsidRPr="005D1DD1" w:rsidRDefault="0076303E" w:rsidP="00B317B2">
      <w:r>
        <w:t xml:space="preserve">The actual team member numbers will vary depending on the number </w:t>
      </w:r>
      <w:r w:rsidR="00FA597B">
        <w:t xml:space="preserve">of </w:t>
      </w:r>
      <w:r>
        <w:t>vaccine</w:t>
      </w:r>
      <w:r w:rsidR="00FA597B">
        <w:t>es</w:t>
      </w:r>
      <w:r>
        <w:t>, however it is expected that there would be a minimum of two RNs on site during a vaccination clinic.</w:t>
      </w:r>
    </w:p>
    <w:p w14:paraId="4DF7BD02" w14:textId="77777777" w:rsidR="003C1D1F" w:rsidRPr="005D1DD1" w:rsidRDefault="003C1D1F" w:rsidP="00E82B10"/>
    <w:p w14:paraId="341AE5E6" w14:textId="77777777" w:rsidR="003C1D1F" w:rsidRPr="005D1DD1" w:rsidRDefault="003C1D1F" w:rsidP="00E82B10">
      <w:r>
        <w:t>In terms of p</w:t>
      </w:r>
      <w:r w:rsidRPr="00965335">
        <w:t>rofessional development/orientation</w:t>
      </w:r>
      <w:r>
        <w:t>,</w:t>
      </w:r>
      <w:r w:rsidRPr="005D1DD1">
        <w:t xml:space="preserve"> processes should be in place to establish and/or reconfirm staff competencies as follows:</w:t>
      </w:r>
    </w:p>
    <w:p w14:paraId="06F26FD1" w14:textId="1E7AE293" w:rsidR="003C1D1F" w:rsidRDefault="002F1619" w:rsidP="00E82B10">
      <w:pPr>
        <w:pStyle w:val="Bullet"/>
      </w:pPr>
      <w:r>
        <w:t>n</w:t>
      </w:r>
      <w:r w:rsidR="003C1D1F" w:rsidRPr="00B377A2">
        <w:t xml:space="preserve">ew </w:t>
      </w:r>
      <w:r w:rsidR="0076303E">
        <w:t>SBIP</w:t>
      </w:r>
      <w:r w:rsidR="003C1D1F" w:rsidRPr="00B377A2">
        <w:t xml:space="preserve"> RNs </w:t>
      </w:r>
      <w:r w:rsidR="003C1D1F">
        <w:t>should</w:t>
      </w:r>
      <w:r w:rsidR="003C1D1F" w:rsidRPr="00B377A2">
        <w:t xml:space="preserve"> complete </w:t>
      </w:r>
      <w:r w:rsidR="003C1D1F">
        <w:t xml:space="preserve">a </w:t>
      </w:r>
      <w:r w:rsidR="0076303E">
        <w:t>Ministry approved</w:t>
      </w:r>
      <w:r w:rsidR="003C1D1F" w:rsidRPr="00B377A2">
        <w:t xml:space="preserve"> vaccinator training course prior to </w:t>
      </w:r>
      <w:r w:rsidR="0076303E">
        <w:t>vaccinating on the Programme</w:t>
      </w:r>
    </w:p>
    <w:p w14:paraId="1DB84E70" w14:textId="6B52EB21" w:rsidR="0076303E" w:rsidRPr="00B377A2" w:rsidRDefault="002F1619" w:rsidP="00E82B10">
      <w:pPr>
        <w:pStyle w:val="Bullet"/>
      </w:pPr>
      <w:r>
        <w:t>c</w:t>
      </w:r>
      <w:r w:rsidR="0076303E">
        <w:t>urrent SBIP RNs need to hold a current annual practicing certificate and a current authorised vaccinator status for the DHB area they are working in</w:t>
      </w:r>
    </w:p>
    <w:p w14:paraId="42A5EA4A" w14:textId="3D9F80EF" w:rsidR="003C1D1F" w:rsidRPr="00B377A2" w:rsidRDefault="009409C5" w:rsidP="00E82B10">
      <w:pPr>
        <w:pStyle w:val="Bullet"/>
      </w:pPr>
      <w:r>
        <w:t xml:space="preserve">training on </w:t>
      </w:r>
      <w:r w:rsidR="003C1D1F" w:rsidRPr="00B377A2">
        <w:t>immunisation information systems</w:t>
      </w:r>
      <w:r>
        <w:t xml:space="preserve"> related to the Programme</w:t>
      </w:r>
      <w:r w:rsidR="003C1D1F" w:rsidRPr="00B377A2">
        <w:t xml:space="preserve"> should be given to staff, especially data administrators and </w:t>
      </w:r>
      <w:r>
        <w:t>new clinical staff</w:t>
      </w:r>
      <w:r w:rsidR="003C1D1F" w:rsidRPr="00B377A2">
        <w:t>.</w:t>
      </w:r>
    </w:p>
    <w:p w14:paraId="7219FD49" w14:textId="77777777" w:rsidR="003C1D1F" w:rsidRPr="00BC451B" w:rsidRDefault="003C1D1F" w:rsidP="00E82B10"/>
    <w:p w14:paraId="6A16C2A4" w14:textId="26317747" w:rsidR="003C1D1F" w:rsidRDefault="003C1D1F" w:rsidP="00E82B10">
      <w:r w:rsidRPr="00BC451B">
        <w:t>Examples of Programme workload scenarios</w:t>
      </w:r>
      <w:r w:rsidR="002F1619">
        <w:t xml:space="preserve">, </w:t>
      </w:r>
      <w:r w:rsidRPr="00BC451B">
        <w:t xml:space="preserve">education and training requirements can be found in </w:t>
      </w:r>
      <w:r w:rsidR="009409C5">
        <w:t>Chapter 3</w:t>
      </w:r>
      <w:r w:rsidRPr="00BC451B">
        <w:t>.</w:t>
      </w:r>
    </w:p>
    <w:p w14:paraId="063607CA" w14:textId="77777777" w:rsidR="00E82B10" w:rsidRPr="00BC451B" w:rsidRDefault="00E82B10" w:rsidP="00E82B10"/>
    <w:p w14:paraId="61D58DAC" w14:textId="77777777" w:rsidR="003C1D1F" w:rsidRPr="005D1DD1" w:rsidRDefault="003C1D1F" w:rsidP="00E82B10">
      <w:pPr>
        <w:pStyle w:val="Heading2"/>
      </w:pPr>
      <w:bookmarkStart w:id="289" w:name="_Toc454971512"/>
      <w:bookmarkStart w:id="290" w:name="_Toc465165470"/>
      <w:r w:rsidRPr="005D1DD1">
        <w:t>Building on existing relationships to engage schools</w:t>
      </w:r>
      <w:bookmarkEnd w:id="289"/>
      <w:bookmarkEnd w:id="290"/>
    </w:p>
    <w:p w14:paraId="58A8EFA7" w14:textId="77777777" w:rsidR="003C1D1F" w:rsidRDefault="003C1D1F" w:rsidP="00E82B10">
      <w:r w:rsidRPr="00BC451B">
        <w:t>This section applies to:</w:t>
      </w:r>
    </w:p>
    <w:p w14:paraId="63FEB049" w14:textId="520946EE" w:rsidR="003C1D1F" w:rsidRDefault="003C1D1F" w:rsidP="00E82B10">
      <w:pPr>
        <w:pStyle w:val="Bullet"/>
      </w:pPr>
      <w:r>
        <w:t>a</w:t>
      </w:r>
      <w:r w:rsidRPr="00BC451B">
        <w:t xml:space="preserve">ll </w:t>
      </w:r>
      <w:r w:rsidR="009409C5">
        <w:t>SBIP</w:t>
      </w:r>
      <w:r w:rsidR="009409C5" w:rsidRPr="00BC451B">
        <w:t xml:space="preserve"> </w:t>
      </w:r>
      <w:r w:rsidRPr="00BC451B">
        <w:t xml:space="preserve">leads when there </w:t>
      </w:r>
      <w:r w:rsidR="0076303E">
        <w:t>is a change</w:t>
      </w:r>
      <w:r w:rsidR="009409C5">
        <w:t xml:space="preserve"> to how the Programme is delivered</w:t>
      </w:r>
    </w:p>
    <w:p w14:paraId="3CBDB976" w14:textId="48F2EDF4" w:rsidR="0076303E" w:rsidRPr="00BC451B" w:rsidRDefault="009409C5" w:rsidP="0076303E">
      <w:pPr>
        <w:pStyle w:val="Bullet"/>
      </w:pPr>
      <w:r>
        <w:t>SBIP</w:t>
      </w:r>
      <w:r w:rsidRPr="00BC451B">
        <w:t xml:space="preserve"> </w:t>
      </w:r>
      <w:r w:rsidR="0076303E" w:rsidRPr="00BC451B">
        <w:t>leads who have a new</w:t>
      </w:r>
      <w:r w:rsidR="0076303E">
        <w:t xml:space="preserve"> school joining their Programme</w:t>
      </w:r>
    </w:p>
    <w:p w14:paraId="5580AEA5" w14:textId="77777777" w:rsidR="003C1D1F" w:rsidRPr="00BC451B" w:rsidRDefault="003C1D1F" w:rsidP="00E82B10"/>
    <w:p w14:paraId="44B8D46C" w14:textId="77777777" w:rsidR="005D1DD1" w:rsidRDefault="003C1D1F" w:rsidP="00E82B10">
      <w:r w:rsidRPr="00EB6B62">
        <w:t xml:space="preserve">The support of schools, </w:t>
      </w:r>
      <w:r w:rsidRPr="00BE4F15">
        <w:t>b</w:t>
      </w:r>
      <w:r w:rsidRPr="00B726F8">
        <w:t xml:space="preserve">oards of </w:t>
      </w:r>
      <w:r w:rsidRPr="006E15CC">
        <w:t>t</w:t>
      </w:r>
      <w:r w:rsidRPr="00457902">
        <w:t>rustees and principals will be key to the</w:t>
      </w:r>
      <w:r w:rsidRPr="00BC451B">
        <w:t xml:space="preserve"> success of the Programme. Boards</w:t>
      </w:r>
      <w:r>
        <w:t xml:space="preserve"> of trustees</w:t>
      </w:r>
      <w:r w:rsidRPr="00BC451B">
        <w:t xml:space="preserve"> are responsible for approving the Programme within their school.</w:t>
      </w:r>
    </w:p>
    <w:p w14:paraId="01B9FCF8" w14:textId="77777777" w:rsidR="003C1D1F" w:rsidRPr="00BC451B" w:rsidRDefault="003C1D1F" w:rsidP="00E82B10"/>
    <w:p w14:paraId="572A5F61" w14:textId="18247B9E" w:rsidR="003C1D1F" w:rsidRPr="00BC451B" w:rsidRDefault="003C1D1F" w:rsidP="00E82B10">
      <w:pPr>
        <w:keepNext/>
      </w:pPr>
      <w:r>
        <w:lastRenderedPageBreak/>
        <w:t xml:space="preserve">It is recommended that </w:t>
      </w:r>
      <w:r w:rsidR="00E3596D">
        <w:t>SBIP</w:t>
      </w:r>
      <w:r w:rsidRPr="00BC451B">
        <w:t xml:space="preserve"> service build</w:t>
      </w:r>
      <w:r w:rsidR="002F1619">
        <w:t>s</w:t>
      </w:r>
      <w:r w:rsidRPr="00BC451B">
        <w:t xml:space="preserve"> on relationships they currently have with schools.</w:t>
      </w:r>
      <w:r>
        <w:t xml:space="preserve"> This may involve:</w:t>
      </w:r>
    </w:p>
    <w:p w14:paraId="0F99E94E" w14:textId="70CD5FAD" w:rsidR="003C1D1F" w:rsidRPr="00BC451B" w:rsidRDefault="003C1D1F" w:rsidP="00E82B10">
      <w:pPr>
        <w:pStyle w:val="Bullet"/>
        <w:keepNext/>
      </w:pPr>
      <w:r>
        <w:t>m</w:t>
      </w:r>
      <w:r w:rsidRPr="00BC451B">
        <w:t>eeting with principals, boards and/or the school</w:t>
      </w:r>
      <w:r w:rsidR="009A7CEC">
        <w:t>’</w:t>
      </w:r>
      <w:r w:rsidRPr="00BC451B">
        <w:t>s community advisory group to discuss:</w:t>
      </w:r>
    </w:p>
    <w:p w14:paraId="1E981062" w14:textId="52B9AB85" w:rsidR="003C1D1F" w:rsidRPr="00BC451B" w:rsidRDefault="003C1D1F" w:rsidP="00E82B10">
      <w:pPr>
        <w:pStyle w:val="Dash"/>
        <w:keepNext/>
      </w:pPr>
      <w:r w:rsidRPr="00BC451B">
        <w:t>the consent process</w:t>
      </w:r>
    </w:p>
    <w:p w14:paraId="4AB9382C" w14:textId="77777777" w:rsidR="005D1DD1" w:rsidRDefault="003C1D1F" w:rsidP="00E82B10">
      <w:pPr>
        <w:pStyle w:val="Dash"/>
        <w:keepNext/>
      </w:pPr>
      <w:r w:rsidRPr="00BC451B">
        <w:t>Programme information for teachers</w:t>
      </w:r>
    </w:p>
    <w:p w14:paraId="3EACCF25" w14:textId="77777777" w:rsidR="003C1D1F" w:rsidRPr="00BC451B" w:rsidRDefault="003C1D1F" w:rsidP="00E82B10">
      <w:pPr>
        <w:pStyle w:val="Dash"/>
      </w:pPr>
      <w:r w:rsidRPr="00BC451B">
        <w:t>Programme information for parents</w:t>
      </w:r>
    </w:p>
    <w:p w14:paraId="06938C25" w14:textId="77777777" w:rsidR="003C1D1F" w:rsidRPr="00BC451B" w:rsidRDefault="003C1D1F" w:rsidP="00E82B10">
      <w:pPr>
        <w:pStyle w:val="Dash"/>
      </w:pPr>
      <w:r w:rsidRPr="00BC451B">
        <w:t>Programme information for students</w:t>
      </w:r>
    </w:p>
    <w:p w14:paraId="657428C7" w14:textId="77777777" w:rsidR="003C1D1F" w:rsidRPr="00BC451B" w:rsidRDefault="003C1D1F" w:rsidP="00E82B10">
      <w:pPr>
        <w:pStyle w:val="Dash"/>
      </w:pPr>
      <w:r w:rsidRPr="00BC451B">
        <w:t>resources the school may need to provide</w:t>
      </w:r>
    </w:p>
    <w:p w14:paraId="344D431E" w14:textId="77777777" w:rsidR="003C1D1F" w:rsidRPr="00BC451B" w:rsidRDefault="003C1D1F" w:rsidP="00E82B10">
      <w:pPr>
        <w:pStyle w:val="Dash"/>
      </w:pPr>
      <w:r w:rsidRPr="00BC451B">
        <w:t>proposed clinic dates, venues, possible clashes with planned school activities</w:t>
      </w:r>
    </w:p>
    <w:p w14:paraId="1314B429" w14:textId="77777777" w:rsidR="003C1D1F" w:rsidRPr="00BC451B" w:rsidRDefault="003C1D1F" w:rsidP="00E82B10">
      <w:pPr>
        <w:pStyle w:val="Dash"/>
      </w:pPr>
      <w:r w:rsidRPr="00BC451B">
        <w:t>facilities required for vaccination day</w:t>
      </w:r>
    </w:p>
    <w:p w14:paraId="1C504FB4" w14:textId="37F5E728" w:rsidR="003C1D1F" w:rsidRPr="00BC451B" w:rsidRDefault="003C1D1F" w:rsidP="00E82B10">
      <w:pPr>
        <w:pStyle w:val="Dash"/>
      </w:pPr>
      <w:r w:rsidRPr="00BC451B">
        <w:t>frequently asked questions (FAQ</w:t>
      </w:r>
      <w:r w:rsidR="002F1619">
        <w:t>s</w:t>
      </w:r>
      <w:r w:rsidRPr="00BC451B">
        <w:t>)</w:t>
      </w:r>
    </w:p>
    <w:p w14:paraId="500E78D1" w14:textId="77777777" w:rsidR="003C1D1F" w:rsidRPr="00BC451B" w:rsidRDefault="003C1D1F" w:rsidP="00E82B10">
      <w:pPr>
        <w:pStyle w:val="Dash"/>
      </w:pPr>
      <w:r w:rsidRPr="00BC451B">
        <w:t xml:space="preserve">using existing mechanisms for the dissemination of information to schools in line with Ministry </w:t>
      </w:r>
      <w:r>
        <w:t xml:space="preserve">of Health </w:t>
      </w:r>
      <w:r w:rsidRPr="00BC451B">
        <w:t>policy</w:t>
      </w:r>
    </w:p>
    <w:p w14:paraId="563DCE41" w14:textId="77777777" w:rsidR="005D1DD1" w:rsidRDefault="003C1D1F" w:rsidP="00E82B10">
      <w:pPr>
        <w:pStyle w:val="Bullet"/>
      </w:pPr>
      <w:r>
        <w:t>n</w:t>
      </w:r>
      <w:r w:rsidRPr="00BC451B">
        <w:t xml:space="preserve">ominating </w:t>
      </w:r>
      <w:r>
        <w:t xml:space="preserve">a </w:t>
      </w:r>
      <w:r w:rsidRPr="00BC451B">
        <w:t xml:space="preserve">school contact person </w:t>
      </w:r>
      <w:r>
        <w:t>or</w:t>
      </w:r>
      <w:r w:rsidRPr="00BC451B">
        <w:t xml:space="preserve"> phone number for questions</w:t>
      </w:r>
    </w:p>
    <w:p w14:paraId="1C1E75C6" w14:textId="77777777" w:rsidR="003C1D1F" w:rsidRPr="005D1DD1" w:rsidRDefault="003C1D1F" w:rsidP="00E82B10">
      <w:pPr>
        <w:pStyle w:val="Bullet"/>
        <w:rPr>
          <w:b/>
        </w:rPr>
      </w:pPr>
      <w:r>
        <w:t>e</w:t>
      </w:r>
      <w:r w:rsidRPr="00BC451B">
        <w:t xml:space="preserve">stablishing a relationship with </w:t>
      </w:r>
      <w:r>
        <w:t xml:space="preserve">a </w:t>
      </w:r>
      <w:r w:rsidRPr="00BC451B">
        <w:t xml:space="preserve">designated teacher </w:t>
      </w:r>
      <w:r>
        <w:t>(</w:t>
      </w:r>
      <w:r w:rsidRPr="00BC451B">
        <w:t>eg, the health coordinator or dean</w:t>
      </w:r>
      <w:r>
        <w:t>)</w:t>
      </w:r>
    </w:p>
    <w:p w14:paraId="5798DE75" w14:textId="77777777" w:rsidR="005D1DD1" w:rsidRDefault="003C1D1F" w:rsidP="00E82B10">
      <w:pPr>
        <w:pStyle w:val="Bullet"/>
      </w:pPr>
      <w:r>
        <w:t>o</w:t>
      </w:r>
      <w:r w:rsidRPr="00017B3C">
        <w:t>ffering education sessions for all school staff</w:t>
      </w:r>
      <w:r>
        <w:t>,</w:t>
      </w:r>
      <w:r w:rsidRPr="00017B3C">
        <w:t xml:space="preserve"> </w:t>
      </w:r>
      <w:r>
        <w:t>which</w:t>
      </w:r>
      <w:r w:rsidRPr="00017B3C">
        <w:t xml:space="preserve"> include</w:t>
      </w:r>
      <w:r>
        <w:t>s</w:t>
      </w:r>
      <w:r w:rsidRPr="00017B3C">
        <w:t xml:space="preserve"> an overview of the Programme, vaccine</w:t>
      </w:r>
      <w:r>
        <w:t>-</w:t>
      </w:r>
      <w:r w:rsidRPr="00017B3C">
        <w:t>preventable diseases and the consenting process.</w:t>
      </w:r>
    </w:p>
    <w:p w14:paraId="1E9B0AD1" w14:textId="77777777" w:rsidR="003C1D1F" w:rsidRDefault="003C1D1F" w:rsidP="00E82B10"/>
    <w:p w14:paraId="3CFAC560" w14:textId="540746A1" w:rsidR="003C1D1F" w:rsidRDefault="003C1D1F" w:rsidP="00E82B10">
      <w:r w:rsidRPr="00BC451B">
        <w:t xml:space="preserve">For more information, refer </w:t>
      </w:r>
      <w:r w:rsidRPr="00BE4F15">
        <w:t xml:space="preserve">to </w:t>
      </w:r>
      <w:r w:rsidR="009A7CEC">
        <w:t>‘</w:t>
      </w:r>
      <w:r w:rsidRPr="00BE4F15">
        <w:t xml:space="preserve">Appendix </w:t>
      </w:r>
      <w:r>
        <w:t>1</w:t>
      </w:r>
      <w:r w:rsidRPr="00BE4F15">
        <w:t xml:space="preserve">: </w:t>
      </w:r>
      <w:r>
        <w:t>Programme a</w:t>
      </w:r>
      <w:r w:rsidRPr="00BE4F15">
        <w:t xml:space="preserve">reas </w:t>
      </w:r>
      <w:r w:rsidRPr="00B726F8">
        <w:t xml:space="preserve">of </w:t>
      </w:r>
      <w:r w:rsidRPr="006E15CC">
        <w:t>responsibility for</w:t>
      </w:r>
      <w:r w:rsidRPr="00BC451B">
        <w:t xml:space="preserve"> education and health providers</w:t>
      </w:r>
      <w:r w:rsidR="009A7CEC">
        <w:t>’</w:t>
      </w:r>
      <w:r>
        <w:t>.</w:t>
      </w:r>
    </w:p>
    <w:p w14:paraId="7B72B85B" w14:textId="77777777" w:rsidR="00E82B10" w:rsidRPr="00965335" w:rsidRDefault="00E82B10" w:rsidP="00E82B10"/>
    <w:p w14:paraId="7B177C02" w14:textId="77777777" w:rsidR="003C1D1F" w:rsidRPr="005D1DD1" w:rsidRDefault="003C1D1F" w:rsidP="00E82B10">
      <w:pPr>
        <w:pStyle w:val="Heading2"/>
      </w:pPr>
      <w:bookmarkStart w:id="291" w:name="_Toc454971513"/>
      <w:bookmarkStart w:id="292" w:name="_Toc465165471"/>
      <w:r w:rsidRPr="005D1DD1">
        <w:t>Vaccine supply and cold chain management</w:t>
      </w:r>
      <w:bookmarkEnd w:id="291"/>
      <w:bookmarkEnd w:id="292"/>
    </w:p>
    <w:p w14:paraId="4EFD49CB" w14:textId="14E97C7C" w:rsidR="003C1D1F" w:rsidRDefault="003C1D1F" w:rsidP="00E82B10">
      <w:r w:rsidRPr="005D1DD1">
        <w:t xml:space="preserve">It is recommended that one person </w:t>
      </w:r>
      <w:r w:rsidR="00E35F7C">
        <w:t>has</w:t>
      </w:r>
      <w:r w:rsidR="00E35F7C" w:rsidRPr="005D1DD1">
        <w:t xml:space="preserve"> </w:t>
      </w:r>
      <w:r w:rsidRPr="005D1DD1">
        <w:t xml:space="preserve">overall responsibility for cold chain management for the </w:t>
      </w:r>
      <w:r w:rsidRPr="00BC451B">
        <w:t>Programme</w:t>
      </w:r>
      <w:r>
        <w:t>,</w:t>
      </w:r>
      <w:r w:rsidRPr="005D1DD1">
        <w:t xml:space="preserve"> and that person should have a designated back-up person. Because of the volume of vaccine being ordered and multiple delivery and storage sites, cold chain management is essential.</w:t>
      </w:r>
    </w:p>
    <w:p w14:paraId="6604CE54" w14:textId="77777777" w:rsidR="00822F19" w:rsidRDefault="00822F19" w:rsidP="00E82B10"/>
    <w:p w14:paraId="616C67B2" w14:textId="07A64914" w:rsidR="00822F19" w:rsidRPr="005D1DD1" w:rsidRDefault="00822F19" w:rsidP="00E82B10">
      <w:r>
        <w:t>All immunisation providers</w:t>
      </w:r>
      <w:r w:rsidR="002F1619">
        <w:t>,</w:t>
      </w:r>
      <w:r>
        <w:t xml:space="preserve"> including SBIP</w:t>
      </w:r>
      <w:r w:rsidR="002F1619">
        <w:t>,</w:t>
      </w:r>
      <w:r>
        <w:t xml:space="preserve"> must comply with the </w:t>
      </w:r>
      <w:r w:rsidRPr="009826B6">
        <w:rPr>
          <w:i/>
        </w:rPr>
        <w:t>National Guidelines</w:t>
      </w:r>
      <w:r w:rsidR="006E52A7" w:rsidRPr="009826B6">
        <w:rPr>
          <w:i/>
        </w:rPr>
        <w:t xml:space="preserve"> for Vaccine Storage and Distribution 2012</w:t>
      </w:r>
      <w:r w:rsidR="006E52A7">
        <w:t xml:space="preserve"> </w:t>
      </w:r>
      <w:r w:rsidR="002E679B">
        <w:t xml:space="preserve">(this documents is currently under review) </w:t>
      </w:r>
      <w:r w:rsidR="006E52A7">
        <w:t xml:space="preserve">or </w:t>
      </w:r>
      <w:r w:rsidR="002E679B">
        <w:t xml:space="preserve">its </w:t>
      </w:r>
      <w:r w:rsidR="006E52A7">
        <w:t>subsequent publications, these can be found on the Ministry</w:t>
      </w:r>
      <w:r w:rsidR="009A7CEC">
        <w:t>’</w:t>
      </w:r>
      <w:r w:rsidR="006E52A7">
        <w:t xml:space="preserve">s cold chain web page </w:t>
      </w:r>
      <w:r w:rsidR="006E52A7" w:rsidRPr="006E52A7">
        <w:t>www.health.govt.nz/our-work/preventative-health-wellness/immunisation/national-immunisation-programme-cold-chain-management</w:t>
      </w:r>
    </w:p>
    <w:p w14:paraId="16D3092F" w14:textId="77777777" w:rsidR="003C1D1F" w:rsidRPr="00BC451B" w:rsidRDefault="003C1D1F" w:rsidP="00E82B10"/>
    <w:p w14:paraId="39140AAB" w14:textId="77777777" w:rsidR="003C1D1F" w:rsidRPr="00BC451B" w:rsidRDefault="003C1D1F" w:rsidP="00E82B10">
      <w:r w:rsidRPr="00BC451B">
        <w:t xml:space="preserve">Each DHB should notify the local </w:t>
      </w:r>
      <w:r>
        <w:t>i</w:t>
      </w:r>
      <w:r w:rsidRPr="00BC451B">
        <w:t xml:space="preserve">mmunisation </w:t>
      </w:r>
      <w:r>
        <w:t>c</w:t>
      </w:r>
      <w:r w:rsidRPr="00BC451B">
        <w:t xml:space="preserve">oordinator and the Ministry </w:t>
      </w:r>
      <w:r>
        <w:t xml:space="preserve">of Health </w:t>
      </w:r>
      <w:r w:rsidRPr="00BC451B">
        <w:t xml:space="preserve">(as part of the DHB </w:t>
      </w:r>
      <w:r>
        <w:t>q</w:t>
      </w:r>
      <w:r w:rsidRPr="00BC451B">
        <w:t xml:space="preserve">uarterly </w:t>
      </w:r>
      <w:r>
        <w:t>r</w:t>
      </w:r>
      <w:r w:rsidRPr="00BC451B">
        <w:t xml:space="preserve">eports) on vaccine wastage </w:t>
      </w:r>
      <w:r>
        <w:t xml:space="preserve">that is </w:t>
      </w:r>
      <w:r w:rsidRPr="00BC451B">
        <w:t>due to:</w:t>
      </w:r>
    </w:p>
    <w:p w14:paraId="50EA1D9C" w14:textId="77777777" w:rsidR="003C1D1F" w:rsidRPr="00BC451B" w:rsidRDefault="003C1D1F" w:rsidP="00E82B10">
      <w:pPr>
        <w:pStyle w:val="Bullet"/>
      </w:pPr>
      <w:r w:rsidRPr="00BC451B">
        <w:t>vaccine that has expired</w:t>
      </w:r>
    </w:p>
    <w:p w14:paraId="407EBB32" w14:textId="0EF30B38" w:rsidR="003C1D1F" w:rsidRPr="00BC451B" w:rsidRDefault="003C1D1F" w:rsidP="00E82B10">
      <w:pPr>
        <w:pStyle w:val="Bullet"/>
      </w:pPr>
      <w:r w:rsidRPr="00BC451B">
        <w:t xml:space="preserve">vaccine that is compromised due to cold chain </w:t>
      </w:r>
      <w:r w:rsidR="009A7CEC">
        <w:t>‘</w:t>
      </w:r>
      <w:r w:rsidRPr="00BC451B">
        <w:t>excursions</w:t>
      </w:r>
      <w:r w:rsidR="009A7CEC">
        <w:t>’</w:t>
      </w:r>
      <w:r w:rsidRPr="00BC451B">
        <w:t xml:space="preserve"> </w:t>
      </w:r>
      <w:r>
        <w:t>(</w:t>
      </w:r>
      <w:r w:rsidRPr="00BC451B">
        <w:t>eg, failures during transit or storage</w:t>
      </w:r>
      <w:r>
        <w:t xml:space="preserve">); </w:t>
      </w:r>
      <w:r w:rsidRPr="00BC451B">
        <w:t xml:space="preserve">the local </w:t>
      </w:r>
      <w:r>
        <w:t>i</w:t>
      </w:r>
      <w:r w:rsidRPr="00BC451B">
        <w:t xml:space="preserve">mmunisation </w:t>
      </w:r>
      <w:r>
        <w:t>c</w:t>
      </w:r>
      <w:r w:rsidRPr="00BC451B">
        <w:t xml:space="preserve">oordinator </w:t>
      </w:r>
      <w:r w:rsidR="002E679B">
        <w:t>must</w:t>
      </w:r>
      <w:r w:rsidR="002E679B" w:rsidRPr="00BC451B">
        <w:t xml:space="preserve"> </w:t>
      </w:r>
      <w:r w:rsidRPr="00BC451B">
        <w:t>be contacted in the event of any cold chain excursion</w:t>
      </w:r>
      <w:r w:rsidR="009409C5">
        <w:t>s</w:t>
      </w:r>
      <w:r w:rsidRPr="00BC451B">
        <w:t xml:space="preserve"> to work through the vaccine</w:t>
      </w:r>
      <w:r w:rsidR="009A7CEC">
        <w:t>’</w:t>
      </w:r>
      <w:r w:rsidR="002F1619">
        <w:t>s</w:t>
      </w:r>
      <w:r w:rsidRPr="00BC451B">
        <w:t xml:space="preserve"> thermostability.</w:t>
      </w:r>
    </w:p>
    <w:p w14:paraId="58E0389E" w14:textId="77777777" w:rsidR="003C1D1F" w:rsidRPr="00BC451B" w:rsidRDefault="003C1D1F" w:rsidP="00E82B10"/>
    <w:p w14:paraId="2CE8DBDE" w14:textId="67134700" w:rsidR="003C1D1F" w:rsidRPr="00BC451B" w:rsidRDefault="003C1D1F" w:rsidP="00E82B10">
      <w:r w:rsidRPr="00BC451B">
        <w:t xml:space="preserve">To ensure sufficient vaccine supply for scheduled immunisation clinics, </w:t>
      </w:r>
      <w:r w:rsidR="00E3596D">
        <w:t xml:space="preserve">SBIP </w:t>
      </w:r>
      <w:r w:rsidRPr="00BC451B">
        <w:t xml:space="preserve">services should have the vaccine at least </w:t>
      </w:r>
      <w:r w:rsidR="002E679B">
        <w:t>24</w:t>
      </w:r>
      <w:r w:rsidR="00B317B2">
        <w:t>–</w:t>
      </w:r>
      <w:r w:rsidRPr="00BC451B">
        <w:t>48 hours prior to the clinic commencing.</w:t>
      </w:r>
    </w:p>
    <w:p w14:paraId="7C479EA6" w14:textId="77777777" w:rsidR="003C1D1F" w:rsidRPr="00BC451B" w:rsidRDefault="003C1D1F" w:rsidP="00E82B10"/>
    <w:p w14:paraId="629E3FB0" w14:textId="0089B277" w:rsidR="003C1D1F" w:rsidRDefault="003C1D1F" w:rsidP="00E82B10">
      <w:r w:rsidRPr="005D1DD1">
        <w:t xml:space="preserve">For more </w:t>
      </w:r>
      <w:r w:rsidR="006E52A7">
        <w:t xml:space="preserve">specific </w:t>
      </w:r>
      <w:r w:rsidRPr="005D1DD1">
        <w:t>information on cold chain</w:t>
      </w:r>
      <w:r w:rsidR="009409C5">
        <w:t xml:space="preserve"> management</w:t>
      </w:r>
      <w:r w:rsidR="006E52A7">
        <w:t xml:space="preserve"> for SBIP</w:t>
      </w:r>
      <w:r w:rsidRPr="005D1DD1">
        <w:t xml:space="preserve">, refer to </w:t>
      </w:r>
      <w:r w:rsidR="009A7CEC">
        <w:t>‘</w:t>
      </w:r>
      <w:r w:rsidRPr="005D1DD1">
        <w:t>Chapter 7: Programme cold chain</w:t>
      </w:r>
      <w:r w:rsidR="009A7CEC">
        <w:t>’</w:t>
      </w:r>
      <w:r w:rsidRPr="005D1DD1">
        <w:t>.</w:t>
      </w:r>
    </w:p>
    <w:p w14:paraId="6BFE26AA" w14:textId="77777777" w:rsidR="00E82B10" w:rsidRPr="005D1DD1" w:rsidRDefault="00E82B10" w:rsidP="00E82B10"/>
    <w:p w14:paraId="101E3EE6" w14:textId="77777777" w:rsidR="003C1D1F" w:rsidRPr="005D1DD1" w:rsidRDefault="003C1D1F" w:rsidP="00E82B10">
      <w:pPr>
        <w:pStyle w:val="Heading2"/>
      </w:pPr>
      <w:bookmarkStart w:id="293" w:name="_Toc454971514"/>
      <w:bookmarkStart w:id="294" w:name="_Toc465165472"/>
      <w:r w:rsidRPr="005D1DD1">
        <w:lastRenderedPageBreak/>
        <w:t>Equipment and logistics</w:t>
      </w:r>
      <w:bookmarkEnd w:id="293"/>
      <w:bookmarkEnd w:id="294"/>
    </w:p>
    <w:p w14:paraId="735FA9D6" w14:textId="77777777" w:rsidR="005D1DD1" w:rsidRDefault="003C1D1F" w:rsidP="00E82B10">
      <w:pPr>
        <w:keepNext/>
      </w:pPr>
      <w:r w:rsidRPr="00BC451B">
        <w:t>The DHB is responsible for managing the logistics and supplies required to deliver an effective service, including:</w:t>
      </w:r>
    </w:p>
    <w:p w14:paraId="38035DFF" w14:textId="77777777" w:rsidR="003C1D1F" w:rsidRPr="00BC451B" w:rsidRDefault="003C1D1F" w:rsidP="00E82B10">
      <w:pPr>
        <w:pStyle w:val="Bullet"/>
        <w:keepNext/>
      </w:pPr>
      <w:r w:rsidRPr="00BC451B">
        <w:t>office accommodation</w:t>
      </w:r>
    </w:p>
    <w:p w14:paraId="7439BECC" w14:textId="77777777" w:rsidR="003C1D1F" w:rsidRPr="00BC451B" w:rsidRDefault="003C1D1F" w:rsidP="00E82B10">
      <w:pPr>
        <w:pStyle w:val="Bullet"/>
        <w:keepNext/>
      </w:pPr>
      <w:r w:rsidRPr="00BC451B">
        <w:t>transport</w:t>
      </w:r>
    </w:p>
    <w:p w14:paraId="66599D08" w14:textId="77777777" w:rsidR="003C1D1F" w:rsidRPr="00BC451B" w:rsidRDefault="003C1D1F" w:rsidP="00E82B10">
      <w:pPr>
        <w:pStyle w:val="Bullet"/>
      </w:pPr>
      <w:r w:rsidRPr="00BC451B">
        <w:t>logistic support and consumables/supplies</w:t>
      </w:r>
    </w:p>
    <w:p w14:paraId="16EA1EBD" w14:textId="77777777" w:rsidR="003C1D1F" w:rsidRPr="00BC451B" w:rsidRDefault="003C1D1F" w:rsidP="00E82B10">
      <w:pPr>
        <w:pStyle w:val="Bullet"/>
      </w:pPr>
      <w:r w:rsidRPr="00BC451B">
        <w:t>emergency equipment</w:t>
      </w:r>
    </w:p>
    <w:p w14:paraId="2EAA028A" w14:textId="77777777" w:rsidR="003C1D1F" w:rsidRPr="00BC451B" w:rsidRDefault="003C1D1F" w:rsidP="00E82B10">
      <w:pPr>
        <w:pStyle w:val="Bullet"/>
      </w:pPr>
      <w:r w:rsidRPr="00BC451B">
        <w:t>safe waste disposal.</w:t>
      </w:r>
    </w:p>
    <w:p w14:paraId="4B3045B8" w14:textId="77777777" w:rsidR="003C1D1F" w:rsidRPr="005D1DD1" w:rsidRDefault="003C1D1F" w:rsidP="00E82B10"/>
    <w:p w14:paraId="15EF78AA" w14:textId="5BBE645F" w:rsidR="003C1D1F" w:rsidRPr="005D1DD1" w:rsidRDefault="003C1D1F" w:rsidP="00E82B10">
      <w:r w:rsidRPr="005D1DD1">
        <w:t xml:space="preserve">For more information, refer to </w:t>
      </w:r>
      <w:r w:rsidR="009A7CEC">
        <w:t>‘</w:t>
      </w:r>
      <w:r w:rsidRPr="005D1DD1">
        <w:t>Chapter 6: Suggested equipment list</w:t>
      </w:r>
      <w:r w:rsidR="009A7CEC">
        <w:t>’</w:t>
      </w:r>
      <w:r w:rsidRPr="005D1DD1">
        <w:t>.</w:t>
      </w:r>
    </w:p>
    <w:p w14:paraId="1EF4DCEA" w14:textId="77777777" w:rsidR="003C1D1F" w:rsidRPr="00965335" w:rsidRDefault="003C1D1F" w:rsidP="00E82B10"/>
    <w:p w14:paraId="32CBB79A" w14:textId="77777777" w:rsidR="003C1D1F" w:rsidRPr="001F0811" w:rsidRDefault="003C1D1F" w:rsidP="00E82B10">
      <w:r w:rsidRPr="001F0811">
        <w:t>Consider also:</w:t>
      </w:r>
    </w:p>
    <w:p w14:paraId="4C4F6A6F" w14:textId="77777777" w:rsidR="003C1D1F" w:rsidRPr="00BC451B" w:rsidRDefault="003C1D1F" w:rsidP="00E82B10">
      <w:pPr>
        <w:pStyle w:val="Bullet"/>
      </w:pPr>
      <w:r w:rsidRPr="00BC451B">
        <w:t>having a dedicated logistics coordinator</w:t>
      </w:r>
    </w:p>
    <w:p w14:paraId="1DB2F5D9" w14:textId="7089FF74" w:rsidR="003C1D1F" w:rsidRPr="00BC451B" w:rsidRDefault="003C1D1F" w:rsidP="00E82B10">
      <w:pPr>
        <w:pStyle w:val="Bullet"/>
      </w:pPr>
      <w:r w:rsidRPr="00BC451B">
        <w:t>calculating the supplies that are needed and giving plenty of time to arrange this with your preferred supplier</w:t>
      </w:r>
    </w:p>
    <w:p w14:paraId="758E5148" w14:textId="2A9F8D26" w:rsidR="003C1D1F" w:rsidRPr="00BC451B" w:rsidRDefault="003C1D1F" w:rsidP="00E82B10">
      <w:pPr>
        <w:pStyle w:val="Bullet"/>
      </w:pPr>
      <w:r w:rsidRPr="00BC451B">
        <w:t xml:space="preserve">arranging storage, distribution and </w:t>
      </w:r>
      <w:r w:rsidR="006E52A7">
        <w:t>stock management</w:t>
      </w:r>
      <w:r w:rsidR="006E52A7" w:rsidRPr="00BC451B">
        <w:t xml:space="preserve"> </w:t>
      </w:r>
      <w:r w:rsidRPr="00BC451B">
        <w:t>systems.</w:t>
      </w:r>
    </w:p>
    <w:p w14:paraId="6FD133FC" w14:textId="77777777" w:rsidR="003C1D1F" w:rsidRPr="005D1DD1" w:rsidRDefault="003C1D1F" w:rsidP="00E82B10"/>
    <w:p w14:paraId="47C43C10" w14:textId="77777777" w:rsidR="003C1D1F" w:rsidRPr="001F0811" w:rsidRDefault="003C1D1F" w:rsidP="00C124F8">
      <w:pPr>
        <w:pStyle w:val="Heading1"/>
      </w:pPr>
      <w:bookmarkStart w:id="295" w:name="_Toc454528275"/>
      <w:bookmarkStart w:id="296" w:name="_Toc454528441"/>
      <w:bookmarkStart w:id="297" w:name="_Toc454528606"/>
      <w:bookmarkStart w:id="298" w:name="_Toc454528771"/>
      <w:bookmarkStart w:id="299" w:name="_Toc454528936"/>
      <w:bookmarkStart w:id="300" w:name="_Toc454528276"/>
      <w:bookmarkStart w:id="301" w:name="_Toc454528442"/>
      <w:bookmarkStart w:id="302" w:name="_Toc454528607"/>
      <w:bookmarkStart w:id="303" w:name="_Toc454528772"/>
      <w:bookmarkStart w:id="304" w:name="_Toc454528937"/>
      <w:bookmarkStart w:id="305" w:name="_Toc454528277"/>
      <w:bookmarkStart w:id="306" w:name="_Toc454528443"/>
      <w:bookmarkStart w:id="307" w:name="_Toc454528608"/>
      <w:bookmarkStart w:id="308" w:name="_Toc454528773"/>
      <w:bookmarkStart w:id="309" w:name="_Toc454528938"/>
      <w:bookmarkStart w:id="310" w:name="_Toc454528278"/>
      <w:bookmarkStart w:id="311" w:name="_Toc454528444"/>
      <w:bookmarkStart w:id="312" w:name="_Toc454528609"/>
      <w:bookmarkStart w:id="313" w:name="_Toc454528774"/>
      <w:bookmarkStart w:id="314" w:name="_Toc454528939"/>
      <w:bookmarkStart w:id="315" w:name="_Toc454528279"/>
      <w:bookmarkStart w:id="316" w:name="_Toc454528445"/>
      <w:bookmarkStart w:id="317" w:name="_Toc454528610"/>
      <w:bookmarkStart w:id="318" w:name="_Toc454528775"/>
      <w:bookmarkStart w:id="319" w:name="_Toc454528940"/>
      <w:bookmarkStart w:id="320" w:name="_Toc454528280"/>
      <w:bookmarkStart w:id="321" w:name="_Toc454528446"/>
      <w:bookmarkStart w:id="322" w:name="_Toc454528611"/>
      <w:bookmarkStart w:id="323" w:name="_Toc454528776"/>
      <w:bookmarkStart w:id="324" w:name="_Toc454528941"/>
      <w:bookmarkStart w:id="325" w:name="_Toc454528281"/>
      <w:bookmarkStart w:id="326" w:name="_Toc454528447"/>
      <w:bookmarkStart w:id="327" w:name="_Toc454528612"/>
      <w:bookmarkStart w:id="328" w:name="_Toc454528777"/>
      <w:bookmarkStart w:id="329" w:name="_Toc454528942"/>
      <w:bookmarkStart w:id="330" w:name="_Toc454528282"/>
      <w:bookmarkStart w:id="331" w:name="_Toc454528448"/>
      <w:bookmarkStart w:id="332" w:name="_Toc454528613"/>
      <w:bookmarkStart w:id="333" w:name="_Toc454528778"/>
      <w:bookmarkStart w:id="334" w:name="_Toc454528943"/>
      <w:bookmarkStart w:id="335" w:name="_Toc454528283"/>
      <w:bookmarkStart w:id="336" w:name="_Toc454528449"/>
      <w:bookmarkStart w:id="337" w:name="_Toc454528614"/>
      <w:bookmarkStart w:id="338" w:name="_Toc454528779"/>
      <w:bookmarkStart w:id="339" w:name="_Toc454528944"/>
      <w:bookmarkStart w:id="340" w:name="_Toc454528284"/>
      <w:bookmarkStart w:id="341" w:name="_Toc454528450"/>
      <w:bookmarkStart w:id="342" w:name="_Toc454528615"/>
      <w:bookmarkStart w:id="343" w:name="_Toc454528780"/>
      <w:bookmarkStart w:id="344" w:name="_Toc454528945"/>
      <w:bookmarkStart w:id="345" w:name="_Toc454528285"/>
      <w:bookmarkStart w:id="346" w:name="_Toc454528451"/>
      <w:bookmarkStart w:id="347" w:name="_Toc454528616"/>
      <w:bookmarkStart w:id="348" w:name="_Toc454528781"/>
      <w:bookmarkStart w:id="349" w:name="_Toc454528946"/>
      <w:bookmarkStart w:id="350" w:name="_Toc454528286"/>
      <w:bookmarkStart w:id="351" w:name="_Toc454528452"/>
      <w:bookmarkStart w:id="352" w:name="_Toc454528617"/>
      <w:bookmarkStart w:id="353" w:name="_Toc454528782"/>
      <w:bookmarkStart w:id="354" w:name="_Toc454528947"/>
      <w:bookmarkStart w:id="355" w:name="_Toc454528287"/>
      <w:bookmarkStart w:id="356" w:name="_Toc454528453"/>
      <w:bookmarkStart w:id="357" w:name="_Toc454528618"/>
      <w:bookmarkStart w:id="358" w:name="_Toc454528783"/>
      <w:bookmarkStart w:id="359" w:name="_Toc454528948"/>
      <w:bookmarkStart w:id="360" w:name="_Toc454528288"/>
      <w:bookmarkStart w:id="361" w:name="_Toc454528454"/>
      <w:bookmarkStart w:id="362" w:name="_Toc454528619"/>
      <w:bookmarkStart w:id="363" w:name="_Toc454528784"/>
      <w:bookmarkStart w:id="364" w:name="_Toc454528949"/>
      <w:bookmarkStart w:id="365" w:name="_Toc454528289"/>
      <w:bookmarkStart w:id="366" w:name="_Toc454528455"/>
      <w:bookmarkStart w:id="367" w:name="_Toc454528620"/>
      <w:bookmarkStart w:id="368" w:name="_Toc454528785"/>
      <w:bookmarkStart w:id="369" w:name="_Toc454528950"/>
      <w:bookmarkStart w:id="370" w:name="_Toc454528290"/>
      <w:bookmarkStart w:id="371" w:name="_Toc454528456"/>
      <w:bookmarkStart w:id="372" w:name="_Toc454528621"/>
      <w:bookmarkStart w:id="373" w:name="_Toc454528786"/>
      <w:bookmarkStart w:id="374" w:name="_Toc454528951"/>
      <w:bookmarkStart w:id="375" w:name="_Toc454528291"/>
      <w:bookmarkStart w:id="376" w:name="_Toc454528457"/>
      <w:bookmarkStart w:id="377" w:name="_Toc454528622"/>
      <w:bookmarkStart w:id="378" w:name="_Toc454528787"/>
      <w:bookmarkStart w:id="379" w:name="_Toc454528952"/>
      <w:bookmarkStart w:id="380" w:name="_Toc454528292"/>
      <w:bookmarkStart w:id="381" w:name="_Toc454528458"/>
      <w:bookmarkStart w:id="382" w:name="_Toc454528623"/>
      <w:bookmarkStart w:id="383" w:name="_Toc454528788"/>
      <w:bookmarkStart w:id="384" w:name="_Toc454528953"/>
      <w:bookmarkStart w:id="385" w:name="_Toc454528293"/>
      <w:bookmarkStart w:id="386" w:name="_Toc454528459"/>
      <w:bookmarkStart w:id="387" w:name="_Toc454528624"/>
      <w:bookmarkStart w:id="388" w:name="_Toc454528789"/>
      <w:bookmarkStart w:id="389" w:name="_Toc454528954"/>
      <w:bookmarkStart w:id="390" w:name="_Toc454528294"/>
      <w:bookmarkStart w:id="391" w:name="_Toc454528460"/>
      <w:bookmarkStart w:id="392" w:name="_Toc454528625"/>
      <w:bookmarkStart w:id="393" w:name="_Toc454528790"/>
      <w:bookmarkStart w:id="394" w:name="_Toc454528955"/>
      <w:bookmarkStart w:id="395" w:name="_Toc454528295"/>
      <w:bookmarkStart w:id="396" w:name="_Toc454528461"/>
      <w:bookmarkStart w:id="397" w:name="_Toc454528626"/>
      <w:bookmarkStart w:id="398" w:name="_Toc454528791"/>
      <w:bookmarkStart w:id="399" w:name="_Toc454528956"/>
      <w:bookmarkStart w:id="400" w:name="_Toc454528296"/>
      <w:bookmarkStart w:id="401" w:name="_Toc454528462"/>
      <w:bookmarkStart w:id="402" w:name="_Toc454528627"/>
      <w:bookmarkStart w:id="403" w:name="_Toc454528792"/>
      <w:bookmarkStart w:id="404" w:name="_Toc454528957"/>
      <w:bookmarkStart w:id="405" w:name="_Toc454971515"/>
      <w:bookmarkStart w:id="406" w:name="_Toc465165473"/>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457902">
        <w:lastRenderedPageBreak/>
        <w:t>Planning, preparation and im</w:t>
      </w:r>
      <w:r w:rsidRPr="00445256">
        <w:t>plementation</w:t>
      </w:r>
      <w:bookmarkStart w:id="407" w:name="_Toc454528464"/>
      <w:bookmarkStart w:id="408" w:name="_Toc454528959"/>
      <w:bookmarkEnd w:id="405"/>
      <w:bookmarkEnd w:id="406"/>
      <w:bookmarkEnd w:id="407"/>
      <w:bookmarkEnd w:id="408"/>
    </w:p>
    <w:p w14:paraId="4E4112D8" w14:textId="77777777" w:rsidR="003C1D1F" w:rsidRPr="005D1DD1" w:rsidRDefault="003C1D1F" w:rsidP="0023579B">
      <w:pPr>
        <w:pStyle w:val="Heading2"/>
      </w:pPr>
      <w:bookmarkStart w:id="409" w:name="_Toc454971516"/>
      <w:bookmarkStart w:id="410" w:name="_Toc465165474"/>
      <w:r w:rsidRPr="005D1DD1">
        <w:t>Overview</w:t>
      </w:r>
      <w:bookmarkEnd w:id="409"/>
      <w:bookmarkEnd w:id="410"/>
    </w:p>
    <w:p w14:paraId="317CCAED" w14:textId="77777777" w:rsidR="003C1D1F" w:rsidRDefault="003C1D1F" w:rsidP="0023579B">
      <w:r w:rsidRPr="00BC451B">
        <w:t>The following guidelines are intended for Programme planners and managers.</w:t>
      </w:r>
    </w:p>
    <w:p w14:paraId="1B81B380" w14:textId="77777777" w:rsidR="003C1D1F" w:rsidRPr="00BC451B" w:rsidRDefault="003C1D1F" w:rsidP="0023579B"/>
    <w:p w14:paraId="61A5DADB" w14:textId="69BB6B6D" w:rsidR="005D1DD1" w:rsidRDefault="003C1D1F" w:rsidP="0023579B">
      <w:r w:rsidRPr="00BC451B">
        <w:t xml:space="preserve">Vaccination teams may comprise </w:t>
      </w:r>
      <w:r w:rsidR="00B65B32">
        <w:t>of clinical</w:t>
      </w:r>
      <w:r w:rsidR="00B65B32" w:rsidRPr="00BC451B">
        <w:t xml:space="preserve"> </w:t>
      </w:r>
      <w:r w:rsidRPr="00BC451B">
        <w:t>and support staff</w:t>
      </w:r>
      <w:r w:rsidR="002F1619">
        <w:t>.</w:t>
      </w:r>
      <w:r w:rsidR="00B65B32">
        <w:t xml:space="preserve"> </w:t>
      </w:r>
      <w:r w:rsidR="002F1619">
        <w:t>T</w:t>
      </w:r>
      <w:r w:rsidRPr="00BC451B">
        <w:t xml:space="preserve">he number of vaccinators required will depend on the size of the school population to be vaccinated. The number of support staff required will </w:t>
      </w:r>
      <w:r>
        <w:t xml:space="preserve">in turn </w:t>
      </w:r>
      <w:r w:rsidRPr="00BC451B">
        <w:t>depend on the number of vaccinators. There should be at least one person to provide on-site support for the vaccinat</w:t>
      </w:r>
      <w:r w:rsidR="002F1619">
        <w:t>ion</w:t>
      </w:r>
      <w:r w:rsidRPr="00BC451B">
        <w:t>team. If the team is visiting a larger venue, there should be a coordinator and a support person.</w:t>
      </w:r>
    </w:p>
    <w:p w14:paraId="32C9F813" w14:textId="77777777" w:rsidR="003C1D1F" w:rsidRPr="00BC451B" w:rsidRDefault="003C1D1F" w:rsidP="0023579B"/>
    <w:p w14:paraId="093EB5B1" w14:textId="77777777" w:rsidR="005D1DD1" w:rsidRDefault="003C1D1F" w:rsidP="0023579B">
      <w:r w:rsidRPr="00BC451B">
        <w:t xml:space="preserve">Suggested vaccination team roles for the </w:t>
      </w:r>
      <w:r w:rsidRPr="005D1DD1">
        <w:t xml:space="preserve">Programme </w:t>
      </w:r>
      <w:r w:rsidRPr="00BC451B">
        <w:t>are:</w:t>
      </w:r>
    </w:p>
    <w:p w14:paraId="45CCF109" w14:textId="77777777" w:rsidR="003C1D1F" w:rsidRPr="00BC451B" w:rsidRDefault="003C1D1F" w:rsidP="00C97A9F">
      <w:pPr>
        <w:pStyle w:val="Bullet"/>
      </w:pPr>
      <w:r w:rsidRPr="00BC451B">
        <w:t>site coordinator</w:t>
      </w:r>
    </w:p>
    <w:p w14:paraId="6247C6C7" w14:textId="77777777" w:rsidR="003C1D1F" w:rsidRPr="00BC451B" w:rsidRDefault="00BD4764" w:rsidP="00C97A9F">
      <w:pPr>
        <w:pStyle w:val="Bullet"/>
      </w:pPr>
      <w:r>
        <w:t xml:space="preserve">welcome and </w:t>
      </w:r>
      <w:r w:rsidR="003C1D1F" w:rsidRPr="00BC451B">
        <w:t>triage nurse</w:t>
      </w:r>
      <w:r>
        <w:t>(s)</w:t>
      </w:r>
    </w:p>
    <w:p w14:paraId="76A19855" w14:textId="77777777" w:rsidR="003C1D1F" w:rsidRPr="00BC451B" w:rsidRDefault="003C1D1F" w:rsidP="00C97A9F">
      <w:pPr>
        <w:pStyle w:val="Bullet"/>
      </w:pPr>
      <w:r w:rsidRPr="00BC451B">
        <w:t>authorised vaccinators</w:t>
      </w:r>
    </w:p>
    <w:p w14:paraId="1C45BE58" w14:textId="56153300" w:rsidR="003C1D1F" w:rsidRPr="00BC451B" w:rsidRDefault="00B65B32" w:rsidP="00C97A9F">
      <w:pPr>
        <w:pStyle w:val="Bullet"/>
      </w:pPr>
      <w:r>
        <w:t>post</w:t>
      </w:r>
      <w:r w:rsidR="002F1619">
        <w:t>-</w:t>
      </w:r>
      <w:r>
        <w:t>vaccination observation</w:t>
      </w:r>
      <w:r w:rsidR="003C1D1F" w:rsidRPr="00BC451B">
        <w:t xml:space="preserve"> nurse</w:t>
      </w:r>
      <w:r w:rsidR="00BD4764">
        <w:t>(s)</w:t>
      </w:r>
      <w:r w:rsidR="00FA597B">
        <w:t xml:space="preserve"> (a ratio of not less than two RNs to every 30 students being monitored post-vaccination</w:t>
      </w:r>
      <w:r w:rsidR="002F1619">
        <w:t>)</w:t>
      </w:r>
    </w:p>
    <w:p w14:paraId="3AA40924" w14:textId="77777777" w:rsidR="003C1D1F" w:rsidRPr="00BC451B" w:rsidRDefault="003C1D1F" w:rsidP="00C97A9F">
      <w:pPr>
        <w:pStyle w:val="Bullet"/>
      </w:pPr>
      <w:r w:rsidRPr="00BC451B">
        <w:t>cold chain coordinator</w:t>
      </w:r>
    </w:p>
    <w:p w14:paraId="41FF7562" w14:textId="77777777" w:rsidR="005D1DD1" w:rsidRPr="005D1DD1" w:rsidRDefault="003C1D1F" w:rsidP="00C97A9F">
      <w:pPr>
        <w:pStyle w:val="Bullet"/>
      </w:pPr>
      <w:r w:rsidRPr="005D1DD1">
        <w:t>administration support</w:t>
      </w:r>
    </w:p>
    <w:p w14:paraId="3DD06099" w14:textId="2AE25C64" w:rsidR="003C1D1F" w:rsidRPr="00BC451B" w:rsidRDefault="003C1D1F" w:rsidP="00C97A9F">
      <w:pPr>
        <w:pStyle w:val="Bullet"/>
      </w:pPr>
      <w:r w:rsidRPr="005D1DD1">
        <w:t>school runners and support</w:t>
      </w:r>
      <w:r w:rsidR="00B65B32">
        <w:t xml:space="preserve"> (this may be provided by the school)</w:t>
      </w:r>
      <w:r w:rsidRPr="005D1DD1">
        <w:t>.</w:t>
      </w:r>
    </w:p>
    <w:p w14:paraId="7E169FDA" w14:textId="77777777" w:rsidR="003C1D1F" w:rsidRPr="005D1DD1" w:rsidRDefault="003C1D1F" w:rsidP="00C97A9F"/>
    <w:p w14:paraId="44FF675B" w14:textId="7A1A1815" w:rsidR="003C1D1F" w:rsidRDefault="003C1D1F" w:rsidP="00C97A9F">
      <w:r w:rsidRPr="00BC451B">
        <w:t>These roles may not be mutually exclusive.</w:t>
      </w:r>
      <w:r w:rsidR="00BD4764">
        <w:t xml:space="preserve"> </w:t>
      </w:r>
      <w:r w:rsidR="001D08F1">
        <w:t>While t</w:t>
      </w:r>
      <w:r w:rsidR="00BD4764">
        <w:t>he number of staff required for a vaccination clinic will vary depending on</w:t>
      </w:r>
      <w:r w:rsidR="001D08F1">
        <w:t xml:space="preserve"> the number to be vaccinated</w:t>
      </w:r>
      <w:r w:rsidR="00BD4764">
        <w:t>, a minimum of two RNs is expected to be on</w:t>
      </w:r>
      <w:r w:rsidR="00CC74D3">
        <w:t xml:space="preserve"> </w:t>
      </w:r>
      <w:r w:rsidR="00BD4764">
        <w:t>site during a vaccination clinic.</w:t>
      </w:r>
    </w:p>
    <w:p w14:paraId="152CDCF6" w14:textId="77777777" w:rsidR="00C97A9F" w:rsidRPr="00BC451B" w:rsidRDefault="00C97A9F" w:rsidP="00C97A9F"/>
    <w:p w14:paraId="7525871B" w14:textId="77777777" w:rsidR="003C1D1F" w:rsidRPr="005D1DD1" w:rsidRDefault="003C1D1F" w:rsidP="00C97A9F">
      <w:pPr>
        <w:pStyle w:val="Heading2"/>
      </w:pPr>
      <w:bookmarkStart w:id="411" w:name="_Toc454971517"/>
      <w:bookmarkStart w:id="412" w:name="_Toc465165475"/>
      <w:r w:rsidRPr="005D1DD1">
        <w:t>Timely scheduling</w:t>
      </w:r>
      <w:bookmarkEnd w:id="411"/>
      <w:bookmarkEnd w:id="412"/>
    </w:p>
    <w:p w14:paraId="3BBD0A6C" w14:textId="5EA01BA5" w:rsidR="003C1D1F" w:rsidRPr="00BC451B" w:rsidRDefault="003C1D1F" w:rsidP="00F54762">
      <w:r w:rsidRPr="00BC451B">
        <w:t xml:space="preserve">DHBs will need to determine their weekly </w:t>
      </w:r>
      <w:r>
        <w:t>and</w:t>
      </w:r>
      <w:r w:rsidRPr="00BC451B">
        <w:t xml:space="preserve"> monthly vaccination targets to ensure they can deliver the </w:t>
      </w:r>
      <w:r w:rsidRPr="005D1DD1">
        <w:t xml:space="preserve">Programme </w:t>
      </w:r>
      <w:r w:rsidRPr="00BC451B">
        <w:t>to the eligible school population in their area</w:t>
      </w:r>
      <w:r w:rsidR="002F1619">
        <w:t>,</w:t>
      </w:r>
      <w:r w:rsidRPr="00BC451B">
        <w:t xml:space="preserve"> within the proposed national </w:t>
      </w:r>
      <w:r w:rsidRPr="005D1DD1">
        <w:t xml:space="preserve">Programme </w:t>
      </w:r>
      <w:r w:rsidRPr="00BC451B">
        <w:t>delivery phasing timeframes for each cohort.</w:t>
      </w:r>
    </w:p>
    <w:p w14:paraId="5E45B590" w14:textId="77777777" w:rsidR="003C1D1F" w:rsidRPr="00BC451B" w:rsidRDefault="003C1D1F" w:rsidP="00F54762"/>
    <w:p w14:paraId="33533778" w14:textId="77777777" w:rsidR="005D1DD1" w:rsidRDefault="003C1D1F" w:rsidP="00F54762">
      <w:r w:rsidRPr="00BC451B">
        <w:t>For efficiency, the underlying principle should be to complete vaccination of the consenting school population within the same day.</w:t>
      </w:r>
      <w:r>
        <w:t xml:space="preserve"> </w:t>
      </w:r>
      <w:r w:rsidRPr="00BC451B">
        <w:t>Issues such as availability of venues and anxiety in the eligible school age group may be more of a problem if vaccination of a school has to continue over consecutive days.</w:t>
      </w:r>
    </w:p>
    <w:p w14:paraId="1A83CE7D" w14:textId="5D09FA76" w:rsidR="00FA597B" w:rsidRDefault="00FA597B">
      <w:pPr>
        <w:spacing w:line="240" w:lineRule="auto"/>
      </w:pPr>
    </w:p>
    <w:p w14:paraId="4D95475C" w14:textId="17674C1E" w:rsidR="003C1D1F" w:rsidRDefault="003C1D1F" w:rsidP="00B317B2">
      <w:pPr>
        <w:keepNext/>
      </w:pPr>
      <w:r>
        <w:lastRenderedPageBreak/>
        <w:t>Tables 1 and 2 below are intended as a suggested toolkit for Programme leads and managers to help plan, prepare and implement their Programmes.</w:t>
      </w:r>
    </w:p>
    <w:p w14:paraId="72DF65DE" w14:textId="77777777" w:rsidR="00F54762" w:rsidRPr="00BC451B" w:rsidRDefault="00F54762" w:rsidP="00B317B2">
      <w:pPr>
        <w:keepNext/>
      </w:pPr>
    </w:p>
    <w:p w14:paraId="7F53E07E" w14:textId="77777777" w:rsidR="003C1D1F" w:rsidRPr="00965335" w:rsidRDefault="003C1D1F" w:rsidP="00B317B2">
      <w:pPr>
        <w:pStyle w:val="Table"/>
      </w:pPr>
      <w:bookmarkStart w:id="413" w:name="_Toc455752862"/>
      <w:r w:rsidRPr="00965335">
        <w:t>Table 1</w:t>
      </w:r>
      <w:r>
        <w:t>:</w:t>
      </w:r>
      <w:r w:rsidRPr="00965335">
        <w:t xml:space="preserve"> Planning, </w:t>
      </w:r>
      <w:r>
        <w:t>p</w:t>
      </w:r>
      <w:r w:rsidRPr="00965335">
        <w:t xml:space="preserve">reparation and </w:t>
      </w:r>
      <w:r>
        <w:t>i</w:t>
      </w:r>
      <w:r w:rsidRPr="00965335">
        <w:t xml:space="preserve">mplementation for </w:t>
      </w:r>
      <w:r>
        <w:t>m</w:t>
      </w:r>
      <w:r w:rsidRPr="00965335">
        <w:t>anagers</w:t>
      </w:r>
      <w:bookmarkEnd w:id="413"/>
    </w:p>
    <w:tbl>
      <w:tblPr>
        <w:tblW w:w="0" w:type="auto"/>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560"/>
        <w:gridCol w:w="5811"/>
        <w:gridCol w:w="1985"/>
      </w:tblGrid>
      <w:tr w:rsidR="003C1D1F" w:rsidRPr="00F54762" w14:paraId="07DA01D0" w14:textId="77777777" w:rsidTr="00B317B2">
        <w:trPr>
          <w:cantSplit/>
        </w:trPr>
        <w:tc>
          <w:tcPr>
            <w:tcW w:w="1560" w:type="dxa"/>
            <w:tcBorders>
              <w:top w:val="single" w:sz="4" w:space="0" w:color="auto"/>
              <w:bottom w:val="single" w:sz="4" w:space="0" w:color="auto"/>
            </w:tcBorders>
          </w:tcPr>
          <w:p w14:paraId="4FD842E0" w14:textId="77777777" w:rsidR="003C1D1F" w:rsidRPr="00F54762" w:rsidRDefault="003C1D1F" w:rsidP="00B317B2">
            <w:pPr>
              <w:pStyle w:val="TableText"/>
              <w:keepNext/>
              <w:ind w:right="284"/>
              <w:rPr>
                <w:b/>
              </w:rPr>
            </w:pPr>
            <w:r w:rsidRPr="00F54762">
              <w:rPr>
                <w:b/>
              </w:rPr>
              <w:t>Planning</w:t>
            </w:r>
          </w:p>
        </w:tc>
        <w:tc>
          <w:tcPr>
            <w:tcW w:w="5811" w:type="dxa"/>
            <w:tcBorders>
              <w:top w:val="single" w:sz="4" w:space="0" w:color="auto"/>
              <w:bottom w:val="single" w:sz="4" w:space="0" w:color="auto"/>
            </w:tcBorders>
          </w:tcPr>
          <w:p w14:paraId="368A6404" w14:textId="77777777" w:rsidR="003C1D1F" w:rsidRPr="00F54762" w:rsidRDefault="003C1D1F" w:rsidP="00B317B2">
            <w:pPr>
              <w:pStyle w:val="TableText"/>
              <w:keepNext/>
              <w:ind w:right="284"/>
              <w:rPr>
                <w:b/>
              </w:rPr>
            </w:pPr>
            <w:r w:rsidRPr="00F54762">
              <w:rPr>
                <w:b/>
              </w:rPr>
              <w:t>Activity</w:t>
            </w:r>
          </w:p>
        </w:tc>
        <w:tc>
          <w:tcPr>
            <w:tcW w:w="1985" w:type="dxa"/>
            <w:tcBorders>
              <w:top w:val="single" w:sz="4" w:space="0" w:color="auto"/>
              <w:bottom w:val="single" w:sz="4" w:space="0" w:color="auto"/>
            </w:tcBorders>
          </w:tcPr>
          <w:p w14:paraId="762BC2B8" w14:textId="77777777" w:rsidR="003C1D1F" w:rsidRPr="00F54762" w:rsidRDefault="003C1D1F" w:rsidP="00B317B2">
            <w:pPr>
              <w:pStyle w:val="TableText"/>
              <w:keepNext/>
              <w:rPr>
                <w:b/>
              </w:rPr>
            </w:pPr>
            <w:r w:rsidRPr="00F54762">
              <w:rPr>
                <w:b/>
              </w:rPr>
              <w:t>Responsibility</w:t>
            </w:r>
          </w:p>
        </w:tc>
      </w:tr>
      <w:tr w:rsidR="003C1D1F" w:rsidRPr="008724D0" w14:paraId="3ABF6114" w14:textId="77777777" w:rsidTr="00B317B2">
        <w:trPr>
          <w:cantSplit/>
        </w:trPr>
        <w:tc>
          <w:tcPr>
            <w:tcW w:w="1560" w:type="dxa"/>
            <w:vMerge w:val="restart"/>
            <w:tcBorders>
              <w:top w:val="single" w:sz="4" w:space="0" w:color="auto"/>
            </w:tcBorders>
          </w:tcPr>
          <w:p w14:paraId="51842A81" w14:textId="77777777" w:rsidR="003C1D1F" w:rsidRPr="00965335" w:rsidRDefault="003C1D1F" w:rsidP="00F54762">
            <w:pPr>
              <w:pStyle w:val="TableText"/>
              <w:ind w:right="284"/>
            </w:pPr>
            <w:r w:rsidRPr="00965335">
              <w:t>Staffing requirements</w:t>
            </w:r>
          </w:p>
        </w:tc>
        <w:tc>
          <w:tcPr>
            <w:tcW w:w="5811" w:type="dxa"/>
            <w:tcBorders>
              <w:top w:val="single" w:sz="4" w:space="0" w:color="auto"/>
            </w:tcBorders>
          </w:tcPr>
          <w:p w14:paraId="565F7B91" w14:textId="77777777" w:rsidR="003C1D1F" w:rsidRPr="00BC451B" w:rsidRDefault="003C1D1F" w:rsidP="00F54762">
            <w:pPr>
              <w:pStyle w:val="TableText"/>
              <w:ind w:right="284"/>
            </w:pPr>
            <w:r w:rsidRPr="00BC451B">
              <w:t>Professional development</w:t>
            </w:r>
            <w:r>
              <w:t xml:space="preserve"> will include</w:t>
            </w:r>
            <w:r w:rsidRPr="00BC451B">
              <w:t>:</w:t>
            </w:r>
          </w:p>
          <w:p w14:paraId="28144850" w14:textId="77777777" w:rsidR="003C1D1F" w:rsidRDefault="003C1D1F" w:rsidP="00F54762">
            <w:pPr>
              <w:pStyle w:val="TableBullet"/>
              <w:ind w:right="284"/>
            </w:pPr>
            <w:r w:rsidRPr="00BC451B">
              <w:t>confirm</w:t>
            </w:r>
            <w:r>
              <w:t>ing</w:t>
            </w:r>
            <w:r w:rsidRPr="00BC451B">
              <w:t xml:space="preserve"> current staff competencies</w:t>
            </w:r>
            <w:r>
              <w:t xml:space="preserve"> −</w:t>
            </w:r>
            <w:r w:rsidRPr="00BC451B">
              <w:t xml:space="preserve"> </w:t>
            </w:r>
            <w:r>
              <w:t>s</w:t>
            </w:r>
            <w:r w:rsidRPr="00BC451B">
              <w:t xml:space="preserve">taff </w:t>
            </w:r>
            <w:r>
              <w:t xml:space="preserve">should </w:t>
            </w:r>
            <w:r w:rsidRPr="00BC451B">
              <w:t>complete the appropriate training prior to the Programme commencing</w:t>
            </w:r>
          </w:p>
          <w:p w14:paraId="70164D4D" w14:textId="561AE7DF" w:rsidR="001D08F1" w:rsidRPr="00BC451B" w:rsidRDefault="00AD373A" w:rsidP="00B317B2">
            <w:pPr>
              <w:pStyle w:val="TableDash"/>
              <w:spacing w:after="60"/>
              <w:ind w:left="568" w:hanging="284"/>
            </w:pPr>
            <w:r>
              <w:t>c</w:t>
            </w:r>
            <w:r w:rsidR="001D08F1">
              <w:t>ompetencies include</w:t>
            </w:r>
            <w:r>
              <w:t>: annual practicing</w:t>
            </w:r>
            <w:r w:rsidR="001D08F1">
              <w:t xml:space="preserve"> certificate, CPR certificate, Authorised Vaccinator status</w:t>
            </w:r>
            <w:r>
              <w:t xml:space="preserve"> (see </w:t>
            </w:r>
            <w:r w:rsidR="00B317B2">
              <w:t>A</w:t>
            </w:r>
            <w:r>
              <w:t>ppendix 2 for more information)</w:t>
            </w:r>
          </w:p>
          <w:p w14:paraId="1FEC7013" w14:textId="06527141" w:rsidR="001D08F1" w:rsidRDefault="003C1D1F" w:rsidP="001D08F1">
            <w:pPr>
              <w:pStyle w:val="TableBullet"/>
              <w:ind w:right="284"/>
            </w:pPr>
            <w:r w:rsidRPr="00BC451B">
              <w:t xml:space="preserve">new </w:t>
            </w:r>
            <w:r w:rsidR="00AD373A">
              <w:t>R</w:t>
            </w:r>
            <w:r w:rsidRPr="00BC451B">
              <w:t>Ns complet</w:t>
            </w:r>
            <w:r>
              <w:t>ing</w:t>
            </w:r>
            <w:r w:rsidRPr="00BC451B">
              <w:t xml:space="preserve"> </w:t>
            </w:r>
            <w:r>
              <w:t xml:space="preserve">an </w:t>
            </w:r>
            <w:r w:rsidRPr="00BC451B">
              <w:t>appropriate training course</w:t>
            </w:r>
            <w:r w:rsidR="002F1619">
              <w:t xml:space="preserve"> who </w:t>
            </w:r>
            <w:r w:rsidR="001D08F1">
              <w:t xml:space="preserve">can then vaccinate under standing orders prior to </w:t>
            </w:r>
            <w:r w:rsidRPr="00BC451B">
              <w:t>achiev</w:t>
            </w:r>
            <w:r>
              <w:t>ing</w:t>
            </w:r>
            <w:r w:rsidRPr="00BC451B">
              <w:t xml:space="preserve"> authorised vaccinator </w:t>
            </w:r>
            <w:r w:rsidR="002F1619">
              <w:t>status</w:t>
            </w:r>
          </w:p>
          <w:p w14:paraId="48AC7C84" w14:textId="77777777" w:rsidR="003C1D1F" w:rsidRPr="00BC451B" w:rsidRDefault="003C1D1F" w:rsidP="001D08F1">
            <w:pPr>
              <w:pStyle w:val="TableBullet"/>
              <w:ind w:right="284"/>
            </w:pPr>
            <w:r w:rsidRPr="00BC451B">
              <w:t xml:space="preserve">staff in </w:t>
            </w:r>
            <w:r>
              <w:t>a w</w:t>
            </w:r>
            <w:r w:rsidRPr="00BC451B">
              <w:t xml:space="preserve">hānau </w:t>
            </w:r>
            <w:r>
              <w:t>e</w:t>
            </w:r>
            <w:r w:rsidRPr="00BC451B">
              <w:t>ngagement, community coordination role and/or information sharing role receiv</w:t>
            </w:r>
            <w:r>
              <w:t>ing</w:t>
            </w:r>
            <w:r w:rsidRPr="00BC451B">
              <w:t xml:space="preserve"> appropriate training.</w:t>
            </w:r>
          </w:p>
        </w:tc>
        <w:tc>
          <w:tcPr>
            <w:tcW w:w="1985" w:type="dxa"/>
            <w:tcBorders>
              <w:top w:val="single" w:sz="4" w:space="0" w:color="auto"/>
            </w:tcBorders>
          </w:tcPr>
          <w:p w14:paraId="1C31BA28" w14:textId="77777777" w:rsidR="003C1D1F" w:rsidRPr="00BC451B" w:rsidRDefault="003C1D1F" w:rsidP="00F54762">
            <w:pPr>
              <w:pStyle w:val="TableText"/>
            </w:pPr>
            <w:r w:rsidRPr="00BC451B">
              <w:t>Programme coordinator /</w:t>
            </w:r>
            <w:r w:rsidR="00F54762">
              <w:t xml:space="preserve"> </w:t>
            </w:r>
            <w:r>
              <w:t>e</w:t>
            </w:r>
            <w:r w:rsidRPr="00BC451B">
              <w:t>ducation</w:t>
            </w:r>
            <w:r w:rsidR="00F54762">
              <w:t> </w:t>
            </w:r>
            <w:r w:rsidRPr="00BC451B">
              <w:t>coordinator</w:t>
            </w:r>
          </w:p>
        </w:tc>
      </w:tr>
      <w:tr w:rsidR="003C1D1F" w:rsidRPr="008724D0" w14:paraId="47DE0D80" w14:textId="77777777" w:rsidTr="00B317B2">
        <w:trPr>
          <w:cantSplit/>
        </w:trPr>
        <w:tc>
          <w:tcPr>
            <w:tcW w:w="1560" w:type="dxa"/>
            <w:vMerge/>
            <w:tcBorders>
              <w:bottom w:val="single" w:sz="4" w:space="0" w:color="A6A6A6" w:themeColor="background1" w:themeShade="A6"/>
            </w:tcBorders>
          </w:tcPr>
          <w:p w14:paraId="5AFC2038" w14:textId="77777777" w:rsidR="003C1D1F" w:rsidRPr="008724D0" w:rsidRDefault="003C1D1F" w:rsidP="00F54762">
            <w:pPr>
              <w:pStyle w:val="TableText"/>
              <w:ind w:right="284"/>
            </w:pPr>
          </w:p>
        </w:tc>
        <w:tc>
          <w:tcPr>
            <w:tcW w:w="5811" w:type="dxa"/>
            <w:tcBorders>
              <w:bottom w:val="single" w:sz="4" w:space="0" w:color="A6A6A6" w:themeColor="background1" w:themeShade="A6"/>
            </w:tcBorders>
          </w:tcPr>
          <w:p w14:paraId="156CEA06" w14:textId="5B7D6633" w:rsidR="003C1D1F" w:rsidRPr="00BC451B" w:rsidRDefault="003C1D1F" w:rsidP="00F54762">
            <w:pPr>
              <w:pStyle w:val="TableText"/>
              <w:ind w:right="284"/>
            </w:pPr>
            <w:r w:rsidRPr="00BC451B">
              <w:t>SB</w:t>
            </w:r>
            <w:r w:rsidR="001053F7">
              <w:t>IP</w:t>
            </w:r>
            <w:r w:rsidRPr="00BC451B">
              <w:t xml:space="preserve"> information and training for staff</w:t>
            </w:r>
            <w:r>
              <w:t>,</w:t>
            </w:r>
            <w:r w:rsidRPr="00BC451B">
              <w:t xml:space="preserve"> especially data administrators and RNs.</w:t>
            </w:r>
          </w:p>
        </w:tc>
        <w:tc>
          <w:tcPr>
            <w:tcW w:w="1985" w:type="dxa"/>
            <w:tcBorders>
              <w:bottom w:val="single" w:sz="4" w:space="0" w:color="A6A6A6" w:themeColor="background1" w:themeShade="A6"/>
            </w:tcBorders>
          </w:tcPr>
          <w:p w14:paraId="0E5AAE51" w14:textId="77777777" w:rsidR="003C1D1F" w:rsidRPr="00BC451B" w:rsidRDefault="003C1D1F" w:rsidP="00F54762">
            <w:pPr>
              <w:pStyle w:val="TableText"/>
              <w:rPr>
                <w:rFonts w:ascii="Calibri" w:hAnsi="Calibri"/>
              </w:rPr>
            </w:pPr>
            <w:r w:rsidRPr="00BC451B">
              <w:t>Programme</w:t>
            </w:r>
            <w:r w:rsidR="00F54762">
              <w:t xml:space="preserve"> </w:t>
            </w:r>
            <w:r w:rsidRPr="00F54762">
              <w:t>coordinator</w:t>
            </w:r>
          </w:p>
        </w:tc>
      </w:tr>
      <w:tr w:rsidR="003C1D1F" w:rsidRPr="008724D0" w14:paraId="1134833E" w14:textId="77777777" w:rsidTr="00B317B2">
        <w:trPr>
          <w:cantSplit/>
        </w:trPr>
        <w:tc>
          <w:tcPr>
            <w:tcW w:w="1560" w:type="dxa"/>
            <w:vMerge w:val="restart"/>
            <w:tcBorders>
              <w:top w:val="single" w:sz="4" w:space="0" w:color="A6A6A6" w:themeColor="background1" w:themeShade="A6"/>
              <w:bottom w:val="single" w:sz="4" w:space="0" w:color="A6A6A6" w:themeColor="background1" w:themeShade="A6"/>
            </w:tcBorders>
          </w:tcPr>
          <w:p w14:paraId="2CB8CA8F" w14:textId="77777777" w:rsidR="003C1D1F" w:rsidRPr="008724D0" w:rsidRDefault="003C1D1F" w:rsidP="00F54762">
            <w:pPr>
              <w:pStyle w:val="TableText"/>
              <w:ind w:right="284"/>
            </w:pPr>
            <w:r w:rsidRPr="008724D0">
              <w:t>Schools</w:t>
            </w:r>
          </w:p>
        </w:tc>
        <w:tc>
          <w:tcPr>
            <w:tcW w:w="5811" w:type="dxa"/>
            <w:tcBorders>
              <w:top w:val="single" w:sz="4" w:space="0" w:color="A6A6A6" w:themeColor="background1" w:themeShade="A6"/>
              <w:bottom w:val="single" w:sz="4" w:space="0" w:color="A6A6A6" w:themeColor="background1" w:themeShade="A6"/>
            </w:tcBorders>
          </w:tcPr>
          <w:p w14:paraId="483F885F" w14:textId="4FAB36CB" w:rsidR="003C1D1F" w:rsidRPr="00BC451B" w:rsidRDefault="003C1D1F" w:rsidP="00F54762">
            <w:pPr>
              <w:pStyle w:val="TableText"/>
              <w:ind w:right="284"/>
            </w:pPr>
            <w:r w:rsidRPr="00BC451B">
              <w:t>Liaise with schools (where possible obtain school rolls for SB</w:t>
            </w:r>
            <w:r w:rsidR="001053F7">
              <w:t>IP</w:t>
            </w:r>
            <w:r w:rsidRPr="00BC451B">
              <w:t>)</w:t>
            </w:r>
            <w:r>
              <w:t>.</w:t>
            </w:r>
          </w:p>
        </w:tc>
        <w:tc>
          <w:tcPr>
            <w:tcW w:w="1985" w:type="dxa"/>
            <w:tcBorders>
              <w:top w:val="single" w:sz="4" w:space="0" w:color="A6A6A6" w:themeColor="background1" w:themeShade="A6"/>
              <w:bottom w:val="single" w:sz="4" w:space="0" w:color="A6A6A6" w:themeColor="background1" w:themeShade="A6"/>
            </w:tcBorders>
          </w:tcPr>
          <w:p w14:paraId="485F75BC" w14:textId="44373431" w:rsidR="003C1D1F" w:rsidRPr="00BC451B" w:rsidRDefault="003C1D1F" w:rsidP="00F54762">
            <w:pPr>
              <w:pStyle w:val="TableText"/>
            </w:pPr>
            <w:r w:rsidRPr="00BC451B">
              <w:t>Programme coordinator</w:t>
            </w:r>
            <w:r w:rsidR="00AD373A">
              <w:t xml:space="preserve"> / administrator</w:t>
            </w:r>
          </w:p>
        </w:tc>
      </w:tr>
      <w:tr w:rsidR="003C1D1F" w:rsidRPr="008724D0" w14:paraId="33C9F816" w14:textId="77777777" w:rsidTr="00B317B2">
        <w:trPr>
          <w:cantSplit/>
        </w:trPr>
        <w:tc>
          <w:tcPr>
            <w:tcW w:w="1560" w:type="dxa"/>
            <w:vMerge/>
            <w:tcBorders>
              <w:top w:val="single" w:sz="4" w:space="0" w:color="A6A6A6" w:themeColor="background1" w:themeShade="A6"/>
              <w:bottom w:val="single" w:sz="4" w:space="0" w:color="A6A6A6" w:themeColor="background1" w:themeShade="A6"/>
            </w:tcBorders>
          </w:tcPr>
          <w:p w14:paraId="269BA21D" w14:textId="77777777" w:rsidR="003C1D1F" w:rsidRPr="008724D0" w:rsidRDefault="003C1D1F" w:rsidP="00F54762">
            <w:pPr>
              <w:pStyle w:val="TableText"/>
              <w:ind w:right="284"/>
            </w:pPr>
          </w:p>
        </w:tc>
        <w:tc>
          <w:tcPr>
            <w:tcW w:w="5811" w:type="dxa"/>
            <w:tcBorders>
              <w:top w:val="single" w:sz="4" w:space="0" w:color="A6A6A6" w:themeColor="background1" w:themeShade="A6"/>
              <w:bottom w:val="single" w:sz="4" w:space="0" w:color="A6A6A6" w:themeColor="background1" w:themeShade="A6"/>
            </w:tcBorders>
          </w:tcPr>
          <w:p w14:paraId="3BA6FC0A" w14:textId="03E505B7" w:rsidR="003C1D1F" w:rsidRPr="00BC451B" w:rsidRDefault="00AD373A" w:rsidP="00AD373A">
            <w:pPr>
              <w:pStyle w:val="TableText"/>
              <w:ind w:right="284"/>
            </w:pPr>
            <w:r>
              <w:t>E</w:t>
            </w:r>
            <w:r w:rsidR="003C1D1F" w:rsidRPr="00BC451B">
              <w:t xml:space="preserve">nsure school class lists are </w:t>
            </w:r>
            <w:r>
              <w:t>created</w:t>
            </w:r>
            <w:r w:rsidRPr="00BC451B">
              <w:t xml:space="preserve"> </w:t>
            </w:r>
            <w:r w:rsidR="003C1D1F" w:rsidRPr="00BC451B">
              <w:t>in a timely manner.</w:t>
            </w:r>
          </w:p>
        </w:tc>
        <w:tc>
          <w:tcPr>
            <w:tcW w:w="1985" w:type="dxa"/>
            <w:tcBorders>
              <w:top w:val="single" w:sz="4" w:space="0" w:color="A6A6A6" w:themeColor="background1" w:themeShade="A6"/>
              <w:bottom w:val="single" w:sz="4" w:space="0" w:color="A6A6A6" w:themeColor="background1" w:themeShade="A6"/>
            </w:tcBorders>
          </w:tcPr>
          <w:p w14:paraId="101FECBE" w14:textId="0D8E457A" w:rsidR="003C1D1F" w:rsidRPr="00BC451B" w:rsidRDefault="003C1D1F" w:rsidP="00F54762">
            <w:pPr>
              <w:pStyle w:val="TableText"/>
            </w:pPr>
            <w:r w:rsidRPr="00BC451B">
              <w:t>Programme coordinator</w:t>
            </w:r>
            <w:r w:rsidR="00AD373A">
              <w:t xml:space="preserve"> / administrator</w:t>
            </w:r>
          </w:p>
        </w:tc>
      </w:tr>
      <w:tr w:rsidR="00F54762" w:rsidRPr="00422ADC" w14:paraId="6BD87BD0" w14:textId="77777777" w:rsidTr="00B317B2">
        <w:trPr>
          <w:cantSplit/>
        </w:trPr>
        <w:tc>
          <w:tcPr>
            <w:tcW w:w="1560" w:type="dxa"/>
            <w:tcBorders>
              <w:top w:val="single" w:sz="4" w:space="0" w:color="A6A6A6" w:themeColor="background1" w:themeShade="A6"/>
              <w:bottom w:val="single" w:sz="4" w:space="0" w:color="A6A6A6" w:themeColor="background1" w:themeShade="A6"/>
            </w:tcBorders>
          </w:tcPr>
          <w:p w14:paraId="663F2D45" w14:textId="77777777" w:rsidR="00F54762" w:rsidRPr="00422ADC" w:rsidRDefault="00F54762" w:rsidP="00F54762">
            <w:pPr>
              <w:pStyle w:val="TableText"/>
              <w:ind w:right="284"/>
            </w:pPr>
            <w:r w:rsidRPr="00422ADC">
              <w:t>Initial preparation</w:t>
            </w:r>
          </w:p>
        </w:tc>
        <w:tc>
          <w:tcPr>
            <w:tcW w:w="5811" w:type="dxa"/>
            <w:tcBorders>
              <w:top w:val="single" w:sz="4" w:space="0" w:color="A6A6A6" w:themeColor="background1" w:themeShade="A6"/>
              <w:bottom w:val="single" w:sz="4" w:space="0" w:color="A6A6A6" w:themeColor="background1" w:themeShade="A6"/>
            </w:tcBorders>
          </w:tcPr>
          <w:p w14:paraId="20B8A2A2" w14:textId="77777777" w:rsidR="00F54762" w:rsidRPr="00EB6B62" w:rsidRDefault="00F54762" w:rsidP="00F54762">
            <w:pPr>
              <w:pStyle w:val="TableText"/>
              <w:ind w:right="284"/>
            </w:pPr>
            <w:r w:rsidRPr="00EB6B62">
              <w:t>Arrange a meeting with each school to plan the Programme</w:t>
            </w:r>
            <w:r w:rsidRPr="008724D0">
              <w:t>,</w:t>
            </w:r>
            <w:r w:rsidRPr="00EB6B62">
              <w:t xml:space="preserve"> including:</w:t>
            </w:r>
          </w:p>
          <w:p w14:paraId="6643F046" w14:textId="77777777" w:rsidR="00F54762" w:rsidRPr="00EB6B62" w:rsidRDefault="00F54762" w:rsidP="00F54762">
            <w:pPr>
              <w:pStyle w:val="TableBullet"/>
              <w:ind w:right="284"/>
            </w:pPr>
            <w:r w:rsidRPr="00EB6B62">
              <w:t>appointment of a designated school staff representative</w:t>
            </w:r>
          </w:p>
          <w:p w14:paraId="57659BF3" w14:textId="77777777" w:rsidR="00F54762" w:rsidRPr="00BE4F15" w:rsidRDefault="00F54762" w:rsidP="00F54762">
            <w:pPr>
              <w:pStyle w:val="TableBullet"/>
              <w:ind w:right="284"/>
            </w:pPr>
            <w:r w:rsidRPr="00BE4F15">
              <w:t>dates and times (to be forwarded to the Programme coordinator)</w:t>
            </w:r>
          </w:p>
          <w:p w14:paraId="701C900B" w14:textId="77777777" w:rsidR="00F54762" w:rsidRPr="00BE4F15" w:rsidRDefault="00F54762" w:rsidP="00F54762">
            <w:pPr>
              <w:pStyle w:val="TableBullet"/>
              <w:ind w:right="284"/>
            </w:pPr>
            <w:r w:rsidRPr="00BE4F15">
              <w:t>venue and equipment</w:t>
            </w:r>
          </w:p>
          <w:p w14:paraId="12CEDCE0" w14:textId="77777777" w:rsidR="00F54762" w:rsidRPr="00B726F8" w:rsidRDefault="00F54762" w:rsidP="00F54762">
            <w:pPr>
              <w:pStyle w:val="TableBullet"/>
              <w:ind w:right="284"/>
            </w:pPr>
            <w:r w:rsidRPr="00B726F8">
              <w:t>scheduling of classes</w:t>
            </w:r>
          </w:p>
          <w:p w14:paraId="24FC3FFD" w14:textId="77777777" w:rsidR="00F54762" w:rsidRPr="00457902" w:rsidRDefault="00F54762" w:rsidP="00F54762">
            <w:pPr>
              <w:pStyle w:val="TableBullet"/>
              <w:ind w:right="284"/>
            </w:pPr>
            <w:r w:rsidRPr="00B726F8">
              <w:t xml:space="preserve">obtaining </w:t>
            </w:r>
            <w:r w:rsidRPr="006E15CC">
              <w:t>parent</w:t>
            </w:r>
            <w:r w:rsidRPr="00457902">
              <w:t>/guardian informed consent</w:t>
            </w:r>
          </w:p>
          <w:p w14:paraId="7C2F92BD" w14:textId="77777777" w:rsidR="00F54762" w:rsidRPr="00EB6B62" w:rsidRDefault="00F54762" w:rsidP="00F54762">
            <w:pPr>
              <w:pStyle w:val="TableBullet"/>
              <w:ind w:right="284"/>
            </w:pPr>
            <w:r w:rsidRPr="00445256">
              <w:t>obtaining school staff support</w:t>
            </w:r>
            <w:r w:rsidRPr="008724D0">
              <w:t>,</w:t>
            </w:r>
            <w:r w:rsidRPr="00EB6B62">
              <w:t xml:space="preserve"> including:</w:t>
            </w:r>
          </w:p>
          <w:p w14:paraId="481D67F4" w14:textId="545DCA2D" w:rsidR="00F54762" w:rsidRPr="00EB6B62" w:rsidRDefault="00F54762" w:rsidP="00F54762">
            <w:pPr>
              <w:pStyle w:val="TableDash"/>
            </w:pPr>
            <w:r w:rsidRPr="00EB6B62">
              <w:t>advising of new enrol</w:t>
            </w:r>
            <w:r w:rsidR="007000C1">
              <w:t>l</w:t>
            </w:r>
            <w:r w:rsidRPr="00EB6B62">
              <w:t>ees</w:t>
            </w:r>
            <w:r w:rsidRPr="008724D0">
              <w:t xml:space="preserve"> or</w:t>
            </w:r>
            <w:r w:rsidRPr="00EB6B62">
              <w:t xml:space="preserve"> transfers into the school after the consent process has been undertaken</w:t>
            </w:r>
          </w:p>
          <w:p w14:paraId="2B29C8E5" w14:textId="77777777" w:rsidR="00F54762" w:rsidRPr="00EB6B62" w:rsidRDefault="00F54762" w:rsidP="00F54762">
            <w:pPr>
              <w:pStyle w:val="TableDash"/>
              <w:spacing w:after="60"/>
              <w:ind w:left="568" w:hanging="284"/>
            </w:pPr>
            <w:r w:rsidRPr="00BE4F15">
              <w:t>advising who is sick</w:t>
            </w:r>
            <w:r w:rsidRPr="00B726F8">
              <w:t>/</w:t>
            </w:r>
            <w:r w:rsidRPr="006E15CC">
              <w:t>absen</w:t>
            </w:r>
            <w:r>
              <w:t>t on the scheduled clinic days.</w:t>
            </w:r>
          </w:p>
        </w:tc>
        <w:tc>
          <w:tcPr>
            <w:tcW w:w="1985" w:type="dxa"/>
            <w:tcBorders>
              <w:top w:val="single" w:sz="4" w:space="0" w:color="A6A6A6" w:themeColor="background1" w:themeShade="A6"/>
              <w:bottom w:val="single" w:sz="4" w:space="0" w:color="A6A6A6" w:themeColor="background1" w:themeShade="A6"/>
            </w:tcBorders>
          </w:tcPr>
          <w:p w14:paraId="7D0CB714" w14:textId="04190172" w:rsidR="00F54762" w:rsidRPr="00422ADC" w:rsidRDefault="00AD373A" w:rsidP="00AD373A">
            <w:pPr>
              <w:pStyle w:val="TableText"/>
            </w:pPr>
            <w:r>
              <w:t>S</w:t>
            </w:r>
            <w:r w:rsidR="00F54762" w:rsidRPr="00422ADC">
              <w:t>ite</w:t>
            </w:r>
            <w:r w:rsidR="00F54762">
              <w:t xml:space="preserve"> </w:t>
            </w:r>
            <w:r w:rsidR="00F54762" w:rsidRPr="00422ADC">
              <w:t>coordinator</w:t>
            </w:r>
          </w:p>
        </w:tc>
      </w:tr>
      <w:tr w:rsidR="003C1D1F" w:rsidRPr="00422ADC" w14:paraId="793B5145" w14:textId="77777777" w:rsidTr="00B317B2">
        <w:trPr>
          <w:cantSplit/>
        </w:trPr>
        <w:tc>
          <w:tcPr>
            <w:tcW w:w="1560" w:type="dxa"/>
            <w:tcBorders>
              <w:top w:val="single" w:sz="4" w:space="0" w:color="A6A6A6" w:themeColor="background1" w:themeShade="A6"/>
              <w:bottom w:val="single" w:sz="4" w:space="0" w:color="A6A6A6" w:themeColor="background1" w:themeShade="A6"/>
            </w:tcBorders>
          </w:tcPr>
          <w:p w14:paraId="6B12DD03" w14:textId="77777777" w:rsidR="003C1D1F" w:rsidRPr="00422ADC" w:rsidRDefault="003C1D1F" w:rsidP="00F54762">
            <w:pPr>
              <w:pStyle w:val="TableText"/>
              <w:ind w:right="284"/>
            </w:pPr>
            <w:r w:rsidRPr="00422ADC">
              <w:t>Informing schools</w:t>
            </w:r>
          </w:p>
        </w:tc>
        <w:tc>
          <w:tcPr>
            <w:tcW w:w="5811" w:type="dxa"/>
            <w:tcBorders>
              <w:top w:val="single" w:sz="4" w:space="0" w:color="A6A6A6" w:themeColor="background1" w:themeShade="A6"/>
              <w:bottom w:val="single" w:sz="4" w:space="0" w:color="A6A6A6" w:themeColor="background1" w:themeShade="A6"/>
            </w:tcBorders>
          </w:tcPr>
          <w:p w14:paraId="4DB59F12" w14:textId="045C31C6" w:rsidR="003C1D1F" w:rsidRPr="00422ADC" w:rsidRDefault="00F54762" w:rsidP="00F54762">
            <w:pPr>
              <w:pStyle w:val="TableText"/>
              <w:ind w:right="284"/>
            </w:pPr>
            <w:r w:rsidRPr="00EB6B62">
              <w:t>If any school refuses to take part in the Programme during school hour</w:t>
            </w:r>
            <w:r w:rsidR="006030D1">
              <w:t>s</w:t>
            </w:r>
            <w:r w:rsidRPr="00EB6B62">
              <w:t xml:space="preserve"> parents </w:t>
            </w:r>
            <w:r w:rsidR="006030D1">
              <w:t xml:space="preserve">are </w:t>
            </w:r>
            <w:r w:rsidRPr="00EB6B62">
              <w:t xml:space="preserve">to be informed of alternatives as per </w:t>
            </w:r>
            <w:r w:rsidRPr="00BE4F15">
              <w:t>DHB policy</w:t>
            </w:r>
            <w:r>
              <w:t>.</w:t>
            </w:r>
          </w:p>
        </w:tc>
        <w:tc>
          <w:tcPr>
            <w:tcW w:w="1985" w:type="dxa"/>
            <w:tcBorders>
              <w:top w:val="single" w:sz="4" w:space="0" w:color="A6A6A6" w:themeColor="background1" w:themeShade="A6"/>
              <w:bottom w:val="single" w:sz="4" w:space="0" w:color="A6A6A6" w:themeColor="background1" w:themeShade="A6"/>
            </w:tcBorders>
          </w:tcPr>
          <w:p w14:paraId="4BA44D6E" w14:textId="77777777" w:rsidR="003C1D1F" w:rsidRPr="00422ADC" w:rsidRDefault="00F54762" w:rsidP="00F54762">
            <w:pPr>
              <w:pStyle w:val="TableText"/>
            </w:pPr>
            <w:r>
              <w:t>Programme coordinator</w:t>
            </w:r>
          </w:p>
        </w:tc>
      </w:tr>
      <w:tr w:rsidR="003C1D1F" w:rsidRPr="00422ADC" w14:paraId="37992C00" w14:textId="77777777" w:rsidTr="00B317B2">
        <w:trPr>
          <w:cantSplit/>
        </w:trPr>
        <w:tc>
          <w:tcPr>
            <w:tcW w:w="1560" w:type="dxa"/>
            <w:vMerge w:val="restart"/>
            <w:tcBorders>
              <w:top w:val="single" w:sz="4" w:space="0" w:color="A6A6A6" w:themeColor="background1" w:themeShade="A6"/>
              <w:bottom w:val="single" w:sz="4" w:space="0" w:color="A6A6A6" w:themeColor="background1" w:themeShade="A6"/>
            </w:tcBorders>
          </w:tcPr>
          <w:p w14:paraId="73A9BBE0" w14:textId="77777777" w:rsidR="003C1D1F" w:rsidRPr="00422ADC" w:rsidRDefault="003C1D1F" w:rsidP="00F54762">
            <w:pPr>
              <w:pStyle w:val="TableText"/>
              <w:ind w:right="284"/>
            </w:pPr>
            <w:r w:rsidRPr="00422ADC">
              <w:t>Consent forms</w:t>
            </w:r>
          </w:p>
        </w:tc>
        <w:tc>
          <w:tcPr>
            <w:tcW w:w="5811" w:type="dxa"/>
            <w:tcBorders>
              <w:top w:val="single" w:sz="4" w:space="0" w:color="A6A6A6" w:themeColor="background1" w:themeShade="A6"/>
              <w:bottom w:val="single" w:sz="4" w:space="0" w:color="A6A6A6" w:themeColor="background1" w:themeShade="A6"/>
            </w:tcBorders>
          </w:tcPr>
          <w:p w14:paraId="51996B4C" w14:textId="77777777" w:rsidR="003C1D1F" w:rsidRPr="00EB6B62" w:rsidRDefault="003C1D1F" w:rsidP="00F54762">
            <w:pPr>
              <w:pStyle w:val="TableText"/>
              <w:ind w:right="284"/>
            </w:pPr>
            <w:r>
              <w:t>Arrange e</w:t>
            </w:r>
            <w:r w:rsidRPr="00EB6B62">
              <w:t>ducation sessions for students</w:t>
            </w:r>
            <w:r w:rsidRPr="008724D0">
              <w:t>,</w:t>
            </w:r>
            <w:r w:rsidRPr="00EB6B62">
              <w:t xml:space="preserve"> as agreed with the school principal.</w:t>
            </w:r>
          </w:p>
        </w:tc>
        <w:tc>
          <w:tcPr>
            <w:tcW w:w="1985" w:type="dxa"/>
            <w:tcBorders>
              <w:top w:val="single" w:sz="4" w:space="0" w:color="A6A6A6" w:themeColor="background1" w:themeShade="A6"/>
              <w:bottom w:val="single" w:sz="4" w:space="0" w:color="A6A6A6" w:themeColor="background1" w:themeShade="A6"/>
            </w:tcBorders>
          </w:tcPr>
          <w:p w14:paraId="05B6243F" w14:textId="4D55AC57" w:rsidR="003C1D1F" w:rsidRPr="00BE4F15" w:rsidRDefault="00AD373A" w:rsidP="00AD373A">
            <w:pPr>
              <w:pStyle w:val="TableText"/>
            </w:pPr>
            <w:r>
              <w:t>S</w:t>
            </w:r>
            <w:r w:rsidR="003C1D1F" w:rsidRPr="00BE4F15">
              <w:t>ite</w:t>
            </w:r>
            <w:r w:rsidR="00F54762">
              <w:t xml:space="preserve"> </w:t>
            </w:r>
            <w:r w:rsidR="003C1D1F" w:rsidRPr="00BE4F15">
              <w:t>coordinator or designated RN</w:t>
            </w:r>
          </w:p>
        </w:tc>
      </w:tr>
      <w:tr w:rsidR="003C1D1F" w:rsidRPr="0052190F" w14:paraId="568DEDBD" w14:textId="77777777" w:rsidTr="00B317B2">
        <w:trPr>
          <w:cantSplit/>
        </w:trPr>
        <w:tc>
          <w:tcPr>
            <w:tcW w:w="1560" w:type="dxa"/>
            <w:vMerge/>
            <w:tcBorders>
              <w:top w:val="single" w:sz="4" w:space="0" w:color="A6A6A6" w:themeColor="background1" w:themeShade="A6"/>
            </w:tcBorders>
          </w:tcPr>
          <w:p w14:paraId="0A39CECD" w14:textId="77777777" w:rsidR="003C1D1F" w:rsidRPr="0052190F" w:rsidRDefault="003C1D1F" w:rsidP="00F54762">
            <w:pPr>
              <w:pStyle w:val="TableText"/>
              <w:ind w:right="284"/>
            </w:pPr>
          </w:p>
        </w:tc>
        <w:tc>
          <w:tcPr>
            <w:tcW w:w="5811" w:type="dxa"/>
            <w:tcBorders>
              <w:top w:val="single" w:sz="4" w:space="0" w:color="A6A6A6" w:themeColor="background1" w:themeShade="A6"/>
            </w:tcBorders>
          </w:tcPr>
          <w:p w14:paraId="66BF36EF" w14:textId="77777777" w:rsidR="003C1D1F" w:rsidRPr="00EB6B62" w:rsidRDefault="003C1D1F" w:rsidP="00F54762">
            <w:pPr>
              <w:pStyle w:val="TableText"/>
              <w:ind w:right="284"/>
            </w:pPr>
            <w:r w:rsidRPr="00EB6B62">
              <w:t xml:space="preserve">Work collaboratively with school staff to assist </w:t>
            </w:r>
            <w:r>
              <w:t xml:space="preserve">with </w:t>
            </w:r>
            <w:r w:rsidRPr="00EB6B62">
              <w:t xml:space="preserve">and </w:t>
            </w:r>
            <w:r>
              <w:t xml:space="preserve">provide </w:t>
            </w:r>
            <w:r w:rsidRPr="00EB6B62">
              <w:t xml:space="preserve">support </w:t>
            </w:r>
            <w:r>
              <w:t>for</w:t>
            </w:r>
            <w:r w:rsidRPr="00EB6B62">
              <w:t xml:space="preserve"> the management of the consent form process.</w:t>
            </w:r>
          </w:p>
        </w:tc>
        <w:tc>
          <w:tcPr>
            <w:tcW w:w="1985" w:type="dxa"/>
            <w:tcBorders>
              <w:top w:val="single" w:sz="4" w:space="0" w:color="A6A6A6" w:themeColor="background1" w:themeShade="A6"/>
            </w:tcBorders>
          </w:tcPr>
          <w:p w14:paraId="50AB4BF6" w14:textId="7CB9EF88" w:rsidR="003C1D1F" w:rsidRPr="006E15CC" w:rsidRDefault="00AD373A" w:rsidP="00AD373A">
            <w:pPr>
              <w:pStyle w:val="TableText"/>
            </w:pPr>
            <w:r>
              <w:t>Site</w:t>
            </w:r>
            <w:r w:rsidR="00F54762">
              <w:t xml:space="preserve"> </w:t>
            </w:r>
            <w:r w:rsidR="003C1D1F" w:rsidRPr="00BE4F15">
              <w:t>coordinator or designated</w:t>
            </w:r>
            <w:r w:rsidR="00F54762">
              <w:t xml:space="preserve"> </w:t>
            </w:r>
            <w:r w:rsidR="003C1D1F" w:rsidRPr="006E15CC">
              <w:t>RN</w:t>
            </w:r>
          </w:p>
        </w:tc>
      </w:tr>
    </w:tbl>
    <w:p w14:paraId="1DE64F8B" w14:textId="77777777" w:rsidR="003C1D1F" w:rsidRDefault="003C1D1F" w:rsidP="00F54762"/>
    <w:p w14:paraId="27863FD8" w14:textId="77777777" w:rsidR="003C1D1F" w:rsidRDefault="003C1D1F" w:rsidP="00F54762">
      <w:pPr>
        <w:pStyle w:val="Table"/>
      </w:pPr>
      <w:bookmarkStart w:id="414" w:name="_Toc455752863"/>
      <w:r w:rsidRPr="00965335">
        <w:lastRenderedPageBreak/>
        <w:t>Table 2</w:t>
      </w:r>
      <w:r>
        <w:t>:</w:t>
      </w:r>
      <w:r w:rsidRPr="00965335">
        <w:t xml:space="preserve"> Planning</w:t>
      </w:r>
      <w:r>
        <w:t>, p</w:t>
      </w:r>
      <w:r w:rsidRPr="00965335">
        <w:t xml:space="preserve">reparation and </w:t>
      </w:r>
      <w:r>
        <w:t>i</w:t>
      </w:r>
      <w:r w:rsidRPr="00965335">
        <w:t xml:space="preserve">mplementation for </w:t>
      </w:r>
      <w:r>
        <w:t>p</w:t>
      </w:r>
      <w:r w:rsidRPr="00965335">
        <w:t xml:space="preserve">ublic </w:t>
      </w:r>
      <w:r>
        <w:t>h</w:t>
      </w:r>
      <w:r w:rsidRPr="00965335">
        <w:t>ealth</w:t>
      </w:r>
      <w:bookmarkEnd w:id="414"/>
    </w:p>
    <w:tbl>
      <w:tblPr>
        <w:tblW w:w="9356"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560"/>
        <w:gridCol w:w="5811"/>
        <w:gridCol w:w="1985"/>
      </w:tblGrid>
      <w:tr w:rsidR="003C1D1F" w:rsidRPr="00F54762" w14:paraId="491B51F8" w14:textId="77777777" w:rsidTr="00B317B2">
        <w:trPr>
          <w:tblHeader/>
        </w:trPr>
        <w:tc>
          <w:tcPr>
            <w:tcW w:w="1560" w:type="dxa"/>
            <w:tcBorders>
              <w:top w:val="single" w:sz="4" w:space="0" w:color="auto"/>
              <w:bottom w:val="single" w:sz="4" w:space="0" w:color="auto"/>
            </w:tcBorders>
          </w:tcPr>
          <w:p w14:paraId="644C0BB9" w14:textId="77777777" w:rsidR="003C1D1F" w:rsidRPr="00F54762" w:rsidRDefault="003C1D1F" w:rsidP="00F54762">
            <w:pPr>
              <w:pStyle w:val="TableText"/>
              <w:keepNext/>
              <w:ind w:right="284"/>
              <w:rPr>
                <w:b/>
              </w:rPr>
            </w:pPr>
            <w:r w:rsidRPr="00F54762">
              <w:rPr>
                <w:b/>
              </w:rPr>
              <w:t>Planning</w:t>
            </w:r>
          </w:p>
        </w:tc>
        <w:tc>
          <w:tcPr>
            <w:tcW w:w="5811" w:type="dxa"/>
            <w:tcBorders>
              <w:top w:val="single" w:sz="4" w:space="0" w:color="auto"/>
              <w:bottom w:val="single" w:sz="4" w:space="0" w:color="auto"/>
            </w:tcBorders>
          </w:tcPr>
          <w:p w14:paraId="546A9245" w14:textId="77777777" w:rsidR="003C1D1F" w:rsidRPr="00F54762" w:rsidRDefault="003C1D1F" w:rsidP="00BA4973">
            <w:pPr>
              <w:pStyle w:val="TableText"/>
              <w:keepNext/>
              <w:ind w:right="284"/>
              <w:rPr>
                <w:b/>
              </w:rPr>
            </w:pPr>
            <w:r w:rsidRPr="00F54762">
              <w:rPr>
                <w:b/>
              </w:rPr>
              <w:t>Activity</w:t>
            </w:r>
          </w:p>
        </w:tc>
        <w:tc>
          <w:tcPr>
            <w:tcW w:w="1985" w:type="dxa"/>
            <w:tcBorders>
              <w:top w:val="single" w:sz="4" w:space="0" w:color="auto"/>
              <w:bottom w:val="single" w:sz="4" w:space="0" w:color="auto"/>
            </w:tcBorders>
          </w:tcPr>
          <w:p w14:paraId="177A47A5" w14:textId="77777777" w:rsidR="003C1D1F" w:rsidRPr="00F54762" w:rsidRDefault="003C1D1F" w:rsidP="00F54762">
            <w:pPr>
              <w:pStyle w:val="TableText"/>
              <w:keepNext/>
              <w:rPr>
                <w:b/>
              </w:rPr>
            </w:pPr>
            <w:r w:rsidRPr="00F54762">
              <w:rPr>
                <w:b/>
              </w:rPr>
              <w:t>Responsibility</w:t>
            </w:r>
          </w:p>
        </w:tc>
      </w:tr>
      <w:tr w:rsidR="003C1D1F" w:rsidRPr="00422ADC" w14:paraId="625F4BE1" w14:textId="77777777" w:rsidTr="00B317B2">
        <w:tc>
          <w:tcPr>
            <w:tcW w:w="1560" w:type="dxa"/>
            <w:vMerge w:val="restart"/>
            <w:tcBorders>
              <w:top w:val="single" w:sz="4" w:space="0" w:color="auto"/>
            </w:tcBorders>
          </w:tcPr>
          <w:p w14:paraId="38246672" w14:textId="77777777" w:rsidR="003C1D1F" w:rsidRPr="00422ADC" w:rsidRDefault="003C1D1F" w:rsidP="00F54762">
            <w:pPr>
              <w:pStyle w:val="TableText"/>
              <w:keepNext/>
              <w:ind w:right="284"/>
            </w:pPr>
            <w:r w:rsidRPr="00422ADC">
              <w:t>The consenting process</w:t>
            </w:r>
            <w:r w:rsidRPr="00422ADC">
              <w:br w:type="page"/>
            </w:r>
          </w:p>
        </w:tc>
        <w:tc>
          <w:tcPr>
            <w:tcW w:w="5811" w:type="dxa"/>
            <w:tcBorders>
              <w:top w:val="single" w:sz="4" w:space="0" w:color="auto"/>
              <w:bottom w:val="single" w:sz="4" w:space="0" w:color="A6A6A6" w:themeColor="background1" w:themeShade="A6"/>
            </w:tcBorders>
          </w:tcPr>
          <w:p w14:paraId="677AE499" w14:textId="0F089F6A" w:rsidR="003C1D1F" w:rsidRPr="00B726F8" w:rsidRDefault="00AD373A" w:rsidP="00AD373A">
            <w:pPr>
              <w:pStyle w:val="TableText"/>
              <w:keepNext/>
              <w:ind w:right="284"/>
            </w:pPr>
            <w:r>
              <w:t>I</w:t>
            </w:r>
            <w:r w:rsidR="003C1D1F" w:rsidRPr="00BE4F15">
              <w:t>n partnership with the school</w:t>
            </w:r>
            <w:r w:rsidR="003C1D1F">
              <w:t xml:space="preserve">, </w:t>
            </w:r>
            <w:r w:rsidR="003C1D1F" w:rsidRPr="00B726F8">
              <w:t>arrange the consent form collection process and set a deadline with the school for completed consent forms.</w:t>
            </w:r>
          </w:p>
        </w:tc>
        <w:tc>
          <w:tcPr>
            <w:tcW w:w="1985" w:type="dxa"/>
            <w:tcBorders>
              <w:top w:val="single" w:sz="4" w:space="0" w:color="auto"/>
              <w:bottom w:val="single" w:sz="4" w:space="0" w:color="A6A6A6" w:themeColor="background1" w:themeShade="A6"/>
            </w:tcBorders>
          </w:tcPr>
          <w:p w14:paraId="70A0C2D5" w14:textId="7EEBCC70" w:rsidR="003C1D1F" w:rsidRPr="00422ADC" w:rsidRDefault="00AD373A" w:rsidP="00AD373A">
            <w:pPr>
              <w:pStyle w:val="TableText"/>
              <w:keepNext/>
            </w:pPr>
            <w:r>
              <w:t>S</w:t>
            </w:r>
            <w:r w:rsidR="003C1D1F" w:rsidRPr="00422ADC">
              <w:t>ite</w:t>
            </w:r>
            <w:r w:rsidR="00F54762">
              <w:t xml:space="preserve"> </w:t>
            </w:r>
            <w:r w:rsidR="003C1D1F" w:rsidRPr="00422ADC">
              <w:t>coordinator</w:t>
            </w:r>
            <w:r w:rsidR="00F54762">
              <w:t xml:space="preserve"> </w:t>
            </w:r>
            <w:r w:rsidR="003C1D1F" w:rsidRPr="00422ADC">
              <w:t>or designated</w:t>
            </w:r>
            <w:r>
              <w:t xml:space="preserve"> </w:t>
            </w:r>
            <w:r w:rsidR="003C1D1F" w:rsidRPr="00422ADC">
              <w:t>RN</w:t>
            </w:r>
          </w:p>
        </w:tc>
      </w:tr>
      <w:tr w:rsidR="003C1D1F" w:rsidRPr="00422ADC" w14:paraId="0229CBF3" w14:textId="77777777" w:rsidTr="00B317B2">
        <w:tc>
          <w:tcPr>
            <w:tcW w:w="1560" w:type="dxa"/>
            <w:vMerge/>
          </w:tcPr>
          <w:p w14:paraId="7CEEE328" w14:textId="77777777" w:rsidR="003C1D1F" w:rsidRPr="00422ADC" w:rsidRDefault="003C1D1F" w:rsidP="00F54762">
            <w:pPr>
              <w:pStyle w:val="TableText"/>
              <w:keepNext/>
              <w:ind w:right="284"/>
            </w:pPr>
          </w:p>
        </w:tc>
        <w:tc>
          <w:tcPr>
            <w:tcW w:w="5811" w:type="dxa"/>
            <w:tcBorders>
              <w:top w:val="single" w:sz="4" w:space="0" w:color="A6A6A6" w:themeColor="background1" w:themeShade="A6"/>
              <w:bottom w:val="single" w:sz="4" w:space="0" w:color="A6A6A6" w:themeColor="background1" w:themeShade="A6"/>
            </w:tcBorders>
          </w:tcPr>
          <w:p w14:paraId="738D6F5D" w14:textId="77777777" w:rsidR="003C1D1F" w:rsidRPr="00B726F8" w:rsidRDefault="003C1D1F" w:rsidP="00BA4973">
            <w:pPr>
              <w:pStyle w:val="TableText"/>
              <w:keepNext/>
              <w:ind w:right="284"/>
            </w:pPr>
            <w:r w:rsidRPr="00EB6B62">
              <w:t xml:space="preserve">On collection, demographic and legal guardian </w:t>
            </w:r>
            <w:r w:rsidRPr="006E15CC">
              <w:t xml:space="preserve">information </w:t>
            </w:r>
            <w:r>
              <w:t>should</w:t>
            </w:r>
            <w:r w:rsidRPr="00BE4F15">
              <w:t xml:space="preserve"> be checked. Consent forms </w:t>
            </w:r>
            <w:r>
              <w:t xml:space="preserve">should </w:t>
            </w:r>
            <w:r w:rsidRPr="00BE4F15">
              <w:t xml:space="preserve">then </w:t>
            </w:r>
            <w:r w:rsidRPr="00B726F8">
              <w:t>be separated into:</w:t>
            </w:r>
          </w:p>
          <w:p w14:paraId="13F62A1D" w14:textId="219B8924" w:rsidR="003C1D1F" w:rsidRPr="00B726F8" w:rsidRDefault="003C1D1F" w:rsidP="00BA4973">
            <w:pPr>
              <w:pStyle w:val="TableBullet"/>
              <w:keepNext/>
              <w:ind w:right="284"/>
            </w:pPr>
            <w:r w:rsidRPr="00B726F8">
              <w:t>consents</w:t>
            </w:r>
            <w:r w:rsidR="007000C1">
              <w:t xml:space="preserve"> (noted on class lists)</w:t>
            </w:r>
          </w:p>
          <w:p w14:paraId="154F82A8" w14:textId="4ED00D24" w:rsidR="007000C1" w:rsidRPr="006E15CC" w:rsidRDefault="003C1D1F" w:rsidP="007000C1">
            <w:pPr>
              <w:pStyle w:val="TableBullet"/>
              <w:keepNext/>
              <w:ind w:right="284"/>
            </w:pPr>
            <w:r w:rsidRPr="006E15CC">
              <w:t>non-consents</w:t>
            </w:r>
            <w:r w:rsidR="007000C1">
              <w:t xml:space="preserve"> (noted on class lists). </w:t>
            </w:r>
            <w:r w:rsidR="007000C1" w:rsidRPr="002641E6">
              <w:t xml:space="preserve">Non-consents </w:t>
            </w:r>
            <w:r w:rsidR="007000C1">
              <w:t xml:space="preserve">who </w:t>
            </w:r>
            <w:r w:rsidR="007000C1" w:rsidRPr="002641E6">
              <w:t>pref</w:t>
            </w:r>
            <w:r w:rsidR="007000C1">
              <w:t xml:space="preserve">er to receive vaccination at </w:t>
            </w:r>
            <w:r w:rsidR="006030D1">
              <w:t xml:space="preserve">their </w:t>
            </w:r>
            <w:r w:rsidR="007000C1">
              <w:t>GP</w:t>
            </w:r>
            <w:r w:rsidR="007000C1" w:rsidRPr="002641E6">
              <w:t xml:space="preserve"> should be </w:t>
            </w:r>
            <w:r w:rsidR="007000C1">
              <w:t xml:space="preserve">notified to Primary Care so they can </w:t>
            </w:r>
            <w:r w:rsidR="007000C1" w:rsidRPr="002641E6">
              <w:t>re</w:t>
            </w:r>
            <w:r w:rsidR="007000C1" w:rsidRPr="00C012AF">
              <w:t>-</w:t>
            </w:r>
            <w:r w:rsidR="007000C1">
              <w:t>call those children.</w:t>
            </w:r>
          </w:p>
          <w:p w14:paraId="67883EC4" w14:textId="77777777" w:rsidR="007000C1" w:rsidRDefault="003C1D1F" w:rsidP="00BA4973">
            <w:pPr>
              <w:pStyle w:val="TableBullet"/>
              <w:keepNext/>
              <w:ind w:right="284"/>
            </w:pPr>
            <w:r w:rsidRPr="00457902">
              <w:t xml:space="preserve">forms with health concerns, </w:t>
            </w:r>
            <w:r w:rsidRPr="008724D0">
              <w:t xml:space="preserve">or with </w:t>
            </w:r>
            <w:r w:rsidRPr="00EB6B62">
              <w:t>confusing or incomplete information</w:t>
            </w:r>
            <w:r w:rsidR="00AD373A">
              <w:t>, for RN review.</w:t>
            </w:r>
          </w:p>
          <w:p w14:paraId="3A187AB1" w14:textId="370EF214" w:rsidR="003C1D1F" w:rsidRPr="00BE4F15" w:rsidRDefault="007000C1" w:rsidP="00E35F7C">
            <w:pPr>
              <w:pStyle w:val="TableText"/>
              <w:ind w:right="284"/>
            </w:pPr>
            <w:r w:rsidRPr="00457902">
              <w:t>Forms with consent for immunisation should be retained in class set</w:t>
            </w:r>
            <w:r w:rsidRPr="00445256">
              <w:t>s. Forms without consent for</w:t>
            </w:r>
            <w:r w:rsidRPr="00C54391">
              <w:t xml:space="preserve"> immunisation should be placed in class sets</w:t>
            </w:r>
            <w:r w:rsidRPr="002641E6">
              <w:t>.</w:t>
            </w:r>
          </w:p>
        </w:tc>
        <w:tc>
          <w:tcPr>
            <w:tcW w:w="1985" w:type="dxa"/>
            <w:tcBorders>
              <w:top w:val="single" w:sz="4" w:space="0" w:color="A6A6A6" w:themeColor="background1" w:themeShade="A6"/>
              <w:bottom w:val="single" w:sz="4" w:space="0" w:color="A6A6A6" w:themeColor="background1" w:themeShade="A6"/>
            </w:tcBorders>
          </w:tcPr>
          <w:p w14:paraId="5827991D" w14:textId="519187C7" w:rsidR="003C1D1F" w:rsidRPr="00BE4F15" w:rsidRDefault="00AD373A" w:rsidP="00F54762">
            <w:pPr>
              <w:pStyle w:val="TableText"/>
              <w:keepNext/>
            </w:pPr>
            <w:r>
              <w:t xml:space="preserve">Programme </w:t>
            </w:r>
            <w:r w:rsidR="006030D1">
              <w:t>administrator</w:t>
            </w:r>
          </w:p>
        </w:tc>
      </w:tr>
      <w:tr w:rsidR="003C1D1F" w:rsidRPr="0052190F" w14:paraId="178E40DD" w14:textId="77777777" w:rsidTr="00B317B2">
        <w:tc>
          <w:tcPr>
            <w:tcW w:w="1560" w:type="dxa"/>
            <w:vMerge/>
          </w:tcPr>
          <w:p w14:paraId="1881D7A9" w14:textId="77777777" w:rsidR="003C1D1F" w:rsidRPr="0052190F" w:rsidRDefault="003C1D1F" w:rsidP="00F54762">
            <w:pPr>
              <w:pStyle w:val="TableText"/>
              <w:ind w:right="284"/>
            </w:pPr>
          </w:p>
        </w:tc>
        <w:tc>
          <w:tcPr>
            <w:tcW w:w="5811" w:type="dxa"/>
            <w:tcBorders>
              <w:top w:val="single" w:sz="4" w:space="0" w:color="A6A6A6" w:themeColor="background1" w:themeShade="A6"/>
              <w:bottom w:val="single" w:sz="4" w:space="0" w:color="A6A6A6" w:themeColor="background1" w:themeShade="A6"/>
            </w:tcBorders>
          </w:tcPr>
          <w:p w14:paraId="0707F9B2" w14:textId="31A35F44" w:rsidR="007000C1" w:rsidRPr="001F0811" w:rsidRDefault="003C1D1F" w:rsidP="007000C1">
            <w:pPr>
              <w:pStyle w:val="TableText"/>
              <w:ind w:right="284"/>
            </w:pPr>
            <w:r w:rsidRPr="00BE4F15">
              <w:t>All consent forms</w:t>
            </w:r>
            <w:r w:rsidR="00AD373A">
              <w:t xml:space="preserve"> </w:t>
            </w:r>
            <w:r w:rsidR="007000C1">
              <w:t xml:space="preserve">that </w:t>
            </w:r>
            <w:r w:rsidR="007000C1" w:rsidRPr="004E563C">
              <w:t>contain health concerns</w:t>
            </w:r>
            <w:r w:rsidR="006030D1">
              <w:t xml:space="preserve">, </w:t>
            </w:r>
            <w:r w:rsidR="007000C1" w:rsidRPr="004E563C">
              <w:t>confusing information</w:t>
            </w:r>
            <w:r w:rsidR="007000C1" w:rsidRPr="005602BF">
              <w:t>, or irrelevant or incorrect demographic data</w:t>
            </w:r>
            <w:r w:rsidR="007000C1">
              <w:t>, should be reviewed by an RN who may need to</w:t>
            </w:r>
            <w:r w:rsidR="007000C1" w:rsidRPr="00B31754">
              <w:t xml:space="preserve"> contact the parent/</w:t>
            </w:r>
            <w:r w:rsidR="007000C1" w:rsidRPr="001F0811">
              <w:t>guardian to clarify the information and determine the appropriateness of immunisation at school.</w:t>
            </w:r>
          </w:p>
          <w:p w14:paraId="313B784B" w14:textId="77777777" w:rsidR="003C1D1F" w:rsidRPr="00422ADC" w:rsidRDefault="003C1D1F" w:rsidP="00BA4973">
            <w:pPr>
              <w:pStyle w:val="TableText"/>
              <w:ind w:right="284"/>
            </w:pPr>
            <w:r w:rsidRPr="000D0506">
              <w:t xml:space="preserve">The DHB Programme medical advisor can also be consulted about whether an individual </w:t>
            </w:r>
            <w:r w:rsidRPr="00422ADC">
              <w:t>should be given a vaccine at school or if there are any contraindications.</w:t>
            </w:r>
          </w:p>
          <w:p w14:paraId="5182A2F2" w14:textId="613E34CB" w:rsidR="003C1D1F" w:rsidRPr="00B726F8" w:rsidRDefault="003C1D1F" w:rsidP="00BA4973">
            <w:pPr>
              <w:pStyle w:val="TableText"/>
              <w:ind w:right="284"/>
            </w:pPr>
            <w:r w:rsidRPr="00422ADC">
              <w:t xml:space="preserve">(Refer to </w:t>
            </w:r>
            <w:r w:rsidR="009A7CEC">
              <w:t>‘</w:t>
            </w:r>
            <w:r w:rsidRPr="00BE4F15">
              <w:t>Chapter 5</w:t>
            </w:r>
            <w:r>
              <w:t>:</w:t>
            </w:r>
            <w:r w:rsidRPr="00BE4F15">
              <w:t xml:space="preserve"> Consent for </w:t>
            </w:r>
            <w:r w:rsidRPr="00B726F8">
              <w:t>vaccination</w:t>
            </w:r>
            <w:r w:rsidR="009A7CEC">
              <w:t>’</w:t>
            </w:r>
            <w:r w:rsidR="00B317B2">
              <w:t>.</w:t>
            </w:r>
            <w:r w:rsidRPr="00BE4F15">
              <w:t>)</w:t>
            </w:r>
          </w:p>
        </w:tc>
        <w:tc>
          <w:tcPr>
            <w:tcW w:w="1985" w:type="dxa"/>
            <w:tcBorders>
              <w:top w:val="single" w:sz="4" w:space="0" w:color="A6A6A6" w:themeColor="background1" w:themeShade="A6"/>
              <w:bottom w:val="single" w:sz="4" w:space="0" w:color="A6A6A6" w:themeColor="background1" w:themeShade="A6"/>
            </w:tcBorders>
          </w:tcPr>
          <w:p w14:paraId="1BB2059E" w14:textId="34E5DA49" w:rsidR="003C1D1F" w:rsidRPr="00BE4F15" w:rsidRDefault="00AD373A" w:rsidP="00AD373A">
            <w:pPr>
              <w:pStyle w:val="TableText"/>
            </w:pPr>
            <w:r>
              <w:t>S</w:t>
            </w:r>
            <w:r w:rsidR="003C1D1F" w:rsidRPr="00B726F8">
              <w:t>ite</w:t>
            </w:r>
            <w:r w:rsidR="00F54762">
              <w:t xml:space="preserve"> </w:t>
            </w:r>
            <w:r w:rsidR="003C1D1F" w:rsidRPr="006E15CC">
              <w:t>coordinator</w:t>
            </w:r>
            <w:r w:rsidR="00F54762">
              <w:t xml:space="preserve"> </w:t>
            </w:r>
            <w:r w:rsidR="003C1D1F" w:rsidRPr="00457902">
              <w:t>or</w:t>
            </w:r>
            <w:r w:rsidR="00F54762">
              <w:t xml:space="preserve"> </w:t>
            </w:r>
            <w:r w:rsidR="003C1D1F" w:rsidRPr="00BE4F15">
              <w:t>designated RN</w:t>
            </w:r>
          </w:p>
        </w:tc>
      </w:tr>
      <w:tr w:rsidR="003C1D1F" w:rsidRPr="0052190F" w14:paraId="12D2062A" w14:textId="77777777" w:rsidTr="00B317B2">
        <w:tc>
          <w:tcPr>
            <w:tcW w:w="1560" w:type="dxa"/>
            <w:vMerge/>
          </w:tcPr>
          <w:p w14:paraId="475B162E" w14:textId="77777777" w:rsidR="003C1D1F" w:rsidRPr="0052190F" w:rsidRDefault="003C1D1F" w:rsidP="00F54762">
            <w:pPr>
              <w:pStyle w:val="TableText"/>
              <w:ind w:right="284"/>
            </w:pPr>
          </w:p>
        </w:tc>
        <w:tc>
          <w:tcPr>
            <w:tcW w:w="5811" w:type="dxa"/>
            <w:tcBorders>
              <w:top w:val="single" w:sz="4" w:space="0" w:color="A6A6A6" w:themeColor="background1" w:themeShade="A6"/>
              <w:bottom w:val="single" w:sz="4" w:space="0" w:color="A6A6A6" w:themeColor="background1" w:themeShade="A6"/>
            </w:tcBorders>
          </w:tcPr>
          <w:p w14:paraId="0C6ECFE3" w14:textId="77777777" w:rsidR="003C1D1F" w:rsidRDefault="003C1D1F" w:rsidP="00BA4973">
            <w:pPr>
              <w:pStyle w:val="TableText"/>
              <w:ind w:right="284"/>
            </w:pPr>
            <w:r w:rsidRPr="00EB6B62">
              <w:t>All information regarding health concerns must be documented on the consent form.</w:t>
            </w:r>
          </w:p>
          <w:p w14:paraId="1229DD88" w14:textId="59AF77E8" w:rsidR="003C1D1F" w:rsidRPr="006E15CC" w:rsidRDefault="003C1D1F" w:rsidP="00BA4973">
            <w:pPr>
              <w:pStyle w:val="TableText"/>
              <w:ind w:right="284"/>
            </w:pPr>
            <w:r w:rsidRPr="00BE4F15">
              <w:t xml:space="preserve">Any changes made to the consent statement should be made in red pen, signed and dated by the </w:t>
            </w:r>
            <w:r w:rsidRPr="006E15CC">
              <w:t>RN making the change.</w:t>
            </w:r>
          </w:p>
          <w:p w14:paraId="6B24685F" w14:textId="77777777" w:rsidR="003C1D1F" w:rsidRPr="00B726F8" w:rsidRDefault="003C1D1F" w:rsidP="00BA4973">
            <w:pPr>
              <w:pStyle w:val="TableText"/>
              <w:ind w:right="284"/>
            </w:pPr>
            <w:r w:rsidRPr="00457902">
              <w:t xml:space="preserve">All relevant notes </w:t>
            </w:r>
            <w:r>
              <w:t>should</w:t>
            </w:r>
            <w:r w:rsidRPr="00BE4F15">
              <w:t xml:space="preserve"> be written in the PHN section</w:t>
            </w:r>
            <w:r>
              <w:t>,</w:t>
            </w:r>
            <w:r w:rsidRPr="00BE4F15">
              <w:t xml:space="preserve"> on the back page of the consent form.</w:t>
            </w:r>
          </w:p>
        </w:tc>
        <w:tc>
          <w:tcPr>
            <w:tcW w:w="1985" w:type="dxa"/>
            <w:tcBorders>
              <w:top w:val="single" w:sz="4" w:space="0" w:color="A6A6A6" w:themeColor="background1" w:themeShade="A6"/>
              <w:bottom w:val="single" w:sz="4" w:space="0" w:color="A6A6A6" w:themeColor="background1" w:themeShade="A6"/>
            </w:tcBorders>
          </w:tcPr>
          <w:p w14:paraId="6EC4E6AA" w14:textId="3B97D753" w:rsidR="003C1D1F" w:rsidRPr="006E15CC" w:rsidRDefault="003C1D1F" w:rsidP="00F54762">
            <w:pPr>
              <w:pStyle w:val="TableText"/>
            </w:pPr>
            <w:r w:rsidRPr="00B726F8">
              <w:t>RN</w:t>
            </w:r>
          </w:p>
        </w:tc>
      </w:tr>
      <w:tr w:rsidR="003C1D1F" w:rsidRPr="0052190F" w14:paraId="09F9D48B" w14:textId="77777777" w:rsidTr="00B317B2">
        <w:tc>
          <w:tcPr>
            <w:tcW w:w="1560" w:type="dxa"/>
            <w:vMerge/>
          </w:tcPr>
          <w:p w14:paraId="1E433D38" w14:textId="77777777" w:rsidR="003C1D1F" w:rsidRPr="0052190F" w:rsidRDefault="003C1D1F" w:rsidP="00F54762">
            <w:pPr>
              <w:pStyle w:val="TableText"/>
              <w:ind w:right="284"/>
            </w:pPr>
          </w:p>
        </w:tc>
        <w:tc>
          <w:tcPr>
            <w:tcW w:w="5811" w:type="dxa"/>
            <w:tcBorders>
              <w:top w:val="single" w:sz="4" w:space="0" w:color="A6A6A6" w:themeColor="background1" w:themeShade="A6"/>
              <w:bottom w:val="single" w:sz="4" w:space="0" w:color="A6A6A6" w:themeColor="background1" w:themeShade="A6"/>
            </w:tcBorders>
          </w:tcPr>
          <w:p w14:paraId="14905D85" w14:textId="77777777" w:rsidR="003C1D1F" w:rsidRPr="00EB6B62" w:rsidRDefault="003C1D1F" w:rsidP="00BA4973">
            <w:pPr>
              <w:pStyle w:val="TableText"/>
              <w:ind w:right="284"/>
            </w:pPr>
            <w:r w:rsidRPr="00EB6B62">
              <w:t>Every student needs to return a consent form regardless of consent or non-consent. Follow up non-returned consent forms by:</w:t>
            </w:r>
          </w:p>
          <w:p w14:paraId="0160786F" w14:textId="77777777" w:rsidR="003C1D1F" w:rsidRPr="00BE4F15" w:rsidRDefault="003C1D1F" w:rsidP="00BA4973">
            <w:pPr>
              <w:pStyle w:val="TableBullet"/>
              <w:ind w:right="284"/>
            </w:pPr>
            <w:r w:rsidRPr="00BE4F15">
              <w:t>issuing a new consent form</w:t>
            </w:r>
          </w:p>
          <w:p w14:paraId="6CF8E7E1" w14:textId="4B2C4F09" w:rsidR="003C1D1F" w:rsidRPr="00EB6B62" w:rsidRDefault="003C1D1F" w:rsidP="00BA4973">
            <w:pPr>
              <w:pStyle w:val="TableBullet"/>
              <w:ind w:right="284"/>
            </w:pPr>
            <w:r w:rsidRPr="008724D0">
              <w:t xml:space="preserve">making </w:t>
            </w:r>
            <w:r w:rsidRPr="00EB6B62">
              <w:t xml:space="preserve">contact </w:t>
            </w:r>
            <w:r w:rsidRPr="008724D0">
              <w:t>(</w:t>
            </w:r>
            <w:r w:rsidRPr="00EB6B62">
              <w:t xml:space="preserve">according to </w:t>
            </w:r>
            <w:r w:rsidR="007000C1">
              <w:t>service</w:t>
            </w:r>
            <w:r w:rsidR="007000C1" w:rsidRPr="00EB6B62">
              <w:t xml:space="preserve"> </w:t>
            </w:r>
            <w:r w:rsidRPr="00EB6B62">
              <w:t>business rules</w:t>
            </w:r>
            <w:r w:rsidRPr="008724D0">
              <w:t>)</w:t>
            </w:r>
          </w:p>
          <w:p w14:paraId="23E48D5D" w14:textId="77777777" w:rsidR="003C1D1F" w:rsidRPr="00B726F8" w:rsidRDefault="003C1D1F" w:rsidP="00BA4973">
            <w:pPr>
              <w:pStyle w:val="TableBullet"/>
              <w:ind w:right="284"/>
            </w:pPr>
            <w:r w:rsidRPr="00EB6B62">
              <w:t xml:space="preserve">referring to </w:t>
            </w:r>
            <w:r w:rsidRPr="008724D0">
              <w:t>the w</w:t>
            </w:r>
            <w:r w:rsidRPr="00EB6B62">
              <w:t xml:space="preserve">hānau </w:t>
            </w:r>
            <w:r w:rsidRPr="008724D0">
              <w:t>e</w:t>
            </w:r>
            <w:r w:rsidRPr="00EB6B62">
              <w:t>ngagement role</w:t>
            </w:r>
            <w:r w:rsidRPr="00BE4F15">
              <w:t>.</w:t>
            </w:r>
          </w:p>
        </w:tc>
        <w:tc>
          <w:tcPr>
            <w:tcW w:w="1985" w:type="dxa"/>
            <w:tcBorders>
              <w:top w:val="single" w:sz="4" w:space="0" w:color="A6A6A6" w:themeColor="background1" w:themeShade="A6"/>
              <w:bottom w:val="single" w:sz="4" w:space="0" w:color="A6A6A6" w:themeColor="background1" w:themeShade="A6"/>
            </w:tcBorders>
          </w:tcPr>
          <w:p w14:paraId="120FFA16" w14:textId="7DE0FBD6" w:rsidR="003C1D1F" w:rsidRPr="00B726F8" w:rsidRDefault="003C1D1F" w:rsidP="00F54762">
            <w:pPr>
              <w:pStyle w:val="TableText"/>
            </w:pPr>
            <w:r w:rsidRPr="00B726F8">
              <w:t>RN</w:t>
            </w:r>
            <w:r w:rsidR="00F54762">
              <w:t xml:space="preserve"> </w:t>
            </w:r>
            <w:r w:rsidRPr="006E15CC">
              <w:t>or designated other</w:t>
            </w:r>
            <w:r>
              <w:t>,</w:t>
            </w:r>
            <w:r w:rsidRPr="00BE4F15">
              <w:t xml:space="preserve"> as per</w:t>
            </w:r>
            <w:r w:rsidRPr="00B726F8">
              <w:t xml:space="preserve"> DHB</w:t>
            </w:r>
            <w:r w:rsidR="007000C1">
              <w:t>/service</w:t>
            </w:r>
            <w:r w:rsidRPr="00B726F8">
              <w:t xml:space="preserve"> policy</w:t>
            </w:r>
          </w:p>
        </w:tc>
      </w:tr>
      <w:tr w:rsidR="003C1D1F" w:rsidRPr="0052190F" w14:paraId="035217CD" w14:textId="77777777" w:rsidTr="00B317B2">
        <w:tc>
          <w:tcPr>
            <w:tcW w:w="1560" w:type="dxa"/>
            <w:vMerge/>
            <w:tcBorders>
              <w:bottom w:val="single" w:sz="4" w:space="0" w:color="A6A6A6" w:themeColor="background1" w:themeShade="A6"/>
            </w:tcBorders>
          </w:tcPr>
          <w:p w14:paraId="505B94F6" w14:textId="77777777" w:rsidR="003C1D1F" w:rsidRPr="0052190F" w:rsidRDefault="003C1D1F" w:rsidP="00F54762">
            <w:pPr>
              <w:pStyle w:val="TableText"/>
              <w:ind w:right="284"/>
            </w:pPr>
          </w:p>
        </w:tc>
        <w:tc>
          <w:tcPr>
            <w:tcW w:w="5811" w:type="dxa"/>
            <w:tcBorders>
              <w:top w:val="single" w:sz="4" w:space="0" w:color="A6A6A6" w:themeColor="background1" w:themeShade="A6"/>
              <w:bottom w:val="single" w:sz="4" w:space="0" w:color="A6A6A6" w:themeColor="background1" w:themeShade="A6"/>
            </w:tcBorders>
          </w:tcPr>
          <w:p w14:paraId="646E919C" w14:textId="77777777" w:rsidR="003C1D1F" w:rsidRPr="00EB6B62" w:rsidRDefault="003C1D1F" w:rsidP="00BA4973">
            <w:pPr>
              <w:pStyle w:val="TableText"/>
              <w:ind w:right="284"/>
            </w:pPr>
            <w:r w:rsidRPr="00EB6B62">
              <w:t>Confirm vaccination location(s) and class schedules with school.</w:t>
            </w:r>
          </w:p>
        </w:tc>
        <w:tc>
          <w:tcPr>
            <w:tcW w:w="1985" w:type="dxa"/>
            <w:tcBorders>
              <w:top w:val="single" w:sz="4" w:space="0" w:color="A6A6A6" w:themeColor="background1" w:themeShade="A6"/>
              <w:bottom w:val="single" w:sz="4" w:space="0" w:color="A6A6A6" w:themeColor="background1" w:themeShade="A6"/>
            </w:tcBorders>
          </w:tcPr>
          <w:p w14:paraId="00D4EB43" w14:textId="3B2A2C57" w:rsidR="003C1D1F" w:rsidRPr="00BE4F15" w:rsidRDefault="009B25E9" w:rsidP="009B25E9">
            <w:pPr>
              <w:pStyle w:val="TableText"/>
            </w:pPr>
            <w:r>
              <w:t>S</w:t>
            </w:r>
            <w:r w:rsidR="003C1D1F" w:rsidRPr="00EB6B62">
              <w:t>ite</w:t>
            </w:r>
            <w:r w:rsidR="00F54762">
              <w:t xml:space="preserve"> </w:t>
            </w:r>
            <w:r w:rsidR="003C1D1F" w:rsidRPr="00BE4F15">
              <w:t>coordinator</w:t>
            </w:r>
          </w:p>
        </w:tc>
      </w:tr>
      <w:tr w:rsidR="003C1D1F" w:rsidRPr="00422ADC" w14:paraId="33D2221B" w14:textId="77777777" w:rsidTr="00B317B2">
        <w:tc>
          <w:tcPr>
            <w:tcW w:w="1560" w:type="dxa"/>
            <w:tcBorders>
              <w:top w:val="single" w:sz="4" w:space="0" w:color="A6A6A6" w:themeColor="background1" w:themeShade="A6"/>
              <w:bottom w:val="single" w:sz="4" w:space="0" w:color="A6A6A6" w:themeColor="background1" w:themeShade="A6"/>
            </w:tcBorders>
          </w:tcPr>
          <w:p w14:paraId="130F554B" w14:textId="31FFCF68" w:rsidR="003C1D1F" w:rsidRPr="00EB6B62" w:rsidRDefault="003C1D1F" w:rsidP="009B25E9">
            <w:pPr>
              <w:pStyle w:val="TableText"/>
              <w:ind w:right="142"/>
            </w:pPr>
            <w:r w:rsidRPr="00422ADC">
              <w:t>Emergency preparation</w:t>
            </w:r>
          </w:p>
        </w:tc>
        <w:tc>
          <w:tcPr>
            <w:tcW w:w="5811" w:type="dxa"/>
            <w:tcBorders>
              <w:top w:val="single" w:sz="4" w:space="0" w:color="A6A6A6" w:themeColor="background1" w:themeShade="A6"/>
              <w:bottom w:val="single" w:sz="4" w:space="0" w:color="A6A6A6" w:themeColor="background1" w:themeShade="A6"/>
            </w:tcBorders>
          </w:tcPr>
          <w:p w14:paraId="0993C426" w14:textId="735F4552" w:rsidR="009B25E9" w:rsidRDefault="009B25E9" w:rsidP="00BA4973">
            <w:pPr>
              <w:pStyle w:val="TableText"/>
              <w:ind w:right="284"/>
            </w:pPr>
            <w:r>
              <w:t>Ensure that the school details are available to be communicated to emergency personnel in the event of a 111 call.</w:t>
            </w:r>
          </w:p>
          <w:p w14:paraId="005BCEB9" w14:textId="0903BD51" w:rsidR="009A7CEC" w:rsidRDefault="003C1D1F" w:rsidP="00BA4973">
            <w:pPr>
              <w:pStyle w:val="TableText"/>
              <w:ind w:right="284"/>
              <w:rPr>
                <w:i/>
              </w:rPr>
            </w:pPr>
            <w:r w:rsidRPr="00BE4F15">
              <w:t>Assign emergency procedure roles to the immunisation team and ensure they understand their role in an emergency</w:t>
            </w:r>
            <w:r w:rsidRPr="008724D0">
              <w:t>.</w:t>
            </w:r>
            <w:r w:rsidRPr="00EB6B62">
              <w:t xml:space="preserve"> Refer to section</w:t>
            </w:r>
            <w:r w:rsidR="00B317B2">
              <w:t> </w:t>
            </w:r>
            <w:r w:rsidRPr="00EB6B62">
              <w:t xml:space="preserve">2.4.5 </w:t>
            </w:r>
            <w:r w:rsidRPr="00BE4F15">
              <w:t xml:space="preserve">of the </w:t>
            </w:r>
            <w:r w:rsidR="007000C1">
              <w:t>current</w:t>
            </w:r>
            <w:r w:rsidR="009B25E9">
              <w:t xml:space="preserve"> </w:t>
            </w:r>
            <w:r w:rsidRPr="00B726F8">
              <w:rPr>
                <w:i/>
              </w:rPr>
              <w:t>Immunisation Handbook</w:t>
            </w:r>
            <w:r w:rsidR="009B25E9">
              <w:rPr>
                <w:i/>
              </w:rPr>
              <w:t xml:space="preserve"> </w:t>
            </w:r>
            <w:hyperlink r:id="rId23" w:history="1">
              <w:r w:rsidR="009B25E9" w:rsidRPr="00990F84">
                <w:rPr>
                  <w:rStyle w:val="Hyperlink"/>
                  <w:i/>
                </w:rPr>
                <w:t>http://immunisation.book.health.govt.nz/</w:t>
              </w:r>
            </w:hyperlink>
          </w:p>
          <w:p w14:paraId="3356E29D" w14:textId="503AF1D1" w:rsidR="003C1D1F" w:rsidRDefault="003C1D1F" w:rsidP="00BA4973">
            <w:pPr>
              <w:pStyle w:val="TableText"/>
              <w:ind w:right="284"/>
            </w:pPr>
            <w:r w:rsidRPr="00B726F8">
              <w:t xml:space="preserve">Ensure all the team are aware of the location of the adrenaline kit, oxygen equipment, sphygmomanometer, stethoscope and vomit </w:t>
            </w:r>
            <w:r w:rsidR="00F54762">
              <w:t>b</w:t>
            </w:r>
            <w:r w:rsidRPr="00B726F8">
              <w:t>owls.</w:t>
            </w:r>
          </w:p>
          <w:p w14:paraId="27407734" w14:textId="77777777" w:rsidR="003C1D1F" w:rsidRPr="00BE4F15" w:rsidRDefault="003C1D1F" w:rsidP="00BA4973">
            <w:pPr>
              <w:pStyle w:val="TableText"/>
              <w:ind w:right="284"/>
            </w:pPr>
            <w:r w:rsidRPr="00BE4F15">
              <w:t xml:space="preserve">Ensure that oxygen equipment and the adrenaline kit are ready for use. </w:t>
            </w:r>
            <w:r w:rsidRPr="00422ADC">
              <w:rPr>
                <w:i/>
              </w:rPr>
              <w:t>Do not</w:t>
            </w:r>
            <w:r w:rsidRPr="00EB6B62">
              <w:t xml:space="preserve"> draw up adrenaline.</w:t>
            </w:r>
          </w:p>
        </w:tc>
        <w:tc>
          <w:tcPr>
            <w:tcW w:w="1985" w:type="dxa"/>
            <w:tcBorders>
              <w:top w:val="single" w:sz="4" w:space="0" w:color="A6A6A6" w:themeColor="background1" w:themeShade="A6"/>
              <w:bottom w:val="single" w:sz="4" w:space="0" w:color="A6A6A6" w:themeColor="background1" w:themeShade="A6"/>
            </w:tcBorders>
          </w:tcPr>
          <w:p w14:paraId="6F29DB62" w14:textId="4635397A" w:rsidR="003C1D1F" w:rsidRPr="00B726F8" w:rsidRDefault="009B25E9" w:rsidP="00F54762">
            <w:pPr>
              <w:pStyle w:val="TableText"/>
            </w:pPr>
            <w:r>
              <w:t>Site coordinator</w:t>
            </w:r>
          </w:p>
        </w:tc>
      </w:tr>
      <w:tr w:rsidR="003C1D1F" w:rsidRPr="00422ADC" w14:paraId="15FA6DFB" w14:textId="77777777" w:rsidTr="00B317B2">
        <w:trPr>
          <w:cantSplit/>
        </w:trPr>
        <w:tc>
          <w:tcPr>
            <w:tcW w:w="1560" w:type="dxa"/>
            <w:tcBorders>
              <w:top w:val="single" w:sz="4" w:space="0" w:color="A6A6A6" w:themeColor="background1" w:themeShade="A6"/>
              <w:bottom w:val="single" w:sz="4" w:space="0" w:color="A6A6A6" w:themeColor="background1" w:themeShade="A6"/>
            </w:tcBorders>
          </w:tcPr>
          <w:p w14:paraId="1F73480B" w14:textId="04D89B28" w:rsidR="003C1D1F" w:rsidRPr="00422ADC" w:rsidRDefault="003C1D1F" w:rsidP="00BA4973">
            <w:pPr>
              <w:pStyle w:val="TableText"/>
              <w:ind w:right="284"/>
            </w:pPr>
            <w:r w:rsidRPr="00422ADC">
              <w:t>School vaccination day: venue preparation</w:t>
            </w:r>
          </w:p>
        </w:tc>
        <w:tc>
          <w:tcPr>
            <w:tcW w:w="5811" w:type="dxa"/>
            <w:tcBorders>
              <w:top w:val="single" w:sz="4" w:space="0" w:color="A6A6A6" w:themeColor="background1" w:themeShade="A6"/>
              <w:bottom w:val="single" w:sz="4" w:space="0" w:color="A6A6A6" w:themeColor="background1" w:themeShade="A6"/>
            </w:tcBorders>
          </w:tcPr>
          <w:p w14:paraId="249F867E" w14:textId="55B91E07" w:rsidR="005D1DD1" w:rsidRDefault="003C1D1F" w:rsidP="00BA4973">
            <w:pPr>
              <w:pStyle w:val="TableText"/>
              <w:ind w:right="284"/>
            </w:pPr>
            <w:r w:rsidRPr="00EB6B62">
              <w:t>Vaccinating from 9.00</w:t>
            </w:r>
            <w:r w:rsidRPr="008724D0">
              <w:t xml:space="preserve"> </w:t>
            </w:r>
            <w:r w:rsidRPr="00EB6B62">
              <w:t>am to 12</w:t>
            </w:r>
            <w:r w:rsidRPr="008724D0">
              <w:t xml:space="preserve">.00 </w:t>
            </w:r>
            <w:r w:rsidRPr="00EB6B62">
              <w:t xml:space="preserve">pm and </w:t>
            </w:r>
            <w:r>
              <w:t xml:space="preserve">from </w:t>
            </w:r>
            <w:r w:rsidRPr="00EB6B62">
              <w:t>1.00</w:t>
            </w:r>
            <w:r w:rsidR="00B317B2">
              <w:t> </w:t>
            </w:r>
            <w:r w:rsidR="006030D1">
              <w:t>pm</w:t>
            </w:r>
            <w:r w:rsidRPr="00EB6B62">
              <w:t xml:space="preserve"> to 2.00</w:t>
            </w:r>
            <w:r w:rsidR="00B317B2">
              <w:t> </w:t>
            </w:r>
            <w:r w:rsidR="006030D1">
              <w:t>pm</w:t>
            </w:r>
            <w:r w:rsidRPr="00EB6B62">
              <w:t xml:space="preserve"> or 2.30</w:t>
            </w:r>
            <w:r w:rsidRPr="008724D0">
              <w:t xml:space="preserve"> </w:t>
            </w:r>
            <w:r w:rsidRPr="00EB6B62">
              <w:t>pm allows for 4 to 4.5 hour days x 4 to 5 days per week</w:t>
            </w:r>
            <w:r w:rsidRPr="00BE4F15">
              <w:t xml:space="preserve"> </w:t>
            </w:r>
            <w:r w:rsidRPr="008724D0">
              <w:t>(ie,</w:t>
            </w:r>
            <w:r w:rsidRPr="00EB6B62">
              <w:t xml:space="preserve"> from 16 to 22.5 vaccinating hours per week</w:t>
            </w:r>
            <w:r w:rsidRPr="008724D0">
              <w:t>)</w:t>
            </w:r>
            <w:r w:rsidRPr="00EB6B62">
              <w:t>.</w:t>
            </w:r>
          </w:p>
          <w:p w14:paraId="16F767F8" w14:textId="77777777" w:rsidR="003C1D1F" w:rsidRPr="00EB6B62" w:rsidRDefault="003C1D1F" w:rsidP="00BA4973">
            <w:pPr>
              <w:pStyle w:val="TableBullet"/>
              <w:ind w:right="284"/>
            </w:pPr>
            <w:r w:rsidRPr="00EB6B62">
              <w:t>Prepare an environment that is safe, friendly and comfortable.</w:t>
            </w:r>
          </w:p>
          <w:p w14:paraId="2C5C408E" w14:textId="77777777" w:rsidR="003C1D1F" w:rsidRPr="00EB6B62" w:rsidRDefault="003C1D1F" w:rsidP="00BA4973">
            <w:pPr>
              <w:pStyle w:val="TableBullet"/>
              <w:ind w:right="284"/>
            </w:pPr>
            <w:r w:rsidRPr="00EB6B62">
              <w:t>Set up immunisation stations.</w:t>
            </w:r>
          </w:p>
          <w:p w14:paraId="6A25488C" w14:textId="77777777" w:rsidR="005D1DD1" w:rsidRDefault="003C1D1F" w:rsidP="00BA4973">
            <w:pPr>
              <w:pStyle w:val="TableBullet"/>
              <w:ind w:right="284"/>
            </w:pPr>
            <w:r w:rsidRPr="00BE4F15">
              <w:t>Ensure vaccine and cold chain requirements are met.</w:t>
            </w:r>
          </w:p>
          <w:p w14:paraId="335D0F35" w14:textId="77777777" w:rsidR="005D1DD1" w:rsidRDefault="003C1D1F" w:rsidP="00BA4973">
            <w:pPr>
              <w:pStyle w:val="TableBullet"/>
              <w:ind w:right="284"/>
            </w:pPr>
            <w:r w:rsidRPr="00BE4F15">
              <w:t>Set up an observation area where students can be observed for 20</w:t>
            </w:r>
            <w:r w:rsidR="00F54762">
              <w:t> </w:t>
            </w:r>
            <w:r w:rsidRPr="00BE4F15">
              <w:t>minutes following immunisation.</w:t>
            </w:r>
          </w:p>
          <w:p w14:paraId="141D30C2" w14:textId="5348777B" w:rsidR="003C1D1F" w:rsidRPr="00187E15" w:rsidRDefault="003C1D1F" w:rsidP="00187E15">
            <w:pPr>
              <w:pStyle w:val="TableBullet"/>
              <w:ind w:right="142"/>
              <w:rPr>
                <w:spacing w:val="-2"/>
              </w:rPr>
            </w:pPr>
            <w:r w:rsidRPr="00187E15">
              <w:rPr>
                <w:spacing w:val="-2"/>
              </w:rPr>
              <w:t xml:space="preserve">Bring students in groups and give </w:t>
            </w:r>
            <w:r w:rsidR="006030D1" w:rsidRPr="00187E15">
              <w:rPr>
                <w:spacing w:val="-2"/>
              </w:rPr>
              <w:t xml:space="preserve">the students </w:t>
            </w:r>
            <w:r w:rsidRPr="00187E15">
              <w:rPr>
                <w:spacing w:val="-2"/>
              </w:rPr>
              <w:t>their consent forms.</w:t>
            </w:r>
          </w:p>
          <w:p w14:paraId="3EE44769" w14:textId="77777777" w:rsidR="003C1D1F" w:rsidRPr="00BE4F15" w:rsidRDefault="003C1D1F" w:rsidP="00BA4973">
            <w:pPr>
              <w:pStyle w:val="TableBullet"/>
              <w:ind w:right="284"/>
            </w:pPr>
            <w:r w:rsidRPr="00BE4F15">
              <w:t>Ask students to remove sweatshirts</w:t>
            </w:r>
            <w:r w:rsidRPr="00B726F8">
              <w:t xml:space="preserve">/jackets to expose </w:t>
            </w:r>
            <w:r>
              <w:t xml:space="preserve">the </w:t>
            </w:r>
            <w:r w:rsidRPr="00BE4F15">
              <w:t>immunisation site.</w:t>
            </w:r>
          </w:p>
        </w:tc>
        <w:tc>
          <w:tcPr>
            <w:tcW w:w="1985" w:type="dxa"/>
            <w:tcBorders>
              <w:top w:val="single" w:sz="4" w:space="0" w:color="A6A6A6" w:themeColor="background1" w:themeShade="A6"/>
              <w:bottom w:val="single" w:sz="4" w:space="0" w:color="A6A6A6" w:themeColor="background1" w:themeShade="A6"/>
            </w:tcBorders>
          </w:tcPr>
          <w:p w14:paraId="5694652E" w14:textId="5C4658D5" w:rsidR="003C1D1F" w:rsidRPr="00B726F8" w:rsidRDefault="009B25E9" w:rsidP="00BA4973">
            <w:pPr>
              <w:pStyle w:val="TableText"/>
            </w:pPr>
            <w:r>
              <w:t>SBIP</w:t>
            </w:r>
            <w:r w:rsidR="003C1D1F" w:rsidRPr="00B726F8">
              <w:t xml:space="preserve"> team</w:t>
            </w:r>
          </w:p>
        </w:tc>
      </w:tr>
      <w:tr w:rsidR="003C1D1F" w:rsidRPr="00422ADC" w14:paraId="62D455D8" w14:textId="77777777" w:rsidTr="00B317B2">
        <w:tc>
          <w:tcPr>
            <w:tcW w:w="1560" w:type="dxa"/>
            <w:tcBorders>
              <w:top w:val="single" w:sz="4" w:space="0" w:color="A6A6A6" w:themeColor="background1" w:themeShade="A6"/>
              <w:bottom w:val="single" w:sz="4" w:space="0" w:color="A6A6A6" w:themeColor="background1" w:themeShade="A6"/>
            </w:tcBorders>
          </w:tcPr>
          <w:p w14:paraId="4359E89C" w14:textId="77777777" w:rsidR="003C1D1F" w:rsidRPr="00422ADC" w:rsidRDefault="003C1D1F" w:rsidP="00BA4973">
            <w:pPr>
              <w:pStyle w:val="TableText"/>
              <w:ind w:right="284"/>
            </w:pPr>
            <w:r w:rsidRPr="00422ADC">
              <w:lastRenderedPageBreak/>
              <w:t>School vaccination day: administering the vaccine</w:t>
            </w:r>
          </w:p>
        </w:tc>
        <w:tc>
          <w:tcPr>
            <w:tcW w:w="5811" w:type="dxa"/>
            <w:tcBorders>
              <w:top w:val="single" w:sz="4" w:space="0" w:color="A6A6A6" w:themeColor="background1" w:themeShade="A6"/>
              <w:bottom w:val="single" w:sz="4" w:space="0" w:color="A6A6A6" w:themeColor="background1" w:themeShade="A6"/>
            </w:tcBorders>
          </w:tcPr>
          <w:p w14:paraId="6B3D8BE0" w14:textId="1E1C8A91" w:rsidR="005D1DD1" w:rsidRDefault="003C1D1F" w:rsidP="00BA4973">
            <w:pPr>
              <w:pStyle w:val="TableText"/>
              <w:ind w:right="284"/>
            </w:pPr>
            <w:r>
              <w:t>The c</w:t>
            </w:r>
            <w:r w:rsidRPr="00EB6B62">
              <w:t xml:space="preserve">old chain </w:t>
            </w:r>
            <w:r>
              <w:t xml:space="preserve">must be </w:t>
            </w:r>
            <w:r w:rsidRPr="00EB6B62">
              <w:t>maintained as per the vaccine cold chain protocol (</w:t>
            </w:r>
            <w:r w:rsidR="006030D1">
              <w:t>c</w:t>
            </w:r>
            <w:r>
              <w:t>hapter 7)</w:t>
            </w:r>
            <w:r w:rsidRPr="00BE4F15">
              <w:t>.</w:t>
            </w:r>
          </w:p>
          <w:p w14:paraId="332BFD19" w14:textId="77777777" w:rsidR="003C1D1F" w:rsidRPr="00BA4973" w:rsidRDefault="003C1D1F" w:rsidP="00BA4973">
            <w:pPr>
              <w:pStyle w:val="TableText"/>
              <w:ind w:right="284"/>
              <w:rPr>
                <w:b/>
                <w:i/>
              </w:rPr>
            </w:pPr>
            <w:r w:rsidRPr="00BA4973">
              <w:rPr>
                <w:b/>
                <w:i/>
              </w:rPr>
              <w:t>Do not leave any equipment unattended.</w:t>
            </w:r>
          </w:p>
          <w:p w14:paraId="39997123" w14:textId="5E4476B3" w:rsidR="003C1D1F" w:rsidRPr="00EB6B62" w:rsidRDefault="003C1D1F" w:rsidP="00BA4973">
            <w:pPr>
              <w:pStyle w:val="TableText"/>
              <w:ind w:right="284"/>
            </w:pPr>
            <w:r w:rsidRPr="00BE4F15">
              <w:t>Check the student</w:t>
            </w:r>
            <w:r w:rsidR="009A7CEC">
              <w:t>’</w:t>
            </w:r>
            <w:r w:rsidRPr="00BE4F15">
              <w:t xml:space="preserve">s consent details and assess </w:t>
            </w:r>
            <w:r>
              <w:t xml:space="preserve">their </w:t>
            </w:r>
            <w:r w:rsidRPr="00BE4F15">
              <w:t>health status</w:t>
            </w:r>
            <w:r w:rsidRPr="008724D0">
              <w:t>,</w:t>
            </w:r>
            <w:r w:rsidRPr="00EB6B62">
              <w:t xml:space="preserve"> and if necessary defer immunisation.</w:t>
            </w:r>
          </w:p>
          <w:p w14:paraId="4E962960" w14:textId="74ECF918" w:rsidR="003C1D1F" w:rsidRPr="00B317B2" w:rsidRDefault="003C1D1F" w:rsidP="00BA4973">
            <w:pPr>
              <w:pStyle w:val="TableText"/>
              <w:ind w:right="284"/>
              <w:rPr>
                <w:spacing w:val="-2"/>
              </w:rPr>
            </w:pPr>
            <w:r w:rsidRPr="00B317B2">
              <w:rPr>
                <w:spacing w:val="-2"/>
              </w:rPr>
              <w:t>Administer as per vaccinator protocols in the student</w:t>
            </w:r>
            <w:r w:rsidR="009A7CEC" w:rsidRPr="00B317B2">
              <w:rPr>
                <w:spacing w:val="-2"/>
              </w:rPr>
              <w:t>’</w:t>
            </w:r>
            <w:r w:rsidRPr="00B317B2">
              <w:rPr>
                <w:spacing w:val="-2"/>
              </w:rPr>
              <w:t>s preferred arm.</w:t>
            </w:r>
          </w:p>
          <w:p w14:paraId="71BE23A9" w14:textId="2BC0E863" w:rsidR="003C1D1F" w:rsidRPr="00EB6B62" w:rsidRDefault="003C1D1F" w:rsidP="00BA4973">
            <w:pPr>
              <w:pStyle w:val="TableText"/>
              <w:ind w:right="284"/>
            </w:pPr>
            <w:r w:rsidRPr="008724D0">
              <w:t xml:space="preserve">The </w:t>
            </w:r>
            <w:r w:rsidRPr="00EB6B62">
              <w:t xml:space="preserve">RN who administers the vaccine </w:t>
            </w:r>
            <w:r>
              <w:t>should</w:t>
            </w:r>
            <w:r w:rsidRPr="00EB6B62">
              <w:t>:</w:t>
            </w:r>
          </w:p>
          <w:p w14:paraId="266AF7CB" w14:textId="6D8F80CB" w:rsidR="003C1D1F" w:rsidRPr="00EB6B62" w:rsidRDefault="003C1D1F" w:rsidP="00BA4973">
            <w:pPr>
              <w:pStyle w:val="TableBullet"/>
              <w:ind w:right="284"/>
            </w:pPr>
            <w:r w:rsidRPr="00EB6B62">
              <w:t>complete the student</w:t>
            </w:r>
            <w:r w:rsidR="009A7CEC">
              <w:t>’</w:t>
            </w:r>
            <w:r w:rsidRPr="00EB6B62">
              <w:t>s details and sign the consent form to say that the vaccine has been given</w:t>
            </w:r>
          </w:p>
          <w:p w14:paraId="70B0E1B6" w14:textId="229FD8B6" w:rsidR="003C1D1F" w:rsidRPr="00457902" w:rsidRDefault="003C1D1F" w:rsidP="001F52DF">
            <w:pPr>
              <w:pStyle w:val="TableBullet"/>
              <w:ind w:right="284"/>
            </w:pPr>
            <w:r w:rsidRPr="00BE4F15">
              <w:t>complete the parent</w:t>
            </w:r>
            <w:r w:rsidRPr="00B726F8">
              <w:t xml:space="preserve">/guardian </w:t>
            </w:r>
            <w:r w:rsidRPr="006E15CC">
              <w:t xml:space="preserve">post-immunisation </w:t>
            </w:r>
            <w:r w:rsidR="001F52DF">
              <w:t>information</w:t>
            </w:r>
            <w:r w:rsidRPr="006E15CC">
              <w:t>.</w:t>
            </w:r>
          </w:p>
        </w:tc>
        <w:tc>
          <w:tcPr>
            <w:tcW w:w="1985" w:type="dxa"/>
            <w:tcBorders>
              <w:top w:val="single" w:sz="4" w:space="0" w:color="A6A6A6" w:themeColor="background1" w:themeShade="A6"/>
              <w:bottom w:val="single" w:sz="4" w:space="0" w:color="A6A6A6" w:themeColor="background1" w:themeShade="A6"/>
            </w:tcBorders>
          </w:tcPr>
          <w:p w14:paraId="4CD00172" w14:textId="0AF9FE7B" w:rsidR="003C1D1F" w:rsidRPr="00445256" w:rsidRDefault="009B25E9" w:rsidP="00ED5DC4">
            <w:pPr>
              <w:pStyle w:val="TableText"/>
            </w:pPr>
            <w:r>
              <w:t>SBIP team</w:t>
            </w:r>
          </w:p>
        </w:tc>
      </w:tr>
      <w:tr w:rsidR="003C1D1F" w:rsidRPr="00422ADC" w14:paraId="4C35BD34" w14:textId="77777777" w:rsidTr="00B317B2">
        <w:tc>
          <w:tcPr>
            <w:tcW w:w="1560" w:type="dxa"/>
            <w:vMerge w:val="restart"/>
            <w:tcBorders>
              <w:top w:val="single" w:sz="4" w:space="0" w:color="A6A6A6" w:themeColor="background1" w:themeShade="A6"/>
            </w:tcBorders>
          </w:tcPr>
          <w:p w14:paraId="06EE1ABC" w14:textId="77777777" w:rsidR="003C1D1F" w:rsidRPr="00422ADC" w:rsidRDefault="003C1D1F" w:rsidP="00BA4973">
            <w:pPr>
              <w:pStyle w:val="TableText"/>
              <w:ind w:right="284"/>
            </w:pPr>
            <w:r w:rsidRPr="00422ADC">
              <w:t>School vaccination day:</w:t>
            </w:r>
            <w:r>
              <w:t xml:space="preserve"> post vaccination observation</w:t>
            </w:r>
          </w:p>
        </w:tc>
        <w:tc>
          <w:tcPr>
            <w:tcW w:w="5811" w:type="dxa"/>
            <w:tcBorders>
              <w:top w:val="single" w:sz="4" w:space="0" w:color="A6A6A6" w:themeColor="background1" w:themeShade="A6"/>
              <w:bottom w:val="single" w:sz="4" w:space="0" w:color="A6A6A6" w:themeColor="background1" w:themeShade="A6"/>
            </w:tcBorders>
          </w:tcPr>
          <w:p w14:paraId="3A1484BB" w14:textId="2A7C4755" w:rsidR="009A7CEC" w:rsidRDefault="003C1D1F" w:rsidP="00BA4973">
            <w:pPr>
              <w:pStyle w:val="TableText"/>
              <w:ind w:right="284"/>
            </w:pPr>
            <w:r w:rsidRPr="00EB6B62">
              <w:t>The New Zealand estimate</w:t>
            </w:r>
            <w:r w:rsidRPr="00BE4F15">
              <w:t xml:space="preserve"> used by </w:t>
            </w:r>
            <w:r w:rsidR="001F52DF">
              <w:t xml:space="preserve">SBIP </w:t>
            </w:r>
            <w:r w:rsidRPr="00BE4F15">
              <w:t xml:space="preserve">services indicates a rate of </w:t>
            </w:r>
            <w:r w:rsidR="001F52DF">
              <w:t>15</w:t>
            </w:r>
            <w:r w:rsidR="00B317B2">
              <w:t>–</w:t>
            </w:r>
            <w:r w:rsidR="001F52DF">
              <w:t>25</w:t>
            </w:r>
            <w:r w:rsidRPr="00EB6B62">
              <w:t xml:space="preserve"> students per nurse</w:t>
            </w:r>
            <w:r>
              <w:t>,</w:t>
            </w:r>
            <w:r w:rsidRPr="00EB6B62">
              <w:t xml:space="preserve"> per hour.</w:t>
            </w:r>
            <w:r w:rsidR="001F52DF">
              <w:t xml:space="preserve"> This is dependent on the number of staff and roles that each vaccinator has to undertake and each service is responsible to ensure that the SBIP is provided in a safe and effective manner.</w:t>
            </w:r>
          </w:p>
          <w:p w14:paraId="2BA09AD3" w14:textId="5D1642FB" w:rsidR="003C1D1F" w:rsidRPr="00EB6B62" w:rsidRDefault="003C1D1F" w:rsidP="00BA4973">
            <w:pPr>
              <w:pStyle w:val="TableText"/>
              <w:ind w:right="284"/>
            </w:pPr>
            <w:r w:rsidRPr="00BE4F15">
              <w:t>The PHN</w:t>
            </w:r>
            <w:r w:rsidRPr="00B726F8">
              <w:t>/</w:t>
            </w:r>
            <w:r w:rsidRPr="00457902">
              <w:t xml:space="preserve">RN who administers the vaccine </w:t>
            </w:r>
            <w:r>
              <w:t xml:space="preserve">should </w:t>
            </w:r>
            <w:r w:rsidRPr="00BE4F15">
              <w:t>ensure</w:t>
            </w:r>
            <w:r w:rsidRPr="00B726F8">
              <w:t xml:space="preserve"> both </w:t>
            </w:r>
            <w:r w:rsidR="006030D1">
              <w:t xml:space="preserve">the </w:t>
            </w:r>
            <w:r w:rsidRPr="00B726F8">
              <w:t>student and observation staff are aware of the time of vaccination and send</w:t>
            </w:r>
            <w:r w:rsidRPr="00457902">
              <w:t xml:space="preserve"> the student to the observation area</w:t>
            </w:r>
            <w:r w:rsidRPr="008724D0">
              <w:t>,</w:t>
            </w:r>
            <w:r w:rsidRPr="00EB6B62">
              <w:t xml:space="preserve"> where they will be observed for 20 minutes.</w:t>
            </w:r>
          </w:p>
        </w:tc>
        <w:tc>
          <w:tcPr>
            <w:tcW w:w="1985" w:type="dxa"/>
            <w:tcBorders>
              <w:top w:val="single" w:sz="4" w:space="0" w:color="A6A6A6" w:themeColor="background1" w:themeShade="A6"/>
              <w:bottom w:val="single" w:sz="4" w:space="0" w:color="A6A6A6" w:themeColor="background1" w:themeShade="A6"/>
            </w:tcBorders>
          </w:tcPr>
          <w:p w14:paraId="4B6065FF" w14:textId="47C0E6E1" w:rsidR="003C1D1F" w:rsidRPr="00BE4F15" w:rsidRDefault="001F52DF" w:rsidP="00F54762">
            <w:pPr>
              <w:pStyle w:val="TableText"/>
            </w:pPr>
            <w:r>
              <w:t>SBIP</w:t>
            </w:r>
            <w:r w:rsidRPr="00BE4F15">
              <w:t xml:space="preserve"> </w:t>
            </w:r>
            <w:r w:rsidR="003C1D1F" w:rsidRPr="00BE4F15">
              <w:t>team</w:t>
            </w:r>
          </w:p>
        </w:tc>
      </w:tr>
      <w:tr w:rsidR="003C1D1F" w:rsidRPr="00422ADC" w14:paraId="1F09445C" w14:textId="77777777" w:rsidTr="00B317B2">
        <w:tc>
          <w:tcPr>
            <w:tcW w:w="1560" w:type="dxa"/>
            <w:vMerge/>
          </w:tcPr>
          <w:p w14:paraId="44A85E5D" w14:textId="77777777" w:rsidR="003C1D1F" w:rsidRPr="00422ADC" w:rsidRDefault="003C1D1F" w:rsidP="00F54762">
            <w:pPr>
              <w:pStyle w:val="TableText"/>
              <w:ind w:right="284"/>
              <w:rPr>
                <w:color w:val="0000FF"/>
              </w:rPr>
            </w:pPr>
          </w:p>
        </w:tc>
        <w:tc>
          <w:tcPr>
            <w:tcW w:w="5811" w:type="dxa"/>
            <w:tcBorders>
              <w:top w:val="single" w:sz="4" w:space="0" w:color="A6A6A6" w:themeColor="background1" w:themeShade="A6"/>
              <w:bottom w:val="single" w:sz="4" w:space="0" w:color="A6A6A6" w:themeColor="background1" w:themeShade="A6"/>
            </w:tcBorders>
          </w:tcPr>
          <w:p w14:paraId="0A38F3E6" w14:textId="368E7B75" w:rsidR="003C1D1F" w:rsidRPr="00B726F8" w:rsidRDefault="003C1D1F" w:rsidP="00BA4973">
            <w:pPr>
              <w:pStyle w:val="TableText"/>
              <w:ind w:right="284"/>
            </w:pPr>
            <w:r w:rsidRPr="00EB6B62">
              <w:t xml:space="preserve">After 20 minutes </w:t>
            </w:r>
            <w:r w:rsidR="001F52DF">
              <w:t xml:space="preserve">an </w:t>
            </w:r>
            <w:r w:rsidRPr="00B726F8">
              <w:t xml:space="preserve">RN </w:t>
            </w:r>
            <w:r>
              <w:t>should</w:t>
            </w:r>
            <w:r w:rsidRPr="00BE4F15">
              <w:t xml:space="preserve"> check the student</w:t>
            </w:r>
            <w:r>
              <w:t>,</w:t>
            </w:r>
            <w:r w:rsidRPr="00BE4F15">
              <w:t xml:space="preserve"> including the injection site</w:t>
            </w:r>
            <w:r>
              <w:t>,</w:t>
            </w:r>
            <w:r w:rsidRPr="00BE4F15">
              <w:t xml:space="preserve"> for adverse reactions (</w:t>
            </w:r>
            <w:r>
              <w:t xml:space="preserve">see </w:t>
            </w:r>
            <w:r w:rsidRPr="00BE4F15">
              <w:t xml:space="preserve">Appendix </w:t>
            </w:r>
            <w:r>
              <w:t>4</w:t>
            </w:r>
            <w:r w:rsidRPr="00BE4F15">
              <w:t>)</w:t>
            </w:r>
            <w:r w:rsidRPr="00B726F8">
              <w:t xml:space="preserve">. </w:t>
            </w:r>
            <w:r w:rsidRPr="006E15CC">
              <w:t>If satisfactor</w:t>
            </w:r>
            <w:r w:rsidRPr="00457902">
              <w:t xml:space="preserve">y, the student </w:t>
            </w:r>
            <w:r>
              <w:t xml:space="preserve">can </w:t>
            </w:r>
            <w:r w:rsidRPr="00BE4F15">
              <w:t>return</w:t>
            </w:r>
            <w:r w:rsidRPr="00B726F8">
              <w:t xml:space="preserve"> to class with the post-immunisation </w:t>
            </w:r>
            <w:r w:rsidR="00915E69">
              <w:t>information</w:t>
            </w:r>
            <w:r w:rsidRPr="00B726F8">
              <w:t>.</w:t>
            </w:r>
          </w:p>
          <w:p w14:paraId="45F1776D" w14:textId="77777777" w:rsidR="003C1D1F" w:rsidRPr="00BE4F15" w:rsidRDefault="003C1D1F" w:rsidP="00BA4973">
            <w:pPr>
              <w:pStyle w:val="TableText"/>
              <w:ind w:right="284"/>
            </w:pPr>
            <w:r w:rsidRPr="00BE4F15">
              <w:t>If there is a reaction</w:t>
            </w:r>
            <w:r>
              <w:t>,</w:t>
            </w:r>
            <w:r w:rsidRPr="00BE4F15">
              <w:t xml:space="preserve"> </w:t>
            </w:r>
            <w:r w:rsidRPr="00B726F8">
              <w:t xml:space="preserve">treat as per vaccinator protocols and document </w:t>
            </w:r>
            <w:r>
              <w:t xml:space="preserve">the </w:t>
            </w:r>
            <w:r w:rsidRPr="00BE4F15">
              <w:t>action taken.</w:t>
            </w:r>
          </w:p>
          <w:p w14:paraId="5B7F6544" w14:textId="13231850" w:rsidR="003C1D1F" w:rsidRPr="00B726F8" w:rsidRDefault="003C1D1F" w:rsidP="00BA4973">
            <w:pPr>
              <w:pStyle w:val="TableText"/>
              <w:ind w:right="284"/>
            </w:pPr>
            <w:r>
              <w:t>Vaccination of t</w:t>
            </w:r>
            <w:r w:rsidRPr="00BE4F15">
              <w:t xml:space="preserve">he last student </w:t>
            </w:r>
            <w:r w:rsidRPr="00B726F8">
              <w:t>should</w:t>
            </w:r>
            <w:r w:rsidRPr="00457902">
              <w:t xml:space="preserve"> not </w:t>
            </w:r>
            <w:r>
              <w:t xml:space="preserve">occur </w:t>
            </w:r>
            <w:r w:rsidRPr="00BE4F15">
              <w:t>less than 30</w:t>
            </w:r>
            <w:r w:rsidR="00F54762">
              <w:t> </w:t>
            </w:r>
            <w:r w:rsidRPr="00BE4F15">
              <w:t>minutes before the end of the school day</w:t>
            </w:r>
            <w:r w:rsidR="001F52DF">
              <w:t>.</w:t>
            </w:r>
          </w:p>
        </w:tc>
        <w:tc>
          <w:tcPr>
            <w:tcW w:w="1985" w:type="dxa"/>
            <w:vMerge w:val="restart"/>
            <w:tcBorders>
              <w:top w:val="single" w:sz="4" w:space="0" w:color="A6A6A6" w:themeColor="background1" w:themeShade="A6"/>
              <w:bottom w:val="single" w:sz="4" w:space="0" w:color="A6A6A6" w:themeColor="background1" w:themeShade="A6"/>
            </w:tcBorders>
          </w:tcPr>
          <w:p w14:paraId="415CC548" w14:textId="39AA752D" w:rsidR="003C1D1F" w:rsidRPr="00457902" w:rsidRDefault="001F52DF" w:rsidP="00F54762">
            <w:pPr>
              <w:pStyle w:val="TableText"/>
            </w:pPr>
            <w:r>
              <w:t>RN</w:t>
            </w:r>
          </w:p>
        </w:tc>
      </w:tr>
      <w:tr w:rsidR="003C1D1F" w:rsidRPr="00422ADC" w14:paraId="0157A288" w14:textId="77777777" w:rsidTr="00B317B2">
        <w:tc>
          <w:tcPr>
            <w:tcW w:w="1560" w:type="dxa"/>
            <w:vMerge/>
            <w:tcBorders>
              <w:bottom w:val="single" w:sz="4" w:space="0" w:color="A6A6A6" w:themeColor="background1" w:themeShade="A6"/>
            </w:tcBorders>
          </w:tcPr>
          <w:p w14:paraId="419031CC" w14:textId="77777777" w:rsidR="003C1D1F" w:rsidRPr="00422ADC" w:rsidRDefault="003C1D1F" w:rsidP="00F54762">
            <w:pPr>
              <w:pStyle w:val="TableText"/>
              <w:ind w:right="284"/>
              <w:rPr>
                <w:color w:val="0000FF"/>
              </w:rPr>
            </w:pPr>
          </w:p>
        </w:tc>
        <w:tc>
          <w:tcPr>
            <w:tcW w:w="5811" w:type="dxa"/>
            <w:tcBorders>
              <w:top w:val="single" w:sz="4" w:space="0" w:color="A6A6A6" w:themeColor="background1" w:themeShade="A6"/>
              <w:bottom w:val="single" w:sz="4" w:space="0" w:color="A6A6A6" w:themeColor="background1" w:themeShade="A6"/>
            </w:tcBorders>
          </w:tcPr>
          <w:p w14:paraId="6A34FD83" w14:textId="7CC95DD1" w:rsidR="003C1D1F" w:rsidRDefault="003C1D1F" w:rsidP="00BA4973">
            <w:pPr>
              <w:pStyle w:val="TableText"/>
              <w:ind w:right="284"/>
            </w:pPr>
            <w:r w:rsidRPr="00EB6B62">
              <w:t>A</w:t>
            </w:r>
            <w:r w:rsidR="001F52DF">
              <w:t xml:space="preserve">n </w:t>
            </w:r>
            <w:r w:rsidRPr="00B726F8">
              <w:t>RN should remain at the school for at least 30 minutes after the last student is vaccinated.</w:t>
            </w:r>
            <w:r w:rsidR="001F52DF">
              <w:t xml:space="preserve"> This allows for the final pack up of equipment following the 20</w:t>
            </w:r>
            <w:r w:rsidR="00B317B2">
              <w:t>-</w:t>
            </w:r>
            <w:r w:rsidR="001F52DF">
              <w:t>minute observation time period.</w:t>
            </w:r>
          </w:p>
          <w:p w14:paraId="53D337AC" w14:textId="47FCB132" w:rsidR="006A394E" w:rsidRPr="00B726F8" w:rsidRDefault="006A394E" w:rsidP="00BA4973">
            <w:pPr>
              <w:pStyle w:val="TableText"/>
              <w:ind w:right="284"/>
            </w:pPr>
            <w:r>
              <w:t xml:space="preserve">The </w:t>
            </w:r>
            <w:r w:rsidR="006030D1">
              <w:t>s</w:t>
            </w:r>
            <w:r>
              <w:t>chool should be advised when the SBIP team are leaving and should be given instructions on what to do if a child presents with a delayed response and should be left a copy of the standard post vaccination responses information.</w:t>
            </w:r>
          </w:p>
        </w:tc>
        <w:tc>
          <w:tcPr>
            <w:tcW w:w="1985" w:type="dxa"/>
            <w:vMerge/>
            <w:tcBorders>
              <w:top w:val="single" w:sz="4" w:space="0" w:color="A6A6A6" w:themeColor="background1" w:themeShade="A6"/>
              <w:bottom w:val="single" w:sz="4" w:space="0" w:color="A6A6A6" w:themeColor="background1" w:themeShade="A6"/>
            </w:tcBorders>
          </w:tcPr>
          <w:p w14:paraId="690BB625" w14:textId="77777777" w:rsidR="003C1D1F" w:rsidRPr="00422ADC" w:rsidRDefault="003C1D1F" w:rsidP="00F54762">
            <w:pPr>
              <w:pStyle w:val="TableText"/>
            </w:pPr>
          </w:p>
        </w:tc>
      </w:tr>
      <w:tr w:rsidR="003C1D1F" w:rsidRPr="00422ADC" w14:paraId="0950819D" w14:textId="77777777" w:rsidTr="00B317B2">
        <w:tc>
          <w:tcPr>
            <w:tcW w:w="1560" w:type="dxa"/>
            <w:vMerge w:val="restart"/>
            <w:tcBorders>
              <w:top w:val="single" w:sz="4" w:space="0" w:color="A6A6A6" w:themeColor="background1" w:themeShade="A6"/>
              <w:bottom w:val="single" w:sz="4" w:space="0" w:color="A6A6A6" w:themeColor="background1" w:themeShade="A6"/>
            </w:tcBorders>
          </w:tcPr>
          <w:p w14:paraId="1A02DCE7" w14:textId="4FDF7218" w:rsidR="003C1D1F" w:rsidRPr="00422ADC" w:rsidRDefault="003C1D1F" w:rsidP="001F52DF">
            <w:pPr>
              <w:pStyle w:val="TableText"/>
              <w:ind w:right="284"/>
            </w:pPr>
            <w:r w:rsidRPr="00422ADC">
              <w:t>School vaccination day:</w:t>
            </w:r>
            <w:r w:rsidR="001F52DF">
              <w:t xml:space="preserve"> data entry</w:t>
            </w:r>
          </w:p>
        </w:tc>
        <w:tc>
          <w:tcPr>
            <w:tcW w:w="5811" w:type="dxa"/>
            <w:tcBorders>
              <w:top w:val="single" w:sz="4" w:space="0" w:color="A6A6A6" w:themeColor="background1" w:themeShade="A6"/>
              <w:bottom w:val="single" w:sz="4" w:space="0" w:color="A6A6A6" w:themeColor="background1" w:themeShade="A6"/>
            </w:tcBorders>
          </w:tcPr>
          <w:p w14:paraId="7AE144CF" w14:textId="4A28E3AD" w:rsidR="003C1D1F" w:rsidRPr="00BE4F15" w:rsidRDefault="003C1D1F" w:rsidP="001F52DF">
            <w:pPr>
              <w:pStyle w:val="TableText"/>
              <w:ind w:right="284"/>
            </w:pPr>
            <w:r w:rsidRPr="00EB6B62">
              <w:t xml:space="preserve">Consent forms </w:t>
            </w:r>
            <w:r>
              <w:t>should</w:t>
            </w:r>
            <w:r w:rsidRPr="00EB6B62">
              <w:t xml:space="preserve"> be dispatched to </w:t>
            </w:r>
            <w:r w:rsidR="001F52DF">
              <w:t xml:space="preserve">the SBIP administrator for </w:t>
            </w:r>
            <w:r w:rsidRPr="00EB6B62">
              <w:t>data entry.</w:t>
            </w:r>
          </w:p>
        </w:tc>
        <w:tc>
          <w:tcPr>
            <w:tcW w:w="1985" w:type="dxa"/>
            <w:tcBorders>
              <w:top w:val="single" w:sz="4" w:space="0" w:color="A6A6A6" w:themeColor="background1" w:themeShade="A6"/>
              <w:bottom w:val="single" w:sz="4" w:space="0" w:color="A6A6A6" w:themeColor="background1" w:themeShade="A6"/>
            </w:tcBorders>
          </w:tcPr>
          <w:p w14:paraId="2F19BC10" w14:textId="4426A0CF" w:rsidR="003C1D1F" w:rsidRPr="00B726F8" w:rsidRDefault="006030D1" w:rsidP="00FA597B">
            <w:pPr>
              <w:pStyle w:val="TableText"/>
            </w:pPr>
            <w:r>
              <w:t>S</w:t>
            </w:r>
            <w:r w:rsidR="003C1D1F" w:rsidRPr="00B726F8">
              <w:t>ite</w:t>
            </w:r>
            <w:r w:rsidR="00F54762">
              <w:t xml:space="preserve"> </w:t>
            </w:r>
            <w:r w:rsidR="003C1D1F" w:rsidRPr="00B726F8">
              <w:t>coordinator</w:t>
            </w:r>
          </w:p>
        </w:tc>
      </w:tr>
      <w:tr w:rsidR="003C1D1F" w:rsidRPr="00422ADC" w14:paraId="1B78A777" w14:textId="77777777" w:rsidTr="00B317B2">
        <w:tc>
          <w:tcPr>
            <w:tcW w:w="1560" w:type="dxa"/>
            <w:vMerge/>
            <w:tcBorders>
              <w:top w:val="nil"/>
              <w:bottom w:val="single" w:sz="4" w:space="0" w:color="A6A6A6" w:themeColor="background1" w:themeShade="A6"/>
            </w:tcBorders>
          </w:tcPr>
          <w:p w14:paraId="708928AB" w14:textId="77777777" w:rsidR="003C1D1F" w:rsidRPr="00422ADC" w:rsidRDefault="003C1D1F" w:rsidP="00F54762">
            <w:pPr>
              <w:pStyle w:val="TableText"/>
              <w:ind w:right="284"/>
              <w:rPr>
                <w:color w:val="0000FF"/>
              </w:rPr>
            </w:pPr>
          </w:p>
        </w:tc>
        <w:tc>
          <w:tcPr>
            <w:tcW w:w="5811" w:type="dxa"/>
            <w:tcBorders>
              <w:top w:val="single" w:sz="4" w:space="0" w:color="A6A6A6" w:themeColor="background1" w:themeShade="A6"/>
              <w:bottom w:val="single" w:sz="4" w:space="0" w:color="A6A6A6" w:themeColor="background1" w:themeShade="A6"/>
            </w:tcBorders>
          </w:tcPr>
          <w:p w14:paraId="58EA10A5" w14:textId="5421283D" w:rsidR="003C1D1F" w:rsidRPr="00BE4F15" w:rsidRDefault="003C1D1F" w:rsidP="00915E69">
            <w:pPr>
              <w:pStyle w:val="TableText"/>
              <w:ind w:right="284"/>
            </w:pPr>
            <w:r w:rsidRPr="00EB6B62">
              <w:t xml:space="preserve">Immunisation event information </w:t>
            </w:r>
            <w:r>
              <w:t>should</w:t>
            </w:r>
            <w:r w:rsidRPr="00EB6B62">
              <w:t xml:space="preserve"> be entered in the </w:t>
            </w:r>
            <w:r w:rsidR="001F52DF">
              <w:t xml:space="preserve">SBIP </w:t>
            </w:r>
            <w:r w:rsidR="00915E69">
              <w:t>data</w:t>
            </w:r>
            <w:r w:rsidR="001F52DF">
              <w:t xml:space="preserve"> management system</w:t>
            </w:r>
            <w:r w:rsidR="001F52DF" w:rsidRPr="00EB6B62">
              <w:t xml:space="preserve"> </w:t>
            </w:r>
            <w:r w:rsidRPr="00EB6B62">
              <w:t xml:space="preserve">as soon as </w:t>
            </w:r>
            <w:r>
              <w:t xml:space="preserve">is </w:t>
            </w:r>
            <w:r w:rsidRPr="00EB6B62">
              <w:t>practicably possible after the vaccination has been administered</w:t>
            </w:r>
            <w:r w:rsidR="006030D1">
              <w:t>. It must be entered</w:t>
            </w:r>
            <w:r w:rsidRPr="00EB6B62">
              <w:t xml:space="preserve"> </w:t>
            </w:r>
            <w:r w:rsidR="00915E69">
              <w:t xml:space="preserve">within </w:t>
            </w:r>
            <w:r w:rsidRPr="00EB6B62">
              <w:t>5</w:t>
            </w:r>
            <w:r w:rsidR="00B317B2">
              <w:t> </w:t>
            </w:r>
            <w:r w:rsidRPr="00EB6B62">
              <w:t xml:space="preserve">working days </w:t>
            </w:r>
            <w:r w:rsidR="00915E69">
              <w:t>of</w:t>
            </w:r>
            <w:r w:rsidR="00915E69" w:rsidRPr="00EB6B62">
              <w:t xml:space="preserve"> </w:t>
            </w:r>
            <w:r>
              <w:t xml:space="preserve">the </w:t>
            </w:r>
            <w:r w:rsidRPr="00EB6B62">
              <w:t xml:space="preserve">vaccine </w:t>
            </w:r>
            <w:r w:rsidR="00915E69">
              <w:t>being</w:t>
            </w:r>
            <w:r w:rsidR="001F52DF">
              <w:t xml:space="preserve"> administered.</w:t>
            </w:r>
          </w:p>
        </w:tc>
        <w:tc>
          <w:tcPr>
            <w:tcW w:w="1985" w:type="dxa"/>
            <w:tcBorders>
              <w:top w:val="single" w:sz="4" w:space="0" w:color="A6A6A6" w:themeColor="background1" w:themeShade="A6"/>
              <w:bottom w:val="single" w:sz="4" w:space="0" w:color="A6A6A6" w:themeColor="background1" w:themeShade="A6"/>
            </w:tcBorders>
          </w:tcPr>
          <w:p w14:paraId="268D72C5" w14:textId="583BC5AA" w:rsidR="003C1D1F" w:rsidRPr="00BE4F15" w:rsidRDefault="003C1D1F" w:rsidP="00F54762">
            <w:pPr>
              <w:pStyle w:val="TableText"/>
            </w:pPr>
            <w:r w:rsidRPr="00BE4F15">
              <w:t>S</w:t>
            </w:r>
            <w:r w:rsidR="001F52DF">
              <w:t>BIP</w:t>
            </w:r>
            <w:r w:rsidRPr="00BE4F15">
              <w:t xml:space="preserve"> administrator</w:t>
            </w:r>
          </w:p>
        </w:tc>
      </w:tr>
      <w:tr w:rsidR="003C1D1F" w:rsidRPr="00826CCE" w14:paraId="2FD265AB" w14:textId="77777777" w:rsidTr="00B317B2">
        <w:tc>
          <w:tcPr>
            <w:tcW w:w="1560" w:type="dxa"/>
            <w:vMerge/>
            <w:tcBorders>
              <w:top w:val="nil"/>
              <w:bottom w:val="single" w:sz="4" w:space="0" w:color="A6A6A6" w:themeColor="background1" w:themeShade="A6"/>
            </w:tcBorders>
          </w:tcPr>
          <w:p w14:paraId="7EBD4709" w14:textId="77777777" w:rsidR="003C1D1F" w:rsidRPr="00826CCE" w:rsidRDefault="003C1D1F" w:rsidP="00F54762">
            <w:pPr>
              <w:pStyle w:val="TableText"/>
              <w:ind w:right="284"/>
            </w:pPr>
          </w:p>
        </w:tc>
        <w:tc>
          <w:tcPr>
            <w:tcW w:w="5811" w:type="dxa"/>
            <w:tcBorders>
              <w:top w:val="single" w:sz="4" w:space="0" w:color="A6A6A6" w:themeColor="background1" w:themeShade="A6"/>
              <w:bottom w:val="single" w:sz="4" w:space="0" w:color="A6A6A6" w:themeColor="background1" w:themeShade="A6"/>
            </w:tcBorders>
          </w:tcPr>
          <w:p w14:paraId="3E5B170F" w14:textId="081AE5F3" w:rsidR="003C1D1F" w:rsidRPr="00BE4F15" w:rsidRDefault="003C1D1F" w:rsidP="00BA4973">
            <w:pPr>
              <w:pStyle w:val="TableText"/>
              <w:ind w:right="284"/>
            </w:pPr>
            <w:r w:rsidRPr="00EB6B62">
              <w:t xml:space="preserve">GP referral should be made by the </w:t>
            </w:r>
            <w:r w:rsidR="00915E69">
              <w:t>SBIP</w:t>
            </w:r>
            <w:r w:rsidR="00915E69" w:rsidRPr="00EB6B62">
              <w:t xml:space="preserve"> </w:t>
            </w:r>
            <w:r w:rsidRPr="00EB6B62">
              <w:t>for students where other post</w:t>
            </w:r>
            <w:r>
              <w:t>-</w:t>
            </w:r>
            <w:r w:rsidRPr="00EB6B62">
              <w:t>vaccination conditions are observed that may require follow</w:t>
            </w:r>
            <w:r w:rsidR="00F54762">
              <w:noBreakHyphen/>
            </w:r>
            <w:r w:rsidRPr="00EB6B62">
              <w:t>up.</w:t>
            </w:r>
          </w:p>
          <w:p w14:paraId="47907EC7" w14:textId="0AF450EE" w:rsidR="003C1D1F" w:rsidRPr="00BE4F15" w:rsidRDefault="003C1D1F" w:rsidP="00915E69">
            <w:pPr>
              <w:pStyle w:val="TableText"/>
              <w:ind w:right="284"/>
            </w:pPr>
            <w:r w:rsidRPr="00BE4F15">
              <w:t xml:space="preserve">Data </w:t>
            </w:r>
            <w:r>
              <w:t xml:space="preserve">is </w:t>
            </w:r>
            <w:r w:rsidRPr="00BE4F15">
              <w:t xml:space="preserve">entered into </w:t>
            </w:r>
            <w:r w:rsidR="00915E69" w:rsidRPr="00BE4F15">
              <w:t>SB</w:t>
            </w:r>
            <w:r w:rsidR="00915E69">
              <w:t>IP data management system</w:t>
            </w:r>
            <w:r>
              <w:t>.</w:t>
            </w:r>
          </w:p>
        </w:tc>
        <w:tc>
          <w:tcPr>
            <w:tcW w:w="1985" w:type="dxa"/>
            <w:tcBorders>
              <w:top w:val="single" w:sz="4" w:space="0" w:color="A6A6A6" w:themeColor="background1" w:themeShade="A6"/>
              <w:bottom w:val="single" w:sz="4" w:space="0" w:color="A6A6A6" w:themeColor="background1" w:themeShade="A6"/>
            </w:tcBorders>
          </w:tcPr>
          <w:p w14:paraId="0D5C7A74" w14:textId="52A4ECB1" w:rsidR="003C1D1F" w:rsidRPr="00457902" w:rsidRDefault="006030D1" w:rsidP="00915E69">
            <w:pPr>
              <w:pStyle w:val="TableText"/>
            </w:pPr>
            <w:r>
              <w:t>S</w:t>
            </w:r>
            <w:r w:rsidR="003C1D1F" w:rsidRPr="00BE4F15">
              <w:t>ite</w:t>
            </w:r>
            <w:r w:rsidR="00F54762">
              <w:t xml:space="preserve"> </w:t>
            </w:r>
            <w:r w:rsidR="003C1D1F" w:rsidRPr="00B726F8">
              <w:t>coordinator/</w:t>
            </w:r>
            <w:r w:rsidR="00F54762">
              <w:t xml:space="preserve"> </w:t>
            </w:r>
            <w:r w:rsidR="003C1D1F" w:rsidRPr="00457902">
              <w:t>designated RN</w:t>
            </w:r>
            <w:r w:rsidR="00915E69">
              <w:t xml:space="preserve"> /</w:t>
            </w:r>
            <w:r w:rsidR="00F54762">
              <w:t xml:space="preserve"> </w:t>
            </w:r>
            <w:r w:rsidR="00915E69" w:rsidRPr="00457902">
              <w:t>SB</w:t>
            </w:r>
            <w:r w:rsidR="00915E69">
              <w:t>IP</w:t>
            </w:r>
            <w:r w:rsidR="00915E69" w:rsidRPr="00457902">
              <w:t xml:space="preserve"> </w:t>
            </w:r>
            <w:r w:rsidR="003C1D1F" w:rsidRPr="00457902">
              <w:t>administrator</w:t>
            </w:r>
          </w:p>
        </w:tc>
      </w:tr>
      <w:tr w:rsidR="003C1D1F" w:rsidRPr="00826CCE" w14:paraId="39359919" w14:textId="77777777" w:rsidTr="00B317B2">
        <w:tc>
          <w:tcPr>
            <w:tcW w:w="1560" w:type="dxa"/>
            <w:tcBorders>
              <w:top w:val="single" w:sz="4" w:space="0" w:color="A6A6A6" w:themeColor="background1" w:themeShade="A6"/>
            </w:tcBorders>
          </w:tcPr>
          <w:p w14:paraId="35932D6F" w14:textId="77777777" w:rsidR="003C1D1F" w:rsidRPr="00826CCE" w:rsidRDefault="003C1D1F" w:rsidP="00F54762">
            <w:pPr>
              <w:pStyle w:val="TableText"/>
              <w:ind w:right="284"/>
            </w:pPr>
            <w:r w:rsidRPr="00826CCE">
              <w:t>Post</w:t>
            </w:r>
            <w:r w:rsidRPr="008724D0">
              <w:t>-</w:t>
            </w:r>
            <w:r w:rsidRPr="00826CCE">
              <w:t>Programme evaluation</w:t>
            </w:r>
          </w:p>
        </w:tc>
        <w:tc>
          <w:tcPr>
            <w:tcW w:w="5811" w:type="dxa"/>
            <w:tcBorders>
              <w:top w:val="single" w:sz="4" w:space="0" w:color="A6A6A6" w:themeColor="background1" w:themeShade="A6"/>
            </w:tcBorders>
          </w:tcPr>
          <w:p w14:paraId="6A42CCC5" w14:textId="77777777" w:rsidR="003C1D1F" w:rsidRPr="00EB6B62" w:rsidRDefault="003C1D1F" w:rsidP="00BA4973">
            <w:pPr>
              <w:pStyle w:val="TableText"/>
              <w:ind w:right="284"/>
            </w:pPr>
            <w:r>
              <w:t xml:space="preserve">The </w:t>
            </w:r>
            <w:r w:rsidRPr="00EB6B62">
              <w:t xml:space="preserve">DHB </w:t>
            </w:r>
            <w:r>
              <w:t>will</w:t>
            </w:r>
            <w:r w:rsidRPr="00EB6B62">
              <w:t xml:space="preserve"> participate in the Programme evaluation.</w:t>
            </w:r>
          </w:p>
        </w:tc>
        <w:tc>
          <w:tcPr>
            <w:tcW w:w="1985" w:type="dxa"/>
            <w:tcBorders>
              <w:top w:val="single" w:sz="4" w:space="0" w:color="A6A6A6" w:themeColor="background1" w:themeShade="A6"/>
            </w:tcBorders>
          </w:tcPr>
          <w:p w14:paraId="1FB68C6B" w14:textId="77777777" w:rsidR="003C1D1F" w:rsidRPr="00BE4F15" w:rsidRDefault="003C1D1F" w:rsidP="00F54762">
            <w:pPr>
              <w:pStyle w:val="TableText"/>
            </w:pPr>
            <w:r w:rsidRPr="00EB6B62">
              <w:t>Programme coordinator</w:t>
            </w:r>
          </w:p>
        </w:tc>
      </w:tr>
      <w:bookmarkEnd w:id="285"/>
      <w:bookmarkEnd w:id="286"/>
    </w:tbl>
    <w:p w14:paraId="583F1EB6" w14:textId="77777777" w:rsidR="005D1DD1" w:rsidRDefault="005D1DD1" w:rsidP="00F54762"/>
    <w:p w14:paraId="088A02AA" w14:textId="77777777" w:rsidR="005D1DD1" w:rsidRDefault="003C1D1F" w:rsidP="00BA4973">
      <w:pPr>
        <w:pStyle w:val="Heading1"/>
      </w:pPr>
      <w:bookmarkStart w:id="415" w:name="_Toc454971518"/>
      <w:bookmarkStart w:id="416" w:name="_Toc465165476"/>
      <w:bookmarkStart w:id="417" w:name="_Toc216564874"/>
      <w:bookmarkStart w:id="418" w:name="_Toc216565542"/>
      <w:bookmarkStart w:id="419" w:name="_Toc427740529"/>
      <w:r w:rsidRPr="00256CFC">
        <w:lastRenderedPageBreak/>
        <w:t>Immunisation information systems</w:t>
      </w:r>
      <w:bookmarkEnd w:id="415"/>
      <w:bookmarkEnd w:id="416"/>
    </w:p>
    <w:p w14:paraId="3194DF5E" w14:textId="77777777" w:rsidR="003C1D1F" w:rsidRPr="005D1DD1" w:rsidRDefault="003C1D1F" w:rsidP="00BA4973">
      <w:pPr>
        <w:pStyle w:val="Heading2"/>
      </w:pPr>
      <w:bookmarkStart w:id="420" w:name="_Toc454971519"/>
      <w:bookmarkStart w:id="421" w:name="_Toc465165477"/>
      <w:r w:rsidRPr="005D1DD1">
        <w:t>The National Immunisation Register</w:t>
      </w:r>
      <w:bookmarkEnd w:id="420"/>
      <w:bookmarkEnd w:id="421"/>
    </w:p>
    <w:p w14:paraId="3749E80C" w14:textId="555FFD07" w:rsidR="003C1D1F" w:rsidRPr="00BC451B" w:rsidRDefault="003C1D1F" w:rsidP="00BA4973">
      <w:r w:rsidRPr="00B726F8">
        <w:t>The National Immunisation Register (</w:t>
      </w:r>
      <w:r w:rsidRPr="006E15CC">
        <w:t>NIR</w:t>
      </w:r>
      <w:r w:rsidRPr="00457902">
        <w:t>) is a computerised information system that holds</w:t>
      </w:r>
      <w:r w:rsidRPr="00BC451B">
        <w:t xml:space="preserve"> the details of childhood immunisations</w:t>
      </w:r>
      <w:r w:rsidR="00AF1D3E">
        <w:t xml:space="preserve"> including the Y</w:t>
      </w:r>
      <w:r w:rsidR="006030D1">
        <w:t>ea</w:t>
      </w:r>
      <w:r w:rsidR="00AF1D3E">
        <w:t>r</w:t>
      </w:r>
      <w:r w:rsidR="0005755C">
        <w:t xml:space="preserve"> </w:t>
      </w:r>
      <w:r w:rsidR="00AF1D3E">
        <w:t>7 and Y</w:t>
      </w:r>
      <w:r w:rsidR="006030D1">
        <w:t>ea</w:t>
      </w:r>
      <w:r w:rsidR="00AF1D3E">
        <w:t>r8 events</w:t>
      </w:r>
      <w:r w:rsidRPr="00BC451B">
        <w:t xml:space="preserve"> and </w:t>
      </w:r>
      <w:r w:rsidR="00AF1D3E">
        <w:t xml:space="preserve">other </w:t>
      </w:r>
      <w:r w:rsidRPr="00BC451B">
        <w:t>funded immunisation programmes for New Zealanders.</w:t>
      </w:r>
      <w:r>
        <w:t xml:space="preserve"> </w:t>
      </w:r>
      <w:r w:rsidRPr="00BC451B">
        <w:t xml:space="preserve">The NIR </w:t>
      </w:r>
      <w:r w:rsidR="00AF1D3E">
        <w:t xml:space="preserve">has been </w:t>
      </w:r>
      <w:r w:rsidRPr="00BC451B">
        <w:t xml:space="preserve">key </w:t>
      </w:r>
      <w:r w:rsidR="00AF1D3E">
        <w:t>to improving immunisation rates in</w:t>
      </w:r>
      <w:r w:rsidRPr="00BC451B">
        <w:t xml:space="preserve"> New Zealand. </w:t>
      </w:r>
      <w:r>
        <w:t>It</w:t>
      </w:r>
      <w:r w:rsidRPr="00BC451B">
        <w:t xml:space="preserve"> record</w:t>
      </w:r>
      <w:r w:rsidR="00AF1D3E">
        <w:t>s</w:t>
      </w:r>
      <w:r w:rsidRPr="00BC451B">
        <w:t xml:space="preserve"> the personal and vaccine details of those who receive their vaccinations (except for those who opt off the NIR), from both primary care and </w:t>
      </w:r>
      <w:r w:rsidR="00AF1D3E">
        <w:t xml:space="preserve">through </w:t>
      </w:r>
      <w:r w:rsidRPr="00BC451B">
        <w:t xml:space="preserve">the </w:t>
      </w:r>
      <w:r w:rsidRPr="00B726F8">
        <w:t>Programme. This enable</w:t>
      </w:r>
      <w:r w:rsidR="006030D1">
        <w:t>s</w:t>
      </w:r>
      <w:r w:rsidRPr="00B726F8">
        <w:t xml:space="preserve"> monitoring of immunisation coverage.</w:t>
      </w:r>
    </w:p>
    <w:p w14:paraId="2957F877" w14:textId="77777777" w:rsidR="003C1D1F" w:rsidRPr="00BC451B" w:rsidRDefault="003C1D1F" w:rsidP="00BA4973"/>
    <w:p w14:paraId="2EE3BA7C" w14:textId="77777777" w:rsidR="003C1D1F" w:rsidRPr="00BC451B" w:rsidRDefault="003C1D1F" w:rsidP="00BA4973">
      <w:r w:rsidRPr="00BC451B">
        <w:t>The NIR:</w:t>
      </w:r>
    </w:p>
    <w:p w14:paraId="7175E4EF" w14:textId="7356EA90" w:rsidR="003C1D1F" w:rsidRPr="00BC451B" w:rsidRDefault="003C1D1F" w:rsidP="00BA4973">
      <w:pPr>
        <w:pStyle w:val="Bullet"/>
      </w:pPr>
      <w:r w:rsidRPr="00BC451B">
        <w:t>offers quick access to an individual</w:t>
      </w:r>
      <w:r w:rsidR="009A7CEC">
        <w:t>’</w:t>
      </w:r>
      <w:r w:rsidRPr="00BC451B">
        <w:t>s immunisation status, helping to ensure they receive the appropriate immunisations</w:t>
      </w:r>
    </w:p>
    <w:p w14:paraId="52DCA660" w14:textId="69BAEEDC" w:rsidR="003C1D1F" w:rsidRPr="00BC451B" w:rsidRDefault="003C1D1F" w:rsidP="00BA4973">
      <w:pPr>
        <w:pStyle w:val="Bullet"/>
      </w:pPr>
      <w:r w:rsidRPr="00BC451B">
        <w:t>enables health care providers to</w:t>
      </w:r>
      <w:r w:rsidR="00AF1D3E">
        <w:t xml:space="preserve"> check the immunisation history of individuals in their care</w:t>
      </w:r>
    </w:p>
    <w:p w14:paraId="53D84F42" w14:textId="77777777" w:rsidR="003C1D1F" w:rsidRPr="00BC451B" w:rsidRDefault="003C1D1F" w:rsidP="00BA4973">
      <w:pPr>
        <w:pStyle w:val="Bullet"/>
      </w:pPr>
      <w:r w:rsidRPr="00BC451B">
        <w:t>provides local, regional and national immunisation coverage data, which will help support the Programme planning and evaluation</w:t>
      </w:r>
    </w:p>
    <w:p w14:paraId="2C656C2C" w14:textId="77777777" w:rsidR="003C1D1F" w:rsidRPr="00BC451B" w:rsidRDefault="003C1D1F" w:rsidP="00BA4973">
      <w:pPr>
        <w:pStyle w:val="Bullet"/>
      </w:pPr>
      <w:r>
        <w:t>helps</w:t>
      </w:r>
      <w:r w:rsidRPr="00BC451B">
        <w:t xml:space="preserve"> to provide information o</w:t>
      </w:r>
      <w:r>
        <w:t>n</w:t>
      </w:r>
      <w:r w:rsidRPr="00BC451B">
        <w:t xml:space="preserve"> vaccine safety and effectiveness</w:t>
      </w:r>
    </w:p>
    <w:p w14:paraId="49F39B9E" w14:textId="77777777" w:rsidR="003C1D1F" w:rsidRPr="00BC451B" w:rsidRDefault="003C1D1F" w:rsidP="00BA4973">
      <w:pPr>
        <w:pStyle w:val="Bullet"/>
      </w:pPr>
      <w:r w:rsidRPr="00BC451B">
        <w:t>in the longer term, helps health providers to improve access to immunisation services, increase coverage rates and reduce immunisation disparities among different socioeconomic and ethnic groups.</w:t>
      </w:r>
    </w:p>
    <w:p w14:paraId="21A5C8C1" w14:textId="77777777" w:rsidR="003C1D1F" w:rsidRPr="00BC451B" w:rsidRDefault="003C1D1F" w:rsidP="00BA4973"/>
    <w:p w14:paraId="70134B1C" w14:textId="68BF2D97" w:rsidR="003C1D1F" w:rsidRPr="00BC451B" w:rsidRDefault="003C1D1F" w:rsidP="00BA4973">
      <w:r w:rsidRPr="00BC451B">
        <w:t xml:space="preserve">For Programme vaccinations where the </w:t>
      </w:r>
      <w:r w:rsidR="00AF1D3E">
        <w:t xml:space="preserve">School Based Vaccination Service </w:t>
      </w:r>
      <w:r w:rsidR="006030D1">
        <w:t xml:space="preserve">(SBVS) </w:t>
      </w:r>
      <w:r w:rsidR="00AF1D3E">
        <w:t>or another data management system</w:t>
      </w:r>
      <w:r w:rsidR="00AF1D3E" w:rsidRPr="00BC451B">
        <w:t xml:space="preserve"> </w:t>
      </w:r>
      <w:r w:rsidRPr="00BC451B">
        <w:t xml:space="preserve">is used, the </w:t>
      </w:r>
      <w:r w:rsidR="00AF1D3E">
        <w:t xml:space="preserve">system </w:t>
      </w:r>
      <w:r w:rsidRPr="00BC451B">
        <w:t>sends the student</w:t>
      </w:r>
      <w:r w:rsidR="009A7CEC">
        <w:t>’</w:t>
      </w:r>
      <w:r w:rsidRPr="00BC451B">
        <w:t xml:space="preserve">s immunisation event data to the NIR. </w:t>
      </w:r>
      <w:r w:rsidR="00AF1D3E">
        <w:t>Some SBIP teams will enter the immunisation details directly into the NIR.</w:t>
      </w:r>
    </w:p>
    <w:p w14:paraId="2F355773" w14:textId="77777777" w:rsidR="003C1D1F" w:rsidRPr="00BC451B" w:rsidRDefault="003C1D1F" w:rsidP="00BA4973"/>
    <w:p w14:paraId="570D42F3" w14:textId="17119C2E" w:rsidR="009A7CEC" w:rsidRDefault="002E679B" w:rsidP="00BA4973">
      <w:r>
        <w:t>For those students whose consent forms indicate that they going to attend General Practice</w:t>
      </w:r>
      <w:r w:rsidR="003C1D1F" w:rsidRPr="00BC451B">
        <w:t xml:space="preserve"> </w:t>
      </w:r>
      <w:r>
        <w:t>for their vaccines, their General Practice should be notified of this decision so they can recall these students in a timely manner.</w:t>
      </w:r>
    </w:p>
    <w:p w14:paraId="46F632F3" w14:textId="40B76793" w:rsidR="003C1D1F" w:rsidRPr="005D1DD1" w:rsidRDefault="003C1D1F" w:rsidP="00BA4973"/>
    <w:p w14:paraId="6E0D7635" w14:textId="79301911" w:rsidR="005D1DD1" w:rsidRPr="005D1DD1" w:rsidRDefault="003C1D1F" w:rsidP="00BA4973">
      <w:r w:rsidRPr="005D1DD1">
        <w:t>It is not compulsory to be enrol</w:t>
      </w:r>
      <w:r w:rsidR="002E679B">
        <w:t>l</w:t>
      </w:r>
      <w:r w:rsidRPr="005D1DD1">
        <w:t>ed on the NIR to receive a vaccine. However, the Ministry of Health recommends that the benefits of enrolling on the NIR be explained and enrolment on the NIR promoted.</w:t>
      </w:r>
    </w:p>
    <w:p w14:paraId="157CB89B" w14:textId="77777777" w:rsidR="003C1D1F" w:rsidRPr="005D1DD1" w:rsidRDefault="003C1D1F" w:rsidP="00BA4973"/>
    <w:p w14:paraId="6CC2D4C5" w14:textId="77777777" w:rsidR="003C1D1F" w:rsidRPr="00965335" w:rsidRDefault="003C1D1F" w:rsidP="0005755C">
      <w:r w:rsidRPr="00965335">
        <w:t>The following details will be held on the NIR:</w:t>
      </w:r>
    </w:p>
    <w:p w14:paraId="096967D4" w14:textId="359BCA3C" w:rsidR="003C1D1F" w:rsidRPr="00BC451B" w:rsidRDefault="003C1D1F" w:rsidP="0005755C">
      <w:pPr>
        <w:pStyle w:val="Bullet"/>
      </w:pPr>
      <w:r w:rsidRPr="00BC451B">
        <w:t>the student</w:t>
      </w:r>
      <w:r w:rsidR="009A7CEC">
        <w:t>’</w:t>
      </w:r>
      <w:r w:rsidRPr="00BC451B">
        <w:t>s name, address, date of birth, gender, ethnicity and National Health Index number (NHI)</w:t>
      </w:r>
    </w:p>
    <w:p w14:paraId="2BC0F6F9" w14:textId="00D99ABF" w:rsidR="003C1D1F" w:rsidRPr="00BC451B" w:rsidRDefault="003C1D1F" w:rsidP="0005755C">
      <w:pPr>
        <w:pStyle w:val="Bullet"/>
      </w:pPr>
      <w:r w:rsidRPr="00BC451B">
        <w:t>the student</w:t>
      </w:r>
      <w:r w:rsidR="009A7CEC">
        <w:t>’</w:t>
      </w:r>
      <w:r w:rsidRPr="00BC451B">
        <w:t>s GP and local DHB</w:t>
      </w:r>
    </w:p>
    <w:p w14:paraId="24CF88D3" w14:textId="77777777" w:rsidR="003C1D1F" w:rsidRPr="00BC451B" w:rsidRDefault="003C1D1F" w:rsidP="00BA4973">
      <w:pPr>
        <w:pStyle w:val="Bullet"/>
      </w:pPr>
      <w:r w:rsidRPr="00BC451B">
        <w:t>any immunisations given or declined.</w:t>
      </w:r>
    </w:p>
    <w:p w14:paraId="48C0BC60" w14:textId="77777777" w:rsidR="003C1D1F" w:rsidRPr="00BC451B" w:rsidRDefault="003C1D1F" w:rsidP="00BA4973"/>
    <w:p w14:paraId="250791C8" w14:textId="5EC1DEC9" w:rsidR="003C1D1F" w:rsidRPr="00BC451B" w:rsidRDefault="003C1D1F" w:rsidP="0005755C">
      <w:r w:rsidRPr="00BC451B">
        <w:t>The use and disclosure of information held on the NIR is governed by the Health Information Privacy Code 1993 (HIPC).</w:t>
      </w:r>
      <w:r>
        <w:t xml:space="preserve"> </w:t>
      </w:r>
      <w:r w:rsidRPr="00BC451B">
        <w:t>Only health professionals authorised as NIR users can use and disclose the information held on the NIR. More information on the HIPC can be found at</w:t>
      </w:r>
      <w:r w:rsidR="00AF1D3E">
        <w:t xml:space="preserve">: </w:t>
      </w:r>
      <w:hyperlink r:id="rId24" w:history="1">
        <w:r w:rsidR="00AF1D3E" w:rsidRPr="00990F84">
          <w:rPr>
            <w:rStyle w:val="Hyperlink"/>
          </w:rPr>
          <w:t>www.privacy.org.nz/assets/Files/Codes-of-Practice-materials/HIPC-1994-2008-revised-edition.pdf</w:t>
        </w:r>
      </w:hyperlink>
    </w:p>
    <w:p w14:paraId="2E707681" w14:textId="77777777" w:rsidR="003C1D1F" w:rsidRPr="00BC451B" w:rsidRDefault="003C1D1F" w:rsidP="00BA4973"/>
    <w:p w14:paraId="2B7F0C54" w14:textId="359CF714" w:rsidR="003C1D1F" w:rsidRPr="00BC451B" w:rsidRDefault="003C1D1F" w:rsidP="00BA4973">
      <w:r w:rsidRPr="00BC451B">
        <w:t>Parents and guardians will be able to access their child</w:t>
      </w:r>
      <w:r w:rsidR="009A7CEC">
        <w:t>’</w:t>
      </w:r>
      <w:r w:rsidRPr="00BC451B">
        <w:t>s immunisation information, or request that information be corrected, through their health care provider.</w:t>
      </w:r>
      <w:r>
        <w:t xml:space="preserve"> </w:t>
      </w:r>
      <w:r w:rsidRPr="00BC451B">
        <w:t>The NIR will also enable authorised health care providers to obtain vaccination details.</w:t>
      </w:r>
      <w:r>
        <w:t xml:space="preserve"> </w:t>
      </w:r>
      <w:r w:rsidRPr="00BC451B">
        <w:t>The information on the NIR is retained for an individual</w:t>
      </w:r>
      <w:r w:rsidR="009A7CEC">
        <w:t>’</w:t>
      </w:r>
      <w:r w:rsidRPr="00BC451B">
        <w:t xml:space="preserve">s lifetime, plus a period of </w:t>
      </w:r>
      <w:r>
        <w:t>10</w:t>
      </w:r>
      <w:r w:rsidRPr="00BC451B">
        <w:t xml:space="preserve"> years.</w:t>
      </w:r>
    </w:p>
    <w:p w14:paraId="4408C7B6" w14:textId="77777777" w:rsidR="003C1D1F" w:rsidRPr="00BC451B" w:rsidRDefault="003C1D1F" w:rsidP="00BA4973"/>
    <w:p w14:paraId="1FE258C0" w14:textId="77777777" w:rsidR="005D1DD1" w:rsidRDefault="003C1D1F" w:rsidP="00BA4973">
      <w:r w:rsidRPr="00BC451B">
        <w:t xml:space="preserve">The HIPC requires that individuals whose information is being collected on the NIR be informed about the NIR, the information being collected and who will have access to </w:t>
      </w:r>
      <w:r>
        <w:t>it.</w:t>
      </w:r>
      <w:r w:rsidRPr="00BC451B">
        <w:t xml:space="preserve"> Information about the NIR has been included with the Programme consent forms to inform students, parents and guardians about the NIR.</w:t>
      </w:r>
    </w:p>
    <w:p w14:paraId="49738A1A" w14:textId="77777777" w:rsidR="003C1D1F" w:rsidRPr="005D1DD1" w:rsidRDefault="003C1D1F" w:rsidP="00BA4973"/>
    <w:p w14:paraId="7085E4CE" w14:textId="77777777" w:rsidR="003C1D1F" w:rsidRPr="005D1DD1" w:rsidRDefault="003C1D1F" w:rsidP="00BA4973">
      <w:pPr>
        <w:pStyle w:val="Heading2"/>
      </w:pPr>
      <w:bookmarkStart w:id="422" w:name="_Toc454971520"/>
      <w:bookmarkStart w:id="423" w:name="_Toc465165478"/>
      <w:r w:rsidRPr="005D1DD1">
        <w:t xml:space="preserve">The </w:t>
      </w:r>
      <w:r w:rsidR="00BA4973">
        <w:t>s</w:t>
      </w:r>
      <w:r w:rsidRPr="005D1DD1">
        <w:t>chool-</w:t>
      </w:r>
      <w:r w:rsidR="00BA4973">
        <w:t>b</w:t>
      </w:r>
      <w:r w:rsidRPr="005D1DD1">
        <w:t xml:space="preserve">ased </w:t>
      </w:r>
      <w:r w:rsidR="00BA4973">
        <w:t>v</w:t>
      </w:r>
      <w:r w:rsidRPr="005D1DD1">
        <w:t xml:space="preserve">accination </w:t>
      </w:r>
      <w:r w:rsidR="00BA4973">
        <w:t>s</w:t>
      </w:r>
      <w:r w:rsidRPr="005D1DD1">
        <w:t>ystem</w:t>
      </w:r>
      <w:bookmarkEnd w:id="422"/>
      <w:bookmarkEnd w:id="423"/>
    </w:p>
    <w:p w14:paraId="5BA7991D" w14:textId="77777777" w:rsidR="003C1D1F" w:rsidRPr="005D1DD1" w:rsidRDefault="003C1D1F" w:rsidP="00BA4973">
      <w:r w:rsidRPr="005D1DD1">
        <w:t>The SBVS collects and manages the data for the vaccinations given in schools. The information collected on the SBVS for the Programme is then transferred to the NIR.</w:t>
      </w:r>
    </w:p>
    <w:p w14:paraId="47A9C520" w14:textId="77777777" w:rsidR="003C1D1F" w:rsidRPr="005D1DD1" w:rsidRDefault="003C1D1F" w:rsidP="00BA4973"/>
    <w:p w14:paraId="56FC436D" w14:textId="263C9477" w:rsidR="003C1D1F" w:rsidRDefault="003C1D1F" w:rsidP="00BA4973">
      <w:r w:rsidRPr="00BC451B">
        <w:t>Not all DHBs use the SBVS software for managing their Programme</w:t>
      </w:r>
      <w:r>
        <w:t>.</w:t>
      </w:r>
      <w:r w:rsidRPr="00BC451B">
        <w:t xml:space="preserve"> </w:t>
      </w:r>
      <w:r>
        <w:t>H</w:t>
      </w:r>
      <w:r w:rsidRPr="00BC451B">
        <w:t>owever, all DHBs are required to record school</w:t>
      </w:r>
      <w:r>
        <w:t>-</w:t>
      </w:r>
      <w:r w:rsidRPr="00BC451B">
        <w:t>based vaccination events on the NIR</w:t>
      </w:r>
      <w:r>
        <w:t>,</w:t>
      </w:r>
      <w:r w:rsidRPr="00BC451B">
        <w:t xml:space="preserve"> regardless of whether they use the SBVS, another PMS (eg, MedTech) or direct</w:t>
      </w:r>
      <w:r w:rsidR="00434E95">
        <w:t>ly</w:t>
      </w:r>
      <w:r w:rsidRPr="00BC451B">
        <w:t xml:space="preserve"> enter on to the NIR.</w:t>
      </w:r>
    </w:p>
    <w:p w14:paraId="26B38E88" w14:textId="77777777" w:rsidR="00BA4973" w:rsidRPr="00BC451B" w:rsidRDefault="00BA4973" w:rsidP="00BA4973"/>
    <w:p w14:paraId="516FBA64" w14:textId="77777777" w:rsidR="003C1D1F" w:rsidRPr="00BE4F15" w:rsidRDefault="003C1D1F" w:rsidP="00BA4973">
      <w:pPr>
        <w:pStyle w:val="Heading3"/>
      </w:pPr>
      <w:r w:rsidRPr="00BE4F15">
        <w:t>A brief overview of SBVS</w:t>
      </w:r>
    </w:p>
    <w:p w14:paraId="464E7701" w14:textId="77777777" w:rsidR="003C1D1F" w:rsidRPr="00BC451B" w:rsidRDefault="003C1D1F" w:rsidP="00BA4973">
      <w:r w:rsidRPr="00BC451B">
        <w:t>Student details (from the school roll</w:t>
      </w:r>
      <w:r>
        <w:t>,</w:t>
      </w:r>
      <w:r w:rsidRPr="00BC451B">
        <w:t xml:space="preserve"> where available) can be loaded into the SBVS and data can be checked. For example, addresses can be geo-coded and NHI</w:t>
      </w:r>
      <w:r>
        <w:t>s</w:t>
      </w:r>
      <w:r w:rsidRPr="00BC451B">
        <w:t xml:space="preserve"> and numbers matched or assigned by the New Zealand Health Information Service (NZHIS). This can provide a school</w:t>
      </w:r>
      <w:r>
        <w:t>-</w:t>
      </w:r>
      <w:r w:rsidRPr="00BC451B">
        <w:t xml:space="preserve">based denominator early in the Programme. Consent form information is entered into the SBVS, and after the vaccination the immunisation event data is </w:t>
      </w:r>
      <w:r>
        <w:t xml:space="preserve">also </w:t>
      </w:r>
      <w:r w:rsidRPr="00BC451B">
        <w:t>entered into the SBVS.</w:t>
      </w:r>
    </w:p>
    <w:p w14:paraId="4B3831B0" w14:textId="77777777" w:rsidR="003C1D1F" w:rsidRPr="00BC451B" w:rsidRDefault="003C1D1F" w:rsidP="00BA4973"/>
    <w:p w14:paraId="45D6FBFD" w14:textId="77777777" w:rsidR="003C1D1F" w:rsidRPr="00BC451B" w:rsidRDefault="003C1D1F" w:rsidP="00BA4973">
      <w:r w:rsidRPr="00BC451B">
        <w:t>All immunisation event information should be entered in</w:t>
      </w:r>
      <w:r>
        <w:t>to</w:t>
      </w:r>
      <w:r w:rsidRPr="00BC451B">
        <w:t xml:space="preserve"> the SBVS as soon as practicably possible after the vaccination has been administered</w:t>
      </w:r>
      <w:r>
        <w:t>,</w:t>
      </w:r>
      <w:r w:rsidRPr="00BC451B">
        <w:t xml:space="preserve"> and ideally no longer than </w:t>
      </w:r>
      <w:r>
        <w:t>five</w:t>
      </w:r>
      <w:r w:rsidRPr="00BC451B">
        <w:t xml:space="preserve"> working days after the vaccine has been administered in the Programme.</w:t>
      </w:r>
    </w:p>
    <w:p w14:paraId="638DE496" w14:textId="77777777" w:rsidR="003C1D1F" w:rsidRPr="00BC451B" w:rsidRDefault="003C1D1F" w:rsidP="00BA4973"/>
    <w:p w14:paraId="558739DD" w14:textId="77777777" w:rsidR="003C1D1F" w:rsidRPr="00BC451B" w:rsidRDefault="003C1D1F" w:rsidP="00BA4973">
      <w:r w:rsidRPr="00BC451B">
        <w:t>The SBVS sends immunisation event data to the NIR, including non-consent</w:t>
      </w:r>
      <w:r>
        <w:t>s</w:t>
      </w:r>
      <w:r w:rsidRPr="00BC451B">
        <w:t xml:space="preserve"> </w:t>
      </w:r>
      <w:r>
        <w:t>and</w:t>
      </w:r>
      <w:r w:rsidRPr="00BC451B">
        <w:t xml:space="preserve"> declines.</w:t>
      </w:r>
    </w:p>
    <w:p w14:paraId="3FC3B84A" w14:textId="77777777" w:rsidR="003C1D1F" w:rsidRPr="00BC451B" w:rsidRDefault="003C1D1F" w:rsidP="003C1D1F">
      <w:r w:rsidRPr="00BC451B">
        <w:t>Reports can be generated to measure the progress of the Programme and to assist in immunisation follow-ups.</w:t>
      </w:r>
    </w:p>
    <w:p w14:paraId="5281C307" w14:textId="77777777" w:rsidR="003C1D1F" w:rsidRPr="00BC451B" w:rsidRDefault="003C1D1F" w:rsidP="00BA4973"/>
    <w:p w14:paraId="5723BCB5" w14:textId="77777777" w:rsidR="003C1D1F" w:rsidRDefault="003C1D1F" w:rsidP="00BA4973">
      <w:r w:rsidRPr="00BC451B">
        <w:t xml:space="preserve">PHNs </w:t>
      </w:r>
      <w:r>
        <w:t>and</w:t>
      </w:r>
      <w:r w:rsidRPr="00BC451B">
        <w:t xml:space="preserve"> Programme providers and support staff who have not been using SBVS will require information and training sessions.</w:t>
      </w:r>
    </w:p>
    <w:p w14:paraId="110B4B71" w14:textId="77777777" w:rsidR="00BA4973" w:rsidRPr="00BC451B" w:rsidRDefault="00BA4973" w:rsidP="00BA4973"/>
    <w:p w14:paraId="578CC671" w14:textId="107910D7" w:rsidR="003C1D1F" w:rsidRPr="00965335" w:rsidRDefault="003C1D1F" w:rsidP="00BA4973">
      <w:pPr>
        <w:pStyle w:val="Heading3"/>
      </w:pPr>
      <w:r w:rsidRPr="00965335">
        <w:t>Retention of information on the SBVS</w:t>
      </w:r>
    </w:p>
    <w:p w14:paraId="4EA5CF77" w14:textId="6B07BFC7" w:rsidR="005D1DD1" w:rsidRPr="005D1DD1" w:rsidRDefault="003C1D1F" w:rsidP="00BA4973">
      <w:r w:rsidRPr="005D1DD1">
        <w:t xml:space="preserve">There should be no need for DHBs to retain school roll information post-immunisation (eg, the school roll extract file). The Ministry of Health recommends that school roll information be deleted once the </w:t>
      </w:r>
      <w:r w:rsidRPr="00BC451B">
        <w:t xml:space="preserve">Programme </w:t>
      </w:r>
      <w:r w:rsidRPr="005D1DD1">
        <w:t>is complete (ie, when the immunisations have been administered to the students to whom the school roll relates).</w:t>
      </w:r>
    </w:p>
    <w:p w14:paraId="4A14F015" w14:textId="77777777" w:rsidR="003C1D1F" w:rsidRPr="005D1DD1" w:rsidRDefault="003C1D1F" w:rsidP="00BA4973"/>
    <w:p w14:paraId="204B2607" w14:textId="2355258A" w:rsidR="003C1D1F" w:rsidRPr="00BC451B" w:rsidRDefault="003C1D1F" w:rsidP="00BA4973">
      <w:r w:rsidRPr="005D1DD1">
        <w:t xml:space="preserve">However, keeping a record of the location where the immunisation </w:t>
      </w:r>
      <w:r w:rsidR="006030D1">
        <w:t>was</w:t>
      </w:r>
      <w:r w:rsidR="006030D1" w:rsidRPr="005D1DD1">
        <w:t xml:space="preserve"> </w:t>
      </w:r>
      <w:r w:rsidRPr="005D1DD1">
        <w:t>administered is valid in the interests of quality assurance and patient safety. This information would normally be collected at the time of immunisation and is therefore separate from the school roll.</w:t>
      </w:r>
    </w:p>
    <w:p w14:paraId="7DFEB08F" w14:textId="77777777" w:rsidR="003C1D1F" w:rsidRPr="00965335" w:rsidRDefault="003C1D1F" w:rsidP="00BA4973"/>
    <w:p w14:paraId="2EC84BDF" w14:textId="77777777" w:rsidR="005D1DD1" w:rsidRDefault="00BA4973" w:rsidP="00BA4973">
      <w:pPr>
        <w:pStyle w:val="Heading1"/>
      </w:pPr>
      <w:bookmarkStart w:id="424" w:name="_Toc454971521"/>
      <w:bookmarkStart w:id="425" w:name="_Toc465165479"/>
      <w:bookmarkEnd w:id="417"/>
      <w:bookmarkEnd w:id="418"/>
      <w:bookmarkEnd w:id="419"/>
      <w:r>
        <w:lastRenderedPageBreak/>
        <w:t>C</w:t>
      </w:r>
      <w:r w:rsidR="003C1D1F" w:rsidRPr="00965335">
        <w:t xml:space="preserve">onsent for </w:t>
      </w:r>
      <w:r w:rsidR="003C1D1F">
        <w:t>v</w:t>
      </w:r>
      <w:r w:rsidR="003C1D1F" w:rsidRPr="00965335">
        <w:t>accination</w:t>
      </w:r>
      <w:bookmarkEnd w:id="424"/>
      <w:bookmarkEnd w:id="425"/>
    </w:p>
    <w:p w14:paraId="55136F78" w14:textId="02201691" w:rsidR="005D1DD1" w:rsidRPr="005D1DD1" w:rsidRDefault="003C1D1F" w:rsidP="00BA4973">
      <w:r w:rsidRPr="00BC451B">
        <w:t>The Ministry of Education require</w:t>
      </w:r>
      <w:r>
        <w:t xml:space="preserve">s </w:t>
      </w:r>
      <w:r w:rsidRPr="00BC451B">
        <w:t>school</w:t>
      </w:r>
      <w:r>
        <w:t>-</w:t>
      </w:r>
      <w:r w:rsidRPr="00BC451B">
        <w:t xml:space="preserve">based vaccination consent </w:t>
      </w:r>
      <w:r w:rsidR="00043829">
        <w:t>from</w:t>
      </w:r>
      <w:r w:rsidRPr="00BC451B">
        <w:t xml:space="preserve"> a parent/legal guardian </w:t>
      </w:r>
      <w:r w:rsidR="00043829">
        <w:t>for</w:t>
      </w:r>
      <w:r w:rsidRPr="00BC451B">
        <w:t xml:space="preserve"> any child under the age of 16.</w:t>
      </w:r>
      <w:r w:rsidRPr="005D1DD1">
        <w:t xml:space="preserve"> </w:t>
      </w:r>
      <w:r w:rsidR="00FA597B">
        <w:t>SBIP</w:t>
      </w:r>
      <w:r w:rsidRPr="005D1DD1">
        <w:t xml:space="preserve"> vaccinators will immunise students who have parent or guardian consent at school (in primary, intermediate and secondary education). Consent will be valid for the duration of the Programme</w:t>
      </w:r>
      <w:r w:rsidR="00315631">
        <w:t>.</w:t>
      </w:r>
    </w:p>
    <w:p w14:paraId="65A8370B" w14:textId="77777777" w:rsidR="003C1D1F" w:rsidRPr="005D1DD1" w:rsidRDefault="003C1D1F" w:rsidP="00BA4973"/>
    <w:p w14:paraId="015482C8" w14:textId="42975454" w:rsidR="005D1DD1" w:rsidRDefault="003C1D1F" w:rsidP="00BA4973">
      <w:r w:rsidRPr="005D1DD1">
        <w:t>Note: if the student changes schools and/or moves to a new geographical area, a copy of their consent form should be scanned and emailed to the Programme manager in the corresponding DHB. If you are unable to locate their consent form, the student</w:t>
      </w:r>
      <w:r w:rsidR="009A7CEC">
        <w:t>’</w:t>
      </w:r>
      <w:r w:rsidRPr="005D1DD1">
        <w:t>s immunisation status will need to be checked on the NIR before generating a new consent form.</w:t>
      </w:r>
    </w:p>
    <w:p w14:paraId="2229E7B5" w14:textId="77777777" w:rsidR="00BA4973" w:rsidRPr="005D1DD1" w:rsidRDefault="00BA4973" w:rsidP="00BA4973"/>
    <w:p w14:paraId="3CAAD54F" w14:textId="77777777" w:rsidR="003C1D1F" w:rsidRPr="005D1DD1" w:rsidRDefault="003C1D1F" w:rsidP="00BA4973">
      <w:pPr>
        <w:pStyle w:val="Heading2"/>
      </w:pPr>
      <w:bookmarkStart w:id="426" w:name="_Toc454971522"/>
      <w:bookmarkStart w:id="427" w:name="_Toc465165480"/>
      <w:r w:rsidRPr="005D1DD1">
        <w:t>Managing students with existing medical conditions</w:t>
      </w:r>
      <w:bookmarkEnd w:id="426"/>
      <w:bookmarkEnd w:id="427"/>
    </w:p>
    <w:p w14:paraId="603AC725" w14:textId="68E10C50" w:rsidR="009A7CEC" w:rsidRDefault="003C1D1F" w:rsidP="00BA4973">
      <w:r w:rsidRPr="00BC451B">
        <w:t>It will be the responsibility of parents,</w:t>
      </w:r>
      <w:r w:rsidR="006030D1">
        <w:t xml:space="preserve"> </w:t>
      </w:r>
      <w:r w:rsidRPr="00BC451B">
        <w:t xml:space="preserve">guardians or caregivers to notify the </w:t>
      </w:r>
      <w:r w:rsidR="00315631">
        <w:t xml:space="preserve">SBIP </w:t>
      </w:r>
      <w:r w:rsidRPr="00BC451B">
        <w:t xml:space="preserve">provider of any changes to the medical or consent status of their child during the </w:t>
      </w:r>
      <w:r w:rsidRPr="005D1DD1">
        <w:t>Programme</w:t>
      </w:r>
      <w:r w:rsidRPr="00BC451B">
        <w:t xml:space="preserve">. Parents, guardians or caregivers will need to </w:t>
      </w:r>
      <w:r w:rsidR="00043829">
        <w:t>be told</w:t>
      </w:r>
      <w:r w:rsidRPr="00BC451B">
        <w:t xml:space="preserve"> who to contact in this event.</w:t>
      </w:r>
      <w:r w:rsidR="00043829">
        <w:t xml:space="preserve"> </w:t>
      </w:r>
      <w:r w:rsidRPr="00BC451B">
        <w:t>The vaccinator may also determine that the student</w:t>
      </w:r>
      <w:r w:rsidR="009A7CEC">
        <w:t>’</w:t>
      </w:r>
      <w:r w:rsidRPr="00BC451B">
        <w:t>s medical status has changed at the time of the vaccination and decline to vaccinate the student.</w:t>
      </w:r>
    </w:p>
    <w:p w14:paraId="49CB1AA2" w14:textId="3744AA01" w:rsidR="00043829" w:rsidRDefault="00043829" w:rsidP="00BA4973"/>
    <w:p w14:paraId="055C0ED8" w14:textId="196A2CD9" w:rsidR="003C1D1F" w:rsidRDefault="003C1D1F" w:rsidP="00BA4973">
      <w:r w:rsidRPr="00BC451B">
        <w:t>All documentation relating to obtaining consent to receiv</w:t>
      </w:r>
      <w:r>
        <w:t>e</w:t>
      </w:r>
      <w:r w:rsidRPr="00BC451B">
        <w:t xml:space="preserve"> immunisation at school </w:t>
      </w:r>
      <w:r>
        <w:t>should</w:t>
      </w:r>
      <w:r w:rsidRPr="00BC451B">
        <w:t xml:space="preserve"> be written in the consent form and signed</w:t>
      </w:r>
      <w:r>
        <w:t>,</w:t>
      </w:r>
      <w:r w:rsidRPr="00BC451B">
        <w:t xml:space="preserve"> including date and time.</w:t>
      </w:r>
      <w:r w:rsidR="00732426">
        <w:t xml:space="preserve"> </w:t>
      </w:r>
      <w:r w:rsidRPr="00BC451B">
        <w:t xml:space="preserve">Immunisation at school of students with other medical conditions should be discussed with the </w:t>
      </w:r>
      <w:r w:rsidRPr="005D1DD1">
        <w:t>Programme</w:t>
      </w:r>
      <w:r w:rsidR="009A7CEC">
        <w:t>’</w:t>
      </w:r>
      <w:r w:rsidRPr="005D1DD1">
        <w:t xml:space="preserve">s </w:t>
      </w:r>
      <w:r w:rsidRPr="00BC451B">
        <w:t>medical advisor and</w:t>
      </w:r>
      <w:r>
        <w:t>,</w:t>
      </w:r>
      <w:r w:rsidRPr="00BC451B">
        <w:t xml:space="preserve"> where appropriate</w:t>
      </w:r>
      <w:r>
        <w:t>,</w:t>
      </w:r>
      <w:r w:rsidRPr="00BC451B">
        <w:t xml:space="preserve"> the parent(s) or guardian should be invited to be present for the immunisation. </w:t>
      </w:r>
      <w:r w:rsidRPr="006E15CC">
        <w:t xml:space="preserve">(Refer to section 1.4 of </w:t>
      </w:r>
      <w:r w:rsidRPr="00457902">
        <w:t>the</w:t>
      </w:r>
      <w:r w:rsidR="00315631">
        <w:t xml:space="preserve"> current</w:t>
      </w:r>
      <w:r w:rsidRPr="00457902">
        <w:t xml:space="preserve"> </w:t>
      </w:r>
      <w:r w:rsidRPr="00457902">
        <w:rPr>
          <w:i/>
        </w:rPr>
        <w:t>Immunisation Handbook</w:t>
      </w:r>
      <w:r w:rsidRPr="00457902">
        <w:t xml:space="preserve"> </w:t>
      </w:r>
      <w:r w:rsidR="00315631" w:rsidRPr="00315631">
        <w:t>http://immunisation.book.health.govt.nz/</w:t>
      </w:r>
      <w:r w:rsidR="00315631">
        <w:t xml:space="preserve"> </w:t>
      </w:r>
      <w:r w:rsidRPr="00457902">
        <w:t xml:space="preserve">for general contraindications </w:t>
      </w:r>
      <w:r w:rsidR="00CB6E59">
        <w:t xml:space="preserve">and precautions </w:t>
      </w:r>
      <w:r w:rsidRPr="00457902">
        <w:t>for all vaccines</w:t>
      </w:r>
      <w:r w:rsidR="00BA4973">
        <w:t>.</w:t>
      </w:r>
      <w:r w:rsidRPr="006E15CC">
        <w:t>)</w:t>
      </w:r>
    </w:p>
    <w:p w14:paraId="37B23056" w14:textId="77777777" w:rsidR="00BA4973" w:rsidRPr="00BC451B" w:rsidRDefault="00BA4973" w:rsidP="00BA4973"/>
    <w:p w14:paraId="49F5321A" w14:textId="39B99AA8" w:rsidR="005D1DD1" w:rsidRPr="005D1DD1" w:rsidRDefault="00D8406C" w:rsidP="00BA4973">
      <w:pPr>
        <w:pStyle w:val="Heading2"/>
      </w:pPr>
      <w:bookmarkStart w:id="428" w:name="_Toc465165481"/>
      <w:r>
        <w:t>Alternatives to parental consent</w:t>
      </w:r>
      <w:bookmarkEnd w:id="428"/>
    </w:p>
    <w:p w14:paraId="5E8FE7A2" w14:textId="77777777" w:rsidR="005D1DD1" w:rsidRDefault="003C1D1F" w:rsidP="0005755C">
      <w:r w:rsidRPr="00BC451B">
        <w:t>Individuals who are aged 16 years or older may self-consent</w:t>
      </w:r>
      <w:r w:rsidRPr="005D1DD1">
        <w:t>.</w:t>
      </w:r>
      <w:r>
        <w:t xml:space="preserve"> T</w:t>
      </w:r>
      <w:r w:rsidRPr="00BC451B">
        <w:t xml:space="preserve">he </w:t>
      </w:r>
      <w:r w:rsidRPr="009826B6">
        <w:rPr>
          <w:i/>
        </w:rPr>
        <w:t>Care of Children Act 2004</w:t>
      </w:r>
      <w:r w:rsidRPr="00BC451B">
        <w:t xml:space="preserve">, </w:t>
      </w:r>
      <w:r>
        <w:t>s</w:t>
      </w:r>
      <w:r w:rsidRPr="00BC451B">
        <w:t>ection 36(3)</w:t>
      </w:r>
      <w:r>
        <w:t>,</w:t>
      </w:r>
      <w:r w:rsidRPr="00BC451B">
        <w:t xml:space="preserve"> states that consent for medical procedure may </w:t>
      </w:r>
      <w:r>
        <w:t xml:space="preserve">also </w:t>
      </w:r>
      <w:r w:rsidRPr="00BC451B">
        <w:t>be given by:</w:t>
      </w:r>
    </w:p>
    <w:p w14:paraId="51B62A09" w14:textId="77777777" w:rsidR="003C1D1F" w:rsidRPr="00BC451B" w:rsidRDefault="003C1D1F" w:rsidP="0005755C">
      <w:pPr>
        <w:pStyle w:val="Bullet"/>
      </w:pPr>
      <w:r w:rsidRPr="00BC451B">
        <w:t>a legal guardian/person acting in the place of a parent</w:t>
      </w:r>
      <w:r>
        <w:rPr>
          <w:rStyle w:val="FootnoteReference"/>
        </w:rPr>
        <w:footnoteReference w:id="1"/>
      </w:r>
    </w:p>
    <w:p w14:paraId="54778298" w14:textId="77777777" w:rsidR="003C1D1F" w:rsidRPr="00BC451B" w:rsidRDefault="003C1D1F" w:rsidP="0005755C">
      <w:pPr>
        <w:pStyle w:val="Bullet"/>
      </w:pPr>
      <w:r w:rsidRPr="00BC451B">
        <w:t xml:space="preserve">a District Court </w:t>
      </w:r>
      <w:r>
        <w:t>j</w:t>
      </w:r>
      <w:r w:rsidRPr="00BC451B">
        <w:t>udge</w:t>
      </w:r>
    </w:p>
    <w:p w14:paraId="07D9ED92" w14:textId="77777777" w:rsidR="003C1D1F" w:rsidRPr="00BC451B" w:rsidRDefault="003C1D1F" w:rsidP="00BA4973">
      <w:pPr>
        <w:pStyle w:val="Bullet"/>
      </w:pPr>
      <w:r w:rsidRPr="00BC451B">
        <w:t>the Chief Executive of Child, Youth and Family.</w:t>
      </w:r>
    </w:p>
    <w:p w14:paraId="4E7BA02D" w14:textId="77777777" w:rsidR="003C1D1F" w:rsidRPr="00BC451B" w:rsidRDefault="003C1D1F" w:rsidP="00BA4973"/>
    <w:p w14:paraId="77BCC9A4" w14:textId="19A15965" w:rsidR="005D1DD1" w:rsidRDefault="003C1D1F" w:rsidP="00BA4973">
      <w:r w:rsidRPr="002641E6">
        <w:t>Refer to Appendi</w:t>
      </w:r>
      <w:r w:rsidR="0005755C">
        <w:t>ces</w:t>
      </w:r>
      <w:r w:rsidRPr="002641E6">
        <w:t xml:space="preserve"> </w:t>
      </w:r>
      <w:r w:rsidR="00CB6E59">
        <w:t>1 and 6</w:t>
      </w:r>
      <w:r>
        <w:t xml:space="preserve"> </w:t>
      </w:r>
      <w:r w:rsidRPr="006E15CC">
        <w:t xml:space="preserve">for more information </w:t>
      </w:r>
      <w:r>
        <w:t>on</w:t>
      </w:r>
      <w:r w:rsidRPr="00457902">
        <w:t xml:space="preserve"> </w:t>
      </w:r>
      <w:r w:rsidR="00CB6E59">
        <w:t>consent</w:t>
      </w:r>
      <w:r w:rsidRPr="00457902">
        <w:t>.</w:t>
      </w:r>
    </w:p>
    <w:p w14:paraId="20909CFB" w14:textId="77777777" w:rsidR="00BA4973" w:rsidRDefault="00BA4973" w:rsidP="00BA4973"/>
    <w:p w14:paraId="66E2FB29" w14:textId="77777777" w:rsidR="003C1D1F" w:rsidRPr="005D1DD1" w:rsidRDefault="003C1D1F" w:rsidP="00BA4973">
      <w:pPr>
        <w:pStyle w:val="Heading2"/>
      </w:pPr>
      <w:bookmarkStart w:id="429" w:name="_Toc454971524"/>
      <w:bookmarkStart w:id="430" w:name="_Toc465165482"/>
      <w:r w:rsidRPr="005D1DD1">
        <w:lastRenderedPageBreak/>
        <w:t>Follow</w:t>
      </w:r>
      <w:r w:rsidR="00D8406C">
        <w:t>ing</w:t>
      </w:r>
      <w:r w:rsidRPr="005D1DD1">
        <w:t xml:space="preserve"> up students who refuse immunisation</w:t>
      </w:r>
      <w:bookmarkEnd w:id="429"/>
      <w:bookmarkEnd w:id="430"/>
    </w:p>
    <w:p w14:paraId="2CCA33A8" w14:textId="77777777" w:rsidR="003C1D1F" w:rsidRDefault="003C1D1F" w:rsidP="00BA4973">
      <w:r w:rsidRPr="00BC451B">
        <w:t>Students who refused immunisation on the scheduled day or miss their vaccine(s) at school require follow-up until a decline to immunisation is recorded, the student is immunised</w:t>
      </w:r>
      <w:r>
        <w:t>,</w:t>
      </w:r>
      <w:r w:rsidRPr="00BC451B">
        <w:t xml:space="preserve"> or the student is referred to a primary care provider or other provider as per DHB policy.</w:t>
      </w:r>
    </w:p>
    <w:p w14:paraId="642C6CC0" w14:textId="77777777" w:rsidR="00BA4973" w:rsidRPr="00BC451B" w:rsidRDefault="00BA4973" w:rsidP="00BA4973"/>
    <w:p w14:paraId="1754EED9" w14:textId="77777777" w:rsidR="003C1D1F" w:rsidRPr="005D1DD1" w:rsidRDefault="003C1D1F" w:rsidP="00BA4973">
      <w:pPr>
        <w:pStyle w:val="Heading2"/>
      </w:pPr>
      <w:bookmarkStart w:id="431" w:name="_Toc454971525"/>
      <w:bookmarkStart w:id="432" w:name="_Toc465165483"/>
      <w:r w:rsidRPr="005D1DD1">
        <w:t>Students referred to their GP or primary care</w:t>
      </w:r>
      <w:bookmarkEnd w:id="431"/>
      <w:bookmarkEnd w:id="432"/>
    </w:p>
    <w:p w14:paraId="305BC04B" w14:textId="77777777" w:rsidR="003C1D1F" w:rsidRPr="005D1DD1" w:rsidRDefault="003C1D1F" w:rsidP="00BA4973">
      <w:r w:rsidRPr="005D1DD1">
        <w:t>Students eligible for a vaccination at school will be referred to their GP or primary care provider for vaccination if:</w:t>
      </w:r>
    </w:p>
    <w:p w14:paraId="4AECBF55" w14:textId="77777777" w:rsidR="003C1D1F" w:rsidRPr="005D1DD1" w:rsidRDefault="003C1D1F" w:rsidP="00BA4973">
      <w:pPr>
        <w:pStyle w:val="Bullet"/>
      </w:pPr>
      <w:r w:rsidRPr="005D1DD1">
        <w:t>they have left school before receiving their required regimen of a vaccine</w:t>
      </w:r>
    </w:p>
    <w:p w14:paraId="777501A8" w14:textId="77777777" w:rsidR="003C1D1F" w:rsidRPr="005D1DD1" w:rsidRDefault="003C1D1F" w:rsidP="00BA4973">
      <w:pPr>
        <w:pStyle w:val="Bullet"/>
      </w:pPr>
      <w:r w:rsidRPr="005D1DD1">
        <w:t>they have missed their vaccination at school</w:t>
      </w:r>
    </w:p>
    <w:p w14:paraId="5ECD8BCE" w14:textId="77777777" w:rsidR="003C1D1F" w:rsidRPr="005D1DD1" w:rsidRDefault="003C1D1F" w:rsidP="00BA4973">
      <w:pPr>
        <w:pStyle w:val="Bullet"/>
      </w:pPr>
      <w:r w:rsidRPr="005D1DD1">
        <w:t>they have serious health issues</w:t>
      </w:r>
    </w:p>
    <w:p w14:paraId="0E794EC2" w14:textId="77777777" w:rsidR="005D1DD1" w:rsidRPr="005D1DD1" w:rsidRDefault="003C1D1F" w:rsidP="00BA4973">
      <w:pPr>
        <w:pStyle w:val="Bullet"/>
      </w:pPr>
      <w:r w:rsidRPr="005D1DD1">
        <w:t>they have an adverse event following an immunisation</w:t>
      </w:r>
    </w:p>
    <w:p w14:paraId="5ECF11B0" w14:textId="3260523C" w:rsidR="003C1D1F" w:rsidRPr="005D1DD1" w:rsidRDefault="003C1D1F" w:rsidP="00BA4973">
      <w:pPr>
        <w:pStyle w:val="Bullet"/>
      </w:pPr>
      <w:r w:rsidRPr="005D1DD1">
        <w:t>they</w:t>
      </w:r>
      <w:r w:rsidR="00732426">
        <w:t>,</w:t>
      </w:r>
      <w:r w:rsidRPr="005D1DD1">
        <w:t xml:space="preserve"> or their parent/guardian</w:t>
      </w:r>
      <w:r w:rsidR="00732426">
        <w:t>,</w:t>
      </w:r>
      <w:r w:rsidRPr="005D1DD1">
        <w:t xml:space="preserve"> choose not to receive the vaccinations in school.</w:t>
      </w:r>
    </w:p>
    <w:p w14:paraId="48E66308" w14:textId="77777777" w:rsidR="003C1D1F" w:rsidRPr="005D1DD1" w:rsidRDefault="003C1D1F" w:rsidP="00BA4973"/>
    <w:p w14:paraId="4971F86E" w14:textId="5AA61845" w:rsidR="003C1D1F" w:rsidRPr="005D1DD1" w:rsidRDefault="003C1D1F" w:rsidP="00BA4973">
      <w:r w:rsidRPr="00BA4973">
        <w:rPr>
          <w:b/>
        </w:rPr>
        <w:t>Note:</w:t>
      </w:r>
      <w:r w:rsidRPr="005D1DD1">
        <w:t xml:space="preserve"> </w:t>
      </w:r>
      <w:r w:rsidR="00BA4973">
        <w:t>A</w:t>
      </w:r>
      <w:r w:rsidRPr="005D1DD1">
        <w:t>ll Programme leads must inform the student</w:t>
      </w:r>
      <w:r w:rsidR="009A7CEC">
        <w:t>’</w:t>
      </w:r>
      <w:r w:rsidRPr="005D1DD1">
        <w:t xml:space="preserve">s preferred provider if a parent notes that they wish </w:t>
      </w:r>
      <w:r w:rsidR="00732426">
        <w:t xml:space="preserve">for </w:t>
      </w:r>
      <w:r w:rsidRPr="005D1DD1">
        <w:t>their child to receive their vaccines at their GP.</w:t>
      </w:r>
    </w:p>
    <w:p w14:paraId="34547B96" w14:textId="77777777" w:rsidR="003C1D1F" w:rsidRPr="005D1DD1" w:rsidRDefault="003C1D1F" w:rsidP="00BA4973"/>
    <w:p w14:paraId="28160B5A" w14:textId="77777777" w:rsidR="005D1DD1" w:rsidRDefault="003C1D1F" w:rsidP="00BA4973">
      <w:r w:rsidRPr="00BC451B">
        <w:t xml:space="preserve">For those who have not returned the consent form, the PHN/RN </w:t>
      </w:r>
      <w:r>
        <w:t>must</w:t>
      </w:r>
      <w:r w:rsidRPr="00BC451B">
        <w:t xml:space="preserve"> coordinate follow-up and referral (eg, by way of the </w:t>
      </w:r>
      <w:r>
        <w:t>w</w:t>
      </w:r>
      <w:r w:rsidRPr="00BC451B">
        <w:t xml:space="preserve">hānau </w:t>
      </w:r>
      <w:r>
        <w:t>e</w:t>
      </w:r>
      <w:r w:rsidRPr="00BC451B">
        <w:t xml:space="preserve">ngagement role or other primary care provider). This is to ensure every opportunity is taken to inform students and their families/whānau and facilitate consent </w:t>
      </w:r>
      <w:r>
        <w:t xml:space="preserve">to, </w:t>
      </w:r>
      <w:r w:rsidRPr="00BC451B">
        <w:t xml:space="preserve">or decline </w:t>
      </w:r>
      <w:r>
        <w:t>of,</w:t>
      </w:r>
      <w:r w:rsidRPr="00BC451B">
        <w:t xml:space="preserve"> vaccination.</w:t>
      </w:r>
    </w:p>
    <w:p w14:paraId="70BE37B6" w14:textId="77777777" w:rsidR="003C1D1F" w:rsidRPr="00BC451B" w:rsidRDefault="003C1D1F" w:rsidP="00BA4973"/>
    <w:p w14:paraId="4C6C2DEA" w14:textId="77777777" w:rsidR="003C1D1F" w:rsidRDefault="003C1D1F" w:rsidP="00BA4973">
      <w:r w:rsidRPr="005D1DD1">
        <w:t>A variety of health services may be involved in providing immunisation services outside of school, such as: general practices, Māori and Pacific health providers, student health services at universities, polytechnics and other training organisations, and sexual health services (eg, Family Planning).</w:t>
      </w:r>
    </w:p>
    <w:p w14:paraId="6D2A39F4" w14:textId="77777777" w:rsidR="00BA4973" w:rsidRPr="005D1DD1" w:rsidRDefault="00BA4973" w:rsidP="00BA4973"/>
    <w:p w14:paraId="07FE3E94" w14:textId="53CD9E67" w:rsidR="003C1D1F" w:rsidRPr="005D1DD1" w:rsidRDefault="003C1D1F" w:rsidP="00BA4973">
      <w:pPr>
        <w:pStyle w:val="Heading2"/>
      </w:pPr>
      <w:bookmarkStart w:id="433" w:name="_Toc454971526"/>
      <w:bookmarkStart w:id="434" w:name="_Toc465165484"/>
      <w:r w:rsidRPr="005D1DD1">
        <w:t>GP recall process</w:t>
      </w:r>
      <w:bookmarkEnd w:id="433"/>
      <w:bookmarkEnd w:id="434"/>
    </w:p>
    <w:p w14:paraId="1C4AB87D" w14:textId="5DEF3282" w:rsidR="009A7CEC" w:rsidRDefault="003C1D1F" w:rsidP="00BA4973">
      <w:r w:rsidRPr="005D1DD1">
        <w:t>Programme leads should notify the student</w:t>
      </w:r>
      <w:r w:rsidR="009A7CEC">
        <w:t>’</w:t>
      </w:r>
      <w:r w:rsidRPr="005D1DD1">
        <w:t xml:space="preserve">s nominated provider when parents/legal guardians indicate they wish their child to have their vaccination </w:t>
      </w:r>
      <w:r w:rsidR="00732426">
        <w:t xml:space="preserve">at their GP </w:t>
      </w:r>
      <w:r w:rsidRPr="005D1DD1">
        <w:t xml:space="preserve">rather than through school. Once GPs have received this notification the practice team </w:t>
      </w:r>
      <w:r w:rsidR="001714B0">
        <w:t>should</w:t>
      </w:r>
      <w:r w:rsidR="001714B0" w:rsidRPr="005D1DD1">
        <w:t xml:space="preserve"> </w:t>
      </w:r>
      <w:r w:rsidRPr="005D1DD1">
        <w:t>actively recall these children.</w:t>
      </w:r>
    </w:p>
    <w:p w14:paraId="7D9AB85A" w14:textId="49F6CE07" w:rsidR="001714B0" w:rsidRDefault="001714B0" w:rsidP="00BA4973"/>
    <w:p w14:paraId="3FB36DD6" w14:textId="30B10A47" w:rsidR="003C1D1F" w:rsidRPr="005D1DD1" w:rsidRDefault="00434E95" w:rsidP="00BA4973">
      <w:r>
        <w:t xml:space="preserve">As part of a programme review in 2014 a process was put in place for General Practice to recall </w:t>
      </w:r>
      <w:r w:rsidR="001714B0">
        <w:t xml:space="preserve">all </w:t>
      </w:r>
      <w:r>
        <w:t>young people at age 14 years who have not commenced or completed their v</w:t>
      </w:r>
      <w:r w:rsidR="00F27C15">
        <w:t>accinations as p</w:t>
      </w:r>
      <w:r w:rsidR="001714B0">
        <w:t xml:space="preserve">art of the SBIP, this allows a </w:t>
      </w:r>
      <w:r w:rsidR="00F27C15">
        <w:t xml:space="preserve">second </w:t>
      </w:r>
      <w:r w:rsidR="001714B0">
        <w:t>opportunity for those students to be offered vaccination regardless of why they originally declined.</w:t>
      </w:r>
    </w:p>
    <w:p w14:paraId="61897BD0" w14:textId="77777777" w:rsidR="003C1D1F" w:rsidRPr="005D1DD1" w:rsidRDefault="003C1D1F" w:rsidP="00BA4973"/>
    <w:p w14:paraId="725FC8EE" w14:textId="7638E844" w:rsidR="003C1D1F" w:rsidRDefault="00434E95" w:rsidP="00BA4973">
      <w:r>
        <w:t>For further reading on the action plan please visit</w:t>
      </w:r>
      <w:r w:rsidR="003C1D1F" w:rsidRPr="005D1DD1">
        <w:t xml:space="preserve"> </w:t>
      </w:r>
      <w:r w:rsidRPr="00434E95">
        <w:t>www.health.govt.nz/publication/revitalising-national-hpv-immunisation-programme</w:t>
      </w:r>
    </w:p>
    <w:p w14:paraId="5FAC41A7" w14:textId="77777777" w:rsidR="00BA4973" w:rsidRPr="005D1DD1" w:rsidRDefault="00BA4973" w:rsidP="00BA4973"/>
    <w:p w14:paraId="6E5F92C9" w14:textId="77777777" w:rsidR="005D1DD1" w:rsidRDefault="003C1D1F" w:rsidP="00BA4973">
      <w:pPr>
        <w:pStyle w:val="Heading1"/>
      </w:pPr>
      <w:bookmarkStart w:id="435" w:name="_Toc454528309"/>
      <w:bookmarkStart w:id="436" w:name="_Toc454528475"/>
      <w:bookmarkStart w:id="437" w:name="_Toc454528640"/>
      <w:bookmarkStart w:id="438" w:name="_Toc454528805"/>
      <w:bookmarkStart w:id="439" w:name="_Toc454528971"/>
      <w:bookmarkStart w:id="440" w:name="_Toc454528310"/>
      <w:bookmarkStart w:id="441" w:name="_Toc454528476"/>
      <w:bookmarkStart w:id="442" w:name="_Toc454528641"/>
      <w:bookmarkStart w:id="443" w:name="_Toc454528806"/>
      <w:bookmarkStart w:id="444" w:name="_Toc454528972"/>
      <w:bookmarkStart w:id="445" w:name="_Toc454528311"/>
      <w:bookmarkStart w:id="446" w:name="_Toc454528477"/>
      <w:bookmarkStart w:id="447" w:name="_Toc454528642"/>
      <w:bookmarkStart w:id="448" w:name="_Toc454528807"/>
      <w:bookmarkStart w:id="449" w:name="_Toc454528973"/>
      <w:bookmarkStart w:id="450" w:name="_Toc454528312"/>
      <w:bookmarkStart w:id="451" w:name="_Toc454528478"/>
      <w:bookmarkStart w:id="452" w:name="_Toc454528643"/>
      <w:bookmarkStart w:id="453" w:name="_Toc454528808"/>
      <w:bookmarkStart w:id="454" w:name="_Toc454528974"/>
      <w:bookmarkStart w:id="455" w:name="_Toc454528313"/>
      <w:bookmarkStart w:id="456" w:name="_Toc454528479"/>
      <w:bookmarkStart w:id="457" w:name="_Toc454528644"/>
      <w:bookmarkStart w:id="458" w:name="_Toc454528809"/>
      <w:bookmarkStart w:id="459" w:name="_Toc454528975"/>
      <w:bookmarkStart w:id="460" w:name="_Toc454528314"/>
      <w:bookmarkStart w:id="461" w:name="_Toc454528480"/>
      <w:bookmarkStart w:id="462" w:name="_Toc454528645"/>
      <w:bookmarkStart w:id="463" w:name="_Toc454528810"/>
      <w:bookmarkStart w:id="464" w:name="_Toc454528976"/>
      <w:bookmarkStart w:id="465" w:name="_Toc454528315"/>
      <w:bookmarkStart w:id="466" w:name="_Toc454528481"/>
      <w:bookmarkStart w:id="467" w:name="_Toc454528646"/>
      <w:bookmarkStart w:id="468" w:name="_Toc454528811"/>
      <w:bookmarkStart w:id="469" w:name="_Toc454528977"/>
      <w:bookmarkStart w:id="470" w:name="_Toc454528316"/>
      <w:bookmarkStart w:id="471" w:name="_Toc454528482"/>
      <w:bookmarkStart w:id="472" w:name="_Toc454528647"/>
      <w:bookmarkStart w:id="473" w:name="_Toc454528812"/>
      <w:bookmarkStart w:id="474" w:name="_Toc454528978"/>
      <w:bookmarkStart w:id="475" w:name="_Toc454528317"/>
      <w:bookmarkStart w:id="476" w:name="_Toc454528483"/>
      <w:bookmarkStart w:id="477" w:name="_Toc454528648"/>
      <w:bookmarkStart w:id="478" w:name="_Toc454528813"/>
      <w:bookmarkStart w:id="479" w:name="_Toc454528979"/>
      <w:bookmarkStart w:id="480" w:name="_Toc454528318"/>
      <w:bookmarkStart w:id="481" w:name="_Toc454528484"/>
      <w:bookmarkStart w:id="482" w:name="_Toc454528649"/>
      <w:bookmarkStart w:id="483" w:name="_Toc454528814"/>
      <w:bookmarkStart w:id="484" w:name="_Toc454528980"/>
      <w:bookmarkStart w:id="485" w:name="_Toc454528319"/>
      <w:bookmarkStart w:id="486" w:name="_Toc454528485"/>
      <w:bookmarkStart w:id="487" w:name="_Toc454528650"/>
      <w:bookmarkStart w:id="488" w:name="_Toc454528815"/>
      <w:bookmarkStart w:id="489" w:name="_Toc454528981"/>
      <w:bookmarkStart w:id="490" w:name="_Toc454528320"/>
      <w:bookmarkStart w:id="491" w:name="_Toc454528486"/>
      <w:bookmarkStart w:id="492" w:name="_Toc454528651"/>
      <w:bookmarkStart w:id="493" w:name="_Toc454528816"/>
      <w:bookmarkStart w:id="494" w:name="_Toc454528982"/>
      <w:bookmarkStart w:id="495" w:name="_Toc454528321"/>
      <w:bookmarkStart w:id="496" w:name="_Toc454528487"/>
      <w:bookmarkStart w:id="497" w:name="_Toc454528652"/>
      <w:bookmarkStart w:id="498" w:name="_Toc454528817"/>
      <w:bookmarkStart w:id="499" w:name="_Toc454528983"/>
      <w:bookmarkStart w:id="500" w:name="_Toc454528322"/>
      <w:bookmarkStart w:id="501" w:name="_Toc454528488"/>
      <w:bookmarkStart w:id="502" w:name="_Toc454528653"/>
      <w:bookmarkStart w:id="503" w:name="_Toc454528818"/>
      <w:bookmarkStart w:id="504" w:name="_Toc454528984"/>
      <w:bookmarkStart w:id="505" w:name="_Toc454528323"/>
      <w:bookmarkStart w:id="506" w:name="_Toc454528489"/>
      <w:bookmarkStart w:id="507" w:name="_Toc454528654"/>
      <w:bookmarkStart w:id="508" w:name="_Toc454528819"/>
      <w:bookmarkStart w:id="509" w:name="_Toc454528985"/>
      <w:bookmarkStart w:id="510" w:name="_Toc454528324"/>
      <w:bookmarkStart w:id="511" w:name="_Toc454528490"/>
      <w:bookmarkStart w:id="512" w:name="_Toc454528655"/>
      <w:bookmarkStart w:id="513" w:name="_Toc454528820"/>
      <w:bookmarkStart w:id="514" w:name="_Toc454528986"/>
      <w:bookmarkStart w:id="515" w:name="_Toc454971527"/>
      <w:bookmarkStart w:id="516" w:name="_Toc465165485"/>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965335">
        <w:lastRenderedPageBreak/>
        <w:t xml:space="preserve">Suggested </w:t>
      </w:r>
      <w:r>
        <w:t>e</w:t>
      </w:r>
      <w:r w:rsidRPr="00965335">
        <w:t xml:space="preserve">quipment </w:t>
      </w:r>
      <w:r>
        <w:t>l</w:t>
      </w:r>
      <w:r w:rsidRPr="00965335">
        <w:t>ist</w:t>
      </w:r>
      <w:bookmarkEnd w:id="515"/>
      <w:bookmarkEnd w:id="516"/>
    </w:p>
    <w:p w14:paraId="638F112B" w14:textId="77777777" w:rsidR="003C1D1F" w:rsidRPr="00965335" w:rsidRDefault="003C1D1F" w:rsidP="00FE032B">
      <w:pPr>
        <w:pStyle w:val="Table"/>
      </w:pPr>
      <w:bookmarkStart w:id="517" w:name="_Toc455752864"/>
      <w:r w:rsidRPr="00965335">
        <w:t>Table 3</w:t>
      </w:r>
      <w:r>
        <w:t>:</w:t>
      </w:r>
      <w:r w:rsidR="005D1DD1">
        <w:t xml:space="preserve"> </w:t>
      </w:r>
      <w:r w:rsidRPr="00965335">
        <w:t xml:space="preserve">Suggested </w:t>
      </w:r>
      <w:r>
        <w:t>e</w:t>
      </w:r>
      <w:r w:rsidRPr="00965335">
        <w:t xml:space="preserve">quipment </w:t>
      </w:r>
      <w:r>
        <w:t>l</w:t>
      </w:r>
      <w:r w:rsidRPr="00965335">
        <w:t>ist</w:t>
      </w:r>
      <w:r>
        <w:t>,</w:t>
      </w:r>
      <w:r w:rsidRPr="00965335">
        <w:t xml:space="preserve"> per </w:t>
      </w:r>
      <w:r>
        <w:t>t</w:t>
      </w:r>
      <w:r w:rsidRPr="00965335">
        <w:t>eam</w:t>
      </w:r>
      <w:r>
        <w:t>,</w:t>
      </w:r>
      <w:r w:rsidRPr="00965335">
        <w:t xml:space="preserve"> for the Programme</w:t>
      </w:r>
      <w:bookmarkEnd w:id="517"/>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53"/>
        <w:gridCol w:w="391"/>
        <w:gridCol w:w="4644"/>
      </w:tblGrid>
      <w:tr w:rsidR="003C1D1F" w:rsidRPr="00003D22" w14:paraId="4AECF877" w14:textId="77777777" w:rsidTr="00471D5C">
        <w:trPr>
          <w:cantSplit/>
        </w:trPr>
        <w:tc>
          <w:tcPr>
            <w:tcW w:w="9288" w:type="dxa"/>
            <w:gridSpan w:val="3"/>
            <w:tcBorders>
              <w:top w:val="single" w:sz="4" w:space="0" w:color="auto"/>
              <w:left w:val="nil"/>
              <w:bottom w:val="single" w:sz="4" w:space="0" w:color="auto"/>
              <w:right w:val="nil"/>
            </w:tcBorders>
            <w:shd w:val="clear" w:color="auto" w:fill="auto"/>
          </w:tcPr>
          <w:p w14:paraId="02928B0C" w14:textId="77777777" w:rsidR="003C1D1F" w:rsidRPr="00003D22" w:rsidRDefault="003C1D1F" w:rsidP="00003D22">
            <w:pPr>
              <w:pStyle w:val="TableText"/>
              <w:jc w:val="center"/>
              <w:rPr>
                <w:b/>
                <w:szCs w:val="22"/>
              </w:rPr>
            </w:pPr>
            <w:r w:rsidRPr="00003D22">
              <w:rPr>
                <w:b/>
              </w:rPr>
              <w:t>Materials</w:t>
            </w:r>
          </w:p>
        </w:tc>
      </w:tr>
      <w:tr w:rsidR="00D85B7F" w:rsidRPr="00003D22" w14:paraId="0721FD58" w14:textId="77777777" w:rsidTr="00D85B7F">
        <w:trPr>
          <w:cantSplit/>
        </w:trPr>
        <w:tc>
          <w:tcPr>
            <w:tcW w:w="4253" w:type="dxa"/>
            <w:tcBorders>
              <w:top w:val="single" w:sz="4" w:space="0" w:color="auto"/>
              <w:left w:val="nil"/>
              <w:bottom w:val="single" w:sz="4" w:space="0" w:color="auto"/>
              <w:right w:val="nil"/>
            </w:tcBorders>
            <w:shd w:val="clear" w:color="auto" w:fill="auto"/>
          </w:tcPr>
          <w:p w14:paraId="0004D46A" w14:textId="339B38F9" w:rsidR="00D85B7F" w:rsidRPr="00003D22" w:rsidRDefault="00D85B7F" w:rsidP="00732426">
            <w:pPr>
              <w:pStyle w:val="TableText"/>
              <w:ind w:right="284"/>
              <w:rPr>
                <w:b/>
                <w:sz w:val="20"/>
              </w:rPr>
            </w:pPr>
            <w:r w:rsidRPr="00003D22">
              <w:rPr>
                <w:b/>
              </w:rPr>
              <w:t>Appropriate information</w:t>
            </w:r>
            <w:r w:rsidR="00732426">
              <w:rPr>
                <w:b/>
              </w:rPr>
              <w:t>,</w:t>
            </w:r>
            <w:r w:rsidRPr="00003D22">
              <w:rPr>
                <w:b/>
              </w:rPr>
              <w:t xml:space="preserve"> forms</w:t>
            </w:r>
            <w:r w:rsidR="00732426">
              <w:rPr>
                <w:b/>
              </w:rPr>
              <w:t xml:space="preserve"> and equipment</w:t>
            </w:r>
          </w:p>
        </w:tc>
        <w:tc>
          <w:tcPr>
            <w:tcW w:w="391" w:type="dxa"/>
            <w:tcBorders>
              <w:top w:val="single" w:sz="4" w:space="0" w:color="auto"/>
              <w:left w:val="nil"/>
              <w:bottom w:val="nil"/>
              <w:right w:val="nil"/>
            </w:tcBorders>
            <w:shd w:val="clear" w:color="auto" w:fill="auto"/>
          </w:tcPr>
          <w:p w14:paraId="54558F31" w14:textId="77777777" w:rsidR="00D85B7F" w:rsidRPr="00003D22" w:rsidRDefault="00D85B7F" w:rsidP="00003D22">
            <w:pPr>
              <w:pStyle w:val="TableText"/>
              <w:ind w:right="284"/>
              <w:rPr>
                <w:b/>
                <w:sz w:val="20"/>
              </w:rPr>
            </w:pPr>
          </w:p>
        </w:tc>
        <w:tc>
          <w:tcPr>
            <w:tcW w:w="4644" w:type="dxa"/>
            <w:tcBorders>
              <w:top w:val="single" w:sz="4" w:space="0" w:color="auto"/>
              <w:left w:val="nil"/>
              <w:bottom w:val="single" w:sz="4" w:space="0" w:color="auto"/>
              <w:right w:val="nil"/>
            </w:tcBorders>
            <w:shd w:val="clear" w:color="auto" w:fill="auto"/>
          </w:tcPr>
          <w:p w14:paraId="71633CD7" w14:textId="77777777" w:rsidR="00D85B7F" w:rsidRPr="00003D22" w:rsidRDefault="00D85B7F" w:rsidP="00003D22">
            <w:pPr>
              <w:pStyle w:val="TableText"/>
              <w:rPr>
                <w:b/>
              </w:rPr>
            </w:pPr>
            <w:r w:rsidRPr="00003D22">
              <w:rPr>
                <w:b/>
                <w:szCs w:val="22"/>
              </w:rPr>
              <w:t>Emergency equipment, based on the number of recovery stations</w:t>
            </w:r>
          </w:p>
        </w:tc>
      </w:tr>
      <w:tr w:rsidR="00471D5C" w:rsidRPr="008724D0" w14:paraId="61CE3911" w14:textId="77777777" w:rsidTr="00D85B7F">
        <w:trPr>
          <w:cantSplit/>
        </w:trPr>
        <w:tc>
          <w:tcPr>
            <w:tcW w:w="4644" w:type="dxa"/>
            <w:gridSpan w:val="2"/>
            <w:tcBorders>
              <w:top w:val="nil"/>
              <w:left w:val="nil"/>
              <w:bottom w:val="nil"/>
              <w:right w:val="nil"/>
            </w:tcBorders>
            <w:shd w:val="clear" w:color="auto" w:fill="auto"/>
          </w:tcPr>
          <w:p w14:paraId="3E00C88C" w14:textId="77777777" w:rsidR="00471D5C" w:rsidRDefault="00471D5C" w:rsidP="00003D22">
            <w:pPr>
              <w:pStyle w:val="TableText"/>
              <w:ind w:right="284"/>
            </w:pPr>
            <w:r>
              <w:t>This should include:</w:t>
            </w:r>
          </w:p>
          <w:p w14:paraId="3F1A89D0" w14:textId="457689E2" w:rsidR="00471D5C" w:rsidRDefault="00732426" w:rsidP="00003D22">
            <w:pPr>
              <w:pStyle w:val="TableBullet"/>
              <w:ind w:right="284"/>
            </w:pPr>
            <w:r>
              <w:t xml:space="preserve">A </w:t>
            </w:r>
            <w:r w:rsidR="00471D5C">
              <w:t xml:space="preserve">current copy of the </w:t>
            </w:r>
            <w:r w:rsidR="00471D5C" w:rsidRPr="009826B6">
              <w:rPr>
                <w:i/>
              </w:rPr>
              <w:t>Immunisation Handbook</w:t>
            </w:r>
          </w:p>
          <w:p w14:paraId="7825BA10" w14:textId="77777777" w:rsidR="00471D5C" w:rsidRPr="00BC451B" w:rsidRDefault="00471D5C" w:rsidP="00003D22">
            <w:pPr>
              <w:pStyle w:val="TableBullet"/>
              <w:ind w:right="284"/>
            </w:pPr>
            <w:r w:rsidRPr="00BC451B">
              <w:t>consent forms</w:t>
            </w:r>
          </w:p>
          <w:p w14:paraId="5A5FFF48" w14:textId="77777777" w:rsidR="00471D5C" w:rsidRPr="00BC451B" w:rsidRDefault="00471D5C" w:rsidP="00003D22">
            <w:pPr>
              <w:pStyle w:val="TableBullet"/>
              <w:ind w:right="284"/>
            </w:pPr>
            <w:r w:rsidRPr="00BC451B">
              <w:t>post-immunisation information</w:t>
            </w:r>
          </w:p>
          <w:p w14:paraId="2FD15695" w14:textId="77777777" w:rsidR="00471D5C" w:rsidRPr="00BC451B" w:rsidRDefault="00471D5C" w:rsidP="00003D22">
            <w:pPr>
              <w:pStyle w:val="TableBullet"/>
              <w:ind w:right="284"/>
            </w:pPr>
            <w:r w:rsidRPr="00BC451B">
              <w:t>brochures</w:t>
            </w:r>
          </w:p>
          <w:p w14:paraId="0CF35B6A" w14:textId="26A35AC0" w:rsidR="00471D5C" w:rsidRPr="00BC451B" w:rsidRDefault="00471D5C" w:rsidP="00003D22">
            <w:pPr>
              <w:pStyle w:val="TableBullet"/>
              <w:ind w:right="284"/>
            </w:pPr>
            <w:r w:rsidRPr="00BC451B">
              <w:t>teachers</w:t>
            </w:r>
            <w:r w:rsidR="009A7CEC">
              <w:t>’</w:t>
            </w:r>
            <w:r w:rsidRPr="00BC451B">
              <w:t xml:space="preserve"> letters</w:t>
            </w:r>
          </w:p>
          <w:p w14:paraId="6F069758" w14:textId="77777777" w:rsidR="00471D5C" w:rsidRPr="00BC451B" w:rsidRDefault="00471D5C" w:rsidP="00003D22">
            <w:pPr>
              <w:pStyle w:val="TableBullet"/>
              <w:ind w:right="284"/>
            </w:pPr>
            <w:r w:rsidRPr="001D29D3">
              <w:t>Centre for Adverse Reactions Monitoring (CARM)</w:t>
            </w:r>
            <w:r>
              <w:t xml:space="preserve"> </w:t>
            </w:r>
            <w:r w:rsidRPr="00BC451B">
              <w:t>forms</w:t>
            </w:r>
          </w:p>
          <w:p w14:paraId="6AE900C1" w14:textId="77777777" w:rsidR="00471D5C" w:rsidRPr="00BC451B" w:rsidRDefault="00471D5C" w:rsidP="00003D22">
            <w:pPr>
              <w:pStyle w:val="TableBullet"/>
              <w:ind w:right="284"/>
            </w:pPr>
            <w:r w:rsidRPr="00BC451B">
              <w:t>class lists</w:t>
            </w:r>
          </w:p>
          <w:p w14:paraId="07CEDAA3" w14:textId="77777777" w:rsidR="00471D5C" w:rsidRPr="00BC451B" w:rsidRDefault="00471D5C" w:rsidP="00003D22">
            <w:pPr>
              <w:pStyle w:val="TableBullet"/>
              <w:ind w:right="284"/>
            </w:pPr>
            <w:r w:rsidRPr="00BC451B">
              <w:t>GP referral form (suggested but optional)</w:t>
            </w:r>
          </w:p>
          <w:p w14:paraId="25A64FB2" w14:textId="77777777" w:rsidR="00471D5C" w:rsidRPr="00BC451B" w:rsidRDefault="00471D5C" w:rsidP="00003D22">
            <w:pPr>
              <w:pStyle w:val="TableBullet"/>
              <w:ind w:right="284"/>
            </w:pPr>
            <w:r w:rsidRPr="00BC451B">
              <w:t>procedures for needle stick injury</w:t>
            </w:r>
          </w:p>
          <w:p w14:paraId="784C2724" w14:textId="77777777" w:rsidR="00471D5C" w:rsidRPr="00BC451B" w:rsidRDefault="00471D5C" w:rsidP="00003D22">
            <w:pPr>
              <w:pStyle w:val="TableBullet"/>
              <w:ind w:right="284"/>
            </w:pPr>
            <w:r>
              <w:t>p</w:t>
            </w:r>
            <w:r w:rsidRPr="00BC451B">
              <w:t>atient emergency recording sheet for recording vital signs, medications actions</w:t>
            </w:r>
            <w:r>
              <w:t>,</w:t>
            </w:r>
            <w:r w:rsidRPr="00BC451B">
              <w:t xml:space="preserve"> etc</w:t>
            </w:r>
            <w:r>
              <w:t>.</w:t>
            </w:r>
          </w:p>
          <w:p w14:paraId="1C869B39" w14:textId="77777777" w:rsidR="00471D5C" w:rsidRPr="00BC451B" w:rsidRDefault="00471D5C" w:rsidP="00003D22">
            <w:pPr>
              <w:pStyle w:val="TableText"/>
              <w:ind w:right="284"/>
            </w:pPr>
            <w:r w:rsidRPr="0041122A">
              <w:t>Mobile phone (to be charged and charger also to be carried)</w:t>
            </w:r>
            <w:r>
              <w:t>.</w:t>
            </w:r>
          </w:p>
        </w:tc>
        <w:tc>
          <w:tcPr>
            <w:tcW w:w="4644" w:type="dxa"/>
            <w:vMerge w:val="restart"/>
            <w:tcBorders>
              <w:top w:val="single" w:sz="4" w:space="0" w:color="auto"/>
              <w:left w:val="nil"/>
              <w:bottom w:val="single" w:sz="4" w:space="0" w:color="auto"/>
              <w:right w:val="nil"/>
            </w:tcBorders>
            <w:shd w:val="clear" w:color="auto" w:fill="auto"/>
          </w:tcPr>
          <w:p w14:paraId="72FD9905" w14:textId="77777777" w:rsidR="00471D5C" w:rsidRPr="0041122A" w:rsidRDefault="00471D5C" w:rsidP="00003D22">
            <w:pPr>
              <w:pStyle w:val="TableText"/>
              <w:rPr>
                <w:szCs w:val="18"/>
              </w:rPr>
            </w:pPr>
            <w:r w:rsidRPr="0041122A">
              <w:rPr>
                <w:szCs w:val="18"/>
              </w:rPr>
              <w:t xml:space="preserve">(For further information refer to the current </w:t>
            </w:r>
            <w:r w:rsidRPr="0041122A">
              <w:rPr>
                <w:i/>
                <w:szCs w:val="18"/>
              </w:rPr>
              <w:t>Immunisation Handbook</w:t>
            </w:r>
            <w:r w:rsidRPr="0041122A">
              <w:rPr>
                <w:szCs w:val="18"/>
              </w:rPr>
              <w:t>)</w:t>
            </w:r>
            <w:r>
              <w:rPr>
                <w:szCs w:val="18"/>
              </w:rPr>
              <w:t>.</w:t>
            </w:r>
          </w:p>
          <w:p w14:paraId="05E44151" w14:textId="77777777" w:rsidR="00471D5C" w:rsidRPr="00BC451B" w:rsidRDefault="00471D5C" w:rsidP="00003D22">
            <w:pPr>
              <w:pStyle w:val="TableText"/>
            </w:pPr>
            <w:r w:rsidRPr="00BC451B">
              <w:t>Oxygen equipment</w:t>
            </w:r>
            <w:r>
              <w:t>,</w:t>
            </w:r>
            <w:r w:rsidRPr="00BC451B">
              <w:t xml:space="preserve"> including:</w:t>
            </w:r>
          </w:p>
          <w:p w14:paraId="20AA7481" w14:textId="77777777" w:rsidR="00471D5C" w:rsidRPr="00BC451B" w:rsidRDefault="00471D5C" w:rsidP="00003D22">
            <w:pPr>
              <w:pStyle w:val="TableBullet"/>
            </w:pPr>
            <w:r w:rsidRPr="00BC451B">
              <w:t>oxygen cylinder</w:t>
            </w:r>
          </w:p>
          <w:p w14:paraId="4644358E" w14:textId="3BDEB583" w:rsidR="00471D5C" w:rsidRPr="00BC451B" w:rsidRDefault="00E57171" w:rsidP="00003D22">
            <w:pPr>
              <w:pStyle w:val="TableBullet"/>
            </w:pPr>
            <w:r>
              <w:t>child and adult</w:t>
            </w:r>
            <w:r w:rsidR="00471D5C" w:rsidRPr="00BC451B">
              <w:t xml:space="preserve"> bag valve mask resuscitator</w:t>
            </w:r>
          </w:p>
          <w:p w14:paraId="7497A2E9" w14:textId="6FBDB129" w:rsidR="00E57171" w:rsidRDefault="00471D5C" w:rsidP="00E57171">
            <w:pPr>
              <w:pStyle w:val="TableBullet"/>
            </w:pPr>
            <w:r w:rsidRPr="00BC451B">
              <w:t>oxygen tubing and a range of masks</w:t>
            </w:r>
          </w:p>
          <w:p w14:paraId="4C3A0D02" w14:textId="484F2088" w:rsidR="00E57171" w:rsidRPr="00E35F7C" w:rsidRDefault="00E57171" w:rsidP="00E35F7C">
            <w:pPr>
              <w:pStyle w:val="TableBullet"/>
            </w:pPr>
            <w:r w:rsidRPr="00E57171">
              <w:rPr>
                <w:rFonts w:cs="Georgia"/>
                <w:color w:val="000000"/>
                <w:lang w:eastAsia="en-NZ"/>
              </w:rPr>
              <w:t>OP airways in a range of sizes</w:t>
            </w:r>
            <w:r w:rsidR="00471D5C" w:rsidRPr="00E57171">
              <w:rPr>
                <w:rFonts w:cs="Georgia"/>
                <w:color w:val="000000"/>
                <w:lang w:eastAsia="en-NZ"/>
              </w:rPr>
              <w:t>, oropharyngeal and laryngeal mask airways</w:t>
            </w:r>
            <w:r>
              <w:rPr>
                <w:rFonts w:cs="Georgia"/>
                <w:color w:val="000000"/>
                <w:lang w:eastAsia="en-NZ"/>
              </w:rPr>
              <w:t xml:space="preserve"> </w:t>
            </w:r>
            <w:r w:rsidR="00732426">
              <w:rPr>
                <w:rFonts w:cs="Georgia"/>
                <w:color w:val="000000"/>
                <w:lang w:eastAsia="en-NZ"/>
              </w:rPr>
              <w:t>(</w:t>
            </w:r>
            <w:r>
              <w:rPr>
                <w:rFonts w:cs="Georgia"/>
                <w:color w:val="000000"/>
                <w:lang w:eastAsia="en-NZ"/>
              </w:rPr>
              <w:t xml:space="preserve">if </w:t>
            </w:r>
            <w:r w:rsidR="00732426">
              <w:rPr>
                <w:rFonts w:cs="Georgia"/>
                <w:color w:val="000000"/>
                <w:lang w:eastAsia="en-NZ"/>
              </w:rPr>
              <w:t xml:space="preserve">staff are </w:t>
            </w:r>
            <w:r>
              <w:rPr>
                <w:rFonts w:cs="Georgia"/>
                <w:color w:val="000000"/>
                <w:lang w:eastAsia="en-NZ"/>
              </w:rPr>
              <w:t>trained in the use of</w:t>
            </w:r>
            <w:r w:rsidR="00732426">
              <w:rPr>
                <w:rFonts w:cs="Georgia"/>
                <w:color w:val="000000"/>
                <w:lang w:eastAsia="en-NZ"/>
              </w:rPr>
              <w:t>)</w:t>
            </w:r>
          </w:p>
          <w:p w14:paraId="2D859A3E" w14:textId="77777777" w:rsidR="00471D5C" w:rsidRPr="00BC451B" w:rsidRDefault="00471D5C" w:rsidP="00E35F7C">
            <w:pPr>
              <w:pStyle w:val="TableBullet"/>
              <w:numPr>
                <w:ilvl w:val="0"/>
                <w:numId w:val="0"/>
              </w:numPr>
            </w:pPr>
            <w:r w:rsidRPr="00BC451B">
              <w:t>Adrenaline* kit containing:</w:t>
            </w:r>
          </w:p>
          <w:p w14:paraId="797AFD1C" w14:textId="77777777" w:rsidR="00471D5C" w:rsidRPr="00BC451B" w:rsidRDefault="00471D5C" w:rsidP="00003D22">
            <w:pPr>
              <w:pStyle w:val="TableBullet"/>
            </w:pPr>
            <w:r w:rsidRPr="00BC451B">
              <w:t>adrenaline 1:1000 and dosage chart – minimum of 3</w:t>
            </w:r>
            <w:r w:rsidR="00154C5E">
              <w:t> </w:t>
            </w:r>
            <w:r w:rsidRPr="00BC451B">
              <w:t>amps per kit (refer to back inside cover</w:t>
            </w:r>
            <w:r>
              <w:t xml:space="preserve"> of the</w:t>
            </w:r>
            <w:r w:rsidRPr="00BC451B">
              <w:t xml:space="preserve"> </w:t>
            </w:r>
            <w:r w:rsidRPr="00BC451B">
              <w:rPr>
                <w:i/>
              </w:rPr>
              <w:t>Immunisation Handbook</w:t>
            </w:r>
            <w:r w:rsidRPr="00BC451B">
              <w:t>)</w:t>
            </w:r>
          </w:p>
          <w:p w14:paraId="7E4D0B09" w14:textId="77777777" w:rsidR="00471D5C" w:rsidRPr="00BC451B" w:rsidRDefault="00471D5C" w:rsidP="00003D22">
            <w:pPr>
              <w:pStyle w:val="TableBullet"/>
            </w:pPr>
            <w:r w:rsidRPr="00BC451B">
              <w:t>appropriate syringes (1.0 mL tuberculin)</w:t>
            </w:r>
          </w:p>
          <w:p w14:paraId="6CAD5FD0" w14:textId="77777777" w:rsidR="00471D5C" w:rsidRPr="00BC451B" w:rsidRDefault="00471D5C" w:rsidP="00003D22">
            <w:pPr>
              <w:pStyle w:val="TableBullet"/>
            </w:pPr>
            <w:r w:rsidRPr="00BC451B">
              <w:t>appropriate range of needles for drawing up and administration</w:t>
            </w:r>
          </w:p>
          <w:p w14:paraId="3A7EC21C" w14:textId="755D350C" w:rsidR="00471D5C" w:rsidRPr="006F588A" w:rsidRDefault="00471D5C" w:rsidP="00003D22">
            <w:pPr>
              <w:pStyle w:val="TableText"/>
            </w:pPr>
            <w:r w:rsidRPr="00BC451B">
              <w:t>*</w:t>
            </w:r>
            <w:r>
              <w:t xml:space="preserve"> </w:t>
            </w:r>
            <w:r w:rsidRPr="00003D22">
              <w:rPr>
                <w:b/>
              </w:rPr>
              <w:t>Note:</w:t>
            </w:r>
            <w:r w:rsidRPr="00BC451B">
              <w:t xml:space="preserve"> </w:t>
            </w:r>
            <w:r w:rsidR="00732426">
              <w:t>a</w:t>
            </w:r>
            <w:r w:rsidRPr="00BC451B">
              <w:t xml:space="preserve">drenaline </w:t>
            </w:r>
            <w:r>
              <w:t xml:space="preserve">is </w:t>
            </w:r>
            <w:r w:rsidRPr="00BC451B">
              <w:t xml:space="preserve">to be stored </w:t>
            </w:r>
            <w:r w:rsidR="00732426">
              <w:t>below</w:t>
            </w:r>
            <w:r w:rsidR="00732426" w:rsidRPr="00BC451B">
              <w:t xml:space="preserve"> </w:t>
            </w:r>
            <w:r w:rsidRPr="00BC451B">
              <w:t>25°C at all times</w:t>
            </w:r>
            <w:r>
              <w:t xml:space="preserve"> </w:t>
            </w:r>
            <w:r w:rsidRPr="0041122A">
              <w:t>in a non-transparent container and protected from light</w:t>
            </w:r>
            <w:r w:rsidRPr="006A756A">
              <w:t>.</w:t>
            </w:r>
          </w:p>
          <w:p w14:paraId="2BE97B99" w14:textId="7B994B82" w:rsidR="00471D5C" w:rsidRDefault="00471D5C" w:rsidP="00003D22">
            <w:pPr>
              <w:pStyle w:val="TableText"/>
              <w:rPr>
                <w:lang w:val="fr-FR"/>
              </w:rPr>
            </w:pPr>
            <w:r w:rsidRPr="006F588A">
              <w:t>Refer</w:t>
            </w:r>
            <w:r>
              <w:rPr>
                <w:lang w:val="fr-FR"/>
              </w:rPr>
              <w:t xml:space="preserve"> to </w:t>
            </w:r>
            <w:r w:rsidR="009A7CEC">
              <w:rPr>
                <w:lang w:val="fr-FR"/>
              </w:rPr>
              <w:t>‘</w:t>
            </w:r>
            <w:r>
              <w:rPr>
                <w:lang w:val="fr-FR"/>
              </w:rPr>
              <w:t>Table 2.8 : Initial a</w:t>
            </w:r>
            <w:r w:rsidRPr="00BC451B">
              <w:rPr>
                <w:lang w:val="fr-FR"/>
              </w:rPr>
              <w:t>naphylaxis</w:t>
            </w:r>
            <w:r w:rsidRPr="006F588A">
              <w:t xml:space="preserve"> response</w:t>
            </w:r>
            <w:r>
              <w:rPr>
                <w:lang w:val="fr-FR"/>
              </w:rPr>
              <w:t>/management</w:t>
            </w:r>
            <w:r w:rsidR="009A7CEC">
              <w:rPr>
                <w:lang w:val="fr-FR"/>
              </w:rPr>
              <w:t>’</w:t>
            </w:r>
            <w:r>
              <w:rPr>
                <w:lang w:val="fr-FR"/>
              </w:rPr>
              <w:t xml:space="preserve"> in the </w:t>
            </w:r>
            <w:r>
              <w:rPr>
                <w:i/>
                <w:lang w:val="fr-FR"/>
              </w:rPr>
              <w:t>Immunisation</w:t>
            </w:r>
            <w:r w:rsidRPr="006F588A">
              <w:rPr>
                <w:i/>
              </w:rPr>
              <w:t xml:space="preserve"> Handbook</w:t>
            </w:r>
            <w:r>
              <w:rPr>
                <w:i/>
                <w:lang w:val="fr-FR"/>
              </w:rPr>
              <w:t xml:space="preserve"> 2014 </w:t>
            </w:r>
            <w:r>
              <w:rPr>
                <w:lang w:val="fr-FR"/>
              </w:rPr>
              <w:t>(2</w:t>
            </w:r>
            <w:r w:rsidRPr="006A756A">
              <w:rPr>
                <w:lang w:val="fr-FR"/>
              </w:rPr>
              <w:t>nd</w:t>
            </w:r>
            <w:r w:rsidRPr="006F588A">
              <w:t xml:space="preserve"> edition</w:t>
            </w:r>
            <w:r>
              <w:rPr>
                <w:lang w:val="fr-FR"/>
              </w:rPr>
              <w:t>).</w:t>
            </w:r>
          </w:p>
          <w:p w14:paraId="373764BD" w14:textId="77777777" w:rsidR="00471D5C" w:rsidRDefault="00471D5C" w:rsidP="00003D22">
            <w:pPr>
              <w:pStyle w:val="TableText"/>
            </w:pPr>
            <w:r w:rsidRPr="00BC451B">
              <w:t xml:space="preserve">Ensure staff are aware of their role in </w:t>
            </w:r>
            <w:r>
              <w:t xml:space="preserve">the </w:t>
            </w:r>
            <w:r w:rsidRPr="00BC451B">
              <w:t>management of an emergency (</w:t>
            </w:r>
            <w:r>
              <w:t>refer to the current</w:t>
            </w:r>
            <w:r w:rsidRPr="00BC451B">
              <w:t xml:space="preserve"> </w:t>
            </w:r>
            <w:r w:rsidRPr="00BC451B">
              <w:rPr>
                <w:i/>
              </w:rPr>
              <w:t xml:space="preserve">Immunisation </w:t>
            </w:r>
            <w:r w:rsidRPr="0041122A">
              <w:rPr>
                <w:i/>
              </w:rPr>
              <w:t>Handbook</w:t>
            </w:r>
            <w:r w:rsidRPr="0041122A">
              <w:t>). Staff should have on hand, the following:</w:t>
            </w:r>
          </w:p>
          <w:p w14:paraId="63207D6D" w14:textId="704FD078" w:rsidR="00471D5C" w:rsidRPr="0041122A" w:rsidRDefault="00471D5C" w:rsidP="00003D22">
            <w:pPr>
              <w:pStyle w:val="TableBullet"/>
            </w:pPr>
            <w:r w:rsidRPr="0041122A">
              <w:t>vomit cartons / bowls</w:t>
            </w:r>
            <w:r w:rsidR="00E57171">
              <w:t xml:space="preserve"> / bags</w:t>
            </w:r>
          </w:p>
          <w:p w14:paraId="7078A579" w14:textId="77777777" w:rsidR="00471D5C" w:rsidRPr="0041122A" w:rsidRDefault="00471D5C" w:rsidP="00003D22">
            <w:pPr>
              <w:pStyle w:val="TableBullet"/>
            </w:pPr>
            <w:r w:rsidRPr="0041122A">
              <w:t>ear thermometer</w:t>
            </w:r>
          </w:p>
          <w:p w14:paraId="5F70FBDB" w14:textId="77777777" w:rsidR="00471D5C" w:rsidRPr="0041122A" w:rsidRDefault="00471D5C" w:rsidP="00003D22">
            <w:pPr>
              <w:pStyle w:val="TableBullet"/>
            </w:pPr>
            <w:r w:rsidRPr="0041122A">
              <w:t>stethoscope</w:t>
            </w:r>
          </w:p>
          <w:p w14:paraId="0C7AE5CA" w14:textId="12FCEEE2" w:rsidR="00471D5C" w:rsidRPr="0041122A" w:rsidRDefault="00471D5C" w:rsidP="00003D22">
            <w:pPr>
              <w:pStyle w:val="TableBullet"/>
              <w:rPr>
                <w:szCs w:val="18"/>
              </w:rPr>
            </w:pPr>
            <w:r w:rsidRPr="0041122A">
              <w:t>sphygmomanometer with different-sized cuffs</w:t>
            </w:r>
            <w:r w:rsidR="00732426">
              <w:t>.</w:t>
            </w:r>
          </w:p>
        </w:tc>
      </w:tr>
      <w:tr w:rsidR="00C53FB6" w:rsidRPr="008724D0" w14:paraId="7786C736" w14:textId="77777777" w:rsidTr="00C53FB6">
        <w:trPr>
          <w:cantSplit/>
        </w:trPr>
        <w:tc>
          <w:tcPr>
            <w:tcW w:w="4253" w:type="dxa"/>
            <w:tcBorders>
              <w:top w:val="single" w:sz="4" w:space="0" w:color="auto"/>
              <w:left w:val="nil"/>
              <w:bottom w:val="single" w:sz="4" w:space="0" w:color="auto"/>
              <w:right w:val="nil"/>
            </w:tcBorders>
            <w:shd w:val="clear" w:color="auto" w:fill="auto"/>
          </w:tcPr>
          <w:p w14:paraId="3F703457" w14:textId="6A11DB11" w:rsidR="00C53FB6" w:rsidRPr="006A756A" w:rsidRDefault="00C53FB6" w:rsidP="00003D22">
            <w:pPr>
              <w:pStyle w:val="TableText"/>
              <w:ind w:right="284"/>
            </w:pPr>
            <w:r w:rsidRPr="00003D22">
              <w:rPr>
                <w:b/>
              </w:rPr>
              <w:t>Vaccination equipment per station</w:t>
            </w:r>
          </w:p>
        </w:tc>
        <w:tc>
          <w:tcPr>
            <w:tcW w:w="391" w:type="dxa"/>
            <w:tcBorders>
              <w:top w:val="nil"/>
              <w:left w:val="nil"/>
              <w:bottom w:val="nil"/>
              <w:right w:val="nil"/>
            </w:tcBorders>
            <w:shd w:val="clear" w:color="auto" w:fill="auto"/>
          </w:tcPr>
          <w:p w14:paraId="4E94CE6A" w14:textId="77777777" w:rsidR="00C53FB6" w:rsidRPr="006A756A" w:rsidRDefault="00C53FB6" w:rsidP="00003D22">
            <w:pPr>
              <w:pStyle w:val="TableText"/>
              <w:ind w:right="284"/>
            </w:pPr>
          </w:p>
        </w:tc>
        <w:tc>
          <w:tcPr>
            <w:tcW w:w="4644" w:type="dxa"/>
            <w:vMerge/>
            <w:tcBorders>
              <w:left w:val="nil"/>
              <w:right w:val="nil"/>
            </w:tcBorders>
            <w:shd w:val="clear" w:color="auto" w:fill="auto"/>
          </w:tcPr>
          <w:p w14:paraId="3DBF860F" w14:textId="77777777" w:rsidR="00C53FB6" w:rsidRDefault="00C53FB6" w:rsidP="00003D22">
            <w:pPr>
              <w:pStyle w:val="TableBullet"/>
              <w:rPr>
                <w:lang w:val="fr-FR"/>
              </w:rPr>
            </w:pPr>
          </w:p>
        </w:tc>
      </w:tr>
      <w:tr w:rsidR="00471D5C" w:rsidRPr="008724D0" w14:paraId="1C2E6E24" w14:textId="77777777" w:rsidTr="00C53FB6">
        <w:trPr>
          <w:cantSplit/>
          <w:trHeight w:val="267"/>
        </w:trPr>
        <w:tc>
          <w:tcPr>
            <w:tcW w:w="4644" w:type="dxa"/>
            <w:gridSpan w:val="2"/>
            <w:vMerge w:val="restart"/>
            <w:tcBorders>
              <w:top w:val="nil"/>
              <w:left w:val="nil"/>
              <w:right w:val="nil"/>
            </w:tcBorders>
            <w:shd w:val="clear" w:color="auto" w:fill="auto"/>
          </w:tcPr>
          <w:p w14:paraId="089553B0" w14:textId="77777777" w:rsidR="00471D5C" w:rsidRPr="006E15CC" w:rsidRDefault="00471D5C" w:rsidP="00003D22">
            <w:pPr>
              <w:pStyle w:val="TableText"/>
              <w:ind w:right="284"/>
            </w:pPr>
            <w:r w:rsidRPr="006A756A">
              <w:t>This should include:</w:t>
            </w:r>
          </w:p>
          <w:p w14:paraId="63B83E28" w14:textId="269E6B0B" w:rsidR="00471D5C" w:rsidRPr="00BC451B" w:rsidRDefault="00471D5C" w:rsidP="00003D22">
            <w:pPr>
              <w:pStyle w:val="TableBullet"/>
              <w:ind w:right="284"/>
            </w:pPr>
            <w:r w:rsidRPr="00BC451B">
              <w:t>soap / hand gel</w:t>
            </w:r>
          </w:p>
          <w:p w14:paraId="2E357FB7" w14:textId="77777777" w:rsidR="00471D5C" w:rsidRPr="00BC451B" w:rsidRDefault="00471D5C" w:rsidP="00003D22">
            <w:pPr>
              <w:pStyle w:val="TableBullet"/>
              <w:ind w:right="284"/>
            </w:pPr>
            <w:r w:rsidRPr="00BC451B">
              <w:t>paper towels</w:t>
            </w:r>
          </w:p>
          <w:p w14:paraId="4A674D81" w14:textId="77777777" w:rsidR="009A7CEC" w:rsidRDefault="00471D5C" w:rsidP="00003D22">
            <w:pPr>
              <w:pStyle w:val="TableBullet"/>
              <w:ind w:right="284"/>
            </w:pPr>
            <w:r w:rsidRPr="0041122A">
              <w:t>23G−25G x 25 mm needles</w:t>
            </w:r>
          </w:p>
          <w:p w14:paraId="78AED9CE" w14:textId="799453FF" w:rsidR="00471D5C" w:rsidRPr="0041122A" w:rsidRDefault="00471D5C" w:rsidP="00BD1BE3">
            <w:pPr>
              <w:pStyle w:val="TableBullet"/>
              <w:ind w:right="284"/>
            </w:pPr>
            <w:r w:rsidRPr="0041122A">
              <w:t>0.5%</w:t>
            </w:r>
            <w:r w:rsidR="00732426">
              <w:t xml:space="preserve"> </w:t>
            </w:r>
            <w:r w:rsidRPr="0041122A">
              <w:t xml:space="preserve">hypochlorite solution or </w:t>
            </w:r>
            <w:r w:rsidR="00E57171">
              <w:t>disinfectant</w:t>
            </w:r>
            <w:r w:rsidR="00E57171" w:rsidRPr="0041122A">
              <w:t xml:space="preserve"> </w:t>
            </w:r>
            <w:r w:rsidRPr="0041122A">
              <w:t>wipes</w:t>
            </w:r>
          </w:p>
          <w:p w14:paraId="66E6B5AF" w14:textId="77777777" w:rsidR="00471D5C" w:rsidRPr="00BC451B" w:rsidRDefault="00471D5C" w:rsidP="00003D22">
            <w:pPr>
              <w:pStyle w:val="TableBullet"/>
              <w:ind w:right="284"/>
            </w:pPr>
            <w:r w:rsidRPr="00BC451B">
              <w:t>approved biohazard bag(s)</w:t>
            </w:r>
          </w:p>
          <w:p w14:paraId="3BD4F289" w14:textId="13C9094B" w:rsidR="00471D5C" w:rsidRPr="00BC451B" w:rsidRDefault="00471D5C" w:rsidP="00003D22">
            <w:pPr>
              <w:pStyle w:val="TableBullet"/>
              <w:ind w:right="284"/>
            </w:pPr>
            <w:r w:rsidRPr="00BC451B">
              <w:t>sharp containers (1 for each vaccinator)</w:t>
            </w:r>
          </w:p>
          <w:p w14:paraId="73694430" w14:textId="77777777" w:rsidR="00471D5C" w:rsidRPr="00BC451B" w:rsidDel="00493DF1" w:rsidRDefault="00471D5C" w:rsidP="00003D22">
            <w:pPr>
              <w:pStyle w:val="TableBullet"/>
              <w:ind w:right="284"/>
            </w:pPr>
            <w:r w:rsidRPr="00BC451B">
              <w:t>cotton wool swabs</w:t>
            </w:r>
          </w:p>
          <w:p w14:paraId="2869DE26" w14:textId="77777777" w:rsidR="00471D5C" w:rsidRPr="00BC451B" w:rsidRDefault="00471D5C" w:rsidP="00003D22">
            <w:pPr>
              <w:pStyle w:val="TableBullet"/>
              <w:ind w:right="284"/>
            </w:pPr>
            <w:r w:rsidRPr="00BC451B">
              <w:t>disposable gloves</w:t>
            </w:r>
          </w:p>
          <w:p w14:paraId="007C2343" w14:textId="77777777" w:rsidR="00471D5C" w:rsidRPr="00BC451B" w:rsidRDefault="00471D5C" w:rsidP="00003D22">
            <w:pPr>
              <w:pStyle w:val="TableBullet"/>
              <w:ind w:right="284"/>
            </w:pPr>
            <w:r w:rsidRPr="00BC451B">
              <w:t>surgical paper sheets</w:t>
            </w:r>
          </w:p>
          <w:p w14:paraId="35617172" w14:textId="77777777" w:rsidR="00471D5C" w:rsidRDefault="00471D5C" w:rsidP="00003D22">
            <w:pPr>
              <w:pStyle w:val="TableBullet"/>
              <w:ind w:right="284"/>
            </w:pPr>
            <w:r w:rsidRPr="00BC451B">
              <w:t>forceps</w:t>
            </w:r>
          </w:p>
          <w:p w14:paraId="7649ED6A" w14:textId="77777777" w:rsidR="00471D5C" w:rsidRPr="00BC451B" w:rsidRDefault="00471D5C" w:rsidP="00003D22">
            <w:pPr>
              <w:pStyle w:val="TableBullet"/>
              <w:ind w:right="284"/>
            </w:pPr>
            <w:r w:rsidRPr="00BC451B">
              <w:t>paper bags</w:t>
            </w:r>
          </w:p>
          <w:p w14:paraId="0D260066" w14:textId="77777777" w:rsidR="00471D5C" w:rsidRDefault="00471D5C" w:rsidP="00003D22">
            <w:pPr>
              <w:pStyle w:val="TableBullet"/>
              <w:ind w:right="284"/>
            </w:pPr>
            <w:r w:rsidRPr="00BC451B">
              <w:t>rubbish bags</w:t>
            </w:r>
          </w:p>
          <w:p w14:paraId="05E9EEBF" w14:textId="31081E83" w:rsidR="00471D5C" w:rsidRPr="007D0863" w:rsidDel="00493DF1" w:rsidRDefault="00471D5C" w:rsidP="00003D22">
            <w:pPr>
              <w:pStyle w:val="TableBullet"/>
              <w:ind w:right="284"/>
            </w:pPr>
            <w:r w:rsidRPr="00BC451B">
              <w:t>band-aids</w:t>
            </w:r>
            <w:r w:rsidR="00732426">
              <w:t>.</w:t>
            </w:r>
          </w:p>
          <w:p w14:paraId="7A78D6DF" w14:textId="77777777" w:rsidR="00471D5C" w:rsidRDefault="00471D5C" w:rsidP="00003D22">
            <w:pPr>
              <w:pStyle w:val="TableText"/>
              <w:ind w:right="284"/>
            </w:pPr>
            <w:r w:rsidRPr="00BC451B">
              <w:t>Other suggested equipment:</w:t>
            </w:r>
          </w:p>
          <w:p w14:paraId="08D81FC7" w14:textId="77777777" w:rsidR="00471D5C" w:rsidRPr="00BC451B" w:rsidRDefault="00471D5C" w:rsidP="00003D22">
            <w:pPr>
              <w:pStyle w:val="TableBullet"/>
              <w:ind w:right="284"/>
            </w:pPr>
            <w:r>
              <w:t>s</w:t>
            </w:r>
            <w:r w:rsidRPr="00BC451B">
              <w:t>heets</w:t>
            </w:r>
            <w:r>
              <w:t xml:space="preserve">, </w:t>
            </w:r>
            <w:r w:rsidRPr="00BC451B">
              <w:t>blankets</w:t>
            </w:r>
            <w:r>
              <w:t xml:space="preserve"> and </w:t>
            </w:r>
            <w:r w:rsidRPr="00BC451B">
              <w:t>pillows (for raising the chest in bronchospasm or the feet in a faint)</w:t>
            </w:r>
          </w:p>
          <w:p w14:paraId="6647C505" w14:textId="77777777" w:rsidR="00471D5C" w:rsidRPr="00BC451B" w:rsidRDefault="00471D5C" w:rsidP="00003D22">
            <w:pPr>
              <w:pStyle w:val="TableBullet"/>
              <w:ind w:right="284"/>
            </w:pPr>
            <w:r>
              <w:t>p</w:t>
            </w:r>
            <w:r w:rsidRPr="00BC451B">
              <w:t>ens (blue, black and red)</w:t>
            </w:r>
          </w:p>
          <w:p w14:paraId="6A5E45B4" w14:textId="77777777" w:rsidR="00471D5C" w:rsidRPr="00BC451B" w:rsidRDefault="00471D5C" w:rsidP="00003D22">
            <w:pPr>
              <w:pStyle w:val="TableBullet"/>
              <w:ind w:right="284"/>
            </w:pPr>
            <w:r>
              <w:t>w</w:t>
            </w:r>
            <w:r w:rsidRPr="00BC451B">
              <w:t>ater jug</w:t>
            </w:r>
            <w:r>
              <w:t xml:space="preserve"> and </w:t>
            </w:r>
            <w:r w:rsidRPr="00BC451B">
              <w:t>paper cups</w:t>
            </w:r>
          </w:p>
          <w:p w14:paraId="3DA4F204" w14:textId="71F430AE" w:rsidR="00471D5C" w:rsidRPr="00BC451B" w:rsidRDefault="00E57171" w:rsidP="00003D22">
            <w:pPr>
              <w:pStyle w:val="TableBullet"/>
              <w:ind w:right="284"/>
            </w:pPr>
            <w:r>
              <w:t>s</w:t>
            </w:r>
            <w:r w:rsidR="00471D5C" w:rsidRPr="00BC451B">
              <w:t>ellotape</w:t>
            </w:r>
          </w:p>
          <w:p w14:paraId="7BE5654E" w14:textId="1F8766D3" w:rsidR="00471D5C" w:rsidRPr="007D0863" w:rsidDel="00493DF1" w:rsidRDefault="00471D5C" w:rsidP="00003D22">
            <w:pPr>
              <w:pStyle w:val="TableBullet"/>
              <w:ind w:right="284"/>
            </w:pPr>
            <w:r w:rsidRPr="00BC451B">
              <w:t>tissues</w:t>
            </w:r>
            <w:r w:rsidR="00732426">
              <w:t>.</w:t>
            </w:r>
          </w:p>
        </w:tc>
        <w:tc>
          <w:tcPr>
            <w:tcW w:w="4644" w:type="dxa"/>
            <w:vMerge/>
            <w:tcBorders>
              <w:left w:val="nil"/>
              <w:bottom w:val="single" w:sz="4" w:space="0" w:color="auto"/>
              <w:right w:val="nil"/>
            </w:tcBorders>
            <w:shd w:val="clear" w:color="auto" w:fill="auto"/>
          </w:tcPr>
          <w:p w14:paraId="2A6C6A15" w14:textId="77777777" w:rsidR="00471D5C" w:rsidRPr="00BC451B" w:rsidRDefault="00471D5C" w:rsidP="00003D22">
            <w:pPr>
              <w:pStyle w:val="TableBullet"/>
            </w:pPr>
          </w:p>
        </w:tc>
      </w:tr>
      <w:tr w:rsidR="00471D5C" w:rsidRPr="008724D0" w14:paraId="3B3AAEA1" w14:textId="77777777" w:rsidTr="00471D5C">
        <w:trPr>
          <w:cantSplit/>
        </w:trPr>
        <w:tc>
          <w:tcPr>
            <w:tcW w:w="4644" w:type="dxa"/>
            <w:gridSpan w:val="2"/>
            <w:vMerge/>
            <w:tcBorders>
              <w:left w:val="nil"/>
              <w:right w:val="nil"/>
            </w:tcBorders>
            <w:shd w:val="clear" w:color="auto" w:fill="auto"/>
          </w:tcPr>
          <w:p w14:paraId="3C440BA2" w14:textId="77777777" w:rsidR="00471D5C" w:rsidRPr="008724D0" w:rsidRDefault="00471D5C" w:rsidP="00003D22">
            <w:pPr>
              <w:pStyle w:val="TableBullet"/>
              <w:ind w:right="284"/>
            </w:pPr>
          </w:p>
        </w:tc>
        <w:tc>
          <w:tcPr>
            <w:tcW w:w="4644" w:type="dxa"/>
            <w:tcBorders>
              <w:top w:val="single" w:sz="4" w:space="0" w:color="auto"/>
              <w:left w:val="nil"/>
              <w:bottom w:val="single" w:sz="4" w:space="0" w:color="auto"/>
              <w:right w:val="nil"/>
            </w:tcBorders>
            <w:shd w:val="clear" w:color="auto" w:fill="auto"/>
          </w:tcPr>
          <w:p w14:paraId="197F144E" w14:textId="77777777" w:rsidR="00471D5C" w:rsidRPr="00003D22" w:rsidRDefault="00471D5C" w:rsidP="00003D22">
            <w:pPr>
              <w:pStyle w:val="TableText"/>
              <w:rPr>
                <w:b/>
              </w:rPr>
            </w:pPr>
            <w:r w:rsidRPr="00003D22">
              <w:rPr>
                <w:b/>
              </w:rPr>
              <w:t>Vaccine transportation</w:t>
            </w:r>
          </w:p>
        </w:tc>
      </w:tr>
      <w:tr w:rsidR="00471D5C" w:rsidRPr="008724D0" w14:paraId="361B9979" w14:textId="77777777" w:rsidTr="00471D5C">
        <w:trPr>
          <w:cantSplit/>
        </w:trPr>
        <w:tc>
          <w:tcPr>
            <w:tcW w:w="4644" w:type="dxa"/>
            <w:gridSpan w:val="2"/>
            <w:vMerge/>
            <w:tcBorders>
              <w:left w:val="nil"/>
              <w:bottom w:val="single" w:sz="4" w:space="0" w:color="auto"/>
              <w:right w:val="nil"/>
            </w:tcBorders>
            <w:shd w:val="clear" w:color="auto" w:fill="auto"/>
          </w:tcPr>
          <w:p w14:paraId="554A3C77" w14:textId="77777777" w:rsidR="00471D5C" w:rsidRPr="008724D0" w:rsidRDefault="00471D5C" w:rsidP="00003D22">
            <w:pPr>
              <w:pStyle w:val="TableBullet"/>
              <w:ind w:right="284"/>
            </w:pPr>
          </w:p>
        </w:tc>
        <w:tc>
          <w:tcPr>
            <w:tcW w:w="4644" w:type="dxa"/>
            <w:tcBorders>
              <w:top w:val="single" w:sz="4" w:space="0" w:color="auto"/>
              <w:left w:val="nil"/>
              <w:bottom w:val="single" w:sz="4" w:space="0" w:color="auto"/>
              <w:right w:val="nil"/>
            </w:tcBorders>
            <w:shd w:val="clear" w:color="auto" w:fill="auto"/>
          </w:tcPr>
          <w:p w14:paraId="1BFE833D" w14:textId="77777777" w:rsidR="00471D5C" w:rsidRPr="0041122A" w:rsidRDefault="00471D5C" w:rsidP="00003D22">
            <w:pPr>
              <w:pStyle w:val="TableText"/>
            </w:pPr>
            <w:r w:rsidRPr="006A756A">
              <w:t>This should include:</w:t>
            </w:r>
          </w:p>
          <w:p w14:paraId="0DFD851E" w14:textId="77777777" w:rsidR="00471D5C" w:rsidRDefault="00471D5C" w:rsidP="00003D22">
            <w:pPr>
              <w:pStyle w:val="TableBullet"/>
            </w:pPr>
            <w:r>
              <w:t>v</w:t>
            </w:r>
            <w:r w:rsidRPr="00BC451B">
              <w:t>accine</w:t>
            </w:r>
          </w:p>
          <w:p w14:paraId="51E88E17" w14:textId="5372E077" w:rsidR="00471D5C" w:rsidRPr="00BC451B" w:rsidRDefault="00E57171" w:rsidP="00003D22">
            <w:pPr>
              <w:pStyle w:val="TableBullet"/>
            </w:pPr>
            <w:r>
              <w:t>insulated containers</w:t>
            </w:r>
            <w:r w:rsidR="00471D5C" w:rsidRPr="00BC451B">
              <w:t xml:space="preserve"> for vaccine transport</w:t>
            </w:r>
          </w:p>
          <w:p w14:paraId="619FD90D" w14:textId="77777777" w:rsidR="00471D5C" w:rsidRDefault="00471D5C" w:rsidP="00003D22">
            <w:pPr>
              <w:pStyle w:val="TableBullet"/>
            </w:pPr>
            <w:r>
              <w:t>t</w:t>
            </w:r>
            <w:r w:rsidRPr="00BC451B">
              <w:t>emperature monitoring equipment</w:t>
            </w:r>
          </w:p>
          <w:p w14:paraId="4C56B99D" w14:textId="6DEE157D" w:rsidR="00471D5C" w:rsidRPr="008724D0" w:rsidRDefault="00471D5C" w:rsidP="00003D22">
            <w:pPr>
              <w:pStyle w:val="TableBullet"/>
            </w:pPr>
            <w:r>
              <w:t>c</w:t>
            </w:r>
            <w:r w:rsidRPr="00BC451B">
              <w:t>hilly bag</w:t>
            </w:r>
            <w:r w:rsidR="00732426">
              <w:t xml:space="preserve"> </w:t>
            </w:r>
            <w:r w:rsidRPr="00BC451B">
              <w:t>/</w:t>
            </w:r>
            <w:r w:rsidR="00732426">
              <w:t xml:space="preserve"> </w:t>
            </w:r>
            <w:r w:rsidRPr="00BC451B">
              <w:t>bin with spare ice pack</w:t>
            </w:r>
            <w:r w:rsidR="00732426">
              <w:t>s</w:t>
            </w:r>
          </w:p>
        </w:tc>
      </w:tr>
      <w:tr w:rsidR="00471D5C" w:rsidRPr="008724D0" w14:paraId="17BD32B6" w14:textId="77777777" w:rsidTr="00471D5C">
        <w:trPr>
          <w:cantSplit/>
        </w:trPr>
        <w:tc>
          <w:tcPr>
            <w:tcW w:w="4644" w:type="dxa"/>
            <w:gridSpan w:val="2"/>
            <w:vMerge/>
            <w:tcBorders>
              <w:left w:val="nil"/>
              <w:right w:val="nil"/>
            </w:tcBorders>
            <w:shd w:val="clear" w:color="auto" w:fill="auto"/>
          </w:tcPr>
          <w:p w14:paraId="5BDB7DD6" w14:textId="77777777" w:rsidR="00471D5C" w:rsidRPr="008724D0" w:rsidRDefault="00471D5C" w:rsidP="00003D22">
            <w:pPr>
              <w:pStyle w:val="TableText"/>
            </w:pPr>
          </w:p>
        </w:tc>
        <w:tc>
          <w:tcPr>
            <w:tcW w:w="4644" w:type="dxa"/>
            <w:tcBorders>
              <w:top w:val="single" w:sz="4" w:space="0" w:color="auto"/>
              <w:left w:val="nil"/>
              <w:bottom w:val="single" w:sz="4" w:space="0" w:color="auto"/>
              <w:right w:val="nil"/>
            </w:tcBorders>
            <w:shd w:val="clear" w:color="auto" w:fill="auto"/>
          </w:tcPr>
          <w:p w14:paraId="0E777481" w14:textId="77777777" w:rsidR="00471D5C" w:rsidRPr="00003D22" w:rsidRDefault="00471D5C" w:rsidP="00003D22">
            <w:pPr>
              <w:pStyle w:val="TableText"/>
              <w:rPr>
                <w:b/>
              </w:rPr>
            </w:pPr>
            <w:r w:rsidRPr="00003D22">
              <w:rPr>
                <w:b/>
              </w:rPr>
              <w:t>Post-vaccination area equipment/materials</w:t>
            </w:r>
          </w:p>
        </w:tc>
      </w:tr>
      <w:tr w:rsidR="00471D5C" w:rsidRPr="008724D0" w14:paraId="08241C99" w14:textId="77777777" w:rsidTr="00471D5C">
        <w:trPr>
          <w:cantSplit/>
        </w:trPr>
        <w:tc>
          <w:tcPr>
            <w:tcW w:w="4644" w:type="dxa"/>
            <w:gridSpan w:val="2"/>
            <w:vMerge/>
            <w:tcBorders>
              <w:left w:val="nil"/>
              <w:bottom w:val="single" w:sz="4" w:space="0" w:color="auto"/>
              <w:right w:val="nil"/>
            </w:tcBorders>
            <w:shd w:val="clear" w:color="auto" w:fill="auto"/>
          </w:tcPr>
          <w:p w14:paraId="504F2C49" w14:textId="77777777" w:rsidR="00471D5C" w:rsidRPr="00BC451B" w:rsidRDefault="00471D5C" w:rsidP="00003D22">
            <w:pPr>
              <w:pStyle w:val="TableText"/>
            </w:pPr>
          </w:p>
        </w:tc>
        <w:tc>
          <w:tcPr>
            <w:tcW w:w="4644" w:type="dxa"/>
            <w:tcBorders>
              <w:top w:val="single" w:sz="4" w:space="0" w:color="auto"/>
              <w:left w:val="nil"/>
              <w:bottom w:val="single" w:sz="4" w:space="0" w:color="auto"/>
              <w:right w:val="nil"/>
            </w:tcBorders>
            <w:shd w:val="clear" w:color="auto" w:fill="auto"/>
          </w:tcPr>
          <w:p w14:paraId="0862C0E4" w14:textId="77777777" w:rsidR="00471D5C" w:rsidRPr="00BC451B" w:rsidRDefault="00471D5C" w:rsidP="00003D22">
            <w:pPr>
              <w:pStyle w:val="TableText"/>
            </w:pPr>
            <w:r w:rsidRPr="00BC451B">
              <w:t>Appropriate materials and activities for student observation areas</w:t>
            </w:r>
            <w:r>
              <w:t xml:space="preserve"> include</w:t>
            </w:r>
            <w:r w:rsidRPr="00BC451B">
              <w:t>:</w:t>
            </w:r>
          </w:p>
          <w:p w14:paraId="4F8EB289" w14:textId="77777777" w:rsidR="00471D5C" w:rsidRPr="00BC451B" w:rsidRDefault="00471D5C" w:rsidP="00003D22">
            <w:pPr>
              <w:pStyle w:val="TableBullet"/>
            </w:pPr>
            <w:r w:rsidRPr="00BC451B">
              <w:t>video</w:t>
            </w:r>
            <w:r>
              <w:t xml:space="preserve"> or </w:t>
            </w:r>
            <w:r w:rsidRPr="00BC451B">
              <w:t>DVD machine</w:t>
            </w:r>
          </w:p>
          <w:p w14:paraId="30640517" w14:textId="791A06E6" w:rsidR="00471D5C" w:rsidRPr="00BC451B" w:rsidRDefault="00471D5C" w:rsidP="00E57171">
            <w:pPr>
              <w:pStyle w:val="TableBullet"/>
            </w:pPr>
            <w:r w:rsidRPr="00BC451B">
              <w:t>appropriate videos</w:t>
            </w:r>
            <w:r>
              <w:t>,</w:t>
            </w:r>
            <w:r w:rsidRPr="00BC451B">
              <w:t xml:space="preserve"> DVD</w:t>
            </w:r>
            <w:r w:rsidR="00E57171">
              <w:t>/USB</w:t>
            </w:r>
            <w:r>
              <w:t>,</w:t>
            </w:r>
            <w:r w:rsidRPr="00BC451B">
              <w:t xml:space="preserve"> books</w:t>
            </w:r>
            <w:r>
              <w:t>,</w:t>
            </w:r>
            <w:r w:rsidRPr="00BC451B">
              <w:t xml:space="preserve"> etc</w:t>
            </w:r>
          </w:p>
        </w:tc>
      </w:tr>
    </w:tbl>
    <w:p w14:paraId="6C69D9DE" w14:textId="77777777" w:rsidR="003C1D1F" w:rsidRDefault="003C1D1F" w:rsidP="00003D22"/>
    <w:p w14:paraId="5FBAA963" w14:textId="77777777" w:rsidR="009A7CEC" w:rsidRDefault="003C1D1F" w:rsidP="00154C5E">
      <w:pPr>
        <w:pStyle w:val="Heading1"/>
      </w:pPr>
      <w:bookmarkStart w:id="518" w:name="_Toc454528326"/>
      <w:bookmarkStart w:id="519" w:name="_Toc454528492"/>
      <w:bookmarkStart w:id="520" w:name="_Toc454528657"/>
      <w:bookmarkStart w:id="521" w:name="_Toc454528822"/>
      <w:bookmarkStart w:id="522" w:name="_Toc454528988"/>
      <w:bookmarkStart w:id="523" w:name="_Toc454528327"/>
      <w:bookmarkStart w:id="524" w:name="_Toc454528493"/>
      <w:bookmarkStart w:id="525" w:name="_Toc454528658"/>
      <w:bookmarkStart w:id="526" w:name="_Toc454528823"/>
      <w:bookmarkStart w:id="527" w:name="_Toc454528989"/>
      <w:bookmarkStart w:id="528" w:name="_Toc454528328"/>
      <w:bookmarkStart w:id="529" w:name="_Toc454528494"/>
      <w:bookmarkStart w:id="530" w:name="_Toc454528659"/>
      <w:bookmarkStart w:id="531" w:name="_Toc454528824"/>
      <w:bookmarkStart w:id="532" w:name="_Toc454528990"/>
      <w:bookmarkStart w:id="533" w:name="_Toc454528329"/>
      <w:bookmarkStart w:id="534" w:name="_Toc454528495"/>
      <w:bookmarkStart w:id="535" w:name="_Toc454528660"/>
      <w:bookmarkStart w:id="536" w:name="_Toc454528825"/>
      <w:bookmarkStart w:id="537" w:name="_Toc454528991"/>
      <w:bookmarkStart w:id="538" w:name="_Toc454528330"/>
      <w:bookmarkStart w:id="539" w:name="_Toc454528496"/>
      <w:bookmarkStart w:id="540" w:name="_Toc454528661"/>
      <w:bookmarkStart w:id="541" w:name="_Toc454528826"/>
      <w:bookmarkStart w:id="542" w:name="_Toc454528992"/>
      <w:bookmarkStart w:id="543" w:name="_Toc454528331"/>
      <w:bookmarkStart w:id="544" w:name="_Toc454528497"/>
      <w:bookmarkStart w:id="545" w:name="_Toc454528662"/>
      <w:bookmarkStart w:id="546" w:name="_Toc454528827"/>
      <w:bookmarkStart w:id="547" w:name="_Toc454528993"/>
      <w:bookmarkStart w:id="548" w:name="_Toc454528332"/>
      <w:bookmarkStart w:id="549" w:name="_Toc454528498"/>
      <w:bookmarkStart w:id="550" w:name="_Toc454528663"/>
      <w:bookmarkStart w:id="551" w:name="_Toc454528828"/>
      <w:bookmarkStart w:id="552" w:name="_Toc454528994"/>
      <w:bookmarkStart w:id="553" w:name="_Toc454528333"/>
      <w:bookmarkStart w:id="554" w:name="_Toc454528499"/>
      <w:bookmarkStart w:id="555" w:name="_Toc454528664"/>
      <w:bookmarkStart w:id="556" w:name="_Toc454528829"/>
      <w:bookmarkStart w:id="557" w:name="_Toc454528995"/>
      <w:bookmarkStart w:id="558" w:name="_Toc454528334"/>
      <w:bookmarkStart w:id="559" w:name="_Toc454528500"/>
      <w:bookmarkStart w:id="560" w:name="_Toc454528665"/>
      <w:bookmarkStart w:id="561" w:name="_Toc454528830"/>
      <w:bookmarkStart w:id="562" w:name="_Toc454528996"/>
      <w:bookmarkStart w:id="563" w:name="_Toc454528335"/>
      <w:bookmarkStart w:id="564" w:name="_Toc454528501"/>
      <w:bookmarkStart w:id="565" w:name="_Toc454528666"/>
      <w:bookmarkStart w:id="566" w:name="_Toc454528831"/>
      <w:bookmarkStart w:id="567" w:name="_Toc454528997"/>
      <w:bookmarkStart w:id="568" w:name="_Toc454528336"/>
      <w:bookmarkStart w:id="569" w:name="_Toc454528502"/>
      <w:bookmarkStart w:id="570" w:name="_Toc454528667"/>
      <w:bookmarkStart w:id="571" w:name="_Toc454528832"/>
      <w:bookmarkStart w:id="572" w:name="_Toc454528998"/>
      <w:bookmarkStart w:id="573" w:name="_Toc454528337"/>
      <w:bookmarkStart w:id="574" w:name="_Toc454528503"/>
      <w:bookmarkStart w:id="575" w:name="_Toc454528668"/>
      <w:bookmarkStart w:id="576" w:name="_Toc454528833"/>
      <w:bookmarkStart w:id="577" w:name="_Toc454528999"/>
      <w:bookmarkStart w:id="578" w:name="_Toc454528338"/>
      <w:bookmarkStart w:id="579" w:name="_Toc454528504"/>
      <w:bookmarkStart w:id="580" w:name="_Toc454528669"/>
      <w:bookmarkStart w:id="581" w:name="_Toc454528834"/>
      <w:bookmarkStart w:id="582" w:name="_Toc454529000"/>
      <w:bookmarkStart w:id="583" w:name="_Toc454528339"/>
      <w:bookmarkStart w:id="584" w:name="_Toc454528505"/>
      <w:bookmarkStart w:id="585" w:name="_Toc454528670"/>
      <w:bookmarkStart w:id="586" w:name="_Toc454528835"/>
      <w:bookmarkStart w:id="587" w:name="_Toc454529001"/>
      <w:bookmarkStart w:id="588" w:name="_Toc465165486"/>
      <w:bookmarkStart w:id="589" w:name="_Toc454971528"/>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6E15CC">
        <w:lastRenderedPageBreak/>
        <w:t>Programme cold chain</w:t>
      </w:r>
      <w:bookmarkEnd w:id="588"/>
      <w:bookmarkEnd w:id="589"/>
    </w:p>
    <w:p w14:paraId="7E0E4564" w14:textId="75B016A7" w:rsidR="00455C2E" w:rsidRDefault="00455C2E" w:rsidP="00455C2E">
      <w:r>
        <w:t xml:space="preserve">All immunisation providers including SBIP must comply with the </w:t>
      </w:r>
      <w:r w:rsidRPr="009826B6">
        <w:rPr>
          <w:i/>
        </w:rPr>
        <w:t xml:space="preserve">National Guidelines for Vaccine Storage and Distribution 2012 </w:t>
      </w:r>
      <w:r>
        <w:t>or subsequent publications, these can be found on the Ministry</w:t>
      </w:r>
      <w:r w:rsidR="009A7CEC">
        <w:t>’</w:t>
      </w:r>
      <w:r>
        <w:t xml:space="preserve">s cold chain web page </w:t>
      </w:r>
      <w:hyperlink r:id="rId25" w:history="1">
        <w:r w:rsidR="009A7CEC" w:rsidRPr="00705CD8">
          <w:rPr>
            <w:rStyle w:val="Hyperlink"/>
          </w:rPr>
          <w:t>www.health.govt.nz/our-work/preventative-health-wellness/immunisation/national-immunisation-programme-cold-chain-management</w:t>
        </w:r>
      </w:hyperlink>
      <w:r w:rsidR="00FA597B">
        <w:t>.</w:t>
      </w:r>
    </w:p>
    <w:p w14:paraId="3D214C15" w14:textId="77777777" w:rsidR="00423A06" w:rsidRDefault="00423A06" w:rsidP="00455C2E"/>
    <w:p w14:paraId="41709300" w14:textId="6C5F27D5" w:rsidR="00423A06" w:rsidRDefault="00423A06" w:rsidP="00455C2E">
      <w:r>
        <w:t>Each SBIP will have an individualised Cold Chain Policy and all team members will be familiar with that policy document. There is a template document available on the Ministry</w:t>
      </w:r>
      <w:r w:rsidR="009A7CEC">
        <w:t>’</w:t>
      </w:r>
      <w:r w:rsidR="00732426">
        <w:t>s</w:t>
      </w:r>
      <w:r>
        <w:t xml:space="preserve"> cold chain web page above.</w:t>
      </w:r>
    </w:p>
    <w:p w14:paraId="30E59CD1" w14:textId="77777777" w:rsidR="00423A06" w:rsidRDefault="00423A06" w:rsidP="00455C2E"/>
    <w:p w14:paraId="04890225" w14:textId="40A94136" w:rsidR="00455C2E" w:rsidRPr="005D1DD1" w:rsidRDefault="00455C2E" w:rsidP="00455C2E">
      <w:r>
        <w:t>The following flow chart is to help inform the SBIP cold chain practices.</w:t>
      </w:r>
    </w:p>
    <w:p w14:paraId="07CB6771" w14:textId="77777777" w:rsidR="00BE0238" w:rsidRDefault="00BE0238" w:rsidP="00154C5E"/>
    <w:p w14:paraId="214C06EF" w14:textId="77777777" w:rsidR="003C1D1F" w:rsidRDefault="00BE0238" w:rsidP="00BE0238">
      <w:pPr>
        <w:pStyle w:val="Heading2"/>
      </w:pPr>
      <w:bookmarkStart w:id="590" w:name="_Toc465165487"/>
      <w:r>
        <w:t>Cold chain management flow chart</w:t>
      </w:r>
      <w:bookmarkEnd w:id="590"/>
    </w:p>
    <w:tbl>
      <w:tblPr>
        <w:tblStyle w:val="TableGrid"/>
        <w:tblW w:w="9356" w:type="dxa"/>
        <w:tblLayout w:type="fixed"/>
        <w:tblCellMar>
          <w:left w:w="57" w:type="dxa"/>
          <w:right w:w="57" w:type="dxa"/>
        </w:tblCellMar>
        <w:tblLook w:val="04A0" w:firstRow="1" w:lastRow="0" w:firstColumn="1" w:lastColumn="0" w:noHBand="0" w:noVBand="1"/>
      </w:tblPr>
      <w:tblGrid>
        <w:gridCol w:w="9356"/>
      </w:tblGrid>
      <w:tr w:rsidR="00154C5E" w14:paraId="730C707D" w14:textId="77777777" w:rsidTr="0005755C">
        <w:trPr>
          <w:cantSplit/>
        </w:trPr>
        <w:tc>
          <w:tcPr>
            <w:tcW w:w="9356" w:type="dxa"/>
            <w:tcBorders>
              <w:top w:val="nil"/>
              <w:left w:val="nil"/>
              <w:right w:val="nil"/>
            </w:tcBorders>
          </w:tcPr>
          <w:p w14:paraId="7CB2D118" w14:textId="77777777" w:rsidR="00154C5E" w:rsidRPr="00A945DE" w:rsidRDefault="00154C5E" w:rsidP="0005755C">
            <w:pPr>
              <w:pStyle w:val="TableText"/>
              <w:ind w:left="-57"/>
              <w:rPr>
                <w:b/>
              </w:rPr>
            </w:pPr>
            <w:r w:rsidRPr="00A945DE">
              <w:rPr>
                <w:b/>
              </w:rPr>
              <w:t>Personnel recommendations</w:t>
            </w:r>
          </w:p>
        </w:tc>
      </w:tr>
      <w:tr w:rsidR="00154C5E" w14:paraId="74D1B6ED" w14:textId="77777777" w:rsidTr="0005755C">
        <w:trPr>
          <w:cantSplit/>
        </w:trPr>
        <w:tc>
          <w:tcPr>
            <w:tcW w:w="9356" w:type="dxa"/>
            <w:tcBorders>
              <w:bottom w:val="single" w:sz="4" w:space="0" w:color="auto"/>
            </w:tcBorders>
          </w:tcPr>
          <w:p w14:paraId="6A4255FA" w14:textId="295EFBEC" w:rsidR="00455C2E" w:rsidRDefault="00455C2E" w:rsidP="00ED5DC4">
            <w:pPr>
              <w:pStyle w:val="TableBullet"/>
              <w:spacing w:before="60" w:after="40"/>
            </w:pPr>
            <w:r>
              <w:t>Every vaccinator is responsible to ensure that the cold chain is maintained during vaccine storage and transportation</w:t>
            </w:r>
          </w:p>
          <w:p w14:paraId="3F446578" w14:textId="536DFB5B" w:rsidR="00154C5E" w:rsidRDefault="00154C5E" w:rsidP="00ED5DC4">
            <w:pPr>
              <w:pStyle w:val="TableBullet"/>
              <w:spacing w:before="60" w:after="40"/>
            </w:pPr>
            <w:r w:rsidRPr="00BC451B">
              <w:t xml:space="preserve">One person has overall responsibility for vaccine </w:t>
            </w:r>
            <w:r w:rsidR="00455C2E">
              <w:t>stock and equipment management</w:t>
            </w:r>
            <w:r w:rsidR="00732426">
              <w:t xml:space="preserve">, </w:t>
            </w:r>
            <w:r w:rsidR="00455C2E">
              <w:t>maintenance schedules</w:t>
            </w:r>
            <w:r w:rsidR="00732426">
              <w:t>,</w:t>
            </w:r>
            <w:r w:rsidR="007C0BAD">
              <w:t xml:space="preserve"> and for working with the local Immunisation </w:t>
            </w:r>
            <w:r w:rsidR="00732426">
              <w:t>c</w:t>
            </w:r>
            <w:r w:rsidR="007C0BAD">
              <w:t>o-ordinator/</w:t>
            </w:r>
            <w:r w:rsidR="00732426">
              <w:t>c</w:t>
            </w:r>
            <w:r w:rsidR="007C0BAD">
              <w:t xml:space="preserve">old </w:t>
            </w:r>
            <w:r w:rsidR="00732426">
              <w:t>c</w:t>
            </w:r>
            <w:r w:rsidR="007C0BAD">
              <w:t>hain reviewer to achieve Cold Chain Accreditation for the SBIP</w:t>
            </w:r>
            <w:r w:rsidR="00732426">
              <w:t>.</w:t>
            </w:r>
          </w:p>
          <w:p w14:paraId="2FDC6671" w14:textId="14ABFB5A" w:rsidR="007C0BAD" w:rsidRPr="007C0BAD" w:rsidRDefault="00154C5E" w:rsidP="007C0BAD">
            <w:pPr>
              <w:pStyle w:val="TableBullet"/>
              <w:spacing w:after="40"/>
              <w:rPr>
                <w:spacing w:val="-2"/>
              </w:rPr>
            </w:pPr>
            <w:r w:rsidRPr="003B57D9">
              <w:rPr>
                <w:spacing w:val="-2"/>
              </w:rPr>
              <w:t xml:space="preserve">One person per </w:t>
            </w:r>
            <w:r w:rsidR="00455C2E">
              <w:rPr>
                <w:spacing w:val="-2"/>
              </w:rPr>
              <w:t>base/</w:t>
            </w:r>
            <w:r w:rsidRPr="003B57D9">
              <w:rPr>
                <w:spacing w:val="-2"/>
              </w:rPr>
              <w:t>office is responsible for managing the cold chain for that office through to the school sites.</w:t>
            </w:r>
          </w:p>
          <w:p w14:paraId="4AEB535D" w14:textId="77777777" w:rsidR="00154C5E" w:rsidRDefault="00154C5E" w:rsidP="00154C5E">
            <w:pPr>
              <w:pStyle w:val="TableBullet"/>
            </w:pPr>
            <w:r w:rsidRPr="00BC451B">
              <w:t>Each team has an identified back-up person.</w:t>
            </w:r>
          </w:p>
          <w:p w14:paraId="0E97E8FC" w14:textId="40E9F3FF" w:rsidR="00455C2E" w:rsidRPr="00154C5E" w:rsidRDefault="00455C2E" w:rsidP="00154C5E">
            <w:pPr>
              <w:pStyle w:val="TableBullet"/>
            </w:pPr>
            <w:r>
              <w:t>All team members are able to download the data logger.</w:t>
            </w:r>
          </w:p>
        </w:tc>
      </w:tr>
      <w:tr w:rsidR="00154C5E" w14:paraId="06504A8C" w14:textId="77777777" w:rsidTr="0005755C">
        <w:trPr>
          <w:cantSplit/>
        </w:trPr>
        <w:tc>
          <w:tcPr>
            <w:tcW w:w="9356" w:type="dxa"/>
            <w:tcBorders>
              <w:left w:val="nil"/>
              <w:bottom w:val="nil"/>
              <w:right w:val="nil"/>
            </w:tcBorders>
          </w:tcPr>
          <w:p w14:paraId="2C63A8D2" w14:textId="77777777" w:rsidR="00154C5E" w:rsidRDefault="003B57D9" w:rsidP="003B57D9">
            <w:pPr>
              <w:pStyle w:val="TableText"/>
              <w:spacing w:before="0" w:after="0"/>
            </w:pPr>
            <w:r>
              <w:rPr>
                <w:noProof/>
                <w:lang w:eastAsia="en-NZ"/>
              </w:rPr>
              <mc:AlternateContent>
                <mc:Choice Requires="wps">
                  <w:drawing>
                    <wp:anchor distT="0" distB="0" distL="114300" distR="114300" simplePos="0" relativeHeight="251659264" behindDoc="0" locked="0" layoutInCell="1" allowOverlap="1" wp14:anchorId="22415DAD" wp14:editId="40B37A1C">
                      <wp:simplePos x="0" y="0"/>
                      <wp:positionH relativeFrom="column">
                        <wp:posOffset>2780665</wp:posOffset>
                      </wp:positionH>
                      <wp:positionV relativeFrom="paragraph">
                        <wp:posOffset>5080</wp:posOffset>
                      </wp:positionV>
                      <wp:extent cx="0" cy="340360"/>
                      <wp:effectExtent l="76200" t="0" r="76200" b="59690"/>
                      <wp:wrapNone/>
                      <wp:docPr id="18" name="Straight Arrow Connector 18"/>
                      <wp:cNvGraphicFramePr/>
                      <a:graphic xmlns:a="http://schemas.openxmlformats.org/drawingml/2006/main">
                        <a:graphicData uri="http://schemas.microsoft.com/office/word/2010/wordprocessingShape">
                          <wps:wsp>
                            <wps:cNvCnPr/>
                            <wps:spPr>
                              <a:xfrm>
                                <a:off x="0" y="0"/>
                                <a:ext cx="0" cy="34036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6FDADDD1" id="_x0000_t32" coordsize="21600,21600" o:spt="32" o:oned="t" path="m,l21600,21600e" filled="f">
                      <v:path arrowok="t" fillok="f" o:connecttype="none"/>
                      <o:lock v:ext="edit" shapetype="t"/>
                    </v:shapetype>
                    <v:shape id="Straight Arrow Connector 18" o:spid="_x0000_s1026" type="#_x0000_t32" style="position:absolute;margin-left:218.95pt;margin-top:.4pt;width:0;height:26.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in/QEAAHAEAAAOAAAAZHJzL2Uyb0RvYy54bWysVNtuEzEQfUfiHyy/k920qEKrbCqUUl4Q&#10;RBQ+wLXHWUu+aWyyyd8z9iabcpWKeHFs75yZc86Ms7o9OMv2gMkE3/PlouUMvAzK+F3Pv365f/WG&#10;s5SFV8IGDz0/QuK365cvVmPs4CoMwSpARkl86sbY8yHn2DVNkgM4kRYhgqePOqATmY64axSKkbI7&#10;21y17U0zBlQRg4SU6PZu+sjXNb/WIPMnrRNkZntO3HJdsa6PZW3WK9HtUMTByBMN8Q8snDCeis6p&#10;7kQW7BuaX1I5IzGkoPNCBtcErY2EqoHULNuf1DwMIkLVQuakONuU/l9a+XG/RWYU9Y465YWjHj1k&#10;FGY3ZPYWMYxsE7wnHwMyCiG/xpg6gm38Fk+nFLdYxB80uvJLstihenycPYZDZnK6lHR7/bq9vqn2&#10;NxdcxJTfQ3CsbHqeTjxmAstqsdh/SJkqE/AMKEWtL2sK1qh7Y209lCmCjUW2F9T/fFgW/oT7IWoA&#10;od55xfIxknhPY8rZ2HMHijMLNNVlRzjRZWHsJTKjEX5n/xBNVQqjprg1+VN3+WhhYvsZNPlOjkyq&#10;6sRfuAopweczX+spusA0KZuBbbXjr8BTfIFCfQ3PAc+IWjn4PIOd8QF/V/1isZ7izw5MuosFj0Ed&#10;6+RUa2isa0dOT7C8m6fnCr/8Uay/AwAA//8DAFBLAwQUAAYACAAAACEAbs1FfNwAAAAHAQAADwAA&#10;AGRycy9kb3ducmV2LnhtbEyPT0vDQBTE74LfYXmCN7sxRmtjXkoVrPTS0lY8b7PPJLh/QnbTRj+9&#10;TzzocZhh5jfFfLRGHKkPrXcI15MEBLnK69bVCK/756t7ECEqp5XxjhA+KcC8PD8rVK79yW3puIu1&#10;4BIXcoXQxNjlUoaqIavCxHfk2Hv3vVWRZV9L3asTl1sj0yS5k1a1jhca1dFTQ9XHbrAI0xe/btez&#10;cZPSkC4Xm6+3x5VZIl5ejIsHEJHG+BeGH3xGh5KZDn5wOgiDkN1MZxxF4ANs/8oDwm2WgSwL+Z+/&#10;/AYAAP//AwBQSwECLQAUAAYACAAAACEAtoM4kv4AAADhAQAAEwAAAAAAAAAAAAAAAAAAAAAAW0Nv&#10;bnRlbnRfVHlwZXNdLnhtbFBLAQItABQABgAIAAAAIQA4/SH/1gAAAJQBAAALAAAAAAAAAAAAAAAA&#10;AC8BAABfcmVscy8ucmVsc1BLAQItABQABgAIAAAAIQBOmgin/QEAAHAEAAAOAAAAAAAAAAAAAAAA&#10;AC4CAABkcnMvZTJvRG9jLnhtbFBLAQItABQABgAIAAAAIQBuzUV83AAAAAcBAAAPAAAAAAAAAAAA&#10;AAAAAFcEAABkcnMvZG93bnJldi54bWxQSwUGAAAAAAQABADzAAAAYAUAAAAA&#10;" strokecolor="black [3213]">
                      <v:stroke endarrow="block"/>
                    </v:shape>
                  </w:pict>
                </mc:Fallback>
              </mc:AlternateContent>
            </w:r>
          </w:p>
        </w:tc>
      </w:tr>
      <w:tr w:rsidR="00154C5E" w14:paraId="67DEA486" w14:textId="77777777" w:rsidTr="0005755C">
        <w:trPr>
          <w:cantSplit/>
        </w:trPr>
        <w:tc>
          <w:tcPr>
            <w:tcW w:w="9356" w:type="dxa"/>
            <w:tcBorders>
              <w:top w:val="nil"/>
              <w:left w:val="nil"/>
              <w:right w:val="nil"/>
            </w:tcBorders>
          </w:tcPr>
          <w:p w14:paraId="5148908F" w14:textId="77777777" w:rsidR="00154C5E" w:rsidRPr="00A945DE" w:rsidRDefault="00A945DE" w:rsidP="0005755C">
            <w:pPr>
              <w:pStyle w:val="TableText"/>
              <w:ind w:left="-57"/>
              <w:rPr>
                <w:b/>
              </w:rPr>
            </w:pPr>
            <w:r>
              <w:rPr>
                <w:b/>
              </w:rPr>
              <w:t>Refrigerator recommendations</w:t>
            </w:r>
          </w:p>
        </w:tc>
      </w:tr>
      <w:tr w:rsidR="00154C5E" w14:paraId="08474505" w14:textId="77777777" w:rsidTr="0005755C">
        <w:trPr>
          <w:cantSplit/>
        </w:trPr>
        <w:tc>
          <w:tcPr>
            <w:tcW w:w="9356" w:type="dxa"/>
            <w:tcBorders>
              <w:bottom w:val="single" w:sz="4" w:space="0" w:color="auto"/>
            </w:tcBorders>
          </w:tcPr>
          <w:p w14:paraId="635A9C11" w14:textId="2656C886" w:rsidR="00A945DE" w:rsidRDefault="00A945DE" w:rsidP="00ED5DC4">
            <w:pPr>
              <w:pStyle w:val="TableBullet"/>
              <w:spacing w:before="60" w:after="40"/>
            </w:pPr>
            <w:r>
              <w:t xml:space="preserve">Use </w:t>
            </w:r>
            <w:r w:rsidR="00732426">
              <w:t xml:space="preserve">a </w:t>
            </w:r>
            <w:r>
              <w:t>v</w:t>
            </w:r>
            <w:r w:rsidRPr="00BC451B">
              <w:t>accine (pharmaceutical) refrigerator(s) of sufficient size to accommodate vaccine requirements.</w:t>
            </w:r>
          </w:p>
          <w:p w14:paraId="00CD06BC" w14:textId="3D50B87C" w:rsidR="005304D3" w:rsidRPr="00BC451B" w:rsidRDefault="005304D3" w:rsidP="00ED5DC4">
            <w:pPr>
              <w:pStyle w:val="TableBullet"/>
              <w:spacing w:before="60" w:after="40"/>
            </w:pPr>
            <w:r>
              <w:t xml:space="preserve">Each vaccine refrigerator will need an </w:t>
            </w:r>
            <w:r w:rsidRPr="00BC451B">
              <w:t>electronic temperature</w:t>
            </w:r>
            <w:r>
              <w:t>-</w:t>
            </w:r>
            <w:r w:rsidRPr="00BC451B">
              <w:t>monitoring device</w:t>
            </w:r>
            <w:r>
              <w:t>, referred to as data logger,</w:t>
            </w:r>
            <w:r w:rsidR="007C0BAD">
              <w:t xml:space="preserve"> this must be downloaded at minimum once a week or the event of </w:t>
            </w:r>
            <w:r w:rsidR="00732426">
              <w:t xml:space="preserve">the </w:t>
            </w:r>
            <w:r w:rsidR="007C0BAD">
              <w:t xml:space="preserve">daily min/max recordings </w:t>
            </w:r>
            <w:r w:rsidR="00732426">
              <w:t xml:space="preserve">being </w:t>
            </w:r>
            <w:r w:rsidR="007C0BAD">
              <w:t xml:space="preserve">outside the </w:t>
            </w:r>
            <w:r w:rsidR="007C0BAD" w:rsidRPr="00BC451B">
              <w:t>+2°C to +8°C range</w:t>
            </w:r>
            <w:r w:rsidR="007C0BAD">
              <w:t>.</w:t>
            </w:r>
          </w:p>
          <w:p w14:paraId="26222DE4" w14:textId="1059579C" w:rsidR="00154C5E" w:rsidRDefault="00BE310D" w:rsidP="00154C5E">
            <w:pPr>
              <w:pStyle w:val="TableBullet"/>
            </w:pPr>
            <w:r>
              <w:rPr>
                <w:noProof/>
                <w:lang w:eastAsia="en-NZ"/>
              </w:rPr>
              <mc:AlternateContent>
                <mc:Choice Requires="wps">
                  <w:drawing>
                    <wp:anchor distT="0" distB="0" distL="114300" distR="114300" simplePos="0" relativeHeight="251661312" behindDoc="0" locked="0" layoutInCell="1" allowOverlap="1" wp14:anchorId="406049DB" wp14:editId="48FE2D8D">
                      <wp:simplePos x="0" y="0"/>
                      <wp:positionH relativeFrom="column">
                        <wp:posOffset>2780665</wp:posOffset>
                      </wp:positionH>
                      <wp:positionV relativeFrom="paragraph">
                        <wp:posOffset>161925</wp:posOffset>
                      </wp:positionV>
                      <wp:extent cx="0" cy="340360"/>
                      <wp:effectExtent l="76200" t="0" r="76200" b="59690"/>
                      <wp:wrapNone/>
                      <wp:docPr id="19" name="Straight Arrow Connector 19"/>
                      <wp:cNvGraphicFramePr/>
                      <a:graphic xmlns:a="http://schemas.openxmlformats.org/drawingml/2006/main">
                        <a:graphicData uri="http://schemas.microsoft.com/office/word/2010/wordprocessingShape">
                          <wps:wsp>
                            <wps:cNvCnPr/>
                            <wps:spPr>
                              <a:xfrm>
                                <a:off x="0" y="0"/>
                                <a:ext cx="0" cy="34036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0446ABA1" id="Straight Arrow Connector 19" o:spid="_x0000_s1026" type="#_x0000_t32" style="position:absolute;margin-left:218.95pt;margin-top:12.75pt;width:0;height:26.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xK/QEAAHAEAAAOAAAAZHJzL2Uyb0RvYy54bWysVNuO0zAQfUfiHyy/06S7aAVR0xXqsrwg&#10;qFj4AK89biz5prFp2r9n7LQpy00C8eL4MmfmnONxVrcHZ9keMJnge75ctJyBl0EZv+v5l8/3L15x&#10;lrLwStjgoedHSPx2/fzZaowdXIUhWAXIKIlP3Rh7PuQcu6ZJcgAn0iJE8HSoAzqRaYm7RqEYKbuz&#10;zVXb3jRjQBUxSEiJdu+mQ76u+bUGmT9qnSAz23PiluuIdXwsY7NeiW6HIg5GnmiIf2DhhPFUdE51&#10;J7JgX9H8lMoZiSEFnRcyuCZobSRUDaRm2f6g5mEQEaoWMifF2ab0/9LKD/stMqPo7l5z5oWjO3rI&#10;KMxuyOwNYhjZJnhPPgZkFEJ+jTF1BNv4LZ5WKW6xiD9odOVLstihenycPYZDZnLalLR7/bK9vqn2&#10;NxdcxJTfQXCsTHqeTjxmAstqsdi/T5kqE/AMKEWtL2MK1qh7Y21dlC6CjUW2F3T/+bAs/An3JGoA&#10;od56xfIxknhPbcrZ2HMHijML1NVlRjjRZWHsJTKjEX5nfxNNVQqjprg1+VNn+WhhYvsJNPlOjkyq&#10;asdfuAopweczX+spusA0KZuBbbXjj8BTfIFCfQ1/A54RtXLweQY74wP+qvrFYj3Fnx2YdBcLHoM6&#10;1s6p1lBb1xs5PcHybr5fV/jlR7H+BgAA//8DAFBLAwQUAAYACAAAACEAqDG80N4AAAAJAQAADwAA&#10;AGRycy9kb3ducmV2LnhtbEyPwU7DMAyG70i8Q2QkbixdYWwtTaeBxBCXTWyIc9aYtiJxqibdCk+P&#10;EQc42v71+fuL5eisOGIfWk8KppMEBFLlTUu1gtf949UCRIiajLaeUMEnBliW52eFzo0/0Qsed7EW&#10;DKGQawVNjF0uZagadDpMfIfEt3ffOx157Gtpen1iuLMyTZJb6XRL/KHRHT40WH3sBqdg/uQ37SYb&#10;tykO6Xq1/Xq7f7ZrpS4vxtUdiIhj/AvDjz6rQ8lOBz+QCcIquLmeZxxVkM5mIDjwuzgwPZuCLAv5&#10;v0H5DQAA//8DAFBLAQItABQABgAIAAAAIQC2gziS/gAAAOEBAAATAAAAAAAAAAAAAAAAAAAAAABb&#10;Q29udGVudF9UeXBlc10ueG1sUEsBAi0AFAAGAAgAAAAhADj9If/WAAAAlAEAAAsAAAAAAAAAAAAA&#10;AAAALwEAAF9yZWxzLy5yZWxzUEsBAi0AFAAGAAgAAAAhAObWnEr9AQAAcAQAAA4AAAAAAAAAAAAA&#10;AAAALgIAAGRycy9lMm9Eb2MueG1sUEsBAi0AFAAGAAgAAAAhAKgxvNDeAAAACQEAAA8AAAAAAAAA&#10;AAAAAAAAVwQAAGRycy9kb3ducmV2LnhtbFBLBQYAAAAABAAEAPMAAABiBQAAAAA=&#10;" strokecolor="black [3213]">
                      <v:stroke endarrow="block"/>
                    </v:shape>
                  </w:pict>
                </mc:Fallback>
              </mc:AlternateContent>
            </w:r>
            <w:r w:rsidR="00A945DE">
              <w:t>Undertake a r</w:t>
            </w:r>
            <w:r w:rsidR="00A945DE" w:rsidRPr="00BC451B">
              <w:t>egular programme of maintenance for the refrigerator(s)</w:t>
            </w:r>
            <w:r w:rsidR="00A945DE">
              <w:t>,</w:t>
            </w:r>
            <w:r w:rsidR="00A945DE" w:rsidRPr="00BC451B">
              <w:t xml:space="preserve"> as per </w:t>
            </w:r>
            <w:r w:rsidR="00A945DE">
              <w:t xml:space="preserve">the </w:t>
            </w:r>
            <w:r w:rsidR="00A945DE" w:rsidRPr="00BC451B">
              <w:t>manufacturer</w:t>
            </w:r>
            <w:r w:rsidR="009A7CEC">
              <w:t>’</w:t>
            </w:r>
            <w:r w:rsidR="00A945DE">
              <w:t>s instructions.</w:t>
            </w:r>
          </w:p>
        </w:tc>
      </w:tr>
      <w:tr w:rsidR="00154C5E" w14:paraId="071B411C" w14:textId="77777777" w:rsidTr="0005755C">
        <w:trPr>
          <w:cantSplit/>
        </w:trPr>
        <w:tc>
          <w:tcPr>
            <w:tcW w:w="9356" w:type="dxa"/>
            <w:tcBorders>
              <w:left w:val="nil"/>
              <w:bottom w:val="nil"/>
              <w:right w:val="nil"/>
            </w:tcBorders>
          </w:tcPr>
          <w:p w14:paraId="312F8558" w14:textId="77777777" w:rsidR="00154C5E" w:rsidRDefault="00154C5E" w:rsidP="003B57D9">
            <w:pPr>
              <w:pStyle w:val="TableText"/>
              <w:spacing w:before="0" w:after="0"/>
            </w:pPr>
          </w:p>
        </w:tc>
      </w:tr>
      <w:tr w:rsidR="00154C5E" w:rsidRPr="00A945DE" w14:paraId="2772CBE8" w14:textId="77777777" w:rsidTr="0005755C">
        <w:trPr>
          <w:cantSplit/>
        </w:trPr>
        <w:tc>
          <w:tcPr>
            <w:tcW w:w="9356" w:type="dxa"/>
            <w:tcBorders>
              <w:top w:val="nil"/>
              <w:left w:val="nil"/>
              <w:right w:val="nil"/>
            </w:tcBorders>
          </w:tcPr>
          <w:p w14:paraId="3B9D953B" w14:textId="77777777" w:rsidR="00154C5E" w:rsidRPr="00A945DE" w:rsidRDefault="00A945DE" w:rsidP="0005755C">
            <w:pPr>
              <w:pStyle w:val="TableText"/>
              <w:ind w:left="-57"/>
              <w:rPr>
                <w:b/>
              </w:rPr>
            </w:pPr>
            <w:r>
              <w:rPr>
                <w:b/>
              </w:rPr>
              <w:t>Temperature monitoring recommendations</w:t>
            </w:r>
          </w:p>
        </w:tc>
      </w:tr>
      <w:tr w:rsidR="00154C5E" w14:paraId="1C29C5B6" w14:textId="77777777" w:rsidTr="0005755C">
        <w:trPr>
          <w:cantSplit/>
        </w:trPr>
        <w:tc>
          <w:tcPr>
            <w:tcW w:w="9356" w:type="dxa"/>
          </w:tcPr>
          <w:p w14:paraId="7A054417" w14:textId="25E3D018" w:rsidR="00A945DE" w:rsidRPr="00B94DE3" w:rsidRDefault="00A945DE" w:rsidP="00ED5DC4">
            <w:pPr>
              <w:pStyle w:val="TableBullet"/>
              <w:spacing w:before="60" w:after="40"/>
            </w:pPr>
            <w:r w:rsidRPr="00B94DE3">
              <w:t xml:space="preserve">Monitor the temperature of the refrigerator(s) prior to the campaign commencing and at all times </w:t>
            </w:r>
            <w:r>
              <w:t xml:space="preserve">while </w:t>
            </w:r>
            <w:r w:rsidRPr="00B94DE3">
              <w:t>vaccine is being stored.</w:t>
            </w:r>
          </w:p>
          <w:p w14:paraId="37122B21" w14:textId="07522D4C" w:rsidR="00A945DE" w:rsidRPr="00BC451B" w:rsidRDefault="00A945DE" w:rsidP="00ED5DC4">
            <w:pPr>
              <w:pStyle w:val="TableBullet"/>
              <w:spacing w:after="40"/>
            </w:pPr>
            <w:r w:rsidRPr="00B94DE3">
              <w:t>Read and record the</w:t>
            </w:r>
            <w:r>
              <w:t xml:space="preserve"> r</w:t>
            </w:r>
            <w:r w:rsidRPr="00BC451B">
              <w:t>efrigerator</w:t>
            </w:r>
            <w:r w:rsidR="009A7CEC">
              <w:t>’</w:t>
            </w:r>
            <w:r w:rsidR="00732426">
              <w:t>s</w:t>
            </w:r>
            <w:r w:rsidRPr="00BC451B">
              <w:t xml:space="preserve"> min/max temperature monitoring devices daily</w:t>
            </w:r>
            <w:r>
              <w:t>,</w:t>
            </w:r>
            <w:r w:rsidRPr="00BC451B">
              <w:t xml:space="preserve"> at the same time each day.</w:t>
            </w:r>
          </w:p>
          <w:p w14:paraId="4F0D65BB" w14:textId="77777777" w:rsidR="00A945DE" w:rsidRPr="00BC451B" w:rsidRDefault="00A945DE" w:rsidP="00ED5DC4">
            <w:pPr>
              <w:pStyle w:val="TableBullet"/>
              <w:spacing w:after="40"/>
            </w:pPr>
            <w:r>
              <w:t>Monitor and record c</w:t>
            </w:r>
            <w:r w:rsidRPr="00BC451B">
              <w:t>hilly bin temperatures to ensure the temperature is at the required range before the vaccines are added</w:t>
            </w:r>
            <w:r>
              <w:t>,</w:t>
            </w:r>
            <w:r w:rsidRPr="00BC451B">
              <w:t xml:space="preserve"> and while the vaccines are being stored in the chilly bin.</w:t>
            </w:r>
          </w:p>
          <w:p w14:paraId="222E55FD" w14:textId="77777777" w:rsidR="009A7CEC" w:rsidRDefault="00A945DE" w:rsidP="00ED5DC4">
            <w:pPr>
              <w:pStyle w:val="TableBullet"/>
              <w:spacing w:after="40"/>
            </w:pPr>
            <w:r w:rsidRPr="00BC451B">
              <w:t xml:space="preserve">Monitor the chilly bin with </w:t>
            </w:r>
            <w:r w:rsidR="005304D3">
              <w:t>a data logger,</w:t>
            </w:r>
            <w:r w:rsidRPr="00BC451B">
              <w:t xml:space="preserve"> at all times</w:t>
            </w:r>
            <w:r w:rsidR="00732426">
              <w:t>.</w:t>
            </w:r>
          </w:p>
          <w:p w14:paraId="0426C537" w14:textId="1701267D" w:rsidR="005304D3" w:rsidRDefault="005304D3" w:rsidP="00ED5DC4">
            <w:pPr>
              <w:pStyle w:val="TableBullet"/>
              <w:spacing w:after="40"/>
            </w:pPr>
            <w:r>
              <w:t>Every chilly bin requires its own data logger</w:t>
            </w:r>
            <w:r w:rsidR="00732426">
              <w:t>.</w:t>
            </w:r>
          </w:p>
          <w:p w14:paraId="79978379" w14:textId="77777777" w:rsidR="009A7CEC" w:rsidRDefault="005304D3" w:rsidP="00ED5DC4">
            <w:pPr>
              <w:pStyle w:val="TableBullet"/>
              <w:spacing w:after="40"/>
            </w:pPr>
            <w:r>
              <w:t xml:space="preserve">The data logger should have a probe that sits in with the vaccines, an external visible display and an audible alarm, that is set to go off it the temperature goes outside the </w:t>
            </w:r>
            <w:r w:rsidRPr="00BC451B">
              <w:t>+2°C to +8°C range</w:t>
            </w:r>
          </w:p>
          <w:p w14:paraId="5CB3D0C3" w14:textId="61875424" w:rsidR="00A945DE" w:rsidRPr="00BC451B" w:rsidRDefault="00A945DE" w:rsidP="00ED5DC4">
            <w:pPr>
              <w:pStyle w:val="TableBullet"/>
              <w:spacing w:after="40"/>
            </w:pPr>
            <w:r>
              <w:t>Record m</w:t>
            </w:r>
            <w:r w:rsidRPr="00BC451B">
              <w:t>in</w:t>
            </w:r>
            <w:r w:rsidR="00BE310D">
              <w:t>imum</w:t>
            </w:r>
            <w:r w:rsidRPr="00BC451B">
              <w:t>/</w:t>
            </w:r>
            <w:r>
              <w:t>m</w:t>
            </w:r>
            <w:r w:rsidRPr="00BC451B">
              <w:t>ax</w:t>
            </w:r>
            <w:r w:rsidR="00BE310D">
              <w:t>imum</w:t>
            </w:r>
            <w:r w:rsidRPr="00BC451B">
              <w:t xml:space="preserve"> temperatures every 20</w:t>
            </w:r>
            <w:r w:rsidR="00990163">
              <w:t>-30</w:t>
            </w:r>
            <w:r w:rsidRPr="00BC451B">
              <w:t xml:space="preserve"> min</w:t>
            </w:r>
            <w:r w:rsidR="007C0BAD">
              <w:t>ute</w:t>
            </w:r>
            <w:r w:rsidRPr="00BC451B">
              <w:t xml:space="preserve">s while </w:t>
            </w:r>
            <w:r>
              <w:t xml:space="preserve">the </w:t>
            </w:r>
            <w:r w:rsidR="007C0BAD">
              <w:t>vaccines are</w:t>
            </w:r>
            <w:r w:rsidRPr="00BC451B">
              <w:t xml:space="preserve"> being used on site.</w:t>
            </w:r>
          </w:p>
          <w:p w14:paraId="720A9CAE" w14:textId="7933B79D" w:rsidR="005304D3" w:rsidRDefault="005304D3" w:rsidP="007C0BAD">
            <w:pPr>
              <w:pStyle w:val="TableBullet"/>
            </w:pPr>
            <w:r>
              <w:t>The data logger must be downloaded and the information save at the end of each vaccination day i.e. on return to base</w:t>
            </w:r>
          </w:p>
        </w:tc>
      </w:tr>
      <w:tr w:rsidR="00A945DE" w14:paraId="5620B7C9" w14:textId="77777777" w:rsidTr="0005755C">
        <w:trPr>
          <w:cantSplit/>
        </w:trPr>
        <w:tc>
          <w:tcPr>
            <w:tcW w:w="9356" w:type="dxa"/>
            <w:tcBorders>
              <w:left w:val="nil"/>
              <w:bottom w:val="nil"/>
              <w:right w:val="nil"/>
            </w:tcBorders>
          </w:tcPr>
          <w:p w14:paraId="09928C65" w14:textId="77777777" w:rsidR="00A945DE" w:rsidRDefault="00BE310D" w:rsidP="003B57D9">
            <w:pPr>
              <w:pStyle w:val="TableText"/>
              <w:spacing w:before="0" w:after="0"/>
            </w:pPr>
            <w:r>
              <w:rPr>
                <w:noProof/>
                <w:lang w:eastAsia="en-NZ"/>
              </w:rPr>
              <mc:AlternateContent>
                <mc:Choice Requires="wps">
                  <w:drawing>
                    <wp:anchor distT="0" distB="0" distL="114300" distR="114300" simplePos="0" relativeHeight="251663360" behindDoc="0" locked="0" layoutInCell="1" allowOverlap="1" wp14:anchorId="5A264FA4" wp14:editId="0ACA231E">
                      <wp:simplePos x="0" y="0"/>
                      <wp:positionH relativeFrom="column">
                        <wp:posOffset>2780665</wp:posOffset>
                      </wp:positionH>
                      <wp:positionV relativeFrom="paragraph">
                        <wp:posOffset>-5080</wp:posOffset>
                      </wp:positionV>
                      <wp:extent cx="0" cy="340360"/>
                      <wp:effectExtent l="76200" t="0" r="76200" b="59690"/>
                      <wp:wrapNone/>
                      <wp:docPr id="20" name="Straight Arrow Connector 20"/>
                      <wp:cNvGraphicFramePr/>
                      <a:graphic xmlns:a="http://schemas.openxmlformats.org/drawingml/2006/main">
                        <a:graphicData uri="http://schemas.microsoft.com/office/word/2010/wordprocessingShape">
                          <wps:wsp>
                            <wps:cNvCnPr/>
                            <wps:spPr>
                              <a:xfrm>
                                <a:off x="0" y="0"/>
                                <a:ext cx="0" cy="34036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4A134EB6" id="Straight Arrow Connector 20" o:spid="_x0000_s1026" type="#_x0000_t32" style="position:absolute;margin-left:218.95pt;margin-top:-.4pt;width:0;height:26.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4U/AEAAHAEAAAOAAAAZHJzL2Uyb0RvYy54bWysVNuO0zAQfUfiHyy/06RdtEJR0xXqsrwg&#10;qFj4AK89biz5prFp2r9n7LQpdwnEi+PLnJlzjsdZ3x2dZQfAZILv+XLRcgZeBmX8vuefPz28eMVZ&#10;ysIrYYOHnp8g8bvN82frMXawCkOwCpBREp+6MfZ8yDl2TZPkAE6kRYjg6VAHdCLTEveNQjFSdmeb&#10;VdveNmNAFTFISIl276dDvqn5tQaZP2idIDPbc+KW64h1fCpjs1mLbo8iDkaeaYh/YOGE8VR0TnUv&#10;smBf0PyUyhmJIQWdFzK4JmhtJFQNpGbZ/qDmcRARqhYyJ8XZpvT/0sr3hx0yo3q+Inu8cHRHjxmF&#10;2Q+ZvUYMI9sG78nHgIxCyK8xpo5gW7/D8yrFHRbxR42ufEkWO1aPT7PHcMxMTpuSdm9etje3NV1z&#10;xUVM+S0Ex8qk5+nMYyawrBaLw7uUqTIBL4BS1PoypmCNejDW1kXpIthaZAdB95+Py8KfcN9FDSDU&#10;G69YPkUS76lNORt77kBxZoG6uswIJ7osjL1GZjTC7+1voqlKYdQUtyZ/6iyfLExsP4Im38mRSVXt&#10;+CtXISX4fOFrPUUXmCZlM7CtdvwReI4vUKiv4W/AM6JWDj7PYGd8wF9Vv1qsp/iLA5PuYsFTUKfa&#10;OdUaaut6I+cnWN7Nt+sKv/4oNl8BAAD//wMAUEsDBBQABgAIAAAAIQDAh3q73QAAAAgBAAAPAAAA&#10;ZHJzL2Rvd25yZXYueG1sTI/NTsMwEITvSLyDtUjcqNMA/QnZVAWJIi6tKIizG2+TCHsdxU4beHpc&#10;cSjH0YxmvskXgzXiQJ1vHCOMRwkI4tLphiuEj/fnmxkIHxRrZRwTwjd5WBSXF7nKtDvyGx22oRKx&#10;hH2mEOoQ2kxKX9ZklR+5ljh6e9dZFaLsKqk7dYzl1sg0SSbSqobjQq1aeqqp/Nr2FmH64tbNej5s&#10;UurT1XLz8/n4alaI11fD8gFEoCGcw3DCj+hQRKad61l7YRDubqfzGEU4PYj+n94h3KczkEUu/x8o&#10;fgEAAP//AwBQSwECLQAUAAYACAAAACEAtoM4kv4AAADhAQAAEwAAAAAAAAAAAAAAAAAAAAAAW0Nv&#10;bnRlbnRfVHlwZXNdLnhtbFBLAQItABQABgAIAAAAIQA4/SH/1gAAAJQBAAALAAAAAAAAAAAAAAAA&#10;AC8BAABfcmVscy8ucmVsc1BLAQItABQABgAIAAAAIQDxID4U/AEAAHAEAAAOAAAAAAAAAAAAAAAA&#10;AC4CAABkcnMvZTJvRG9jLnhtbFBLAQItABQABgAIAAAAIQDAh3q73QAAAAgBAAAPAAAAAAAAAAAA&#10;AAAAAFYEAABkcnMvZG93bnJldi54bWxQSwUGAAAAAAQABADzAAAAYAUAAAAA&#10;" strokecolor="black [3213]">
                      <v:stroke endarrow="block"/>
                    </v:shape>
                  </w:pict>
                </mc:Fallback>
              </mc:AlternateContent>
            </w:r>
          </w:p>
        </w:tc>
      </w:tr>
      <w:tr w:rsidR="00A945DE" w:rsidRPr="00A945DE" w14:paraId="2CC03570" w14:textId="77777777" w:rsidTr="0005755C">
        <w:trPr>
          <w:cantSplit/>
        </w:trPr>
        <w:tc>
          <w:tcPr>
            <w:tcW w:w="9356" w:type="dxa"/>
            <w:tcBorders>
              <w:top w:val="nil"/>
              <w:left w:val="nil"/>
              <w:right w:val="nil"/>
            </w:tcBorders>
          </w:tcPr>
          <w:p w14:paraId="40378398" w14:textId="77777777" w:rsidR="00A945DE" w:rsidRPr="00A945DE" w:rsidRDefault="00A945DE" w:rsidP="0005755C">
            <w:pPr>
              <w:pStyle w:val="TableText"/>
              <w:ind w:left="-57"/>
              <w:rPr>
                <w:b/>
              </w:rPr>
            </w:pPr>
            <w:r>
              <w:rPr>
                <w:b/>
              </w:rPr>
              <w:t>Stock management recommendations</w:t>
            </w:r>
          </w:p>
        </w:tc>
      </w:tr>
      <w:tr w:rsidR="00A945DE" w14:paraId="56A814CC" w14:textId="77777777" w:rsidTr="0005755C">
        <w:trPr>
          <w:cantSplit/>
        </w:trPr>
        <w:tc>
          <w:tcPr>
            <w:tcW w:w="9356" w:type="dxa"/>
          </w:tcPr>
          <w:p w14:paraId="64CECDA5" w14:textId="77777777" w:rsidR="00A945DE" w:rsidRPr="006A756A" w:rsidRDefault="00A945DE" w:rsidP="00ED5DC4">
            <w:pPr>
              <w:pStyle w:val="TableBullet"/>
              <w:spacing w:before="60" w:after="40"/>
            </w:pPr>
            <w:r w:rsidRPr="006A756A">
              <w:t>Minimise wastage of vaccine through appropriate ordering, rotation of stock and keeping vaccine transportation to a minimum.</w:t>
            </w:r>
          </w:p>
          <w:p w14:paraId="6CB4297A" w14:textId="77777777" w:rsidR="00A945DE" w:rsidRDefault="00A945DE" w:rsidP="00A945DE">
            <w:pPr>
              <w:pStyle w:val="TableBullet"/>
            </w:pPr>
            <w:r w:rsidRPr="006A756A">
              <w:t>Only transport the required number of vaccine doses for each clinic.</w:t>
            </w:r>
          </w:p>
        </w:tc>
      </w:tr>
      <w:tr w:rsidR="00A945DE" w14:paraId="77B49909" w14:textId="77777777" w:rsidTr="0005755C">
        <w:trPr>
          <w:cantSplit/>
        </w:trPr>
        <w:tc>
          <w:tcPr>
            <w:tcW w:w="9356" w:type="dxa"/>
            <w:tcBorders>
              <w:left w:val="nil"/>
              <w:bottom w:val="nil"/>
              <w:right w:val="nil"/>
            </w:tcBorders>
          </w:tcPr>
          <w:p w14:paraId="0932AA1C" w14:textId="77777777" w:rsidR="00A945DE" w:rsidRDefault="00BE310D" w:rsidP="003B57D9">
            <w:pPr>
              <w:pStyle w:val="TableText"/>
              <w:spacing w:before="0" w:after="0"/>
            </w:pPr>
            <w:r>
              <w:rPr>
                <w:noProof/>
                <w:lang w:eastAsia="en-NZ"/>
              </w:rPr>
              <mc:AlternateContent>
                <mc:Choice Requires="wps">
                  <w:drawing>
                    <wp:anchor distT="0" distB="0" distL="114300" distR="114300" simplePos="0" relativeHeight="251665408" behindDoc="0" locked="0" layoutInCell="1" allowOverlap="1" wp14:anchorId="07B1F5E4" wp14:editId="5132E3F3">
                      <wp:simplePos x="0" y="0"/>
                      <wp:positionH relativeFrom="column">
                        <wp:posOffset>2780665</wp:posOffset>
                      </wp:positionH>
                      <wp:positionV relativeFrom="paragraph">
                        <wp:posOffset>-1270</wp:posOffset>
                      </wp:positionV>
                      <wp:extent cx="0" cy="340360"/>
                      <wp:effectExtent l="76200" t="0" r="76200" b="59690"/>
                      <wp:wrapNone/>
                      <wp:docPr id="21" name="Straight Arrow Connector 21"/>
                      <wp:cNvGraphicFramePr/>
                      <a:graphic xmlns:a="http://schemas.openxmlformats.org/drawingml/2006/main">
                        <a:graphicData uri="http://schemas.microsoft.com/office/word/2010/wordprocessingShape">
                          <wps:wsp>
                            <wps:cNvCnPr/>
                            <wps:spPr>
                              <a:xfrm>
                                <a:off x="0" y="0"/>
                                <a:ext cx="0" cy="34036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5CAB8898" id="Straight Arrow Connector 21" o:spid="_x0000_s1026" type="#_x0000_t32" style="position:absolute;margin-left:218.95pt;margin-top:-.1pt;width:0;height:26.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r5+wEAAHAEAAAOAAAAZHJzL2Uyb0RvYy54bWysVNuO0zAQfUfiHyy/06RdtEJV0xXqsrwg&#10;qFj4AK89biz5prFp2r9n7LQJdwnEi+PLnJlzjsfZ3J2cZUfAZILv+HLRcgZeBmX8oeOfPz28eMVZ&#10;ysIrYYOHjp8h8bvt82ebIa5hFfpgFSCjJD6th9jxPue4bpoke3AiLUIET4c6oBOZlnhoFIqBsjvb&#10;rNr2thkCqohBQkq0ez8e8m3NrzXI/EHrBJnZjhO3XEes41MZm+1GrA8oYm/khYb4BxZOGE9Fp1T3&#10;Igv2Bc1PqZyRGFLQeSGDa4LWRkLVQGqW7Q9qHnsRoWohc1KcbEr/L618f9wjM6rjqyVnXji6o8eM&#10;whz6zF4jhoHtgvfkY0BGIeTXENOaYDu/x8sqxT0W8SeNrnxJFjtVj8+Tx3DKTI6bknZvXrY3t9X+&#10;ZsZFTPktBMfKpOPpwmMisKwWi+O7lKkyAa+AUtT6MqZgjXow1tZF6SLYWWRHQfefT5U/4b6L6kGo&#10;N16xfI4k3lObcjZ03IHizAJ1dZnVPsnC2DkyoxH+YH8TTVUKo6a4NfpTZ/lsYWT7ETT5To6MqmrH&#10;z1yFlODzla/1FF1gmpRNwLba8UfgJb5Aob6GvwFPiFo5+DyBnfEBf1V9tliP8VcHRt3FgqegzrVz&#10;qjXU1vUmL0+wvJtv1xU+/yi2XwEAAP//AwBQSwMEFAAGAAgAAAAhAKSy5L/eAAAACAEAAA8AAABk&#10;cnMvZG93bnJldi54bWxMj0FPwkAUhO8m/ofNM/EGWwuK1L4SNBHDBQIYz0v32Tbuvm26W6j+etd4&#10;0ONkJjPf5IvBGnGizjeOEW7GCQji0umGK4TXw/PoHoQPirUyjgnhkzwsisuLXGXanXlHp32oRCxh&#10;nymEOoQ2k9KXNVnlx64ljt6766wKUXaV1J06x3JrZJokd9KqhuNCrVp6qqn82PcWYfbiNs1mPmxT&#10;6tPVcvv19rg2K8Trq2H5ACLQEP7C8IMf0aGITEfXs/bCIEwns3mMIoxSENH/1UeE28kUZJHL/weK&#10;bwAAAP//AwBQSwECLQAUAAYACAAAACEAtoM4kv4AAADhAQAAEwAAAAAAAAAAAAAAAAAAAAAAW0Nv&#10;bnRlbnRfVHlwZXNdLnhtbFBLAQItABQABgAIAAAAIQA4/SH/1gAAAJQBAAALAAAAAAAAAAAAAAAA&#10;AC8BAABfcmVscy8ucmVsc1BLAQItABQABgAIAAAAIQBZbKr5+wEAAHAEAAAOAAAAAAAAAAAAAAAA&#10;AC4CAABkcnMvZTJvRG9jLnhtbFBLAQItABQABgAIAAAAIQCksuS/3gAAAAgBAAAPAAAAAAAAAAAA&#10;AAAAAFUEAABkcnMvZG93bnJldi54bWxQSwUGAAAAAAQABADzAAAAYAUAAAAA&#10;" strokecolor="black [3213]">
                      <v:stroke endarrow="block"/>
                    </v:shape>
                  </w:pict>
                </mc:Fallback>
              </mc:AlternateContent>
            </w:r>
          </w:p>
        </w:tc>
      </w:tr>
      <w:tr w:rsidR="00A945DE" w:rsidRPr="00A945DE" w14:paraId="05A9139C" w14:textId="77777777" w:rsidTr="0005755C">
        <w:trPr>
          <w:cantSplit/>
        </w:trPr>
        <w:tc>
          <w:tcPr>
            <w:tcW w:w="9356" w:type="dxa"/>
            <w:tcBorders>
              <w:top w:val="nil"/>
              <w:left w:val="nil"/>
              <w:right w:val="nil"/>
            </w:tcBorders>
          </w:tcPr>
          <w:p w14:paraId="665FD631" w14:textId="5D77BD18" w:rsidR="00A945DE" w:rsidRPr="00A945DE" w:rsidRDefault="00A945DE" w:rsidP="0005755C">
            <w:pPr>
              <w:pStyle w:val="TableText"/>
              <w:keepNext/>
              <w:ind w:left="-57"/>
              <w:rPr>
                <w:b/>
              </w:rPr>
            </w:pPr>
            <w:r>
              <w:rPr>
                <w:b/>
              </w:rPr>
              <w:lastRenderedPageBreak/>
              <w:t>Transportation recommendations</w:t>
            </w:r>
          </w:p>
        </w:tc>
      </w:tr>
      <w:tr w:rsidR="00A945DE" w14:paraId="50F46B21" w14:textId="77777777" w:rsidTr="0005755C">
        <w:trPr>
          <w:cantSplit/>
        </w:trPr>
        <w:tc>
          <w:tcPr>
            <w:tcW w:w="9356" w:type="dxa"/>
          </w:tcPr>
          <w:p w14:paraId="4261FA2C" w14:textId="0301110B" w:rsidR="00A945DE" w:rsidRDefault="00A945DE" w:rsidP="00ED5DC4">
            <w:pPr>
              <w:pStyle w:val="TableBullet"/>
              <w:spacing w:before="60" w:after="40"/>
            </w:pPr>
            <w:r w:rsidRPr="00BC451B">
              <w:t>Solid</w:t>
            </w:r>
            <w:r>
              <w:t>-</w:t>
            </w:r>
            <w:r w:rsidRPr="00BC451B">
              <w:t xml:space="preserve">wall chilly bins are preferred. Polystyrene containers are not </w:t>
            </w:r>
            <w:r w:rsidR="007C0BAD">
              <w:t>considered appropriate for SBIPs.</w:t>
            </w:r>
          </w:p>
          <w:p w14:paraId="43C75428" w14:textId="107ACBCF" w:rsidR="00A945DE" w:rsidRDefault="00A945DE" w:rsidP="00793078">
            <w:pPr>
              <w:pStyle w:val="TableBullet"/>
            </w:pPr>
            <w:r w:rsidRPr="00BC451B">
              <w:t>Take extra ice packs in a separate chilly bin, especially in the summer</w:t>
            </w:r>
            <w:r w:rsidR="00732426">
              <w:t xml:space="preserve"> as</w:t>
            </w:r>
            <w:r w:rsidRPr="00BC451B">
              <w:t xml:space="preserve"> </w:t>
            </w:r>
            <w:r>
              <w:t>t</w:t>
            </w:r>
            <w:r w:rsidRPr="00BC451B">
              <w:t>his is when the vaccine</w:t>
            </w:r>
            <w:r>
              <w:t>s are at their most vulnerable.</w:t>
            </w:r>
          </w:p>
        </w:tc>
      </w:tr>
      <w:tr w:rsidR="00A945DE" w14:paraId="6FF3B2EC" w14:textId="77777777" w:rsidTr="0005755C">
        <w:trPr>
          <w:cantSplit/>
        </w:trPr>
        <w:tc>
          <w:tcPr>
            <w:tcW w:w="9356" w:type="dxa"/>
            <w:tcBorders>
              <w:left w:val="nil"/>
              <w:bottom w:val="nil"/>
              <w:right w:val="nil"/>
            </w:tcBorders>
          </w:tcPr>
          <w:p w14:paraId="4BBEC0B5" w14:textId="77777777" w:rsidR="00A945DE" w:rsidRDefault="00BE310D" w:rsidP="003B57D9">
            <w:pPr>
              <w:pStyle w:val="TableText"/>
              <w:spacing w:before="0" w:after="0"/>
            </w:pPr>
            <w:r>
              <w:rPr>
                <w:noProof/>
                <w:lang w:eastAsia="en-NZ"/>
              </w:rPr>
              <mc:AlternateContent>
                <mc:Choice Requires="wps">
                  <w:drawing>
                    <wp:anchor distT="0" distB="0" distL="114300" distR="114300" simplePos="0" relativeHeight="251667456" behindDoc="0" locked="0" layoutInCell="1" allowOverlap="1" wp14:anchorId="285FBCFE" wp14:editId="7BE21C55">
                      <wp:simplePos x="0" y="0"/>
                      <wp:positionH relativeFrom="column">
                        <wp:posOffset>2780665</wp:posOffset>
                      </wp:positionH>
                      <wp:positionV relativeFrom="paragraph">
                        <wp:posOffset>-3810</wp:posOffset>
                      </wp:positionV>
                      <wp:extent cx="0" cy="340360"/>
                      <wp:effectExtent l="76200" t="0" r="76200" b="59690"/>
                      <wp:wrapNone/>
                      <wp:docPr id="22" name="Straight Arrow Connector 22"/>
                      <wp:cNvGraphicFramePr/>
                      <a:graphic xmlns:a="http://schemas.openxmlformats.org/drawingml/2006/main">
                        <a:graphicData uri="http://schemas.microsoft.com/office/word/2010/wordprocessingShape">
                          <wps:wsp>
                            <wps:cNvCnPr/>
                            <wps:spPr>
                              <a:xfrm>
                                <a:off x="0" y="0"/>
                                <a:ext cx="0" cy="34036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181FE3D4" id="Straight Arrow Connector 22" o:spid="_x0000_s1026" type="#_x0000_t32" style="position:absolute;margin-left:218.95pt;margin-top:-.3pt;width:0;height:26.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cU/AEAAHAEAAAOAAAAZHJzL2Uyb0RvYy54bWysVNuO0zAQfUfiHyy/06RdtEJR0xXqsrwg&#10;qFj4AK89biz5prFp2r9n7LQpdwnEi+PLnJlzjsdZ3x2dZQfAZILv+XLRcgZeBmX8vuefPz28eMVZ&#10;ysIrYYOHnp8g8bvN82frMXawCkOwCpBREp+6MfZ8yDl2TZPkAE6kRYjg6VAHdCLTEveNQjFSdmeb&#10;VdveNmNAFTFISIl276dDvqn5tQaZP2idIDPbc+KW64h1fCpjs1mLbo8iDkaeaYh/YOGE8VR0TnUv&#10;smBf0PyUyhmJIQWdFzK4JmhtJFQNpGbZ/qDmcRARqhYyJ8XZpvT/0sr3hx0yo3q+WnHmhaM7eswo&#10;zH7I7DViGNk2eE8+BmQUQn6NMXUE2/odnlcp7rCIP2p05Uuy2LF6fJo9hmNmctqUtHvzsr25rfY3&#10;V1zElN9CcKxMep7OPGYCy2qxOLxLmSoT8AIoRa0vYwrWqAdjbV2ULoKtRXYQdP/5uCz8Cfdd1ABC&#10;vfGK5VMk8Z7alLOx5w4UZxaoq8uMcKLLwthrZEYj/N7+JpqqFEZNcWvyp87yycLE9iNo8p0cmVTV&#10;jr9yFVKCzxe+1lN0gWlSNgPbascfgef4AoX6Gv4GPCNq5eDzDHbGB/xV9avFeoq/ODDpLhY8BXWq&#10;nVOtobauN3J+guXdfLuu8OuPYvMVAAD//wMAUEsDBBQABgAIAAAAIQDR59xu3gAAAAgBAAAPAAAA&#10;ZHJzL2Rvd25yZXYueG1sTI9BT8JAFITvJv6HzTPxBluLgtS+EjQRwwUCGM9L99k27r5tuluo/nrX&#10;eNDjZCYz3+SLwRpxos43jhFuxgkI4tLphiuE18Pz6B6ED4q1Mo4J4ZM8LIrLi1xl2p15R6d9qEQs&#10;YZ8phDqENpPSlzVZ5ceuJY7eu+usClF2ldSdOsdya2SaJFNpVcNxoVYtPdVUfux7izB7cZtmMx+2&#10;KfXparn9entcmxXi9dWwfAARaAh/YfjBj+hQRKaj61l7YRBuJ7N5jCKMpiCi/6uPCHeTBGSRy/8H&#10;im8AAAD//wMAUEsBAi0AFAAGAAgAAAAhALaDOJL+AAAA4QEAABMAAAAAAAAAAAAAAAAAAAAAAFtD&#10;b250ZW50X1R5cGVzXS54bWxQSwECLQAUAAYACAAAACEAOP0h/9YAAACUAQAACwAAAAAAAAAAAAAA&#10;AAAvAQAAX3JlbHMvLnJlbHNQSwECLQAUAAYACAAAACEA4L9nFPwBAABwBAAADgAAAAAAAAAAAAAA&#10;AAAuAgAAZHJzL2Uyb0RvYy54bWxQSwECLQAUAAYACAAAACEA0efcbt4AAAAIAQAADwAAAAAAAAAA&#10;AAAAAABWBAAAZHJzL2Rvd25yZXYueG1sUEsFBgAAAAAEAAQA8wAAAGEFAAAAAA==&#10;" strokecolor="black [3213]">
                      <v:stroke endarrow="block"/>
                    </v:shape>
                  </w:pict>
                </mc:Fallback>
              </mc:AlternateContent>
            </w:r>
          </w:p>
        </w:tc>
      </w:tr>
      <w:tr w:rsidR="00A945DE" w:rsidRPr="00A945DE" w14:paraId="4623AD06" w14:textId="77777777" w:rsidTr="0005755C">
        <w:trPr>
          <w:cantSplit/>
        </w:trPr>
        <w:tc>
          <w:tcPr>
            <w:tcW w:w="9356" w:type="dxa"/>
            <w:tcBorders>
              <w:top w:val="nil"/>
              <w:left w:val="nil"/>
              <w:right w:val="nil"/>
            </w:tcBorders>
          </w:tcPr>
          <w:p w14:paraId="7323F966" w14:textId="77777777" w:rsidR="00A945DE" w:rsidRPr="00A945DE" w:rsidRDefault="00A945DE" w:rsidP="0005755C">
            <w:pPr>
              <w:pStyle w:val="TableText"/>
              <w:ind w:left="-57"/>
              <w:rPr>
                <w:b/>
              </w:rPr>
            </w:pPr>
            <w:r>
              <w:rPr>
                <w:b/>
              </w:rPr>
              <w:t>Vaccine disposal</w:t>
            </w:r>
          </w:p>
        </w:tc>
      </w:tr>
      <w:tr w:rsidR="00A945DE" w14:paraId="6D1A01FD" w14:textId="77777777" w:rsidTr="0005755C">
        <w:trPr>
          <w:cantSplit/>
        </w:trPr>
        <w:tc>
          <w:tcPr>
            <w:tcW w:w="9356" w:type="dxa"/>
          </w:tcPr>
          <w:p w14:paraId="61B19977" w14:textId="77777777" w:rsidR="00A945DE" w:rsidRDefault="00A945DE" w:rsidP="00ED5DC4">
            <w:pPr>
              <w:pStyle w:val="TableBullet"/>
              <w:spacing w:before="60" w:after="40"/>
            </w:pPr>
            <w:r w:rsidRPr="00BC451B">
              <w:t>Return unused vaccine at the end of each immunisation session, ensuring it is logged into the inventory on the basis that it is first out (used) for the next available immunisation session.</w:t>
            </w:r>
          </w:p>
          <w:p w14:paraId="755965B6" w14:textId="5AF785CC" w:rsidR="00A945DE" w:rsidRPr="00BC451B" w:rsidRDefault="00A945DE" w:rsidP="00ED5DC4">
            <w:pPr>
              <w:pStyle w:val="TableBullet"/>
              <w:spacing w:after="40"/>
            </w:pPr>
            <w:r w:rsidRPr="00BC451B">
              <w:t xml:space="preserve">The immunisation coordinator or cold chain coordinator for the DHB must be consulted </w:t>
            </w:r>
            <w:r w:rsidR="005304D3">
              <w:t xml:space="preserve">if vaccines have been exposed to temperatures outside the </w:t>
            </w:r>
            <w:r w:rsidR="005304D3" w:rsidRPr="00BC451B">
              <w:t>+2°C to +8°C range</w:t>
            </w:r>
            <w:r w:rsidR="005304D3">
              <w:t>.</w:t>
            </w:r>
          </w:p>
          <w:p w14:paraId="019FDE26" w14:textId="51E97C18" w:rsidR="00A945DE" w:rsidRDefault="00A945DE" w:rsidP="00732426">
            <w:pPr>
              <w:pStyle w:val="TableBullet"/>
            </w:pPr>
            <w:r w:rsidRPr="00BC451B">
              <w:t xml:space="preserve">Ensure any vaccines subjected to a cold chain event, damaged, </w:t>
            </w:r>
            <w:r w:rsidR="00732426">
              <w:t>expired</w:t>
            </w:r>
            <w:r w:rsidRPr="00BC451B">
              <w:t xml:space="preserve"> or discoloured etc are returned to the vaccine distributor (ProPharma) and clearly labelled that they are for destruction and disposal as per the </w:t>
            </w:r>
            <w:r>
              <w:t>Resource Management Act (1991).</w:t>
            </w:r>
          </w:p>
        </w:tc>
      </w:tr>
    </w:tbl>
    <w:p w14:paraId="2E4E6C1F" w14:textId="77777777" w:rsidR="0005755C" w:rsidRDefault="0005755C" w:rsidP="0005755C">
      <w:bookmarkStart w:id="591" w:name="_Toc454971530"/>
      <w:bookmarkStart w:id="592" w:name="_Toc465165488"/>
    </w:p>
    <w:p w14:paraId="19CB2ADE" w14:textId="44208300" w:rsidR="003C1D1F" w:rsidRPr="005D1DD1" w:rsidRDefault="003C1D1F" w:rsidP="0005755C">
      <w:pPr>
        <w:pStyle w:val="Heading2"/>
      </w:pPr>
      <w:r w:rsidRPr="0005755C">
        <w:t>Vaccine</w:t>
      </w:r>
      <w:r w:rsidRPr="005D1DD1">
        <w:t xml:space="preserve"> supply from ProPharma Limited</w:t>
      </w:r>
      <w:bookmarkEnd w:id="591"/>
      <w:bookmarkEnd w:id="592"/>
    </w:p>
    <w:p w14:paraId="22385181" w14:textId="054A91E5" w:rsidR="003C1D1F" w:rsidRPr="00BC451B" w:rsidRDefault="003C1D1F" w:rsidP="00F13D5D">
      <w:r w:rsidRPr="00BC451B">
        <w:t>National Immunisation Schedule (Schedule) vaccines are stored and distributed by ProPharma and they can be ordered online.</w:t>
      </w:r>
      <w:r>
        <w:t xml:space="preserve"> The a</w:t>
      </w:r>
      <w:r w:rsidRPr="00BC451B">
        <w:t xml:space="preserve">cceptable timeframe from time of dispatch </w:t>
      </w:r>
      <w:r w:rsidR="00732426">
        <w:t>by</w:t>
      </w:r>
      <w:r w:rsidR="00732426" w:rsidRPr="00BC451B">
        <w:t xml:space="preserve"> </w:t>
      </w:r>
      <w:r w:rsidRPr="00BC451B">
        <w:t xml:space="preserve">ProPharma to delivery to the vaccination provider will be stated on the vaccine packaging. </w:t>
      </w:r>
      <w:r w:rsidRPr="005D1DD1">
        <w:t>The type of packing method being used for vaccine deliveries has been extensively trial</w:t>
      </w:r>
      <w:r w:rsidR="006F588A">
        <w:t>l</w:t>
      </w:r>
      <w:r w:rsidRPr="005D1DD1">
        <w:t>ed and independently validated to ensure maintenance of vaccine temperature between +2</w:t>
      </w:r>
      <w:r w:rsidRPr="005D1DD1">
        <w:sym w:font="Symbol" w:char="F0B0"/>
      </w:r>
      <w:r w:rsidRPr="005D1DD1">
        <w:t>C and +8</w:t>
      </w:r>
      <w:r w:rsidRPr="005D1DD1">
        <w:sym w:font="Symbol" w:char="F0B0"/>
      </w:r>
      <w:r w:rsidRPr="005D1DD1">
        <w:t>C throughout transportation.</w:t>
      </w:r>
    </w:p>
    <w:p w14:paraId="659B86F2" w14:textId="77777777" w:rsidR="003C1D1F" w:rsidRPr="00BC451B" w:rsidRDefault="003C1D1F" w:rsidP="00F13D5D"/>
    <w:p w14:paraId="2F717425" w14:textId="77777777" w:rsidR="003C1D1F" w:rsidRPr="005D1DD1" w:rsidRDefault="003C1D1F" w:rsidP="00F13D5D">
      <w:pPr>
        <w:pStyle w:val="Heading2"/>
      </w:pPr>
      <w:bookmarkStart w:id="593" w:name="_Toc454971533"/>
      <w:bookmarkStart w:id="594" w:name="_Toc465165489"/>
      <w:r w:rsidRPr="005D1DD1">
        <w:t>Guidelines for the purchase of chilly bins for off-site immunisations</w:t>
      </w:r>
      <w:bookmarkEnd w:id="593"/>
      <w:bookmarkEnd w:id="594"/>
    </w:p>
    <w:p w14:paraId="2E818071" w14:textId="77777777" w:rsidR="003C1D1F" w:rsidRDefault="003C1D1F" w:rsidP="00F13D5D">
      <w:pPr>
        <w:rPr>
          <w:rStyle w:val="Hyperlink"/>
        </w:rPr>
      </w:pPr>
      <w:r>
        <w:t xml:space="preserve">See the Immunisation Advisory Centre (2015a) </w:t>
      </w:r>
      <w:r w:rsidRPr="00BC451B">
        <w:rPr>
          <w:i/>
        </w:rPr>
        <w:t>Interim Guidelines for Purchase of Chilly bins for Off-site Immunisations</w:t>
      </w:r>
      <w:r>
        <w:t>,</w:t>
      </w:r>
      <w:r w:rsidRPr="00BC451B">
        <w:t xml:space="preserve"> which can be accessed online at: </w:t>
      </w:r>
      <w:hyperlink r:id="rId26" w:history="1">
        <w:r w:rsidR="00F13D5D" w:rsidRPr="007650B8">
          <w:rPr>
            <w:rStyle w:val="Hyperlink"/>
          </w:rPr>
          <w:t>www.immune.org.nz/sites/default/files/resources/Chilly_Bin_Specs_Interim%20MoH%20Final.pdf</w:t>
        </w:r>
      </w:hyperlink>
    </w:p>
    <w:p w14:paraId="2BB530F3" w14:textId="77777777" w:rsidR="007C0BAD" w:rsidRDefault="007C0BAD" w:rsidP="00F13D5D">
      <w:pPr>
        <w:rPr>
          <w:rStyle w:val="Hyperlink"/>
        </w:rPr>
      </w:pPr>
    </w:p>
    <w:p w14:paraId="46114605" w14:textId="3C71959F" w:rsidR="007C0BAD" w:rsidRDefault="007C0BAD" w:rsidP="00F13D5D">
      <w:pPr>
        <w:rPr>
          <w:rStyle w:val="Hyperlink"/>
        </w:rPr>
      </w:pPr>
      <w:r>
        <w:rPr>
          <w:rStyle w:val="Hyperlink"/>
        </w:rPr>
        <w:t>In mid</w:t>
      </w:r>
      <w:r w:rsidR="0005755C">
        <w:rPr>
          <w:rStyle w:val="Hyperlink"/>
        </w:rPr>
        <w:t>-</w:t>
      </w:r>
      <w:r>
        <w:rPr>
          <w:rStyle w:val="Hyperlink"/>
        </w:rPr>
        <w:t xml:space="preserve">2017 the Immunisation Advisory Centre will complete their COOL Project, which </w:t>
      </w:r>
      <w:r w:rsidR="00732426">
        <w:rPr>
          <w:rStyle w:val="Hyperlink"/>
        </w:rPr>
        <w:t xml:space="preserve">will </w:t>
      </w:r>
      <w:r>
        <w:rPr>
          <w:rStyle w:val="Hyperlink"/>
        </w:rPr>
        <w:t>help inform future recommendation</w:t>
      </w:r>
      <w:r w:rsidR="00FA597B">
        <w:rPr>
          <w:rStyle w:val="Hyperlink"/>
        </w:rPr>
        <w:t>s</w:t>
      </w:r>
      <w:r>
        <w:rPr>
          <w:rStyle w:val="Hyperlink"/>
        </w:rPr>
        <w:t xml:space="preserve"> around the purchase of cold chain equipment for SBIP, the Ministry undertakes to update this document when that information is available.</w:t>
      </w:r>
    </w:p>
    <w:p w14:paraId="6E6B645D" w14:textId="77777777" w:rsidR="007C0BAD" w:rsidRDefault="007C0BAD" w:rsidP="00F13D5D">
      <w:pPr>
        <w:rPr>
          <w:rStyle w:val="Hyperlink"/>
        </w:rPr>
      </w:pPr>
    </w:p>
    <w:p w14:paraId="28F63A19" w14:textId="4D728707" w:rsidR="007C0BAD" w:rsidRDefault="007C0BAD" w:rsidP="00F13D5D">
      <w:r>
        <w:t xml:space="preserve">Each SBIP should be able to produce evidence that their system and equipment is able to </w:t>
      </w:r>
      <w:r w:rsidR="00AE1CDB">
        <w:t>maintain</w:t>
      </w:r>
      <w:r>
        <w:t xml:space="preserve"> the </w:t>
      </w:r>
      <w:r w:rsidRPr="00BC451B">
        <w:t>+2°C to +8°C range</w:t>
      </w:r>
      <w:r w:rsidR="00AE1CDB">
        <w:t xml:space="preserve"> for vaccine storage and transport.</w:t>
      </w:r>
    </w:p>
    <w:p w14:paraId="39293017" w14:textId="77777777" w:rsidR="00F13D5D" w:rsidRPr="00BC451B" w:rsidRDefault="00F13D5D" w:rsidP="00F13D5D"/>
    <w:p w14:paraId="55B06E21" w14:textId="77777777" w:rsidR="003C1D1F" w:rsidRPr="005D1DD1" w:rsidRDefault="003C1D1F" w:rsidP="00F13D5D">
      <w:pPr>
        <w:pStyle w:val="Heading2"/>
        <w:ind w:left="992" w:hanging="992"/>
      </w:pPr>
      <w:bookmarkStart w:id="595" w:name="_Toc454971538"/>
      <w:bookmarkStart w:id="596" w:name="_Toc465165490"/>
      <w:r w:rsidRPr="005D1DD1">
        <w:t>Managing cold chain events</w:t>
      </w:r>
      <w:bookmarkEnd w:id="595"/>
      <w:bookmarkEnd w:id="596"/>
    </w:p>
    <w:p w14:paraId="44BE6443" w14:textId="37167EB6" w:rsidR="003C1D1F" w:rsidRDefault="003C1D1F" w:rsidP="00E35F7C">
      <w:r w:rsidRPr="00BC451B">
        <w:t>The vaccine should be stored between +2°C to +8°C at all times. Situations where vaccine may have</w:t>
      </w:r>
      <w:r>
        <w:t>,</w:t>
      </w:r>
      <w:r w:rsidRPr="00BC451B">
        <w:t xml:space="preserve"> or has</w:t>
      </w:r>
      <w:r>
        <w:t>,</w:t>
      </w:r>
      <w:r w:rsidRPr="00BC451B">
        <w:t xml:space="preserve"> been exposed to temperatures below +2°C or above +8°C </w:t>
      </w:r>
      <w:r w:rsidR="00F27C15">
        <w:t>must</w:t>
      </w:r>
      <w:r w:rsidR="00F27C15" w:rsidRPr="00BC451B">
        <w:t xml:space="preserve"> </w:t>
      </w:r>
      <w:r w:rsidRPr="00BC451B">
        <w:t xml:space="preserve">be discussed with the local immunisation coordinator </w:t>
      </w:r>
      <w:r>
        <w:t>or</w:t>
      </w:r>
      <w:r w:rsidRPr="00BC451B">
        <w:t xml:space="preserve"> </w:t>
      </w:r>
      <w:r w:rsidR="00FA597B">
        <w:t>cold chain co-ordinator</w:t>
      </w:r>
      <w:r w:rsidRPr="00BC451B">
        <w:t xml:space="preserve"> </w:t>
      </w:r>
      <w:r w:rsidRPr="003836B6">
        <w:rPr>
          <w:i/>
        </w:rPr>
        <w:t>prior to any vaccine being administered or discarded</w:t>
      </w:r>
      <w:r w:rsidRPr="00F13D5D">
        <w:t>.</w:t>
      </w:r>
    </w:p>
    <w:p w14:paraId="7507E222" w14:textId="77777777" w:rsidR="0005755C" w:rsidRPr="005D1DD1" w:rsidRDefault="0005755C" w:rsidP="00E35F7C"/>
    <w:p w14:paraId="57192A77" w14:textId="77777777" w:rsidR="003C1D1F" w:rsidRPr="002641E6" w:rsidRDefault="003C1D1F" w:rsidP="00F13D5D">
      <w:pPr>
        <w:pStyle w:val="Heading1"/>
        <w:numPr>
          <w:ilvl w:val="0"/>
          <w:numId w:val="0"/>
        </w:numPr>
      </w:pPr>
      <w:bookmarkStart w:id="597" w:name="_Toc454528353"/>
      <w:bookmarkStart w:id="598" w:name="_Toc454528519"/>
      <w:bookmarkStart w:id="599" w:name="_Toc454528684"/>
      <w:bookmarkStart w:id="600" w:name="_Toc454528849"/>
      <w:bookmarkStart w:id="601" w:name="_Toc454529015"/>
      <w:bookmarkStart w:id="602" w:name="_Toc454528354"/>
      <w:bookmarkStart w:id="603" w:name="_Toc454528520"/>
      <w:bookmarkStart w:id="604" w:name="_Toc454528685"/>
      <w:bookmarkStart w:id="605" w:name="_Toc454528850"/>
      <w:bookmarkStart w:id="606" w:name="_Toc454529016"/>
      <w:bookmarkStart w:id="607" w:name="_Toc454528355"/>
      <w:bookmarkStart w:id="608" w:name="_Toc454528521"/>
      <w:bookmarkStart w:id="609" w:name="_Toc454528686"/>
      <w:bookmarkStart w:id="610" w:name="_Toc454528851"/>
      <w:bookmarkStart w:id="611" w:name="_Toc454529017"/>
      <w:bookmarkStart w:id="612" w:name="_Toc454528356"/>
      <w:bookmarkStart w:id="613" w:name="_Toc454528522"/>
      <w:bookmarkStart w:id="614" w:name="_Toc454528687"/>
      <w:bookmarkStart w:id="615" w:name="_Toc454528852"/>
      <w:bookmarkStart w:id="616" w:name="_Toc454529018"/>
      <w:bookmarkStart w:id="617" w:name="_Toc454528357"/>
      <w:bookmarkStart w:id="618" w:name="_Toc454528523"/>
      <w:bookmarkStart w:id="619" w:name="_Toc454528688"/>
      <w:bookmarkStart w:id="620" w:name="_Toc454528853"/>
      <w:bookmarkStart w:id="621" w:name="_Toc454529019"/>
      <w:bookmarkStart w:id="622" w:name="_Toc454528358"/>
      <w:bookmarkStart w:id="623" w:name="_Toc454528524"/>
      <w:bookmarkStart w:id="624" w:name="_Toc454528689"/>
      <w:bookmarkStart w:id="625" w:name="_Toc454528854"/>
      <w:bookmarkStart w:id="626" w:name="_Toc454529020"/>
      <w:bookmarkStart w:id="627" w:name="_Toc454528359"/>
      <w:bookmarkStart w:id="628" w:name="_Toc454528525"/>
      <w:bookmarkStart w:id="629" w:name="_Toc454528690"/>
      <w:bookmarkStart w:id="630" w:name="_Toc454528855"/>
      <w:bookmarkStart w:id="631" w:name="_Toc454529021"/>
      <w:bookmarkStart w:id="632" w:name="_Toc454528361"/>
      <w:bookmarkStart w:id="633" w:name="_Toc454528527"/>
      <w:bookmarkStart w:id="634" w:name="_Toc454528692"/>
      <w:bookmarkStart w:id="635" w:name="_Toc454528857"/>
      <w:bookmarkStart w:id="636" w:name="_Toc454529023"/>
      <w:bookmarkStart w:id="637" w:name="_Toc454528362"/>
      <w:bookmarkStart w:id="638" w:name="_Toc454528528"/>
      <w:bookmarkStart w:id="639" w:name="_Toc454528693"/>
      <w:bookmarkStart w:id="640" w:name="_Toc454528858"/>
      <w:bookmarkStart w:id="641" w:name="_Toc454529024"/>
      <w:bookmarkStart w:id="642" w:name="_Toc454528363"/>
      <w:bookmarkStart w:id="643" w:name="_Toc454528529"/>
      <w:bookmarkStart w:id="644" w:name="_Toc454528694"/>
      <w:bookmarkStart w:id="645" w:name="_Toc454528859"/>
      <w:bookmarkStart w:id="646" w:name="_Toc454529025"/>
      <w:bookmarkStart w:id="647" w:name="_Toc454528364"/>
      <w:bookmarkStart w:id="648" w:name="_Toc454528530"/>
      <w:bookmarkStart w:id="649" w:name="_Toc454528695"/>
      <w:bookmarkStart w:id="650" w:name="_Toc454528860"/>
      <w:bookmarkStart w:id="651" w:name="_Toc454529026"/>
      <w:bookmarkStart w:id="652" w:name="_Toc454971540"/>
      <w:bookmarkStart w:id="653" w:name="_Toc465165491"/>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sidRPr="006E15CC">
        <w:lastRenderedPageBreak/>
        <w:t xml:space="preserve">Appendix </w:t>
      </w:r>
      <w:r w:rsidRPr="00457902">
        <w:t xml:space="preserve">1: </w:t>
      </w:r>
      <w:r w:rsidRPr="00445256">
        <w:t xml:space="preserve">Programme areas of </w:t>
      </w:r>
      <w:r w:rsidRPr="00C54391">
        <w:t xml:space="preserve">responsibility for </w:t>
      </w:r>
      <w:r w:rsidRPr="002641E6">
        <w:t>education and health providers</w:t>
      </w:r>
      <w:bookmarkEnd w:id="652"/>
      <w:bookmarkEnd w:id="653"/>
    </w:p>
    <w:p w14:paraId="24ED2DB6" w14:textId="77777777" w:rsidR="009A7CEC" w:rsidRDefault="006E3871" w:rsidP="009826B6">
      <w:r>
        <w:t>The information below is an overview of the</w:t>
      </w:r>
      <w:r w:rsidRPr="006E3871">
        <w:t xml:space="preserve"> </w:t>
      </w:r>
      <w:r>
        <w:t xml:space="preserve">roles that education and health providers have in provision of SBIPs. The following information was provided following agreement </w:t>
      </w:r>
      <w:r w:rsidR="003C1D1F" w:rsidRPr="00BC451B">
        <w:t>between the Ministry of Education and the Ministry of Health in October 2008,</w:t>
      </w:r>
      <w:r>
        <w:t xml:space="preserve"> and was expanded to included all vaccines on the SBIP.</w:t>
      </w:r>
    </w:p>
    <w:p w14:paraId="21650CFE" w14:textId="449BB7F6" w:rsidR="00793078" w:rsidRDefault="00793078" w:rsidP="00793078"/>
    <w:p w14:paraId="3CB02A2A" w14:textId="77777777" w:rsidR="003C1D1F" w:rsidRPr="003836B6" w:rsidRDefault="003C1D1F" w:rsidP="00FC32FC">
      <w:pPr>
        <w:pStyle w:val="Heading3"/>
        <w:numPr>
          <w:ilvl w:val="0"/>
          <w:numId w:val="0"/>
        </w:numPr>
      </w:pPr>
      <w:r w:rsidRPr="003836B6">
        <w:t xml:space="preserve">Boards of </w:t>
      </w:r>
      <w:r>
        <w:t>t</w:t>
      </w:r>
      <w:r w:rsidRPr="003836B6">
        <w:t>rustees</w:t>
      </w:r>
    </w:p>
    <w:p w14:paraId="4D4E6872" w14:textId="77777777" w:rsidR="003C1D1F" w:rsidRPr="00BC451B" w:rsidRDefault="003C1D1F" w:rsidP="00793078">
      <w:r w:rsidRPr="00BC451B">
        <w:t>It is the role of each board to decide whether:</w:t>
      </w:r>
    </w:p>
    <w:p w14:paraId="5409B96D" w14:textId="77777777" w:rsidR="003C1D1F" w:rsidRPr="00BC451B" w:rsidRDefault="003C1D1F" w:rsidP="00793078">
      <w:pPr>
        <w:pStyle w:val="Bullet"/>
      </w:pPr>
      <w:r w:rsidRPr="00BC451B">
        <w:t>to allow the school premises to be used for the immunisation to be given</w:t>
      </w:r>
    </w:p>
    <w:p w14:paraId="141B668A" w14:textId="2D833A3F" w:rsidR="005D1DD1" w:rsidRDefault="003C1D1F" w:rsidP="00793078">
      <w:pPr>
        <w:pStyle w:val="Bullet"/>
      </w:pPr>
      <w:r w:rsidRPr="00BC451B">
        <w:t xml:space="preserve">to provide information to the DHB and </w:t>
      </w:r>
      <w:r w:rsidR="00CD78B4">
        <w:t>SBIP</w:t>
      </w:r>
      <w:r w:rsidR="00CD78B4" w:rsidRPr="00BC451B">
        <w:t xml:space="preserve"> </w:t>
      </w:r>
      <w:r w:rsidRPr="00BC451B">
        <w:t>to enable them to access and contact eligible students, having first advised parents/guardians</w:t>
      </w:r>
      <w:r>
        <w:t xml:space="preserve"> and </w:t>
      </w:r>
      <w:r w:rsidRPr="00BC451B">
        <w:t>students aged 16 years and over that they intend to do so.</w:t>
      </w:r>
    </w:p>
    <w:p w14:paraId="7A396ABC" w14:textId="77777777" w:rsidR="00793078" w:rsidRDefault="00793078" w:rsidP="00793078"/>
    <w:p w14:paraId="07C0ADC1" w14:textId="77777777" w:rsidR="003C1D1F" w:rsidRDefault="003C1D1F" w:rsidP="00793078">
      <w:r w:rsidRPr="00BC451B">
        <w:t>If the board supports school participation and the provision of information (as per the above bullet points), the principal/management role is to facilitate rel</w:t>
      </w:r>
      <w:r>
        <w:t>evant</w:t>
      </w:r>
      <w:r w:rsidRPr="00BC451B">
        <w:t xml:space="preserve"> school operational matters.</w:t>
      </w:r>
    </w:p>
    <w:p w14:paraId="05D6778B" w14:textId="77777777" w:rsidR="00793078" w:rsidRPr="00BC451B" w:rsidRDefault="00793078" w:rsidP="00793078"/>
    <w:p w14:paraId="0FB4CC57" w14:textId="77777777" w:rsidR="003C1D1F" w:rsidRPr="003836B6" w:rsidRDefault="003C1D1F" w:rsidP="00FC32FC">
      <w:pPr>
        <w:pStyle w:val="Heading3"/>
        <w:numPr>
          <w:ilvl w:val="0"/>
          <w:numId w:val="0"/>
        </w:numPr>
      </w:pPr>
      <w:r w:rsidRPr="003836B6">
        <w:t>DHBs/PHNs</w:t>
      </w:r>
    </w:p>
    <w:p w14:paraId="260FEBF7" w14:textId="108B279F" w:rsidR="005D1DD1" w:rsidRDefault="003C1D1F" w:rsidP="00793078">
      <w:r w:rsidRPr="00BC451B">
        <w:t xml:space="preserve">It is the role of the </w:t>
      </w:r>
      <w:r w:rsidR="00CD78B4">
        <w:t>SBIP</w:t>
      </w:r>
      <w:r w:rsidR="00CD78B4" w:rsidRPr="00BC451B">
        <w:t xml:space="preserve"> </w:t>
      </w:r>
      <w:r w:rsidRPr="00BC451B">
        <w:t>(or the appropriate DHB staff member) to ensure</w:t>
      </w:r>
      <w:r>
        <w:t>,</w:t>
      </w:r>
      <w:r w:rsidRPr="00BC451B">
        <w:t xml:space="preserve"> </w:t>
      </w:r>
      <w:r>
        <w:t>through</w:t>
      </w:r>
      <w:r w:rsidRPr="00BC451B">
        <w:t xml:space="preserve"> discussion with the board or by discussion with the principal acting on behalf of the board, that the Programme can occur in the school and that information will be provided.</w:t>
      </w:r>
      <w:r>
        <w:t xml:space="preserve"> </w:t>
      </w:r>
      <w:r w:rsidRPr="00EB6B62">
        <w:t>PHNs can then work with the school principal/management to establish systems for sharing</w:t>
      </w:r>
      <w:r w:rsidRPr="00BC451B">
        <w:t xml:space="preserve"> information with parents/guardians</w:t>
      </w:r>
      <w:r>
        <w:t xml:space="preserve"> and </w:t>
      </w:r>
      <w:r w:rsidRPr="00BC451B">
        <w:t>students</w:t>
      </w:r>
      <w:r w:rsidR="006E3871">
        <w:t>,</w:t>
      </w:r>
      <w:r w:rsidRPr="00BC451B">
        <w:t xml:space="preserve"> and </w:t>
      </w:r>
      <w:r>
        <w:t xml:space="preserve">for </w:t>
      </w:r>
      <w:r w:rsidRPr="00BC451B">
        <w:t>seeking informed consent by sending forms home with students.</w:t>
      </w:r>
    </w:p>
    <w:p w14:paraId="4BDC2BB6" w14:textId="77777777" w:rsidR="003C1D1F" w:rsidRPr="00BC451B" w:rsidRDefault="003C1D1F" w:rsidP="00793078"/>
    <w:p w14:paraId="5885BBCF" w14:textId="77777777" w:rsidR="003C1D1F" w:rsidRPr="00BC451B" w:rsidRDefault="003C1D1F" w:rsidP="00793078">
      <w:r w:rsidRPr="00BC451B">
        <w:t>At the same time, school systems should be confirmed regarding a clear drop</w:t>
      </w:r>
      <w:r>
        <w:t>-</w:t>
      </w:r>
      <w:r w:rsidRPr="00BC451B">
        <w:t>off point at school for returned consent forms and the roles of school staff (if any) in this process.</w:t>
      </w:r>
    </w:p>
    <w:p w14:paraId="1D82D41C" w14:textId="77777777" w:rsidR="00793078" w:rsidRDefault="00793078" w:rsidP="00793078"/>
    <w:p w14:paraId="3F0FFCD4" w14:textId="201616EC" w:rsidR="003C1D1F" w:rsidRPr="00BC451B" w:rsidRDefault="003C1D1F" w:rsidP="00FC32FC">
      <w:r w:rsidRPr="00BC451B">
        <w:t>The giving of consent is determined by the parent/guardian or student aged 16 years and over.</w:t>
      </w:r>
      <w:r>
        <w:t xml:space="preserve"> </w:t>
      </w:r>
      <w:r w:rsidRPr="00BC451B">
        <w:t xml:space="preserve">It is the responsibility of the </w:t>
      </w:r>
      <w:r w:rsidR="00CD78B4">
        <w:t>SBIP</w:t>
      </w:r>
      <w:r w:rsidR="00CD78B4" w:rsidRPr="00BC451B">
        <w:t xml:space="preserve"> </w:t>
      </w:r>
      <w:r w:rsidRPr="00BC451B">
        <w:t xml:space="preserve">to ensure that informed consent is obtained prior to any vaccination event (if informed consent is not given, then no vaccination will be given). </w:t>
      </w:r>
      <w:r>
        <w:t xml:space="preserve">(See the </w:t>
      </w:r>
      <w:r w:rsidRPr="009826B6">
        <w:rPr>
          <w:i/>
        </w:rPr>
        <w:t>Care of Children Act 2004</w:t>
      </w:r>
      <w:r w:rsidRPr="00BC451B">
        <w:t xml:space="preserve">, s36, </w:t>
      </w:r>
      <w:r>
        <w:t>for guidelines on consent processes</w:t>
      </w:r>
      <w:r w:rsidR="00FC32FC">
        <w:t>.</w:t>
      </w:r>
      <w:r>
        <w:t>)</w:t>
      </w:r>
    </w:p>
    <w:p w14:paraId="636335DE" w14:textId="77777777" w:rsidR="003C1D1F" w:rsidRDefault="003C1D1F" w:rsidP="00793078"/>
    <w:p w14:paraId="70167238" w14:textId="77777777" w:rsidR="003C1D1F" w:rsidRPr="00BC451B" w:rsidRDefault="003C1D1F" w:rsidP="0005755C">
      <w:pPr>
        <w:keepNext/>
      </w:pPr>
      <w:r w:rsidRPr="00BC451B">
        <w:lastRenderedPageBreak/>
        <w:t>The consent form outlines that:</w:t>
      </w:r>
    </w:p>
    <w:p w14:paraId="2828AFC1" w14:textId="77777777" w:rsidR="003C1D1F" w:rsidRPr="00BC451B" w:rsidRDefault="003C1D1F" w:rsidP="0005755C">
      <w:pPr>
        <w:pStyle w:val="Bullet"/>
        <w:keepNext/>
      </w:pPr>
      <w:r w:rsidRPr="00BC451B">
        <w:t>students are encouraged to discuss the vaccination information with their parent/guardian before the form is completed and returned to school</w:t>
      </w:r>
    </w:p>
    <w:p w14:paraId="3BEB37AF" w14:textId="77777777" w:rsidR="003C1D1F" w:rsidRPr="00BC451B" w:rsidRDefault="003C1D1F" w:rsidP="0005755C">
      <w:pPr>
        <w:pStyle w:val="Bullet"/>
        <w:keepNext/>
      </w:pPr>
      <w:r w:rsidRPr="00BC451B">
        <w:t>students aged under 16 years must have the consent of their parent/guardian to be vaccinated at school</w:t>
      </w:r>
    </w:p>
    <w:p w14:paraId="49C413BC" w14:textId="77777777" w:rsidR="003C1D1F" w:rsidRPr="00BC451B" w:rsidRDefault="003C1D1F" w:rsidP="0005755C">
      <w:pPr>
        <w:pStyle w:val="Bullet"/>
        <w:keepNext/>
      </w:pPr>
      <w:r w:rsidRPr="00BC451B">
        <w:t>students aged 16 years and over may self-consent to be vaccinated at school</w:t>
      </w:r>
    </w:p>
    <w:p w14:paraId="0235E100" w14:textId="060C95BE" w:rsidR="003C1D1F" w:rsidRPr="00793078" w:rsidRDefault="003C1D1F" w:rsidP="00793078">
      <w:pPr>
        <w:pStyle w:val="Bullet"/>
      </w:pPr>
      <w:r w:rsidRPr="00BC451B">
        <w:t>irrespective of which party consents, if the student does not want the vaccine when they present, then they won</w:t>
      </w:r>
      <w:r w:rsidR="009A7CEC">
        <w:t>’</w:t>
      </w:r>
      <w:r w:rsidRPr="00BC451B">
        <w:t>t be given it and the consenting party will be advised of th</w:t>
      </w:r>
      <w:r>
        <w:t>is</w:t>
      </w:r>
    </w:p>
    <w:p w14:paraId="68057E56" w14:textId="04402CDE" w:rsidR="003C1D1F" w:rsidRDefault="003C1D1F" w:rsidP="00793078">
      <w:pPr>
        <w:pStyle w:val="Bullet"/>
      </w:pPr>
      <w:r w:rsidRPr="00BC451B">
        <w:t xml:space="preserve">consent covers the complete series </w:t>
      </w:r>
      <w:r>
        <w:t xml:space="preserve">of </w:t>
      </w:r>
      <w:r w:rsidRPr="00BC451B">
        <w:t>vaccinations</w:t>
      </w:r>
      <w:r>
        <w:t>,</w:t>
      </w:r>
      <w:r w:rsidRPr="00BC451B">
        <w:t xml:space="preserve"> </w:t>
      </w:r>
      <w:r>
        <w:t>but</w:t>
      </w:r>
      <w:r w:rsidRPr="00BC451B">
        <w:t xml:space="preserve"> consent may be withdrawn by the consenting party at any stage within that period by communicating with the </w:t>
      </w:r>
      <w:r w:rsidR="00CD78B4">
        <w:t>SBIP</w:t>
      </w:r>
      <w:r w:rsidR="00CD78B4" w:rsidRPr="00BC451B">
        <w:t xml:space="preserve"> </w:t>
      </w:r>
      <w:r w:rsidRPr="00BC451B">
        <w:t>directly.</w:t>
      </w:r>
    </w:p>
    <w:p w14:paraId="2D060582" w14:textId="77777777" w:rsidR="0005755C" w:rsidRPr="00793078" w:rsidRDefault="0005755C" w:rsidP="0005755C"/>
    <w:p w14:paraId="35CC9212" w14:textId="77777777" w:rsidR="005D1DD1" w:rsidRDefault="003C1D1F" w:rsidP="00793078">
      <w:pPr>
        <w:pStyle w:val="Heading1"/>
        <w:numPr>
          <w:ilvl w:val="0"/>
          <w:numId w:val="0"/>
        </w:numPr>
      </w:pPr>
      <w:bookmarkStart w:id="654" w:name="_Toc454971541"/>
      <w:bookmarkStart w:id="655" w:name="_Toc465165492"/>
      <w:r w:rsidRPr="00965335">
        <w:lastRenderedPageBreak/>
        <w:t xml:space="preserve">Appendix </w:t>
      </w:r>
      <w:r>
        <w:t>2:</w:t>
      </w:r>
      <w:r w:rsidRPr="00965335">
        <w:t xml:space="preserve"> Authorised </w:t>
      </w:r>
      <w:r>
        <w:t>v</w:t>
      </w:r>
      <w:r w:rsidRPr="00965335">
        <w:t>accinator</w:t>
      </w:r>
      <w:bookmarkEnd w:id="654"/>
      <w:bookmarkEnd w:id="655"/>
    </w:p>
    <w:p w14:paraId="040C8B71" w14:textId="77777777" w:rsidR="003C1D1F" w:rsidRPr="00965335" w:rsidRDefault="003C1D1F" w:rsidP="00FC32FC">
      <w:pPr>
        <w:pStyle w:val="Heading3"/>
        <w:numPr>
          <w:ilvl w:val="0"/>
          <w:numId w:val="0"/>
        </w:numPr>
      </w:pPr>
      <w:r w:rsidRPr="00965335">
        <w:t xml:space="preserve">Programme </w:t>
      </w:r>
      <w:r>
        <w:t>e</w:t>
      </w:r>
      <w:r w:rsidRPr="00965335">
        <w:t xml:space="preserve">ducation and </w:t>
      </w:r>
      <w:r>
        <w:t>t</w:t>
      </w:r>
      <w:r w:rsidRPr="00965335">
        <w:t>raining</w:t>
      </w:r>
    </w:p>
    <w:p w14:paraId="182C480D" w14:textId="77777777" w:rsidR="009A7CEC" w:rsidRDefault="003C1D1F" w:rsidP="00793078">
      <w:r w:rsidRPr="00BC451B">
        <w:t xml:space="preserve">All current </w:t>
      </w:r>
      <w:r w:rsidRPr="005D1DD1">
        <w:t xml:space="preserve">Programme </w:t>
      </w:r>
      <w:r w:rsidRPr="00BC451B">
        <w:t xml:space="preserve">vaccinators will </w:t>
      </w:r>
      <w:r w:rsidR="006E3871">
        <w:t>be required to update their training</w:t>
      </w:r>
      <w:r w:rsidRPr="00BC451B">
        <w:t xml:space="preserve"> </w:t>
      </w:r>
      <w:r>
        <w:t xml:space="preserve">before </w:t>
      </w:r>
      <w:r w:rsidRPr="00BC451B">
        <w:t>deliver</w:t>
      </w:r>
      <w:r>
        <w:t>ing</w:t>
      </w:r>
      <w:r w:rsidRPr="00BC451B">
        <w:t xml:space="preserve"> the </w:t>
      </w:r>
      <w:r w:rsidRPr="005D1DD1">
        <w:t>Programme</w:t>
      </w:r>
      <w:r w:rsidRPr="00BC451B">
        <w:t>.</w:t>
      </w:r>
      <w:r>
        <w:t xml:space="preserve"> </w:t>
      </w:r>
      <w:r w:rsidRPr="00BC451B">
        <w:t xml:space="preserve">If additional RNs are employed as </w:t>
      </w:r>
      <w:r w:rsidRPr="005D1DD1">
        <w:t xml:space="preserve">Programme </w:t>
      </w:r>
      <w:r w:rsidRPr="00BC451B">
        <w:t xml:space="preserve">vaccinators, they will have to undertake an approved vaccinator-training course </w:t>
      </w:r>
      <w:r w:rsidR="008B5117">
        <w:t xml:space="preserve">(VTC) </w:t>
      </w:r>
      <w:r w:rsidRPr="00BC451B">
        <w:t>that meets the</w:t>
      </w:r>
      <w:r>
        <w:t xml:space="preserve"> </w:t>
      </w:r>
      <w:r w:rsidRPr="00BE4F15">
        <w:t xml:space="preserve">current </w:t>
      </w:r>
      <w:r w:rsidRPr="006E15CC">
        <w:rPr>
          <w:i/>
        </w:rPr>
        <w:t>Vaccinator Training Course Standards</w:t>
      </w:r>
      <w:r>
        <w:rPr>
          <w:i/>
        </w:rPr>
        <w:t xml:space="preserve"> </w:t>
      </w:r>
      <w:r>
        <w:t>(Immunisation Advisory Centre 2015)</w:t>
      </w:r>
      <w:r w:rsidRPr="00BE4F15">
        <w:t>.</w:t>
      </w:r>
    </w:p>
    <w:p w14:paraId="0754751A" w14:textId="39FF74B0" w:rsidR="008B5117" w:rsidRDefault="008B5117" w:rsidP="00793078"/>
    <w:p w14:paraId="009B24D5" w14:textId="77777777" w:rsidR="009A7CEC" w:rsidRDefault="008B5117" w:rsidP="00793078">
      <w:r>
        <w:t xml:space="preserve">A copy of the VTC standards can be found at: </w:t>
      </w:r>
      <w:hyperlink r:id="rId27" w:history="1">
        <w:r w:rsidR="009A7CEC" w:rsidRPr="00705CD8">
          <w:rPr>
            <w:rStyle w:val="Hyperlink"/>
          </w:rPr>
          <w:t>www.immune.org.nz/sites/default/files/resources/2015%20VTC%20Standards%20FINAL.pdf</w:t>
        </w:r>
      </w:hyperlink>
    </w:p>
    <w:p w14:paraId="01F2D800" w14:textId="75D4D277" w:rsidR="003C1D1F" w:rsidRPr="00BC451B" w:rsidRDefault="003C1D1F" w:rsidP="00793078"/>
    <w:p w14:paraId="4C957F45" w14:textId="77777777" w:rsidR="003C1D1F" w:rsidRDefault="003C1D1F" w:rsidP="00793078">
      <w:r w:rsidRPr="00BC451B">
        <w:t xml:space="preserve">When determining the number of vaccinators and support staff needed to deliver the </w:t>
      </w:r>
      <w:r w:rsidRPr="005D1DD1">
        <w:t xml:space="preserve">Programme </w:t>
      </w:r>
      <w:r w:rsidRPr="00BC451B">
        <w:t>to their eligible population, DHBs will need to consider the following legal requirements and safe clinical practice recommendations.</w:t>
      </w:r>
    </w:p>
    <w:p w14:paraId="1E404C6A" w14:textId="77777777" w:rsidR="00793078" w:rsidRPr="00BC451B" w:rsidRDefault="00793078" w:rsidP="00793078"/>
    <w:p w14:paraId="23C049E3" w14:textId="77777777" w:rsidR="003C1D1F" w:rsidRPr="00965335" w:rsidRDefault="003C1D1F" w:rsidP="00FC32FC">
      <w:pPr>
        <w:pStyle w:val="Heading3"/>
        <w:numPr>
          <w:ilvl w:val="0"/>
          <w:numId w:val="0"/>
        </w:numPr>
      </w:pPr>
      <w:r w:rsidRPr="00965335">
        <w:t xml:space="preserve">Persons </w:t>
      </w:r>
      <w:r>
        <w:t>a</w:t>
      </w:r>
      <w:r w:rsidRPr="00965335">
        <w:t xml:space="preserve">ble to </w:t>
      </w:r>
      <w:r>
        <w:t>a</w:t>
      </w:r>
      <w:r w:rsidRPr="00965335">
        <w:t xml:space="preserve">dminister </w:t>
      </w:r>
      <w:r>
        <w:t>v</w:t>
      </w:r>
      <w:r w:rsidRPr="00965335">
        <w:t>accines</w:t>
      </w:r>
    </w:p>
    <w:p w14:paraId="22DF58F7" w14:textId="77777777" w:rsidR="003C1D1F" w:rsidRPr="00BC451B" w:rsidRDefault="003C1D1F" w:rsidP="00FC32FC">
      <w:r w:rsidRPr="00BC451B">
        <w:t>Vaccines are a prescription medicine and must only be administered by:</w:t>
      </w:r>
    </w:p>
    <w:p w14:paraId="6D64CADA" w14:textId="77777777" w:rsidR="003C1D1F" w:rsidRPr="00BC451B" w:rsidRDefault="003C1D1F" w:rsidP="00FC32FC">
      <w:pPr>
        <w:pStyle w:val="Bullet"/>
      </w:pPr>
      <w:r w:rsidRPr="00BC451B">
        <w:t>a medical practitioner</w:t>
      </w:r>
      <w:r>
        <w:t>, or</w:t>
      </w:r>
    </w:p>
    <w:p w14:paraId="4EC70634" w14:textId="77777777" w:rsidR="003C1D1F" w:rsidRPr="00BC451B" w:rsidRDefault="003C1D1F" w:rsidP="00FC32FC">
      <w:pPr>
        <w:pStyle w:val="Bullet"/>
      </w:pPr>
      <w:r w:rsidRPr="00BC451B">
        <w:t>a registered midwife</w:t>
      </w:r>
      <w:r>
        <w:t>, or</w:t>
      </w:r>
    </w:p>
    <w:p w14:paraId="4445E038" w14:textId="77777777" w:rsidR="003C1D1F" w:rsidRPr="00BC451B" w:rsidRDefault="003C1D1F" w:rsidP="00FC32FC">
      <w:pPr>
        <w:pStyle w:val="Bullet"/>
      </w:pPr>
      <w:r w:rsidRPr="00BC451B">
        <w:t>a designated prescriber (which includes an RN with a current annual practising certificate working under the direction and supervision of a medical practitioner)</w:t>
      </w:r>
      <w:r>
        <w:t>, or</w:t>
      </w:r>
    </w:p>
    <w:p w14:paraId="47B78A54" w14:textId="77777777" w:rsidR="003C1D1F" w:rsidRPr="00BC451B" w:rsidRDefault="003C1D1F" w:rsidP="0005755C">
      <w:pPr>
        <w:pStyle w:val="Bullet"/>
      </w:pPr>
      <w:r w:rsidRPr="00BC451B">
        <w:t>a person authorised to administer the vaccine in accordance with a standing order (as per the Standing Orders (Medicines [Standing Order] Regulations 2002))</w:t>
      </w:r>
      <w:r>
        <w:t>, or</w:t>
      </w:r>
    </w:p>
    <w:p w14:paraId="67428504" w14:textId="77777777" w:rsidR="005D1DD1" w:rsidRDefault="003C1D1F" w:rsidP="00793078">
      <w:pPr>
        <w:pStyle w:val="Bullet"/>
      </w:pPr>
      <w:r w:rsidRPr="00BC451B">
        <w:t xml:space="preserve">an authorised vaccinator (who is authorised under the Medicines Regulations 1984, </w:t>
      </w:r>
      <w:r w:rsidR="00793078">
        <w:t>claus</w:t>
      </w:r>
      <w:r w:rsidRPr="00793078">
        <w:t>e</w:t>
      </w:r>
      <w:r w:rsidR="00793078">
        <w:t> </w:t>
      </w:r>
      <w:r w:rsidRPr="00BC451B">
        <w:t>44A [2]).</w:t>
      </w:r>
    </w:p>
    <w:p w14:paraId="7DF5D5BF" w14:textId="77777777" w:rsidR="003C1D1F" w:rsidRPr="005D1DD1" w:rsidRDefault="003C1D1F" w:rsidP="00793078"/>
    <w:p w14:paraId="7876D606" w14:textId="4B2B7169" w:rsidR="009A7CEC" w:rsidRDefault="003C1D1F" w:rsidP="00793078">
      <w:r w:rsidRPr="005D1DD1">
        <w:t>The Programme</w:t>
      </w:r>
      <w:r w:rsidRPr="00BC451B">
        <w:t xml:space="preserve"> is usually delivered by RNs who are authorised vaccinators.</w:t>
      </w:r>
      <w:r w:rsidR="008B5117">
        <w:t xml:space="preserve"> However the SBIP may use Standing Orders to cover RNs who have attended and passed a VTC but have not completed the Authorised Vaccinator process. Guidelines on the development of Standing Orders can be found on the Ministry</w:t>
      </w:r>
      <w:r w:rsidR="009A7CEC">
        <w:t>’</w:t>
      </w:r>
      <w:r w:rsidR="008B5117">
        <w:t xml:space="preserve">s website at </w:t>
      </w:r>
      <w:hyperlink r:id="rId28" w:history="1">
        <w:r w:rsidR="009A7CEC" w:rsidRPr="00705CD8">
          <w:rPr>
            <w:rStyle w:val="Hyperlink"/>
          </w:rPr>
          <w:t>www.health.govt.nz/publication/standing-order-guidelines</w:t>
        </w:r>
      </w:hyperlink>
    </w:p>
    <w:p w14:paraId="76C26B5B" w14:textId="5AE0ADC2" w:rsidR="00793078" w:rsidRPr="00BC451B" w:rsidRDefault="00793078" w:rsidP="00793078"/>
    <w:p w14:paraId="1B9D882F" w14:textId="77777777" w:rsidR="003C1D1F" w:rsidRPr="00965335" w:rsidRDefault="003C1D1F" w:rsidP="00FC32FC">
      <w:pPr>
        <w:pStyle w:val="Heading3"/>
        <w:numPr>
          <w:ilvl w:val="0"/>
          <w:numId w:val="0"/>
        </w:numPr>
      </w:pPr>
      <w:r w:rsidRPr="00965335">
        <w:t xml:space="preserve">Authorisation as a </w:t>
      </w:r>
      <w:r>
        <w:t>v</w:t>
      </w:r>
      <w:r w:rsidRPr="00965335">
        <w:t>accinator</w:t>
      </w:r>
    </w:p>
    <w:p w14:paraId="057E2BF3" w14:textId="77777777" w:rsidR="005D1DD1" w:rsidRDefault="003C1D1F" w:rsidP="00793078">
      <w:r w:rsidRPr="00BC451B">
        <w:t>The Medicines Regulations 1984, clause 44A (2)</w:t>
      </w:r>
      <w:r>
        <w:t>,</w:t>
      </w:r>
      <w:r w:rsidRPr="00BC451B">
        <w:t xml:space="preserve"> states:</w:t>
      </w:r>
    </w:p>
    <w:p w14:paraId="5468B795" w14:textId="435F2438" w:rsidR="003C1D1F" w:rsidRPr="003836B6" w:rsidRDefault="003C1D1F" w:rsidP="00793078">
      <w:pPr>
        <w:pStyle w:val="Quote"/>
      </w:pPr>
      <w:r w:rsidRPr="003836B6">
        <w:t>The Director-General or a Medical Officer of Health may authorise any person to administer a vaccine for the purpose of an approved immunisation programme if that person, following written application, provides documentary evidence satisfying the Director-General or the Medical Officer of Health as the case may be, that that person:</w:t>
      </w:r>
    </w:p>
    <w:p w14:paraId="5057B2B5" w14:textId="77777777" w:rsidR="003C1D1F" w:rsidRPr="003836B6" w:rsidRDefault="00793078" w:rsidP="0005755C">
      <w:pPr>
        <w:pStyle w:val="Quote"/>
        <w:keepNext/>
        <w:ind w:left="851" w:hanging="567"/>
      </w:pPr>
      <w:r>
        <w:lastRenderedPageBreak/>
        <w:t>i.</w:t>
      </w:r>
      <w:r>
        <w:tab/>
      </w:r>
      <w:r w:rsidR="003C1D1F" w:rsidRPr="003836B6">
        <w:t>can carry out basic emergency techniques including resuscitation and the treatment of anaphylaxis and</w:t>
      </w:r>
    </w:p>
    <w:p w14:paraId="4F6FB2F4" w14:textId="77777777" w:rsidR="003C1D1F" w:rsidRPr="003836B6" w:rsidRDefault="00793078" w:rsidP="00793078">
      <w:pPr>
        <w:pStyle w:val="Quote"/>
        <w:ind w:left="851" w:hanging="567"/>
      </w:pPr>
      <w:r>
        <w:t>ii.</w:t>
      </w:r>
      <w:r>
        <w:tab/>
      </w:r>
      <w:r w:rsidR="003C1D1F" w:rsidRPr="003836B6">
        <w:t>has knowledge of the safe and effective handling of immunisation products and equipment and</w:t>
      </w:r>
    </w:p>
    <w:p w14:paraId="0B311562" w14:textId="77777777" w:rsidR="003C1D1F" w:rsidRPr="003836B6" w:rsidRDefault="00793078" w:rsidP="00793078">
      <w:pPr>
        <w:pStyle w:val="Quote"/>
        <w:ind w:left="851" w:hanging="567"/>
      </w:pPr>
      <w:r>
        <w:t>iii.</w:t>
      </w:r>
      <w:r>
        <w:tab/>
      </w:r>
      <w:r w:rsidR="003C1D1F" w:rsidRPr="003836B6">
        <w:t>can demonstrate interpersonal skills and</w:t>
      </w:r>
    </w:p>
    <w:p w14:paraId="750E02CD" w14:textId="2CA73D96" w:rsidR="003C1D1F" w:rsidRPr="003836B6" w:rsidRDefault="00793078" w:rsidP="00793078">
      <w:pPr>
        <w:pStyle w:val="Quote"/>
        <w:ind w:left="851" w:hanging="567"/>
      </w:pPr>
      <w:r>
        <w:t>iv.</w:t>
      </w:r>
      <w:r>
        <w:tab/>
      </w:r>
      <w:r w:rsidR="003C1D1F" w:rsidRPr="003836B6">
        <w:t xml:space="preserve">has knowledge of the relevant diseases and vaccines in order to be able to explain the vaccination to the patient, parent or guardian of the patient who is to consent to the vaccination on behalf </w:t>
      </w:r>
      <w:r w:rsidR="006E3871">
        <w:t xml:space="preserve">of </w:t>
      </w:r>
      <w:r w:rsidR="003C1D1F" w:rsidRPr="003836B6">
        <w:t>the patient, to ensure that the patient or parent or guardian of the patient can give informed consent to the vaccination.</w:t>
      </w:r>
    </w:p>
    <w:p w14:paraId="358E6723" w14:textId="77777777" w:rsidR="003C1D1F" w:rsidRPr="00BC451B" w:rsidRDefault="003C1D1F" w:rsidP="00793078"/>
    <w:p w14:paraId="33177C83" w14:textId="75003C43" w:rsidR="003C1D1F" w:rsidRPr="00BC451B" w:rsidRDefault="003C1D1F" w:rsidP="00793078">
      <w:r w:rsidRPr="00BC451B">
        <w:t xml:space="preserve">Any authorisation given by the Director-General or a </w:t>
      </w:r>
      <w:r w:rsidR="006E3871">
        <w:t>M</w:t>
      </w:r>
      <w:r w:rsidRPr="00BC451B">
        <w:t xml:space="preserve">edical </w:t>
      </w:r>
      <w:r w:rsidR="006E3871">
        <w:t>O</w:t>
      </w:r>
      <w:r w:rsidRPr="00BC451B">
        <w:t xml:space="preserve">fficer of </w:t>
      </w:r>
      <w:r w:rsidR="006E3871">
        <w:t>H</w:t>
      </w:r>
      <w:r w:rsidRPr="00BC451B">
        <w:t>ealth under subclause</w:t>
      </w:r>
      <w:r w:rsidR="00793078">
        <w:t> </w:t>
      </w:r>
      <w:r w:rsidRPr="00BC451B">
        <w:t>2 of the regulation shall be valid for a period of two years (from the date of training) and shall be subject to such conditions as the Director-General or the Medical Officer of Health, as the case may be, thinks fit.</w:t>
      </w:r>
    </w:p>
    <w:p w14:paraId="27107C6B" w14:textId="77777777" w:rsidR="003C1D1F" w:rsidRPr="00BC451B" w:rsidRDefault="003C1D1F" w:rsidP="00793078"/>
    <w:p w14:paraId="3E81CBA5" w14:textId="77777777" w:rsidR="003C1D1F" w:rsidRPr="00793078" w:rsidRDefault="003C1D1F" w:rsidP="00793078">
      <w:r w:rsidRPr="006E15CC">
        <w:t>(</w:t>
      </w:r>
      <w:r w:rsidRPr="00457902">
        <w:t>For more information on the protocol for authoris</w:t>
      </w:r>
      <w:r w:rsidRPr="00445256">
        <w:t>ation of vaccinators in New Zealand,</w:t>
      </w:r>
      <w:r w:rsidRPr="00C54391">
        <w:t xml:space="preserve"> please refer to Appendix 4 of the </w:t>
      </w:r>
      <w:r w:rsidRPr="002641E6">
        <w:rPr>
          <w:i/>
        </w:rPr>
        <w:t xml:space="preserve">Immunisation Handbook 2014 </w:t>
      </w:r>
      <w:r w:rsidRPr="002641E6">
        <w:t>(2</w:t>
      </w:r>
      <w:r w:rsidRPr="006D7B1A">
        <w:t>nd</w:t>
      </w:r>
      <w:r w:rsidRPr="006E15CC">
        <w:t xml:space="preserve"> ed</w:t>
      </w:r>
      <w:r>
        <w:t>itio</w:t>
      </w:r>
      <w:r w:rsidRPr="006E15CC">
        <w:t>n)</w:t>
      </w:r>
      <w:r w:rsidRPr="00793078">
        <w:t>.</w:t>
      </w:r>
      <w:r w:rsidR="00793078">
        <w:t>)</w:t>
      </w:r>
    </w:p>
    <w:p w14:paraId="146E4A51" w14:textId="77777777" w:rsidR="00793078" w:rsidRDefault="00793078" w:rsidP="00793078"/>
    <w:p w14:paraId="6625C2F1" w14:textId="77777777" w:rsidR="005D1DD1" w:rsidRDefault="003C1D1F" w:rsidP="00FC32FC">
      <w:pPr>
        <w:pStyle w:val="Heading3"/>
        <w:numPr>
          <w:ilvl w:val="0"/>
          <w:numId w:val="0"/>
        </w:numPr>
      </w:pPr>
      <w:r w:rsidRPr="001C69A1">
        <w:t>The Guidelines for Nurses on the Administration of Medicines</w:t>
      </w:r>
    </w:p>
    <w:p w14:paraId="783F5073" w14:textId="77777777" w:rsidR="009A7CEC" w:rsidRDefault="004F6FB5" w:rsidP="00FC32FC">
      <w:r>
        <w:t>The service/DHB</w:t>
      </w:r>
      <w:r w:rsidR="006E3871">
        <w:t>s</w:t>
      </w:r>
      <w:r w:rsidRPr="00BC451B">
        <w:t xml:space="preserve"> </w:t>
      </w:r>
      <w:r w:rsidR="003C1D1F" w:rsidRPr="00BC451B">
        <w:t>need to ensure that RNs practi</w:t>
      </w:r>
      <w:r w:rsidR="006E3871">
        <w:t>c</w:t>
      </w:r>
      <w:r w:rsidR="003C1D1F" w:rsidRPr="00BC451B">
        <w:t>e within their professional standards, accountabilities and scope of practice</w:t>
      </w:r>
      <w:r w:rsidR="003C1D1F">
        <w:t>. In other words,</w:t>
      </w:r>
      <w:r w:rsidR="003C1D1F" w:rsidRPr="00BC451B">
        <w:t xml:space="preserve"> </w:t>
      </w:r>
      <w:r>
        <w:t>the service/</w:t>
      </w:r>
      <w:r w:rsidR="003C1D1F" w:rsidRPr="00BC451B">
        <w:t xml:space="preserve">DHBs must have documented policies and protocols to manage and comply </w:t>
      </w:r>
      <w:r w:rsidR="003C1D1F" w:rsidRPr="006E15CC">
        <w:t xml:space="preserve">with Appendix 1 of </w:t>
      </w:r>
      <w:r w:rsidRPr="00BC451B">
        <w:t>New Zealand Nurses Organisation</w:t>
      </w:r>
      <w:r>
        <w:t xml:space="preserve">, 2014 </w:t>
      </w:r>
      <w:r w:rsidR="003C1D1F" w:rsidRPr="00457902">
        <w:rPr>
          <w:i/>
        </w:rPr>
        <w:t xml:space="preserve">The Guidelines for Nurses on the Administration of Medicines </w:t>
      </w:r>
      <w:r w:rsidR="003C1D1F" w:rsidRPr="00445256">
        <w:t>(including risk management strategies).</w:t>
      </w:r>
      <w:r w:rsidR="003C1D1F" w:rsidRPr="00BC451B">
        <w:t xml:space="preserve"> Appendix 1 outlines the standards for the administration of medicines, including the training and education requirements</w:t>
      </w:r>
      <w:r w:rsidR="003C1D1F">
        <w:t>,</w:t>
      </w:r>
      <w:r w:rsidR="003C1D1F" w:rsidRPr="00BC451B">
        <w:t xml:space="preserve"> </w:t>
      </w:r>
      <w:r w:rsidR="003C1D1F" w:rsidRPr="006D7B1A">
        <w:t>within which nurses and midwives are required to practice</w:t>
      </w:r>
    </w:p>
    <w:p w14:paraId="1329B299" w14:textId="01FD94BA" w:rsidR="003C1D1F" w:rsidRPr="005D1DD1" w:rsidRDefault="003C1D1F" w:rsidP="00793078"/>
    <w:p w14:paraId="41B54B48" w14:textId="5D62DDD5" w:rsidR="003C1D1F" w:rsidRDefault="003C1D1F" w:rsidP="00793078">
      <w:r w:rsidRPr="005D1DD1">
        <w:t xml:space="preserve">Copies of </w:t>
      </w:r>
      <w:r w:rsidRPr="005D1DD1">
        <w:rPr>
          <w:i/>
        </w:rPr>
        <w:t>The</w:t>
      </w:r>
      <w:r w:rsidRPr="005D1DD1">
        <w:t xml:space="preserve"> </w:t>
      </w:r>
      <w:r w:rsidRPr="005D1DD1">
        <w:rPr>
          <w:i/>
        </w:rPr>
        <w:t>Guidelines for Nurses on the Administration of Medicines</w:t>
      </w:r>
      <w:r w:rsidRPr="005D1DD1">
        <w:t xml:space="preserve"> can be ordered online from the New Zealand Nurses Organisation: </w:t>
      </w:r>
      <w:hyperlink r:id="rId29" w:history="1">
        <w:r w:rsidR="0005755C" w:rsidRPr="00705CD8">
          <w:rPr>
            <w:rStyle w:val="Hyperlink"/>
          </w:rPr>
          <w:t>www.nzno.org.nz/Portals/0/Files/Documents/Resources/Publications/Guidelines%20for%20nurses%20on%20the%20administration%20of%20medicines%2C%20October%202014.pdf</w:t>
        </w:r>
      </w:hyperlink>
    </w:p>
    <w:p w14:paraId="0037A789" w14:textId="77777777" w:rsidR="0005755C" w:rsidRPr="005D1DD1" w:rsidRDefault="0005755C" w:rsidP="00793078"/>
    <w:p w14:paraId="6315EFBB" w14:textId="77777777" w:rsidR="005D1DD1" w:rsidRDefault="003C1D1F" w:rsidP="00793078">
      <w:pPr>
        <w:pStyle w:val="Heading1"/>
        <w:numPr>
          <w:ilvl w:val="0"/>
          <w:numId w:val="0"/>
        </w:numPr>
      </w:pPr>
      <w:bookmarkStart w:id="656" w:name="_Toc454971542"/>
      <w:bookmarkStart w:id="657" w:name="_Toc465165493"/>
      <w:r w:rsidRPr="00965335">
        <w:lastRenderedPageBreak/>
        <w:t xml:space="preserve">Appendix </w:t>
      </w:r>
      <w:r>
        <w:t>3:</w:t>
      </w:r>
      <w:r w:rsidRPr="00965335">
        <w:t xml:space="preserve"> Transportation of </w:t>
      </w:r>
      <w:r>
        <w:t>o</w:t>
      </w:r>
      <w:r w:rsidRPr="00965335">
        <w:t>xygen</w:t>
      </w:r>
      <w:bookmarkEnd w:id="656"/>
      <w:bookmarkEnd w:id="657"/>
    </w:p>
    <w:p w14:paraId="5B9ACC52" w14:textId="0812F55E" w:rsidR="005D1DD1" w:rsidRDefault="003C1D1F" w:rsidP="00793078">
      <w:r w:rsidRPr="00BC451B">
        <w:t xml:space="preserve">Oxygen </w:t>
      </w:r>
      <w:r>
        <w:t>must</w:t>
      </w:r>
      <w:r w:rsidRPr="00BC451B">
        <w:t xml:space="preserve"> be available to </w:t>
      </w:r>
      <w:r w:rsidRPr="005D1DD1">
        <w:t xml:space="preserve">Programme </w:t>
      </w:r>
      <w:r w:rsidRPr="00BC451B">
        <w:t>vaccinators for the purpose of first</w:t>
      </w:r>
      <w:r>
        <w:t>-</w:t>
      </w:r>
      <w:r w:rsidRPr="00BC451B">
        <w:t>line treatment in an emergency situation</w:t>
      </w:r>
      <w:r>
        <w:t xml:space="preserve"> (eg,</w:t>
      </w:r>
      <w:r w:rsidRPr="00BC451B">
        <w:t xml:space="preserve"> an anaphylactic reaction following immunisation</w:t>
      </w:r>
      <w:r>
        <w:t>)</w:t>
      </w:r>
      <w:r w:rsidRPr="00BC451B">
        <w:t>.</w:t>
      </w:r>
    </w:p>
    <w:p w14:paraId="5C9D5B80" w14:textId="77777777" w:rsidR="00793078" w:rsidRDefault="00793078" w:rsidP="00793078"/>
    <w:p w14:paraId="1BCC250E" w14:textId="77777777" w:rsidR="003C1D1F" w:rsidRPr="00BC451B" w:rsidRDefault="003C1D1F" w:rsidP="00FC32FC">
      <w:pPr>
        <w:pStyle w:val="Heading3"/>
        <w:numPr>
          <w:ilvl w:val="0"/>
          <w:numId w:val="0"/>
        </w:numPr>
      </w:pPr>
      <w:r>
        <w:t>Rules for transport</w:t>
      </w:r>
    </w:p>
    <w:p w14:paraId="01B63E9D" w14:textId="5A5BBF9C" w:rsidR="003C1D1F" w:rsidRPr="00BC451B" w:rsidRDefault="003C1D1F" w:rsidP="00793078">
      <w:r w:rsidRPr="00BC451B">
        <w:t>The transport of oxygen as a tool</w:t>
      </w:r>
      <w:r>
        <w:t xml:space="preserve"> </w:t>
      </w:r>
      <w:r w:rsidRPr="00BC451B">
        <w:t>of</w:t>
      </w:r>
      <w:r>
        <w:t xml:space="preserve"> </w:t>
      </w:r>
      <w:r w:rsidRPr="00BC451B">
        <w:t xml:space="preserve">trade comes under the jurisdiction of </w:t>
      </w:r>
      <w:r w:rsidRPr="006D7B1A">
        <w:rPr>
          <w:i/>
        </w:rPr>
        <w:t>Land Transport Rule: Dangerous Goods 2005</w:t>
      </w:r>
      <w:r w:rsidRPr="00BC451B">
        <w:t xml:space="preserve"> (Rule 45001/1)</w:t>
      </w:r>
      <w:r>
        <w:t xml:space="preserve"> (Ministry of Transport)</w:t>
      </w:r>
      <w:r w:rsidRPr="00BC451B">
        <w:t>.</w:t>
      </w:r>
      <w:r>
        <w:t xml:space="preserve"> </w:t>
      </w:r>
      <w:r w:rsidRPr="00BC451B">
        <w:t>The Rule sets out the requirements for the safe carriage of dangerous goods on land in New Zealand.</w:t>
      </w:r>
      <w:r>
        <w:t xml:space="preserve"> It</w:t>
      </w:r>
      <w:r w:rsidRPr="00BC451B">
        <w:t xml:space="preserve"> covers packaging, identification and documentation of dangerous goods; the segregation of incompatible goods; transport procedures; and the training and responsibilities of those involved in the transport of dangerous goods.</w:t>
      </w:r>
    </w:p>
    <w:p w14:paraId="478CCD2C" w14:textId="77777777" w:rsidR="003C1D1F" w:rsidRPr="00BC451B" w:rsidRDefault="003C1D1F" w:rsidP="00793078"/>
    <w:p w14:paraId="489371FF" w14:textId="77777777" w:rsidR="009A7CEC" w:rsidRDefault="003C1D1F" w:rsidP="00793078">
      <w:r w:rsidRPr="00BC451B">
        <w:t xml:space="preserve">A copy of </w:t>
      </w:r>
      <w:r w:rsidRPr="00BC451B">
        <w:rPr>
          <w:i/>
        </w:rPr>
        <w:t xml:space="preserve">Land Transport Rule: Dangerous Goods 2005 </w:t>
      </w:r>
      <w:r w:rsidRPr="00BC451B">
        <w:t>can be obtained from Bennetts Government Bookshop, ph: (04) 499 3433, or viewed online at:</w:t>
      </w:r>
      <w:r w:rsidR="00793078">
        <w:br/>
      </w:r>
      <w:hyperlink r:id="rId30" w:anchor="schedule1" w:history="1">
        <w:r w:rsidR="00F27C15" w:rsidRPr="008550EF">
          <w:rPr>
            <w:rStyle w:val="Hyperlink"/>
          </w:rPr>
          <w:t>www.nzta.govt.nz/resources/rules/dangerous-goods-2005/#schedule1</w:t>
        </w:r>
      </w:hyperlink>
    </w:p>
    <w:p w14:paraId="6AB16941" w14:textId="2FFE446A" w:rsidR="00793078" w:rsidRDefault="00793078" w:rsidP="00793078"/>
    <w:p w14:paraId="331FC0CD" w14:textId="77777777" w:rsidR="003C1D1F" w:rsidRPr="00965335" w:rsidRDefault="003C1D1F" w:rsidP="00FC32FC">
      <w:pPr>
        <w:pStyle w:val="Heading3"/>
        <w:numPr>
          <w:ilvl w:val="0"/>
          <w:numId w:val="0"/>
        </w:numPr>
      </w:pPr>
      <w:r w:rsidRPr="00965335">
        <w:t>Implications of Land Transport Rule 45001/1 for DHBs</w:t>
      </w:r>
    </w:p>
    <w:p w14:paraId="6434384F" w14:textId="42B10A91" w:rsidR="003C1D1F" w:rsidRPr="00965335" w:rsidRDefault="003C1D1F" w:rsidP="00793078">
      <w:r w:rsidRPr="00BC451B">
        <w:t>Failure to comply with Land Transport Rule 45001/1 could result in large fines, including liability of the employer.</w:t>
      </w:r>
      <w:r>
        <w:t xml:space="preserve"> </w:t>
      </w:r>
      <w:r w:rsidRPr="006D7B1A">
        <w:t xml:space="preserve">Each </w:t>
      </w:r>
      <w:r w:rsidR="004F6FB5">
        <w:t>service/</w:t>
      </w:r>
      <w:r w:rsidRPr="006D7B1A">
        <w:t>DHB is advised to:</w:t>
      </w:r>
    </w:p>
    <w:p w14:paraId="4261259C" w14:textId="0681E543" w:rsidR="003C1D1F" w:rsidRPr="00BC451B" w:rsidRDefault="003C1D1F" w:rsidP="00793078">
      <w:pPr>
        <w:pStyle w:val="Bullet"/>
      </w:pPr>
      <w:r w:rsidRPr="00BC451B">
        <w:t>have a specific policy for the transfer and safe carriage of oxygen</w:t>
      </w:r>
      <w:r>
        <w:t>,</w:t>
      </w:r>
      <w:r w:rsidRPr="00BC451B">
        <w:t xml:space="preserve"> including a generic procedure</w:t>
      </w:r>
      <w:r w:rsidR="006E3871">
        <w:t xml:space="preserve"> </w:t>
      </w:r>
      <w:r w:rsidRPr="00BC451B">
        <w:t>for staff in the event of an emergency</w:t>
      </w:r>
      <w:r>
        <w:t>, which</w:t>
      </w:r>
      <w:r w:rsidRPr="00BC451B">
        <w:t xml:space="preserve"> should include some simple actions such as:</w:t>
      </w:r>
    </w:p>
    <w:p w14:paraId="23ECB5A1" w14:textId="77777777" w:rsidR="003C1D1F" w:rsidRPr="00BC451B" w:rsidRDefault="003C1D1F" w:rsidP="00793078">
      <w:pPr>
        <w:pStyle w:val="Dash"/>
      </w:pPr>
      <w:r w:rsidRPr="00BC451B">
        <w:t xml:space="preserve">call the emergency services: </w:t>
      </w:r>
      <w:r>
        <w:t>d</w:t>
      </w:r>
      <w:r w:rsidRPr="00BC451B">
        <w:t>ial 111 for Fire or Police</w:t>
      </w:r>
    </w:p>
    <w:p w14:paraId="4B00A0CD" w14:textId="77777777" w:rsidR="003C1D1F" w:rsidRPr="00BC451B" w:rsidRDefault="003C1D1F" w:rsidP="00793078">
      <w:pPr>
        <w:pStyle w:val="Dash"/>
      </w:pPr>
      <w:r w:rsidRPr="00BC451B">
        <w:t>warn the public and keep them clear</w:t>
      </w:r>
    </w:p>
    <w:p w14:paraId="7225C4F7" w14:textId="77777777" w:rsidR="003C1D1F" w:rsidRPr="00BC451B" w:rsidRDefault="003C1D1F" w:rsidP="00793078">
      <w:pPr>
        <w:pStyle w:val="Dash"/>
      </w:pPr>
      <w:r w:rsidRPr="00BC451B">
        <w:t xml:space="preserve">follow instructions of Police or </w:t>
      </w:r>
      <w:r>
        <w:t xml:space="preserve">the </w:t>
      </w:r>
      <w:r w:rsidRPr="00BC451B">
        <w:t>Fire Service</w:t>
      </w:r>
    </w:p>
    <w:p w14:paraId="2E023889" w14:textId="77777777" w:rsidR="003C1D1F" w:rsidRPr="00BC451B" w:rsidRDefault="003C1D1F" w:rsidP="00793078">
      <w:pPr>
        <w:pStyle w:val="Bullet"/>
      </w:pPr>
      <w:r w:rsidRPr="00BC451B">
        <w:t>carry emergency response information such as</w:t>
      </w:r>
      <w:r w:rsidRPr="006E15CC">
        <w:t xml:space="preserve"> </w:t>
      </w:r>
      <w:r w:rsidRPr="006D7B1A">
        <w:t>the</w:t>
      </w:r>
      <w:r w:rsidRPr="00BC451B">
        <w:rPr>
          <w:i/>
        </w:rPr>
        <w:t xml:space="preserve"> Dangerous Goods</w:t>
      </w:r>
      <w:r>
        <w:rPr>
          <w:i/>
        </w:rPr>
        <w:t xml:space="preserve"> − </w:t>
      </w:r>
      <w:r w:rsidRPr="00BC451B">
        <w:rPr>
          <w:i/>
        </w:rPr>
        <w:t>Initial Emergency Response Guide</w:t>
      </w:r>
      <w:r w:rsidRPr="00BC451B">
        <w:t xml:space="preserve"> (this can be obtained from Standards New Zealand</w:t>
      </w:r>
      <w:r>
        <w:t>,</w:t>
      </w:r>
      <w:r w:rsidRPr="00BC451B">
        <w:t xml:space="preserve"> </w:t>
      </w:r>
      <w:r>
        <w:t>p</w:t>
      </w:r>
      <w:r w:rsidRPr="00BC451B">
        <w:t>hone 0800 782 632</w:t>
      </w:r>
      <w:r>
        <w:t>)</w:t>
      </w:r>
      <w:r w:rsidRPr="00BC451B">
        <w:t xml:space="preserve"> in the car, in a prominent position that is clearly visible and accessible to the emergency response person</w:t>
      </w:r>
    </w:p>
    <w:p w14:paraId="263F9C8A" w14:textId="77777777" w:rsidR="003C1D1F" w:rsidRPr="00BC451B" w:rsidRDefault="003C1D1F" w:rsidP="00793078">
      <w:pPr>
        <w:pStyle w:val="Bullet"/>
      </w:pPr>
      <w:r w:rsidRPr="00BC451B">
        <w:t>ensure each employee complies with Rule 45001/1 when carrying out an activity related to the transport of oxygen.</w:t>
      </w:r>
    </w:p>
    <w:p w14:paraId="71651985" w14:textId="77777777" w:rsidR="00793078" w:rsidRDefault="00793078" w:rsidP="00793078"/>
    <w:p w14:paraId="4E90F6C8" w14:textId="77777777" w:rsidR="003C1D1F" w:rsidRPr="00965335" w:rsidRDefault="003C1D1F" w:rsidP="00FC32FC">
      <w:pPr>
        <w:pStyle w:val="Heading3"/>
        <w:numPr>
          <w:ilvl w:val="0"/>
          <w:numId w:val="0"/>
        </w:numPr>
      </w:pPr>
      <w:r w:rsidRPr="00965335">
        <w:lastRenderedPageBreak/>
        <w:t xml:space="preserve">Material Safety Data Sheet </w:t>
      </w:r>
      <w:r>
        <w:t>r</w:t>
      </w:r>
      <w:r w:rsidRPr="00965335">
        <w:t>ecommendations</w:t>
      </w:r>
    </w:p>
    <w:p w14:paraId="2A582D0D" w14:textId="1C5A8B45" w:rsidR="005D1DD1" w:rsidRDefault="003C1D1F" w:rsidP="0005755C">
      <w:pPr>
        <w:keepNext/>
      </w:pPr>
      <w:r>
        <w:t xml:space="preserve">A </w:t>
      </w:r>
      <w:r w:rsidRPr="00BC451B">
        <w:t>Material Safety Data Sheet (MSDS) can be extremely useful to keep you informed a</w:t>
      </w:r>
      <w:r>
        <w:t>bout</w:t>
      </w:r>
      <w:r w:rsidRPr="00BC451B">
        <w:t xml:space="preserve"> the hazards and safety of transporting compressed oxygen. The recommendations below are sourced from BOC</w:t>
      </w:r>
      <w:r w:rsidR="009A7CEC">
        <w:t>’</w:t>
      </w:r>
      <w:r w:rsidRPr="00BC451B">
        <w:t>s MSDS on compressed oxygen (BOC Limited 2012).</w:t>
      </w:r>
    </w:p>
    <w:p w14:paraId="13C50FC3" w14:textId="308B9999" w:rsidR="005D1DD1" w:rsidRDefault="003C1D1F" w:rsidP="0005755C">
      <w:pPr>
        <w:pStyle w:val="Bullet"/>
        <w:keepNext/>
      </w:pPr>
      <w:r w:rsidRPr="00BC451B">
        <w:t>Store and segregate oxygen cylinders away from heat or ignition sources</w:t>
      </w:r>
      <w:r w:rsidR="0005755C">
        <w:t>.</w:t>
      </w:r>
    </w:p>
    <w:p w14:paraId="09FA5C9F" w14:textId="2918BE1A" w:rsidR="005D1DD1" w:rsidRDefault="003C1D1F" w:rsidP="0005755C">
      <w:pPr>
        <w:pStyle w:val="Bullet"/>
        <w:keepNext/>
      </w:pPr>
      <w:r w:rsidRPr="00BC451B">
        <w:t xml:space="preserve">Firmly secure cylinders using load restraints to withstand </w:t>
      </w:r>
      <w:r>
        <w:t xml:space="preserve">any </w:t>
      </w:r>
      <w:r w:rsidRPr="00BC451B">
        <w:t>acceleration and deceleration that may occur (ie, a fitted cargo net or strap)</w:t>
      </w:r>
      <w:r w:rsidR="0005755C">
        <w:t>.</w:t>
      </w:r>
    </w:p>
    <w:p w14:paraId="64BFFCC0" w14:textId="74CF5ADD" w:rsidR="005D1DD1" w:rsidRDefault="003C1D1F" w:rsidP="00FC32FC">
      <w:pPr>
        <w:pStyle w:val="Bullet"/>
        <w:keepNext/>
      </w:pPr>
      <w:r w:rsidRPr="00BC451B">
        <w:t>Ensure the oxygen is turned off</w:t>
      </w:r>
      <w:r w:rsidR="0005755C">
        <w:t>.</w:t>
      </w:r>
    </w:p>
    <w:p w14:paraId="34504C69" w14:textId="68BE47F2" w:rsidR="005D1DD1" w:rsidRDefault="003C1D1F" w:rsidP="00793078">
      <w:pPr>
        <w:pStyle w:val="Bullet"/>
      </w:pPr>
      <w:r w:rsidRPr="00BC451B">
        <w:t xml:space="preserve">Note: </w:t>
      </w:r>
      <w:r>
        <w:t>r</w:t>
      </w:r>
      <w:r w:rsidRPr="00BC451B">
        <w:t>emoving the regulator helps reduce the chance of it breaking</w:t>
      </w:r>
      <w:r w:rsidR="0005755C">
        <w:t>.</w:t>
      </w:r>
    </w:p>
    <w:p w14:paraId="079018E3" w14:textId="613A5F4F" w:rsidR="005D1DD1" w:rsidRDefault="003C1D1F" w:rsidP="00793078">
      <w:pPr>
        <w:pStyle w:val="Bullet"/>
      </w:pPr>
      <w:r w:rsidRPr="00BC451B">
        <w:t xml:space="preserve">Keep oxygen away from flammable materials such as oil and grease. Keep hand gel and </w:t>
      </w:r>
      <w:r>
        <w:t>oxygen</w:t>
      </w:r>
      <w:r w:rsidRPr="00BC451B">
        <w:t xml:space="preserve"> cylinders apart (</w:t>
      </w:r>
      <w:r w:rsidR="0005755C">
        <w:t>a</w:t>
      </w:r>
      <w:r w:rsidRPr="00BC451B">
        <w:t xml:space="preserve"> separate bag compartment is fine)</w:t>
      </w:r>
      <w:r w:rsidR="0005755C">
        <w:t>.</w:t>
      </w:r>
    </w:p>
    <w:p w14:paraId="3E176D8B" w14:textId="28B00963" w:rsidR="003C1D1F" w:rsidRDefault="003C1D1F" w:rsidP="00793078">
      <w:pPr>
        <w:pStyle w:val="Bullet"/>
      </w:pPr>
      <w:r w:rsidRPr="00BC451B">
        <w:t>Never smoke in the vicinity where oxygen is used</w:t>
      </w:r>
      <w:r w:rsidR="006E3871">
        <w:t xml:space="preserve">, </w:t>
      </w:r>
      <w:r w:rsidRPr="00BC451B">
        <w:t>stored or transported</w:t>
      </w:r>
      <w:r w:rsidR="0005755C">
        <w:t>.</w:t>
      </w:r>
    </w:p>
    <w:p w14:paraId="0464E5D2" w14:textId="77777777" w:rsidR="0005755C" w:rsidRPr="00BC451B" w:rsidRDefault="0005755C" w:rsidP="0005755C"/>
    <w:p w14:paraId="23D2465D" w14:textId="77777777" w:rsidR="005D1DD1" w:rsidRDefault="003C1D1F" w:rsidP="00F13D5D">
      <w:pPr>
        <w:pStyle w:val="Heading1"/>
        <w:numPr>
          <w:ilvl w:val="0"/>
          <w:numId w:val="0"/>
        </w:numPr>
      </w:pPr>
      <w:bookmarkStart w:id="658" w:name="_Toc454971543"/>
      <w:bookmarkStart w:id="659" w:name="_Toc465165494"/>
      <w:r w:rsidRPr="00965335">
        <w:lastRenderedPageBreak/>
        <w:t xml:space="preserve">Appendix </w:t>
      </w:r>
      <w:r>
        <w:t>4:</w:t>
      </w:r>
      <w:r w:rsidRPr="00965335">
        <w:t xml:space="preserve"> Adverse events following immunisation</w:t>
      </w:r>
      <w:bookmarkEnd w:id="658"/>
      <w:bookmarkEnd w:id="659"/>
    </w:p>
    <w:p w14:paraId="54E22198" w14:textId="77777777" w:rsidR="003C1D1F" w:rsidRPr="00965335" w:rsidRDefault="003C1D1F" w:rsidP="00FC32FC">
      <w:pPr>
        <w:pStyle w:val="Heading3"/>
        <w:numPr>
          <w:ilvl w:val="0"/>
          <w:numId w:val="0"/>
        </w:numPr>
      </w:pPr>
      <w:r w:rsidRPr="00965335">
        <w:t xml:space="preserve">Reporting </w:t>
      </w:r>
      <w:r>
        <w:t>adverse events following immunisation (</w:t>
      </w:r>
      <w:r w:rsidRPr="00965335">
        <w:t>AEFIs</w:t>
      </w:r>
      <w:r>
        <w:t>)</w:t>
      </w:r>
    </w:p>
    <w:p w14:paraId="022FACD3" w14:textId="5A7E5117" w:rsidR="003C1D1F" w:rsidRPr="00BC451B" w:rsidRDefault="003C1D1F" w:rsidP="00793078">
      <w:r w:rsidRPr="00BC451B">
        <w:t xml:space="preserve">Medical practitioners and other health professionals, including authorised vaccinators, are professionally and ethically responsible for reporting serious or unexpected adverse events that occur after </w:t>
      </w:r>
      <w:r w:rsidR="009826B6">
        <w:t xml:space="preserve">the administration of </w:t>
      </w:r>
      <w:r w:rsidRPr="00BC451B">
        <w:t>all medicines, including vaccines, to the Centre for Adverse Reactions Monitoring (CARM).</w:t>
      </w:r>
      <w:r>
        <w:t xml:space="preserve"> </w:t>
      </w:r>
      <w:r w:rsidRPr="00BC451B">
        <w:t>CARM assesses events to establish whether they are vaccine-related.</w:t>
      </w:r>
      <w:r>
        <w:t xml:space="preserve"> </w:t>
      </w:r>
      <w:r w:rsidRPr="00BC451B">
        <w:t xml:space="preserve">Reports are welcome even when there is uncertainty </w:t>
      </w:r>
      <w:r>
        <w:t>about</w:t>
      </w:r>
      <w:r w:rsidRPr="00BC451B">
        <w:t xml:space="preserve"> the causal relationship to the vaccine.</w:t>
      </w:r>
    </w:p>
    <w:p w14:paraId="7A05BDA4" w14:textId="77777777" w:rsidR="003C1D1F" w:rsidRPr="00BC451B" w:rsidRDefault="003C1D1F" w:rsidP="00793078"/>
    <w:p w14:paraId="4949361D" w14:textId="77777777" w:rsidR="005D1DD1" w:rsidRDefault="003C1D1F" w:rsidP="00793078">
      <w:r w:rsidRPr="00BC451B">
        <w:t>The CARM adverse event reporting form (HP3442) can be obtained from CARM online (https://nzphvc.otago.ac.nz/carm/)</w:t>
      </w:r>
      <w:r w:rsidRPr="00BC451B" w:rsidDel="008B384A">
        <w:t xml:space="preserve"> </w:t>
      </w:r>
      <w:r w:rsidRPr="00BC451B">
        <w:t xml:space="preserve">or from the local </w:t>
      </w:r>
      <w:r>
        <w:t>i</w:t>
      </w:r>
      <w:r w:rsidRPr="00BC451B">
        <w:t xml:space="preserve">mmunisation </w:t>
      </w:r>
      <w:r>
        <w:t>c</w:t>
      </w:r>
      <w:r w:rsidRPr="00BC451B">
        <w:t>oordinator or district immunisation facilitator.</w:t>
      </w:r>
    </w:p>
    <w:p w14:paraId="18ADD8EB" w14:textId="77777777" w:rsidR="003C1D1F" w:rsidRPr="00BC451B" w:rsidRDefault="003C1D1F" w:rsidP="00793078"/>
    <w:p w14:paraId="606775CD" w14:textId="2F6A62E4" w:rsidR="003C1D1F" w:rsidRPr="00BC451B" w:rsidRDefault="003C1D1F" w:rsidP="00793078">
      <w:r w:rsidRPr="00BC451B">
        <w:t>Note</w:t>
      </w:r>
      <w:r>
        <w:t>:</w:t>
      </w:r>
      <w:r w:rsidRPr="00BC451B">
        <w:t xml:space="preserve"> AEFIs should also be reported to the </w:t>
      </w:r>
      <w:r w:rsidR="004F6FB5">
        <w:t>services/</w:t>
      </w:r>
      <w:r w:rsidRPr="00BC451B">
        <w:t>DHB</w:t>
      </w:r>
      <w:r w:rsidR="009A7CEC">
        <w:t>’</w:t>
      </w:r>
      <w:r w:rsidRPr="00BC451B">
        <w:t>s clinical lead</w:t>
      </w:r>
      <w:r w:rsidR="009826B6">
        <w:t>/</w:t>
      </w:r>
      <w:r w:rsidRPr="00BC451B">
        <w:t>medical officer.</w:t>
      </w:r>
      <w:r w:rsidR="006A394E">
        <w:t xml:space="preserve"> A copy of the CARM form should also be forwarded the </w:t>
      </w:r>
      <w:r w:rsidR="009826B6">
        <w:t xml:space="preserve">patients </w:t>
      </w:r>
      <w:r w:rsidR="006A394E">
        <w:t>Primary Health Care provider and a copy attached</w:t>
      </w:r>
      <w:r w:rsidR="00DD4623">
        <w:t xml:space="preserve"> to</w:t>
      </w:r>
      <w:r w:rsidR="006A394E">
        <w:t xml:space="preserve"> the consent form.</w:t>
      </w:r>
    </w:p>
    <w:p w14:paraId="7C1F2FC8" w14:textId="77777777" w:rsidR="003C1D1F" w:rsidRPr="00BC451B" w:rsidRDefault="003C1D1F" w:rsidP="00793078"/>
    <w:p w14:paraId="53790497" w14:textId="46D02ECF" w:rsidR="003C1D1F" w:rsidRPr="006D7B1A" w:rsidRDefault="003C1D1F" w:rsidP="00793078">
      <w:r w:rsidRPr="006D7B1A">
        <w:t>All vaccinators must be able to distinguish anaphylaxis from fainting, anxiety and tonic</w:t>
      </w:r>
      <w:r>
        <w:t>-</w:t>
      </w:r>
      <w:r w:rsidRPr="006D7B1A">
        <w:t>clonic seizures</w:t>
      </w:r>
      <w:r>
        <w:t xml:space="preserve"> (see Table A4.1</w:t>
      </w:r>
      <w:r w:rsidR="004F6FB5">
        <w:t xml:space="preserve"> in the current </w:t>
      </w:r>
      <w:r w:rsidR="004F6FB5" w:rsidRPr="009826B6">
        <w:rPr>
          <w:i/>
        </w:rPr>
        <w:t xml:space="preserve">Immunisation Handbook </w:t>
      </w:r>
      <w:hyperlink r:id="rId31" w:history="1">
        <w:r w:rsidR="006F227D" w:rsidRPr="00235B18">
          <w:rPr>
            <w:rStyle w:val="Hyperlink"/>
          </w:rPr>
          <w:t>http://immunisation.book.health.govt.nz/).This</w:t>
        </w:r>
      </w:hyperlink>
      <w:r w:rsidR="006F227D">
        <w:t xml:space="preserve"> is particularly important for SBIP vaccinators as they are working with a group of young people who are more likely to faint or have anxiety type responses.</w:t>
      </w:r>
    </w:p>
    <w:p w14:paraId="6A11BFCC" w14:textId="77777777" w:rsidR="003C1D1F" w:rsidRPr="006D7B1A" w:rsidRDefault="003C1D1F" w:rsidP="00FC32FC">
      <w:pPr>
        <w:pStyle w:val="Heading3"/>
        <w:numPr>
          <w:ilvl w:val="0"/>
          <w:numId w:val="0"/>
        </w:numPr>
      </w:pPr>
      <w:r w:rsidRPr="006D7B1A">
        <w:t>Reducing anxiety and fainting in groups of students</w:t>
      </w:r>
    </w:p>
    <w:p w14:paraId="45F7DF6F" w14:textId="77777777" w:rsidR="005D1DD1" w:rsidRPr="005D1DD1" w:rsidRDefault="003C1D1F" w:rsidP="00FC32FC">
      <w:r w:rsidRPr="005D1DD1">
        <w:t>The following has been modified from information provided by Dr Rosemary Lester, Assistant Director, Communicable Disease Prevention and Control Unit, and Helen Pitcher, Immunisation Nurse Consultant, Victorian Department of Human Services.</w:t>
      </w:r>
    </w:p>
    <w:p w14:paraId="5143757F" w14:textId="77777777" w:rsidR="003C1D1F" w:rsidRPr="00BC451B" w:rsidRDefault="003C1D1F" w:rsidP="00FC32FC">
      <w:pPr>
        <w:pStyle w:val="Bullet"/>
      </w:pPr>
      <w:r>
        <w:t>Ensure a</w:t>
      </w:r>
      <w:r w:rsidRPr="00BC451B">
        <w:t xml:space="preserve"> person</w:t>
      </w:r>
      <w:r>
        <w:t xml:space="preserve"> who knows the student is present </w:t>
      </w:r>
      <w:r w:rsidRPr="00BC451B">
        <w:t xml:space="preserve">to assist with identification of students and </w:t>
      </w:r>
      <w:r>
        <w:t xml:space="preserve">to </w:t>
      </w:r>
      <w:r w:rsidRPr="00BC451B">
        <w:t>manage their behaviour.</w:t>
      </w:r>
    </w:p>
    <w:p w14:paraId="23FF709D" w14:textId="77777777" w:rsidR="003C1D1F" w:rsidRPr="00BC451B" w:rsidRDefault="003C1D1F" w:rsidP="00793078">
      <w:pPr>
        <w:pStyle w:val="Bullet"/>
      </w:pPr>
      <w:r>
        <w:t>Vaccinate o</w:t>
      </w:r>
      <w:r w:rsidRPr="00BC451B">
        <w:t>ne class at a time to minimise the creation of anxiety that a few students can engender in others.</w:t>
      </w:r>
    </w:p>
    <w:p w14:paraId="19900AF5" w14:textId="77777777" w:rsidR="003C1D1F" w:rsidRPr="00BC451B" w:rsidRDefault="003C1D1F" w:rsidP="00D24896">
      <w:pPr>
        <w:pStyle w:val="Bullet"/>
      </w:pPr>
      <w:r w:rsidRPr="00BC451B">
        <w:t xml:space="preserve">Students </w:t>
      </w:r>
      <w:r>
        <w:t xml:space="preserve">should </w:t>
      </w:r>
      <w:r w:rsidRPr="00BC451B">
        <w:t>avoid strenuous activity and driving for up to 30 minutes after vaccination in the event of a delayed fainting episode.</w:t>
      </w:r>
    </w:p>
    <w:p w14:paraId="46011D43" w14:textId="77777777" w:rsidR="003C1D1F" w:rsidRPr="00BC451B" w:rsidRDefault="003C1D1F" w:rsidP="00793078">
      <w:pPr>
        <w:pStyle w:val="Bullet"/>
      </w:pPr>
      <w:r w:rsidRPr="00BC451B">
        <w:t xml:space="preserve">Allow privacy for a student when being vaccinated so that other students are not watching </w:t>
      </w:r>
      <w:r>
        <w:t>before</w:t>
      </w:r>
      <w:r w:rsidRPr="00BC451B">
        <w:t xml:space="preserve"> </w:t>
      </w:r>
      <w:r>
        <w:t xml:space="preserve">the </w:t>
      </w:r>
      <w:r w:rsidRPr="00BC451B">
        <w:t xml:space="preserve">vaccine </w:t>
      </w:r>
      <w:r>
        <w:t>is</w:t>
      </w:r>
      <w:r w:rsidRPr="00BC451B">
        <w:t xml:space="preserve"> given.</w:t>
      </w:r>
    </w:p>
    <w:p w14:paraId="33CC7F63" w14:textId="77777777" w:rsidR="003C1D1F" w:rsidRPr="00BC451B" w:rsidRDefault="003C1D1F" w:rsidP="00793078">
      <w:pPr>
        <w:pStyle w:val="Bullet"/>
      </w:pPr>
      <w:r w:rsidRPr="00BC451B">
        <w:t>Provide a nearby area to wait following vaccination, away from concrete and staircases</w:t>
      </w:r>
      <w:r>
        <w:t>,</w:t>
      </w:r>
      <w:r w:rsidRPr="00BC451B">
        <w:t xml:space="preserve"> which can contribute to injury following a fainting episode.</w:t>
      </w:r>
    </w:p>
    <w:p w14:paraId="1B2017DA" w14:textId="77777777" w:rsidR="008E18A7" w:rsidRDefault="008E18A7" w:rsidP="00793078"/>
    <w:p w14:paraId="34FD9159" w14:textId="77777777" w:rsidR="009A7CEC" w:rsidRDefault="003C1D1F" w:rsidP="00793078">
      <w:r w:rsidRPr="00BC451B">
        <w:t>For more information on AEFIs</w:t>
      </w:r>
      <w:r>
        <w:t>,</w:t>
      </w:r>
      <w:r w:rsidRPr="00BC451B">
        <w:t xml:space="preserve"> refer to chapters 2.4</w:t>
      </w:r>
      <w:r>
        <w:t>−</w:t>
      </w:r>
      <w:r w:rsidRPr="00BC451B">
        <w:t xml:space="preserve">2.5 of the </w:t>
      </w:r>
      <w:r w:rsidR="008E18A7">
        <w:t xml:space="preserve">current </w:t>
      </w:r>
      <w:r w:rsidRPr="00BC451B">
        <w:rPr>
          <w:i/>
        </w:rPr>
        <w:t>Immunisation Handbook</w:t>
      </w:r>
      <w:r w:rsidR="008E18A7">
        <w:t xml:space="preserve"> </w:t>
      </w:r>
      <w:r w:rsidR="008E18A7" w:rsidRPr="008E18A7">
        <w:t>http://immunisation.book.health.govt.nz/</w:t>
      </w:r>
      <w:r w:rsidRPr="00BC451B">
        <w:t xml:space="preserve">or to the Medsafe data sheets for expected reactions to a vaccine </w:t>
      </w:r>
      <w:hyperlink r:id="rId32" w:history="1">
        <w:r w:rsidR="008E18A7" w:rsidRPr="00235B18">
          <w:rPr>
            <w:rStyle w:val="Hyperlink"/>
          </w:rPr>
          <w:t>www.medsafe.govt.nz/profs/Datasheet/dsform.asp</w:t>
        </w:r>
      </w:hyperlink>
    </w:p>
    <w:p w14:paraId="69AC1E54" w14:textId="77777777" w:rsidR="009A7CEC" w:rsidRDefault="003C1D1F" w:rsidP="00F13D5D">
      <w:pPr>
        <w:pStyle w:val="Heading1"/>
        <w:numPr>
          <w:ilvl w:val="0"/>
          <w:numId w:val="0"/>
        </w:numPr>
      </w:pPr>
      <w:bookmarkStart w:id="660" w:name="_Toc465165495"/>
      <w:bookmarkStart w:id="661" w:name="_Toc454971544"/>
      <w:r w:rsidRPr="00965335">
        <w:lastRenderedPageBreak/>
        <w:t xml:space="preserve">Appendix </w:t>
      </w:r>
      <w:r>
        <w:t>5:</w:t>
      </w:r>
      <w:r w:rsidRPr="00965335">
        <w:t xml:space="preserve"> Vaccinations </w:t>
      </w:r>
      <w:r>
        <w:t>o</w:t>
      </w:r>
      <w:r w:rsidRPr="00965335">
        <w:t>ffered in the Programme</w:t>
      </w:r>
      <w:bookmarkEnd w:id="660"/>
      <w:bookmarkEnd w:id="661"/>
    </w:p>
    <w:p w14:paraId="6CC97F44" w14:textId="32E08070" w:rsidR="003C1D1F" w:rsidRPr="00965335" w:rsidRDefault="003C1D1F" w:rsidP="00FC32FC">
      <w:pPr>
        <w:pStyle w:val="Heading3"/>
        <w:numPr>
          <w:ilvl w:val="0"/>
          <w:numId w:val="0"/>
        </w:numPr>
      </w:pPr>
      <w:r w:rsidRPr="00965335">
        <w:t>Overview</w:t>
      </w:r>
    </w:p>
    <w:p w14:paraId="09245063" w14:textId="15513AAB" w:rsidR="005D1DD1" w:rsidRDefault="003C1D1F" w:rsidP="00793078">
      <w:r w:rsidRPr="00BC451B">
        <w:t>The Programme offers two vaccines</w:t>
      </w:r>
      <w:r>
        <w:t>:</w:t>
      </w:r>
      <w:r w:rsidRPr="00BC451B">
        <w:t xml:space="preserve"> BOOSTRIX</w:t>
      </w:r>
      <w:r w:rsidRPr="00BC451B">
        <w:rPr>
          <w:vertAlign w:val="superscript"/>
        </w:rPr>
        <w:t>®</w:t>
      </w:r>
      <w:r w:rsidR="009A7CEC">
        <w:rPr>
          <w:vertAlign w:val="superscript"/>
        </w:rPr>
        <w:t xml:space="preserve"> </w:t>
      </w:r>
      <w:r w:rsidR="008E18A7">
        <w:t xml:space="preserve">(Tdap) </w:t>
      </w:r>
      <w:r w:rsidRPr="00BC451B">
        <w:t xml:space="preserve">and </w:t>
      </w:r>
      <w:r w:rsidRPr="00367577">
        <w:t>GARDASIL</w:t>
      </w:r>
      <w:r w:rsidRPr="005D1DD1">
        <w:rPr>
          <w:color w:val="000000"/>
          <w:vertAlign w:val="superscript"/>
        </w:rPr>
        <w:t>®</w:t>
      </w:r>
      <w:r w:rsidRPr="00367577">
        <w:t>9</w:t>
      </w:r>
      <w:r w:rsidR="008E18A7">
        <w:t xml:space="preserve"> (HPV9)</w:t>
      </w:r>
      <w:r>
        <w:t xml:space="preserve">. </w:t>
      </w:r>
      <w:r w:rsidR="008E18A7">
        <w:rPr>
          <w:color w:val="000000"/>
        </w:rPr>
        <w:t>Tdap</w:t>
      </w:r>
      <w:r w:rsidRPr="005D1DD1">
        <w:rPr>
          <w:color w:val="000000"/>
        </w:rPr>
        <w:t xml:space="preserve"> is </w:t>
      </w:r>
      <w:r w:rsidRPr="00BC451B">
        <w:t>offered to protect against tetanus, diphtheria and pertussis</w:t>
      </w:r>
      <w:r w:rsidR="008E18A7">
        <w:t xml:space="preserve">, </w:t>
      </w:r>
      <w:r w:rsidRPr="00BC451B">
        <w:t>which are life-threatening diseases caused by bacterial infection</w:t>
      </w:r>
      <w:r w:rsidR="009826B6">
        <w:t>s</w:t>
      </w:r>
      <w:r w:rsidRPr="00BC451B">
        <w:t>.</w:t>
      </w:r>
      <w:r w:rsidRPr="005D1DD1">
        <w:rPr>
          <w:color w:val="000000"/>
        </w:rPr>
        <w:t xml:space="preserve"> </w:t>
      </w:r>
      <w:r w:rsidR="008E18A7">
        <w:rPr>
          <w:color w:val="000000"/>
        </w:rPr>
        <w:t>HPV9</w:t>
      </w:r>
      <w:r w:rsidRPr="005D1DD1">
        <w:rPr>
          <w:color w:val="000000"/>
        </w:rPr>
        <w:t xml:space="preserve"> is </w:t>
      </w:r>
      <w:r w:rsidRPr="00BC451B">
        <w:t xml:space="preserve">the vaccine offered to protect against </w:t>
      </w:r>
      <w:r>
        <w:t>nine</w:t>
      </w:r>
      <w:r w:rsidRPr="00BC451B">
        <w:t xml:space="preserve"> types of HPV-related diseases</w:t>
      </w:r>
      <w:r>
        <w:t>,</w:t>
      </w:r>
      <w:r w:rsidRPr="00BC451B">
        <w:t xml:space="preserve"> </w:t>
      </w:r>
      <w:r>
        <w:t>such as</w:t>
      </w:r>
      <w:r w:rsidRPr="00BC451B">
        <w:t xml:space="preserve"> genital warts, and</w:t>
      </w:r>
      <w:r>
        <w:t xml:space="preserve"> cancers such as cervical, anal, </w:t>
      </w:r>
      <w:r w:rsidRPr="00BC451B">
        <w:t>genital</w:t>
      </w:r>
      <w:r>
        <w:t xml:space="preserve"> and oropharyngeal</w:t>
      </w:r>
      <w:r w:rsidRPr="00BC451B">
        <w:t>.</w:t>
      </w:r>
    </w:p>
    <w:p w14:paraId="512CA308" w14:textId="77777777" w:rsidR="00793078" w:rsidRDefault="00793078" w:rsidP="00793078">
      <w:pPr>
        <w:rPr>
          <w:rFonts w:cs="Arial"/>
          <w:lang w:eastAsia="en-NZ"/>
        </w:rPr>
      </w:pPr>
    </w:p>
    <w:p w14:paraId="3877452B" w14:textId="77777777" w:rsidR="003C1D1F" w:rsidRDefault="003C1D1F" w:rsidP="00793078">
      <w:r w:rsidRPr="00BC451B">
        <w:rPr>
          <w:rFonts w:cs="Arial"/>
          <w:lang w:eastAsia="en-NZ"/>
        </w:rPr>
        <w:t>Internationally, Tdap and HPV immunisation programmes are most commonly offered through school</w:t>
      </w:r>
      <w:r>
        <w:rPr>
          <w:rFonts w:cs="Arial"/>
          <w:lang w:eastAsia="en-NZ"/>
        </w:rPr>
        <w:t>-</w:t>
      </w:r>
      <w:r w:rsidRPr="00BC451B">
        <w:rPr>
          <w:rFonts w:cs="Arial"/>
          <w:lang w:eastAsia="en-NZ"/>
        </w:rPr>
        <w:t xml:space="preserve">based delivery. </w:t>
      </w:r>
      <w:r w:rsidRPr="00BC451B">
        <w:t>Children are offered free immunisations at around age 11</w:t>
      </w:r>
      <w:r>
        <w:t>−</w:t>
      </w:r>
      <w:r w:rsidRPr="00BC451B">
        <w:t>12 against Tdap and HPV. In most parts of the co</w:t>
      </w:r>
      <w:r>
        <w:t>untry these immunisations are primarily</w:t>
      </w:r>
      <w:r w:rsidRPr="00BC451B">
        <w:t xml:space="preserve"> </w:t>
      </w:r>
      <w:r>
        <w:t>offered</w:t>
      </w:r>
      <w:r w:rsidRPr="00BC451B">
        <w:t xml:space="preserve"> at school during years 7 and 8. Some parts of the South Island provide Year 7 immunisation through general practice.</w:t>
      </w:r>
    </w:p>
    <w:p w14:paraId="52A5659A" w14:textId="77777777" w:rsidR="00793078" w:rsidRPr="00BC451B" w:rsidRDefault="00793078" w:rsidP="00793078"/>
    <w:p w14:paraId="2E379CC3" w14:textId="77777777" w:rsidR="003C1D1F" w:rsidRPr="00965335" w:rsidRDefault="003C1D1F" w:rsidP="00FC32FC">
      <w:pPr>
        <w:pStyle w:val="Heading3"/>
        <w:numPr>
          <w:ilvl w:val="0"/>
          <w:numId w:val="0"/>
        </w:numPr>
      </w:pPr>
      <w:r w:rsidRPr="00965335">
        <w:t xml:space="preserve">Programme </w:t>
      </w:r>
      <w:r>
        <w:t>v</w:t>
      </w:r>
      <w:r w:rsidRPr="00965335">
        <w:t xml:space="preserve">accine </w:t>
      </w:r>
      <w:r>
        <w:t>s</w:t>
      </w:r>
      <w:r w:rsidRPr="00965335">
        <w:t>chedules</w:t>
      </w:r>
    </w:p>
    <w:p w14:paraId="2685BA2F" w14:textId="6EEB87EC" w:rsidR="003C1D1F" w:rsidRDefault="003C1D1F" w:rsidP="00793078">
      <w:r w:rsidRPr="00BC451B">
        <w:t xml:space="preserve">The recommended schedule for </w:t>
      </w:r>
      <w:r w:rsidR="008E18A7">
        <w:rPr>
          <w:color w:val="000000"/>
        </w:rPr>
        <w:t>Tdap</w:t>
      </w:r>
      <w:r w:rsidRPr="005D1DD1">
        <w:rPr>
          <w:color w:val="000000"/>
        </w:rPr>
        <w:t xml:space="preserve"> </w:t>
      </w:r>
      <w:r w:rsidRPr="00BC451B">
        <w:t>is a single 0.5</w:t>
      </w:r>
      <w:r>
        <w:t xml:space="preserve"> </w:t>
      </w:r>
      <w:r w:rsidRPr="00BC451B">
        <w:t>mL dose administered intramuscularly in the deltoid for individuals 10 years of age and older. In patients with bleeding problems, the dose may need to be given under the skin (subcutaneously).</w:t>
      </w:r>
    </w:p>
    <w:p w14:paraId="734472A4" w14:textId="77777777" w:rsidR="003C1D1F" w:rsidRPr="00BC451B" w:rsidRDefault="003C1D1F" w:rsidP="00793078"/>
    <w:p w14:paraId="23EEE80E" w14:textId="227C702A" w:rsidR="005D1DD1" w:rsidRDefault="003C1D1F" w:rsidP="00793078">
      <w:r w:rsidRPr="00BC451B">
        <w:t xml:space="preserve">For children in school </w:t>
      </w:r>
      <w:r>
        <w:t>y</w:t>
      </w:r>
      <w:r w:rsidRPr="00BC451B">
        <w:t>ear</w:t>
      </w:r>
      <w:r>
        <w:t>s</w:t>
      </w:r>
      <w:r w:rsidRPr="00BC451B">
        <w:t xml:space="preserve"> 7 and 8, the recommended schedule for </w:t>
      </w:r>
      <w:r w:rsidR="008E18A7">
        <w:t>HPV9</w:t>
      </w:r>
      <w:r w:rsidRPr="00BC451B">
        <w:t xml:space="preserve"> is </w:t>
      </w:r>
      <w:r>
        <w:t>two</w:t>
      </w:r>
      <w:r w:rsidRPr="00BC451B">
        <w:t xml:space="preserve"> 0.5</w:t>
      </w:r>
      <w:r w:rsidR="00793078">
        <w:t> </w:t>
      </w:r>
      <w:r w:rsidRPr="00BC451B">
        <w:t>mL doses administered intramuscularly in the deltoid</w:t>
      </w:r>
      <w:r>
        <w:t>, given as a two-dose vaccine, with a minimum of six months between dose one and dose two.</w:t>
      </w:r>
    </w:p>
    <w:p w14:paraId="1F4918E9" w14:textId="77777777" w:rsidR="00793078" w:rsidRDefault="00793078" w:rsidP="00793078"/>
    <w:p w14:paraId="524D627C" w14:textId="77777777" w:rsidR="003C1D1F" w:rsidRPr="00965335" w:rsidRDefault="003C1D1F" w:rsidP="00FC32FC">
      <w:pPr>
        <w:pStyle w:val="Heading3"/>
        <w:numPr>
          <w:ilvl w:val="0"/>
          <w:numId w:val="0"/>
        </w:numPr>
      </w:pPr>
      <w:r w:rsidRPr="00965335">
        <w:t xml:space="preserve">Vaccine </w:t>
      </w:r>
      <w:r>
        <w:t>a</w:t>
      </w:r>
      <w:r w:rsidRPr="00965335">
        <w:t>dministration</w:t>
      </w:r>
    </w:p>
    <w:p w14:paraId="7DC7FF97" w14:textId="36FBB341" w:rsidR="005D1DD1" w:rsidRDefault="008E18A7" w:rsidP="00793078">
      <w:r>
        <w:rPr>
          <w:color w:val="000000"/>
        </w:rPr>
        <w:t>Tdap</w:t>
      </w:r>
      <w:r w:rsidR="003C1D1F" w:rsidRPr="005D1DD1">
        <w:rPr>
          <w:color w:val="000000"/>
        </w:rPr>
        <w:t xml:space="preserve"> and</w:t>
      </w:r>
      <w:r w:rsidR="003C1D1F" w:rsidRPr="00BC451B">
        <w:t xml:space="preserve"> </w:t>
      </w:r>
      <w:r>
        <w:t>HPV9</w:t>
      </w:r>
      <w:r w:rsidR="003C1D1F" w:rsidRPr="00367577">
        <w:t xml:space="preserve"> </w:t>
      </w:r>
      <w:r w:rsidR="003C1D1F" w:rsidRPr="00BC451B">
        <w:t>can be administered simultaneously with other vaccines, including all vaccines on the Schedule. Separate syringes and different injection sites should be used.</w:t>
      </w:r>
    </w:p>
    <w:p w14:paraId="5A3D191F" w14:textId="77777777" w:rsidR="00D24896" w:rsidRDefault="00D24896" w:rsidP="00D24896"/>
    <w:p w14:paraId="20E4DAB8" w14:textId="3EABA747" w:rsidR="008E18A7" w:rsidRPr="00BC451B" w:rsidRDefault="008E18A7" w:rsidP="00D24896">
      <w:r>
        <w:t>Both Tdap and HPV9 are sub-unit vaccines. W</w:t>
      </w:r>
      <w:r w:rsidRPr="00BC451B">
        <w:t>hile HPV</w:t>
      </w:r>
      <w:r>
        <w:t>9</w:t>
      </w:r>
      <w:r w:rsidRPr="00BC451B">
        <w:t xml:space="preserve"> vaccination is not recommended for use in pregnancy, there is no need to ask a young adolescent whether she is pregnant prior to vaccination. HPV</w:t>
      </w:r>
      <w:r>
        <w:t>9</w:t>
      </w:r>
      <w:r w:rsidR="00E35F7C">
        <w:t xml:space="preserve"> </w:t>
      </w:r>
      <w:r w:rsidRPr="00BC451B">
        <w:t>is not expected to be a safety concern if given in early pregnancy.</w:t>
      </w:r>
    </w:p>
    <w:p w14:paraId="702EA6B4" w14:textId="77777777" w:rsidR="003C1D1F" w:rsidRDefault="003C1D1F" w:rsidP="00793078"/>
    <w:p w14:paraId="29CB29FF" w14:textId="77777777" w:rsidR="009A7CEC" w:rsidRDefault="000145D8" w:rsidP="00980404">
      <w:r>
        <w:t xml:space="preserve">For more information on vaccine administration please refer to the current </w:t>
      </w:r>
      <w:r w:rsidRPr="009826B6">
        <w:rPr>
          <w:i/>
        </w:rPr>
        <w:t>Immunisation Handbook</w:t>
      </w:r>
      <w:r w:rsidRPr="000145D8">
        <w:t xml:space="preserve"> </w:t>
      </w:r>
      <w:r>
        <w:t>http</w:t>
      </w:r>
      <w:r w:rsidRPr="000145D8">
        <w:t>://immunisation.book.health.govt.nz/</w:t>
      </w:r>
    </w:p>
    <w:p w14:paraId="70F1B33F" w14:textId="77777777" w:rsidR="009A7CEC" w:rsidRDefault="000145D8" w:rsidP="00980404">
      <w:r>
        <w:t xml:space="preserve">Also refer to the vaccine data sheet </w:t>
      </w:r>
      <w:r w:rsidRPr="000145D8">
        <w:t>www.medsafe.govt.nz/profs/Datasheet/dsform.asp</w:t>
      </w:r>
    </w:p>
    <w:p w14:paraId="72196EE1" w14:textId="7216D4E1" w:rsidR="00980404" w:rsidRPr="00980404" w:rsidRDefault="00980404" w:rsidP="00980404"/>
    <w:p w14:paraId="54BFB056" w14:textId="77777777" w:rsidR="003C1D1F" w:rsidRPr="0052190F" w:rsidRDefault="003C1D1F" w:rsidP="00FC32FC">
      <w:pPr>
        <w:pStyle w:val="Heading3"/>
        <w:numPr>
          <w:ilvl w:val="0"/>
          <w:numId w:val="0"/>
        </w:numPr>
      </w:pPr>
      <w:r w:rsidRPr="0052190F">
        <w:lastRenderedPageBreak/>
        <w:t>Vaccine procurement, storage and distribution</w:t>
      </w:r>
    </w:p>
    <w:p w14:paraId="58DCC428" w14:textId="17985840" w:rsidR="003C1D1F" w:rsidRPr="00BC451B" w:rsidRDefault="000145D8" w:rsidP="00D24896">
      <w:pPr>
        <w:keepNext/>
        <w:keepLines/>
      </w:pPr>
      <w:r>
        <w:t>Each service/</w:t>
      </w:r>
      <w:r w:rsidR="003C1D1F" w:rsidRPr="00BC451B">
        <w:t xml:space="preserve">DHB will be responsible for purchasing the appropriate needles required for the </w:t>
      </w:r>
      <w:r w:rsidR="003C1D1F" w:rsidRPr="005D1DD1">
        <w:t xml:space="preserve">Programme. </w:t>
      </w:r>
      <w:r w:rsidR="003C1D1F" w:rsidRPr="00BC451B">
        <w:t xml:space="preserve">The </w:t>
      </w:r>
      <w:r w:rsidR="003C1D1F" w:rsidRPr="005D1DD1">
        <w:t xml:space="preserve">Programme </w:t>
      </w:r>
      <w:r w:rsidR="003C1D1F" w:rsidRPr="00BC451B">
        <w:t xml:space="preserve">will be able to order the </w:t>
      </w:r>
      <w:r>
        <w:t>Tdap</w:t>
      </w:r>
      <w:r w:rsidR="003C1D1F" w:rsidRPr="00BC451B">
        <w:t xml:space="preserve"> and </w:t>
      </w:r>
      <w:r>
        <w:t>HPV</w:t>
      </w:r>
      <w:r w:rsidR="003C1D1F" w:rsidRPr="00367577">
        <w:t xml:space="preserve">9 </w:t>
      </w:r>
      <w:r w:rsidR="003C1D1F" w:rsidRPr="00BC451B">
        <w:t>vaccine up to three times per week from ProPharma, using the ProPharma Vaccine Order Form found online at www.fundedvaccines.co.nz/Login.aspx</w:t>
      </w:r>
    </w:p>
    <w:p w14:paraId="285E2878" w14:textId="77777777" w:rsidR="003C1D1F" w:rsidRPr="00BC451B" w:rsidRDefault="003C1D1F" w:rsidP="00D24896">
      <w:pPr>
        <w:keepNext/>
      </w:pPr>
    </w:p>
    <w:p w14:paraId="3F4359B0" w14:textId="1AF20EA2" w:rsidR="003C1D1F" w:rsidRDefault="003C1D1F" w:rsidP="00980404">
      <w:r w:rsidRPr="00BC451B">
        <w:t xml:space="preserve">The </w:t>
      </w:r>
      <w:r w:rsidR="000145D8">
        <w:t>Tdap</w:t>
      </w:r>
      <w:r w:rsidRPr="00BC451B">
        <w:t xml:space="preserve"> </w:t>
      </w:r>
      <w:r w:rsidR="00980404">
        <w:t>and</w:t>
      </w:r>
      <w:r w:rsidRPr="00BC451B">
        <w:t xml:space="preserve"> </w:t>
      </w:r>
      <w:r w:rsidR="000145D8">
        <w:t>HPV</w:t>
      </w:r>
      <w:r w:rsidRPr="00367577">
        <w:t xml:space="preserve">9 </w:t>
      </w:r>
      <w:r w:rsidRPr="00BC451B">
        <w:t xml:space="preserve">vaccines should be stored </w:t>
      </w:r>
      <w:r w:rsidR="009826B6">
        <w:t>in the refigerator</w:t>
      </w:r>
      <w:r w:rsidR="009826B6" w:rsidRPr="00BC451B">
        <w:t xml:space="preserve"> </w:t>
      </w:r>
      <w:r w:rsidRPr="00BC451B">
        <w:t>at +2°C to +8°C</w:t>
      </w:r>
      <w:r>
        <w:t xml:space="preserve"> and</w:t>
      </w:r>
      <w:r w:rsidRPr="00BC451B">
        <w:t xml:space="preserve"> kept away from light</w:t>
      </w:r>
      <w:r>
        <w:t>,</w:t>
      </w:r>
      <w:r w:rsidRPr="00BC451B">
        <w:t xml:space="preserve"> and should not be frozen.</w:t>
      </w:r>
    </w:p>
    <w:p w14:paraId="53281E6A" w14:textId="77777777" w:rsidR="00D24896" w:rsidRPr="00BC451B" w:rsidRDefault="00D24896" w:rsidP="00980404"/>
    <w:p w14:paraId="62E12EDE" w14:textId="77777777" w:rsidR="003C1D1F" w:rsidRPr="00965335" w:rsidRDefault="003C1D1F" w:rsidP="00FC32FC">
      <w:pPr>
        <w:pStyle w:val="Heading3"/>
        <w:numPr>
          <w:ilvl w:val="0"/>
          <w:numId w:val="0"/>
        </w:numPr>
      </w:pPr>
      <w:bookmarkStart w:id="662" w:name="_Toc436923217"/>
      <w:r w:rsidRPr="00965335">
        <w:t xml:space="preserve">Appearance and </w:t>
      </w:r>
      <w:bookmarkEnd w:id="662"/>
      <w:r>
        <w:t>p</w:t>
      </w:r>
      <w:r w:rsidRPr="00965335">
        <w:t>ackaging</w:t>
      </w:r>
    </w:p>
    <w:p w14:paraId="73CFE771" w14:textId="4942BCFA" w:rsidR="003C1D1F" w:rsidRDefault="000145D8" w:rsidP="00980404">
      <w:r>
        <w:t>Tdap</w:t>
      </w:r>
      <w:r w:rsidR="003C1D1F" w:rsidRPr="00BC451B">
        <w:t xml:space="preserve"> comes as a prefilled syringe in packs of 10. It is a white, slightly milky liquid.</w:t>
      </w:r>
      <w:r w:rsidR="003C1D1F">
        <w:t xml:space="preserve"> </w:t>
      </w:r>
      <w:r>
        <w:t>HPV</w:t>
      </w:r>
      <w:r w:rsidR="003C1D1F" w:rsidRPr="00367577">
        <w:t xml:space="preserve">9 </w:t>
      </w:r>
      <w:r w:rsidR="003C1D1F" w:rsidRPr="00BC451B">
        <w:t>is a sterile</w:t>
      </w:r>
      <w:r w:rsidR="003C1D1F">
        <w:t>,</w:t>
      </w:r>
      <w:r w:rsidR="003C1D1F" w:rsidRPr="00BC451B">
        <w:t xml:space="preserve"> cloudy white liquid. It is supplied in boxes of 10 x 1 dose prefilled syringes. Needles are not supplied.</w:t>
      </w:r>
    </w:p>
    <w:p w14:paraId="09EED05E" w14:textId="77777777" w:rsidR="00980404" w:rsidRPr="00BC451B" w:rsidRDefault="00980404" w:rsidP="00980404"/>
    <w:p w14:paraId="29BC526F" w14:textId="77777777" w:rsidR="003C1D1F" w:rsidRPr="00965335" w:rsidRDefault="003C1D1F" w:rsidP="00FC32FC">
      <w:pPr>
        <w:pStyle w:val="Heading3"/>
        <w:numPr>
          <w:ilvl w:val="0"/>
          <w:numId w:val="0"/>
        </w:numPr>
      </w:pPr>
      <w:bookmarkStart w:id="663" w:name="_Toc436923232"/>
      <w:r w:rsidRPr="00965335">
        <w:t xml:space="preserve">For </w:t>
      </w:r>
      <w:r>
        <w:t>m</w:t>
      </w:r>
      <w:r w:rsidRPr="00965335">
        <w:t xml:space="preserve">ore </w:t>
      </w:r>
      <w:r>
        <w:t>i</w:t>
      </w:r>
      <w:r w:rsidRPr="00965335">
        <w:t>nformation on BOOSTRIX® and GARDASIL®</w:t>
      </w:r>
      <w:r>
        <w:t>9</w:t>
      </w:r>
    </w:p>
    <w:p w14:paraId="38B32D37" w14:textId="2D8EC122" w:rsidR="003C1D1F" w:rsidRPr="00980404" w:rsidRDefault="003C1D1F" w:rsidP="00980404">
      <w:r w:rsidRPr="00980404">
        <w:rPr>
          <w:spacing w:val="-2"/>
        </w:rPr>
        <w:t xml:space="preserve">For full </w:t>
      </w:r>
      <w:r w:rsidR="000145D8">
        <w:rPr>
          <w:color w:val="000000"/>
          <w:spacing w:val="-2"/>
        </w:rPr>
        <w:t>Tdap</w:t>
      </w:r>
      <w:r w:rsidRPr="00980404">
        <w:rPr>
          <w:color w:val="000000"/>
          <w:spacing w:val="-2"/>
        </w:rPr>
        <w:t xml:space="preserve"> and </w:t>
      </w:r>
      <w:r w:rsidR="000145D8">
        <w:rPr>
          <w:spacing w:val="-2"/>
        </w:rPr>
        <w:t>HPV</w:t>
      </w:r>
      <w:r w:rsidRPr="00980404">
        <w:rPr>
          <w:spacing w:val="-2"/>
        </w:rPr>
        <w:t>9 prescribing information, including vaccine composition,</w:t>
      </w:r>
      <w:r w:rsidRPr="00BC451B">
        <w:t xml:space="preserve"> dosage, administration, contraindications, precautions, efficacy and adverse events, refer to the vaccine leaflet (inside the box)</w:t>
      </w:r>
      <w:r>
        <w:t>,</w:t>
      </w:r>
      <w:r w:rsidRPr="00BC451B">
        <w:t xml:space="preserve"> or see the vaccine data sheet on the Medsafe website:</w:t>
      </w:r>
    </w:p>
    <w:p w14:paraId="714BEEB9" w14:textId="77777777" w:rsidR="009A7CEC" w:rsidRDefault="003C1D1F" w:rsidP="00980404">
      <w:pPr>
        <w:pStyle w:val="Bullet"/>
      </w:pPr>
      <w:r w:rsidRPr="005D1DD1">
        <w:rPr>
          <w:color w:val="000000"/>
        </w:rPr>
        <w:t>BOOSTRIX</w:t>
      </w:r>
      <w:r w:rsidRPr="00BC451B">
        <w:rPr>
          <w:vertAlign w:val="superscript"/>
        </w:rPr>
        <w:t>®</w:t>
      </w:r>
      <w:r w:rsidRPr="005D1DD1">
        <w:rPr>
          <w:color w:val="000000"/>
        </w:rPr>
        <w:t xml:space="preserve">: </w:t>
      </w:r>
      <w:hyperlink r:id="rId33" w:history="1">
        <w:r w:rsidR="000145D8" w:rsidRPr="00235B18">
          <w:rPr>
            <w:rStyle w:val="Hyperlink"/>
          </w:rPr>
          <w:t>www.medsafe.govt.nz/profs/datasheet/b/boostrixinj.pdf</w:t>
        </w:r>
      </w:hyperlink>
    </w:p>
    <w:p w14:paraId="179DD8E5" w14:textId="77777777" w:rsidR="009A7CEC" w:rsidRDefault="003C1D1F" w:rsidP="000145D8">
      <w:pPr>
        <w:pStyle w:val="Bullet"/>
      </w:pPr>
      <w:r w:rsidRPr="00367577">
        <w:t>GARDASIL</w:t>
      </w:r>
      <w:r w:rsidRPr="005D1DD1">
        <w:rPr>
          <w:color w:val="000000"/>
          <w:vertAlign w:val="superscript"/>
        </w:rPr>
        <w:t>®</w:t>
      </w:r>
      <w:r w:rsidRPr="00367577">
        <w:t>9</w:t>
      </w:r>
      <w:r>
        <w:t>:</w:t>
      </w:r>
      <w:r w:rsidRPr="00BC451B">
        <w:t xml:space="preserve"> </w:t>
      </w:r>
      <w:hyperlink r:id="rId34" w:history="1">
        <w:r w:rsidR="000145D8" w:rsidRPr="000145D8">
          <w:rPr>
            <w:rStyle w:val="Hyperlink"/>
          </w:rPr>
          <w:t>www.medsafe.govt.nz/profs/Datasheet/g/gardasil9inj.pdf</w:t>
        </w:r>
      </w:hyperlink>
    </w:p>
    <w:p w14:paraId="068F97C2" w14:textId="77777777" w:rsidR="001C198A" w:rsidRDefault="001C198A" w:rsidP="00980404"/>
    <w:p w14:paraId="694349B4" w14:textId="45ED8C49" w:rsidR="000145D8" w:rsidRDefault="001C198A" w:rsidP="00980404">
      <w:r>
        <w:t xml:space="preserve">Other </w:t>
      </w:r>
      <w:r w:rsidR="009826B6">
        <w:t>u</w:t>
      </w:r>
      <w:r>
        <w:t>seful websites</w:t>
      </w:r>
      <w:r w:rsidR="000145D8">
        <w:t>:</w:t>
      </w:r>
    </w:p>
    <w:p w14:paraId="3B1D0198" w14:textId="77777777" w:rsidR="001C198A" w:rsidRDefault="00B939C7" w:rsidP="00D24896">
      <w:pPr>
        <w:pStyle w:val="Bullet"/>
      </w:pPr>
      <w:hyperlink r:id="rId35" w:history="1">
        <w:r w:rsidR="001C198A" w:rsidRPr="00235B18">
          <w:rPr>
            <w:rStyle w:val="Hyperlink"/>
          </w:rPr>
          <w:t>www.health.govt.nz/hpv</w:t>
        </w:r>
      </w:hyperlink>
    </w:p>
    <w:p w14:paraId="52DB631E" w14:textId="762A7F75" w:rsidR="000145D8" w:rsidRDefault="00B939C7" w:rsidP="00D24896">
      <w:pPr>
        <w:pStyle w:val="Bullet"/>
      </w:pPr>
      <w:hyperlink r:id="rId36" w:history="1">
        <w:r w:rsidR="000145D8" w:rsidRPr="00235B18">
          <w:rPr>
            <w:rStyle w:val="Hyperlink"/>
          </w:rPr>
          <w:t>www.immune.org.nz</w:t>
        </w:r>
      </w:hyperlink>
    </w:p>
    <w:p w14:paraId="2622ED88" w14:textId="345086AC" w:rsidR="001C198A" w:rsidRDefault="00B939C7" w:rsidP="00D24896">
      <w:pPr>
        <w:pStyle w:val="Bullet"/>
      </w:pPr>
      <w:hyperlink r:id="rId37" w:history="1">
        <w:r w:rsidR="001C198A" w:rsidRPr="00235B18">
          <w:rPr>
            <w:rStyle w:val="Hyperlink"/>
          </w:rPr>
          <w:t>http://immunisation.book.health.govt.nz/</w:t>
        </w:r>
      </w:hyperlink>
    </w:p>
    <w:p w14:paraId="00817B16" w14:textId="09215122" w:rsidR="001C198A" w:rsidRDefault="00B939C7" w:rsidP="00D24896">
      <w:pPr>
        <w:pStyle w:val="Bullet"/>
      </w:pPr>
      <w:hyperlink r:id="rId38" w:history="1">
        <w:r w:rsidR="009A7CEC" w:rsidRPr="00705CD8">
          <w:rPr>
            <w:rStyle w:val="Hyperlink"/>
          </w:rPr>
          <w:t>www.immunize.org/askexperts/</w:t>
        </w:r>
      </w:hyperlink>
    </w:p>
    <w:p w14:paraId="32840EEC" w14:textId="77777777" w:rsidR="009A7CEC" w:rsidRDefault="00B939C7" w:rsidP="00D24896">
      <w:pPr>
        <w:pStyle w:val="Bullet"/>
      </w:pPr>
      <w:hyperlink r:id="rId39" w:anchor=".V_W-SumrGM9" w:history="1">
        <w:r w:rsidR="009A7CEC" w:rsidRPr="00705CD8">
          <w:rPr>
            <w:rStyle w:val="Hyperlink"/>
          </w:rPr>
          <w:t>www.chop.edu/centers-programs/vaccine-education-center%20#.V_W-SumrGM9</w:t>
        </w:r>
      </w:hyperlink>
    </w:p>
    <w:p w14:paraId="1A71D1C2" w14:textId="1D968549" w:rsidR="009826B6" w:rsidRDefault="009826B6" w:rsidP="001C198A"/>
    <w:p w14:paraId="242C9CBB" w14:textId="6D1A0655" w:rsidR="001C198A" w:rsidRDefault="001C198A" w:rsidP="001C198A">
      <w:r>
        <w:t>Consent forms and other health education resources can be order</w:t>
      </w:r>
      <w:r w:rsidR="009826B6">
        <w:t>ed</w:t>
      </w:r>
      <w:r>
        <w:t xml:space="preserve"> from:</w:t>
      </w:r>
    </w:p>
    <w:p w14:paraId="3BBC4A42" w14:textId="77777777" w:rsidR="009A7CEC" w:rsidRDefault="00B939C7" w:rsidP="00D24896">
      <w:pPr>
        <w:pStyle w:val="Bullet"/>
      </w:pPr>
      <w:hyperlink r:id="rId40" w:history="1">
        <w:r w:rsidR="001C198A" w:rsidRPr="00235B18">
          <w:rPr>
            <w:rStyle w:val="Hyperlink"/>
          </w:rPr>
          <w:t>www.healthed.govt.nz</w:t>
        </w:r>
      </w:hyperlink>
    </w:p>
    <w:p w14:paraId="28214366" w14:textId="0F3D3F91" w:rsidR="000145D8" w:rsidRDefault="000145D8" w:rsidP="00980404"/>
    <w:p w14:paraId="1E718FCF" w14:textId="77777777" w:rsidR="003C1D1F" w:rsidRPr="0052190F" w:rsidRDefault="003C1D1F" w:rsidP="00F13D5D">
      <w:pPr>
        <w:pStyle w:val="Heading1"/>
        <w:numPr>
          <w:ilvl w:val="0"/>
          <w:numId w:val="0"/>
        </w:numPr>
      </w:pPr>
      <w:bookmarkStart w:id="664" w:name="_Toc454971545"/>
      <w:bookmarkStart w:id="665" w:name="_Toc465165496"/>
      <w:bookmarkEnd w:id="663"/>
      <w:r w:rsidRPr="0052190F">
        <w:lastRenderedPageBreak/>
        <w:t xml:space="preserve">Appendix 6: </w:t>
      </w:r>
      <w:r w:rsidRPr="006E15CC">
        <w:t xml:space="preserve">Eligibility </w:t>
      </w:r>
      <w:r w:rsidRPr="00457902">
        <w:t xml:space="preserve">criteria for the </w:t>
      </w:r>
      <w:r w:rsidRPr="0052190F">
        <w:t>Programme</w:t>
      </w:r>
      <w:bookmarkEnd w:id="664"/>
      <w:bookmarkEnd w:id="665"/>
    </w:p>
    <w:p w14:paraId="05A6BDF6" w14:textId="77777777" w:rsidR="003C1D1F" w:rsidRPr="00965335" w:rsidRDefault="003C1D1F" w:rsidP="00FC32FC">
      <w:pPr>
        <w:pStyle w:val="Heading3"/>
        <w:numPr>
          <w:ilvl w:val="0"/>
          <w:numId w:val="0"/>
        </w:numPr>
      </w:pPr>
      <w:r w:rsidRPr="00965335">
        <w:t xml:space="preserve">Who is eligible for the free </w:t>
      </w:r>
      <w:r>
        <w:t>Programme</w:t>
      </w:r>
      <w:r w:rsidRPr="00965335">
        <w:t xml:space="preserve"> vaccine</w:t>
      </w:r>
      <w:r>
        <w:t>s</w:t>
      </w:r>
      <w:r w:rsidRPr="00965335">
        <w:t>?</w:t>
      </w:r>
    </w:p>
    <w:p w14:paraId="68D23DF6" w14:textId="53C4A73B" w:rsidR="003C1D1F" w:rsidRDefault="003C1D1F" w:rsidP="00980404">
      <w:r w:rsidRPr="00BC451B">
        <w:t xml:space="preserve">Regardless of their citizenship or immigration status, children under 18 years of age are eligible for free </w:t>
      </w:r>
      <w:r>
        <w:t xml:space="preserve">National </w:t>
      </w:r>
      <w:r w:rsidRPr="00BC451B">
        <w:t>Immunisation Schedule</w:t>
      </w:r>
      <w:r>
        <w:t xml:space="preserve"> vaccines</w:t>
      </w:r>
      <w:r w:rsidR="00E35F7C">
        <w:t xml:space="preserve">, this applies to the current </w:t>
      </w:r>
      <w:r w:rsidR="009826B6">
        <w:t>P</w:t>
      </w:r>
      <w:r w:rsidR="00E35F7C">
        <w:t>rogramme vaccines of HPV9 and Tdap</w:t>
      </w:r>
    </w:p>
    <w:p w14:paraId="649FFE07" w14:textId="77777777" w:rsidR="003C1D1F" w:rsidRPr="00BC451B" w:rsidRDefault="003C1D1F" w:rsidP="00980404"/>
    <w:p w14:paraId="477E1EBC" w14:textId="77777777" w:rsidR="00FB06D5" w:rsidRPr="00FB06D5" w:rsidRDefault="003C1D1F" w:rsidP="00FB06D5">
      <w:pPr>
        <w:rPr>
          <w:iCs/>
        </w:rPr>
      </w:pPr>
      <w:r w:rsidRPr="00980404">
        <w:rPr>
          <w:b/>
        </w:rPr>
        <w:t>HPV:</w:t>
      </w:r>
      <w:r>
        <w:t xml:space="preserve"> </w:t>
      </w:r>
      <w:r w:rsidRPr="005D1DD1">
        <w:t xml:space="preserve">The HPV vaccine is available free for </w:t>
      </w:r>
      <w:r w:rsidR="00910DCC">
        <w:t xml:space="preserve">resident </w:t>
      </w:r>
      <w:r w:rsidRPr="005D1DD1">
        <w:t xml:space="preserve">individuals who have commenced the Programme under the age of 27. </w:t>
      </w:r>
      <w:r w:rsidR="00FB06D5" w:rsidRPr="00FB06D5">
        <w:rPr>
          <w:iCs/>
        </w:rPr>
        <w:t>Non-residents who were under age 18 years when they commenced HPV vaccination are currently funded to complete the course, even if they are older than 18 years when they complete it.</w:t>
      </w:r>
    </w:p>
    <w:p w14:paraId="21B7FDC0" w14:textId="42BF7F29" w:rsidR="009C0F04" w:rsidRDefault="009C0F04" w:rsidP="00980404"/>
    <w:p w14:paraId="21E657F9" w14:textId="45EF22A1" w:rsidR="00980404" w:rsidRDefault="009C0F04" w:rsidP="00980404">
      <w:r w:rsidRPr="00980404">
        <w:rPr>
          <w:b/>
        </w:rPr>
        <w:t>Note:</w:t>
      </w:r>
      <w:r w:rsidRPr="00BC451B">
        <w:t xml:space="preserve"> </w:t>
      </w:r>
      <w:r>
        <w:t>A</w:t>
      </w:r>
      <w:r w:rsidRPr="00BC451B">
        <w:t xml:space="preserve">lthough funding decisions will be communicated to the sector, vaccinators are advised to regularly check the Pharmaceutical Schedule and any online updates (www.pharmac.health.nz) for changes to funding decisions, and </w:t>
      </w:r>
      <w:r>
        <w:t xml:space="preserve">the current </w:t>
      </w:r>
      <w:r w:rsidR="009826B6" w:rsidRPr="009826B6">
        <w:rPr>
          <w:i/>
        </w:rPr>
        <w:t>I</w:t>
      </w:r>
      <w:r w:rsidRPr="009826B6">
        <w:rPr>
          <w:i/>
        </w:rPr>
        <w:t xml:space="preserve">mmunisation </w:t>
      </w:r>
      <w:r w:rsidR="009826B6" w:rsidRPr="009826B6">
        <w:rPr>
          <w:i/>
        </w:rPr>
        <w:t>H</w:t>
      </w:r>
      <w:r w:rsidRPr="009826B6">
        <w:rPr>
          <w:i/>
        </w:rPr>
        <w:t>andbook</w:t>
      </w:r>
      <w:r w:rsidRPr="00BC451B">
        <w:t xml:space="preserve"> for the latest immunisation information.</w:t>
      </w:r>
    </w:p>
    <w:p w14:paraId="02104B31" w14:textId="77777777" w:rsidR="00D24896" w:rsidRPr="005D1DD1" w:rsidRDefault="00D24896" w:rsidP="00D24896"/>
    <w:p w14:paraId="1CC9B557" w14:textId="77777777" w:rsidR="003C1D1F" w:rsidRDefault="003C1D1F" w:rsidP="00FC32FC">
      <w:pPr>
        <w:pStyle w:val="Heading3"/>
        <w:numPr>
          <w:ilvl w:val="0"/>
          <w:numId w:val="0"/>
        </w:numPr>
      </w:pPr>
      <w:r>
        <w:t>Are the Programme vaccines offered in other settings?</w:t>
      </w:r>
    </w:p>
    <w:p w14:paraId="013E81D5" w14:textId="77777777" w:rsidR="003C1D1F" w:rsidRPr="00BC451B" w:rsidRDefault="003C1D1F" w:rsidP="00980404">
      <w:r w:rsidRPr="00BC451B">
        <w:t xml:space="preserve">To ensure high immunisation coverage, the Ministry </w:t>
      </w:r>
      <w:r>
        <w:t xml:space="preserve">of Health </w:t>
      </w:r>
      <w:r w:rsidRPr="00BC451B">
        <w:t>prefers the majority of individuals</w:t>
      </w:r>
      <w:r>
        <w:t xml:space="preserve"> to </w:t>
      </w:r>
      <w:r w:rsidRPr="00BC451B">
        <w:t xml:space="preserve">be immunised through the </w:t>
      </w:r>
      <w:r w:rsidRPr="005D1DD1">
        <w:t>Programme</w:t>
      </w:r>
      <w:r w:rsidRPr="00BC451B">
        <w:t xml:space="preserve">. However, Programme vaccinations </w:t>
      </w:r>
      <w:r>
        <w:t>are</w:t>
      </w:r>
      <w:r w:rsidRPr="00BC451B">
        <w:t xml:space="preserve"> also available from family doctors and local health clinics for eligible individuals who are no longer at school, who do not attend a participating school</w:t>
      </w:r>
      <w:r>
        <w:t>,</w:t>
      </w:r>
      <w:r w:rsidRPr="00BC451B">
        <w:t xml:space="preserve"> or who do not want to have </w:t>
      </w:r>
      <w:r>
        <w:t>them</w:t>
      </w:r>
      <w:r w:rsidRPr="00BC451B">
        <w:t xml:space="preserve"> at school.</w:t>
      </w:r>
    </w:p>
    <w:p w14:paraId="64FE0A05" w14:textId="5D616895" w:rsidR="003C1D1F" w:rsidRPr="00BC451B" w:rsidRDefault="003C1D1F" w:rsidP="00980404"/>
    <w:p w14:paraId="00D35BF4" w14:textId="77777777" w:rsidR="003C1D1F" w:rsidRPr="0052190F" w:rsidRDefault="003C1D1F" w:rsidP="00F13D5D">
      <w:pPr>
        <w:pStyle w:val="Heading1"/>
        <w:numPr>
          <w:ilvl w:val="0"/>
          <w:numId w:val="0"/>
        </w:numPr>
      </w:pPr>
      <w:bookmarkStart w:id="666" w:name="_Toc454971546"/>
      <w:bookmarkStart w:id="667" w:name="_Toc465165497"/>
      <w:r w:rsidRPr="0052190F">
        <w:lastRenderedPageBreak/>
        <w:t>References</w:t>
      </w:r>
      <w:bookmarkEnd w:id="666"/>
      <w:bookmarkEnd w:id="667"/>
    </w:p>
    <w:p w14:paraId="477B55F7" w14:textId="77777777" w:rsidR="003C1D1F" w:rsidRPr="00B94DE3" w:rsidRDefault="003C1D1F" w:rsidP="00F13D5D">
      <w:pPr>
        <w:pStyle w:val="References"/>
        <w:rPr>
          <w:rFonts w:eastAsia="Calibri"/>
        </w:rPr>
      </w:pPr>
      <w:r w:rsidRPr="00BE4F15">
        <w:rPr>
          <w:rFonts w:eastAsia="Calibri"/>
        </w:rPr>
        <w:t>BOC Limited (New Zealand)</w:t>
      </w:r>
      <w:r w:rsidRPr="00B726F8">
        <w:rPr>
          <w:rFonts w:eastAsia="Calibri"/>
        </w:rPr>
        <w:t>.</w:t>
      </w:r>
      <w:r w:rsidRPr="00B94DE3">
        <w:rPr>
          <w:rFonts w:eastAsia="Calibri"/>
        </w:rPr>
        <w:t xml:space="preserve"> 2012. </w:t>
      </w:r>
      <w:r w:rsidRPr="00FC32FC">
        <w:rPr>
          <w:rFonts w:eastAsia="Calibri"/>
          <w:i/>
        </w:rPr>
        <w:t>Safety Data Sheet, Oxygen, Compressed (NZ)</w:t>
      </w:r>
      <w:r w:rsidRPr="0052190F">
        <w:rPr>
          <w:rFonts w:eastAsia="Calibri"/>
        </w:rPr>
        <w:t>.</w:t>
      </w:r>
      <w:r w:rsidRPr="00BE4F15">
        <w:rPr>
          <w:rFonts w:eastAsia="Calibri"/>
        </w:rPr>
        <w:t xml:space="preserve"> URL:</w:t>
      </w:r>
      <w:r w:rsidR="00F13D5D">
        <w:rPr>
          <w:rFonts w:eastAsia="Calibri"/>
        </w:rPr>
        <w:t xml:space="preserve"> </w:t>
      </w:r>
      <w:hyperlink r:id="rId41" w:history="1">
        <w:r w:rsidRPr="00B94DE3">
          <w:rPr>
            <w:rStyle w:val="Hyperlink"/>
            <w:rFonts w:eastAsia="Calibri" w:cs="Arial"/>
            <w:szCs w:val="22"/>
          </w:rPr>
          <w:t>www.boc-gas.co.nz/en/sheq/msds/index.html</w:t>
        </w:r>
      </w:hyperlink>
    </w:p>
    <w:p w14:paraId="619DB2A8" w14:textId="77777777" w:rsidR="003C1D1F" w:rsidRPr="00B94DE3" w:rsidRDefault="003C1D1F" w:rsidP="00F13D5D">
      <w:pPr>
        <w:pStyle w:val="References"/>
        <w:rPr>
          <w:rFonts w:eastAsia="Calibri"/>
        </w:rPr>
      </w:pPr>
      <w:r w:rsidRPr="00BE4F15">
        <w:rPr>
          <w:rFonts w:eastAsia="Calibri"/>
        </w:rPr>
        <w:t>Centers for Disease Control and Prevention</w:t>
      </w:r>
      <w:r>
        <w:rPr>
          <w:rFonts w:eastAsia="Calibri"/>
        </w:rPr>
        <w:t>:</w:t>
      </w:r>
      <w:r w:rsidRPr="00B726F8">
        <w:rPr>
          <w:rFonts w:eastAsia="Calibri"/>
        </w:rPr>
        <w:t xml:space="preserve"> Task Force on Community Preventive</w:t>
      </w:r>
      <w:r w:rsidR="00F13D5D">
        <w:rPr>
          <w:rFonts w:eastAsia="Calibri"/>
        </w:rPr>
        <w:t xml:space="preserve"> </w:t>
      </w:r>
      <w:r w:rsidRPr="00B94DE3">
        <w:rPr>
          <w:rFonts w:eastAsia="Calibri"/>
        </w:rPr>
        <w:t xml:space="preserve">Services. 2005. Chapter 6: Vaccine preventable diseases. In: </w:t>
      </w:r>
      <w:r>
        <w:rPr>
          <w:rFonts w:eastAsia="Calibri"/>
        </w:rPr>
        <w:t xml:space="preserve">S </w:t>
      </w:r>
      <w:r w:rsidRPr="00BE4F15">
        <w:rPr>
          <w:rFonts w:eastAsia="Calibri"/>
        </w:rPr>
        <w:t>Zaza</w:t>
      </w:r>
      <w:r w:rsidRPr="00B94DE3">
        <w:rPr>
          <w:rFonts w:eastAsia="Calibri"/>
        </w:rPr>
        <w:t>, P Briss, K Harris</w:t>
      </w:r>
      <w:r w:rsidR="00F13D5D">
        <w:rPr>
          <w:rFonts w:eastAsia="Calibri"/>
        </w:rPr>
        <w:t xml:space="preserve"> </w:t>
      </w:r>
      <w:r w:rsidRPr="00B94DE3">
        <w:rPr>
          <w:rFonts w:eastAsia="Calibri"/>
        </w:rPr>
        <w:t>(eds)</w:t>
      </w:r>
      <w:r>
        <w:rPr>
          <w:rFonts w:eastAsia="Calibri"/>
        </w:rPr>
        <w:t>.</w:t>
      </w:r>
      <w:r w:rsidRPr="00B726F8">
        <w:rPr>
          <w:rFonts w:eastAsia="Calibri"/>
        </w:rPr>
        <w:t xml:space="preserve"> </w:t>
      </w:r>
      <w:r w:rsidRPr="00FC32FC">
        <w:rPr>
          <w:rFonts w:eastAsia="Calibri"/>
          <w:i/>
          <w:iCs/>
        </w:rPr>
        <w:t>The Guide to Community Preventive Services: What works to promote health?</w:t>
      </w:r>
      <w:r w:rsidRPr="00B94DE3">
        <w:rPr>
          <w:rFonts w:eastAsia="Calibri"/>
          <w:iCs/>
        </w:rPr>
        <w:t xml:space="preserve"> </w:t>
      </w:r>
      <w:r w:rsidRPr="00B94DE3">
        <w:rPr>
          <w:rFonts w:eastAsia="Calibri"/>
        </w:rPr>
        <w:t>New</w:t>
      </w:r>
      <w:r w:rsidR="00F13D5D">
        <w:rPr>
          <w:rFonts w:eastAsia="Calibri"/>
        </w:rPr>
        <w:t xml:space="preserve"> </w:t>
      </w:r>
      <w:r w:rsidRPr="00B94DE3">
        <w:rPr>
          <w:rFonts w:eastAsia="Calibri"/>
        </w:rPr>
        <w:t xml:space="preserve">York: Oxford University Press. URL: </w:t>
      </w:r>
      <w:hyperlink r:id="rId42" w:history="1">
        <w:r w:rsidRPr="00B94DE3">
          <w:rPr>
            <w:rStyle w:val="Hyperlink"/>
            <w:rFonts w:eastAsia="Calibri" w:cs="Arial"/>
            <w:szCs w:val="22"/>
          </w:rPr>
          <w:t>www.thecommunityguide.org/library/book/Front-Matter.pdf</w:t>
        </w:r>
      </w:hyperlink>
    </w:p>
    <w:p w14:paraId="79DBB8BC" w14:textId="77777777" w:rsidR="003C1D1F" w:rsidRPr="00B94DE3" w:rsidRDefault="003C1D1F" w:rsidP="00F13D5D">
      <w:pPr>
        <w:pStyle w:val="References"/>
        <w:rPr>
          <w:rFonts w:eastAsia="Calibri"/>
        </w:rPr>
      </w:pPr>
      <w:r w:rsidRPr="00B94DE3">
        <w:rPr>
          <w:rFonts w:eastAsia="Calibri"/>
        </w:rPr>
        <w:t>Cormack D, Purdie G</w:t>
      </w:r>
      <w:r>
        <w:rPr>
          <w:rFonts w:eastAsia="Calibri"/>
        </w:rPr>
        <w:t>,</w:t>
      </w:r>
      <w:r w:rsidRPr="00BE4F15">
        <w:rPr>
          <w:rFonts w:eastAsia="Calibri"/>
        </w:rPr>
        <w:t xml:space="preserve"> </w:t>
      </w:r>
      <w:r w:rsidRPr="00B94DE3">
        <w:rPr>
          <w:rFonts w:eastAsia="Calibri"/>
        </w:rPr>
        <w:t>Robson</w:t>
      </w:r>
      <w:r>
        <w:rPr>
          <w:rFonts w:eastAsia="Calibri"/>
        </w:rPr>
        <w:t xml:space="preserve"> B</w:t>
      </w:r>
      <w:r w:rsidRPr="00BE4F15">
        <w:rPr>
          <w:rFonts w:eastAsia="Calibri"/>
        </w:rPr>
        <w:t xml:space="preserve">. 2007. Chapter 6: Cancer. In: </w:t>
      </w:r>
      <w:r>
        <w:rPr>
          <w:rFonts w:eastAsia="Calibri"/>
        </w:rPr>
        <w:t xml:space="preserve">B </w:t>
      </w:r>
      <w:r w:rsidRPr="00BE4F15">
        <w:rPr>
          <w:rFonts w:eastAsia="Calibri"/>
        </w:rPr>
        <w:t>Robson</w:t>
      </w:r>
      <w:r w:rsidRPr="00B94DE3">
        <w:rPr>
          <w:rFonts w:eastAsia="Calibri"/>
        </w:rPr>
        <w:t xml:space="preserve">, </w:t>
      </w:r>
      <w:r>
        <w:rPr>
          <w:rFonts w:eastAsia="Calibri"/>
        </w:rPr>
        <w:t xml:space="preserve">R </w:t>
      </w:r>
      <w:r w:rsidRPr="00BE4F15">
        <w:rPr>
          <w:rFonts w:eastAsia="Calibri"/>
        </w:rPr>
        <w:t>Harris R (eds).</w:t>
      </w:r>
      <w:r w:rsidR="00F13D5D">
        <w:rPr>
          <w:rFonts w:eastAsia="Calibri"/>
        </w:rPr>
        <w:t xml:space="preserve"> </w:t>
      </w:r>
      <w:r w:rsidRPr="00FC32FC">
        <w:rPr>
          <w:rFonts w:eastAsia="Calibri"/>
          <w:i/>
          <w:iCs/>
        </w:rPr>
        <w:t>Hauora: M</w:t>
      </w:r>
      <w:r w:rsidRPr="00FC32FC">
        <w:rPr>
          <w:rFonts w:eastAsia="Calibri"/>
          <w:i/>
        </w:rPr>
        <w:t>ā</w:t>
      </w:r>
      <w:r w:rsidRPr="00FC32FC">
        <w:rPr>
          <w:rFonts w:eastAsia="Calibri"/>
          <w:i/>
          <w:iCs/>
        </w:rPr>
        <w:t>ori standards of Health IV: A study of the years 2000−2005</w:t>
      </w:r>
      <w:r w:rsidRPr="00B726F8">
        <w:rPr>
          <w:rFonts w:eastAsia="Calibri"/>
          <w:iCs/>
        </w:rPr>
        <w:t xml:space="preserve">. </w:t>
      </w:r>
      <w:r w:rsidRPr="00B94DE3">
        <w:rPr>
          <w:rFonts w:eastAsia="Calibri"/>
        </w:rPr>
        <w:t>Wellington: Te Ropu Rangahau Hauora a Eru Pomare.</w:t>
      </w:r>
    </w:p>
    <w:p w14:paraId="7D4AFF1A" w14:textId="77777777" w:rsidR="003C1D1F" w:rsidRPr="00B94DE3" w:rsidRDefault="003C1D1F" w:rsidP="00F13D5D">
      <w:pPr>
        <w:pStyle w:val="References"/>
        <w:rPr>
          <w:rFonts w:eastAsia="Calibri"/>
        </w:rPr>
      </w:pPr>
      <w:r w:rsidRPr="00B94DE3">
        <w:rPr>
          <w:rFonts w:eastAsia="Calibri"/>
        </w:rPr>
        <w:t xml:space="preserve">GlaxoSmithKline. 2015. </w:t>
      </w:r>
      <w:r w:rsidRPr="00FC32FC">
        <w:rPr>
          <w:rFonts w:eastAsia="Calibri"/>
          <w:i/>
        </w:rPr>
        <w:t>BOOSTRIX® Data Sheet</w:t>
      </w:r>
      <w:r w:rsidRPr="00B94DE3">
        <w:rPr>
          <w:rFonts w:eastAsia="Calibri"/>
        </w:rPr>
        <w:t>. URL:</w:t>
      </w:r>
      <w:r w:rsidR="00F13D5D">
        <w:rPr>
          <w:rFonts w:eastAsia="Calibri"/>
        </w:rPr>
        <w:t xml:space="preserve"> </w:t>
      </w:r>
      <w:hyperlink r:id="rId43" w:history="1">
        <w:r w:rsidRPr="00B94DE3">
          <w:rPr>
            <w:rStyle w:val="Hyperlink"/>
            <w:rFonts w:eastAsia="Calibri" w:cs="Arial"/>
            <w:szCs w:val="22"/>
          </w:rPr>
          <w:t>www.medsafe.govt.nz/profs/datasheet/b/boostrixinj.pdf</w:t>
        </w:r>
      </w:hyperlink>
    </w:p>
    <w:p w14:paraId="41297D8F" w14:textId="77777777" w:rsidR="003C1D1F" w:rsidRDefault="003C1D1F" w:rsidP="00F13D5D">
      <w:pPr>
        <w:pStyle w:val="References"/>
        <w:rPr>
          <w:rFonts w:eastAsia="Calibri"/>
        </w:rPr>
      </w:pPr>
      <w:r w:rsidRPr="00B94DE3">
        <w:rPr>
          <w:rFonts w:eastAsia="Calibri"/>
        </w:rPr>
        <w:t xml:space="preserve">Health Quality &amp; Safety Commission New Zealand. 2011. </w:t>
      </w:r>
      <w:r w:rsidRPr="00FC32FC">
        <w:rPr>
          <w:rFonts w:eastAsia="Calibri"/>
          <w:i/>
        </w:rPr>
        <w:t>New Zealand Triple Aim</w:t>
      </w:r>
      <w:r w:rsidRPr="00BE4F15">
        <w:rPr>
          <w:rFonts w:eastAsia="Calibri"/>
        </w:rPr>
        <w:t>. URL:</w:t>
      </w:r>
      <w:r w:rsidR="00F13D5D">
        <w:rPr>
          <w:rFonts w:eastAsia="Calibri"/>
        </w:rPr>
        <w:t xml:space="preserve"> </w:t>
      </w:r>
      <w:hyperlink r:id="rId44" w:history="1">
        <w:r w:rsidRPr="00B94DE3">
          <w:rPr>
            <w:rStyle w:val="Hyperlink"/>
            <w:rFonts w:eastAsia="Calibri" w:cs="Arial"/>
            <w:szCs w:val="22"/>
          </w:rPr>
          <w:t>www.hqsc.govt.nz/news-and-events/news/126/</w:t>
        </w:r>
      </w:hyperlink>
    </w:p>
    <w:p w14:paraId="6FC2AD30" w14:textId="77777777" w:rsidR="003C1D1F" w:rsidRDefault="003C1D1F" w:rsidP="00F13D5D">
      <w:pPr>
        <w:pStyle w:val="References"/>
        <w:rPr>
          <w:rFonts w:eastAsia="Calibri"/>
        </w:rPr>
      </w:pPr>
      <w:r w:rsidRPr="00BC451B">
        <w:rPr>
          <w:rFonts w:eastAsia="Calibri"/>
        </w:rPr>
        <w:t xml:space="preserve">Immunisation Advisory Centre. 2013. </w:t>
      </w:r>
      <w:r w:rsidRPr="00FC32FC">
        <w:rPr>
          <w:rFonts w:eastAsia="Calibri"/>
          <w:i/>
        </w:rPr>
        <w:t>Vaccine Preventable Diseases</w:t>
      </w:r>
      <w:r w:rsidRPr="00BC451B">
        <w:rPr>
          <w:rFonts w:eastAsia="Calibri"/>
        </w:rPr>
        <w:t xml:space="preserve">. URL: </w:t>
      </w:r>
      <w:hyperlink r:id="rId45" w:history="1">
        <w:r w:rsidRPr="00B94DE3">
          <w:rPr>
            <w:rStyle w:val="Hyperlink"/>
            <w:rFonts w:eastAsia="Calibri" w:cs="Arial"/>
            <w:szCs w:val="22"/>
          </w:rPr>
          <w:t>www.immune.org.nz/vaccine-preventable-diseases</w:t>
        </w:r>
      </w:hyperlink>
    </w:p>
    <w:p w14:paraId="1A7B0D44" w14:textId="77777777" w:rsidR="003C1D1F" w:rsidRPr="00B94DE3" w:rsidRDefault="003C1D1F" w:rsidP="00F13D5D">
      <w:pPr>
        <w:pStyle w:val="References"/>
        <w:rPr>
          <w:rFonts w:eastAsia="Calibri"/>
        </w:rPr>
      </w:pPr>
      <w:r w:rsidRPr="00BE4F15">
        <w:rPr>
          <w:rFonts w:eastAsia="Calibri"/>
        </w:rPr>
        <w:t>Immunisation Advisory Centre. 2015</w:t>
      </w:r>
      <w:r w:rsidRPr="0052190F">
        <w:rPr>
          <w:rFonts w:eastAsia="Calibri"/>
        </w:rPr>
        <w:t>a</w:t>
      </w:r>
      <w:r w:rsidRPr="00BE4F15">
        <w:rPr>
          <w:rFonts w:eastAsia="Calibri"/>
        </w:rPr>
        <w:t xml:space="preserve">. </w:t>
      </w:r>
      <w:r w:rsidRPr="00FC32FC">
        <w:rPr>
          <w:rFonts w:eastAsia="Calibri"/>
          <w:i/>
        </w:rPr>
        <w:t>Interim Guidelines for Purchase of Chilly Bins for Off-Site Immunisations</w:t>
      </w:r>
      <w:r w:rsidRPr="00B726F8">
        <w:rPr>
          <w:rFonts w:eastAsia="Calibri"/>
        </w:rPr>
        <w:t xml:space="preserve">. </w:t>
      </w:r>
      <w:r w:rsidRPr="00B94DE3">
        <w:rPr>
          <w:rFonts w:eastAsia="Calibri"/>
        </w:rPr>
        <w:t xml:space="preserve">URL: </w:t>
      </w:r>
      <w:hyperlink r:id="rId46" w:history="1">
        <w:r w:rsidR="00D8406C" w:rsidRPr="00853511">
          <w:rPr>
            <w:rStyle w:val="Hyperlink"/>
            <w:rFonts w:eastAsia="Calibri" w:cs="Arial"/>
            <w:szCs w:val="22"/>
          </w:rPr>
          <w:t>www.immune.org.nz/sites/default/files/resources/Chilly_Bin_Specs_Interim%20MoH%20Final.pdf</w:t>
        </w:r>
      </w:hyperlink>
    </w:p>
    <w:p w14:paraId="7DB8A2DF" w14:textId="7CF5F870" w:rsidR="003C1D1F" w:rsidRDefault="003C1D1F" w:rsidP="00F13D5D">
      <w:pPr>
        <w:pStyle w:val="References"/>
        <w:rPr>
          <w:rStyle w:val="Hyperlink"/>
          <w:rFonts w:eastAsia="Calibri" w:cs="Arial"/>
          <w:szCs w:val="22"/>
        </w:rPr>
      </w:pPr>
      <w:r w:rsidRPr="00B94DE3">
        <w:rPr>
          <w:rFonts w:eastAsia="Calibri"/>
        </w:rPr>
        <w:t xml:space="preserve">Immunisation Advisory Centre. 2015b. </w:t>
      </w:r>
      <w:r w:rsidRPr="00FC32FC">
        <w:rPr>
          <w:rFonts w:eastAsia="Calibri"/>
          <w:i/>
        </w:rPr>
        <w:t>Vaccinator Training Course Standards (20</w:t>
      </w:r>
      <w:r w:rsidR="009C0F04">
        <w:rPr>
          <w:rFonts w:eastAsia="Calibri"/>
          <w:i/>
        </w:rPr>
        <w:t>15</w:t>
      </w:r>
      <w:r w:rsidRPr="00FC32FC">
        <w:rPr>
          <w:rFonts w:eastAsia="Calibri"/>
          <w:i/>
        </w:rPr>
        <w:t>)</w:t>
      </w:r>
      <w:r w:rsidRPr="00B94DE3">
        <w:rPr>
          <w:rFonts w:eastAsia="Calibri"/>
        </w:rPr>
        <w:t>. URL:</w:t>
      </w:r>
      <w:r w:rsidR="00F13D5D">
        <w:rPr>
          <w:rFonts w:eastAsia="Calibri"/>
        </w:rPr>
        <w:t xml:space="preserve"> </w:t>
      </w:r>
      <w:hyperlink r:id="rId47" w:history="1">
        <w:r w:rsidRPr="00B94DE3">
          <w:rPr>
            <w:rStyle w:val="Hyperlink"/>
            <w:rFonts w:eastAsia="Calibri" w:cs="Arial"/>
            <w:szCs w:val="22"/>
          </w:rPr>
          <w:t>www.immune.org.nz/sites/default/files/resources/2015%20VTC%20Standards%20FINAL.pdf</w:t>
        </w:r>
      </w:hyperlink>
    </w:p>
    <w:p w14:paraId="2E90108C" w14:textId="5BA1849E" w:rsidR="00096AF3" w:rsidRPr="00B94DE3" w:rsidRDefault="00096AF3" w:rsidP="00F13D5D">
      <w:pPr>
        <w:pStyle w:val="References"/>
        <w:rPr>
          <w:rFonts w:eastAsia="Calibri"/>
        </w:rPr>
      </w:pPr>
      <w:r w:rsidRPr="00322A65">
        <w:rPr>
          <w:rFonts w:eastAsia="Calibri"/>
          <w:lang w:val="en"/>
        </w:rPr>
        <w:t>Jacob V, Chattopadhyay SK, Hopkins DP, Murphy-Morgan J, Pitan AA, Clymer JM</w:t>
      </w:r>
      <w:r w:rsidRPr="00322A65">
        <w:rPr>
          <w:rFonts w:eastAsia="Calibri"/>
          <w:i/>
          <w:lang w:val="en"/>
        </w:rPr>
        <w:t>, Community Preventive Services Task Force. Increasing coverage of appropriate vaccinations: a Community Guide systematic economic review.</w:t>
      </w:r>
      <w:r w:rsidRPr="00322A65">
        <w:rPr>
          <w:rFonts w:eastAsia="Calibri"/>
          <w:lang w:val="en"/>
        </w:rPr>
        <w:t xml:space="preserve"> Am J Prev Med. 2016;50(6):797–808.</w:t>
      </w:r>
    </w:p>
    <w:p w14:paraId="2F4D358E" w14:textId="77777777" w:rsidR="003C1D1F" w:rsidRPr="00B94DE3" w:rsidRDefault="003C1D1F" w:rsidP="00F13D5D">
      <w:pPr>
        <w:pStyle w:val="References"/>
        <w:rPr>
          <w:rFonts w:eastAsia="Calibri"/>
        </w:rPr>
      </w:pPr>
      <w:r w:rsidRPr="00B94DE3">
        <w:rPr>
          <w:rFonts w:eastAsia="Calibri"/>
        </w:rPr>
        <w:t xml:space="preserve">Minister of Health and Associate Minister of Health. 2002. </w:t>
      </w:r>
      <w:r w:rsidRPr="00FC32FC">
        <w:rPr>
          <w:rFonts w:eastAsia="Calibri"/>
          <w:i/>
          <w:iCs/>
        </w:rPr>
        <w:t>He Korowai Oranga M</w:t>
      </w:r>
      <w:r w:rsidRPr="00FC32FC">
        <w:rPr>
          <w:rFonts w:eastAsia="Calibri"/>
          <w:i/>
        </w:rPr>
        <w:t>ā</w:t>
      </w:r>
      <w:r w:rsidRPr="00FC32FC">
        <w:rPr>
          <w:rFonts w:eastAsia="Calibri"/>
          <w:i/>
          <w:iCs/>
        </w:rPr>
        <w:t>ori Health Strategy</w:t>
      </w:r>
      <w:r w:rsidRPr="00B94DE3">
        <w:rPr>
          <w:rFonts w:eastAsia="Calibri"/>
        </w:rPr>
        <w:t>. Wellington: Ministry of Health. URL:</w:t>
      </w:r>
      <w:r w:rsidR="00F13D5D">
        <w:rPr>
          <w:rFonts w:eastAsia="Calibri"/>
        </w:rPr>
        <w:t xml:space="preserve"> </w:t>
      </w:r>
      <w:hyperlink r:id="rId48" w:history="1">
        <w:r w:rsidRPr="00B94DE3">
          <w:rPr>
            <w:rStyle w:val="Hyperlink"/>
            <w:rFonts w:eastAsia="Calibri" w:cs="Arial"/>
            <w:szCs w:val="22"/>
          </w:rPr>
          <w:t>www.health.govt.nz/system/files/documents/publications/mhs-english.pdf</w:t>
        </w:r>
      </w:hyperlink>
    </w:p>
    <w:p w14:paraId="352BCCA7" w14:textId="77777777" w:rsidR="003C1D1F" w:rsidRPr="00B94DE3" w:rsidRDefault="003C1D1F" w:rsidP="00F13D5D">
      <w:pPr>
        <w:pStyle w:val="References"/>
        <w:rPr>
          <w:rFonts w:eastAsia="Calibri"/>
        </w:rPr>
      </w:pPr>
      <w:r w:rsidRPr="00B94DE3">
        <w:rPr>
          <w:rFonts w:eastAsia="Calibri"/>
        </w:rPr>
        <w:t xml:space="preserve">Ministry of Health. 2008. </w:t>
      </w:r>
      <w:r w:rsidRPr="00FC32FC">
        <w:rPr>
          <w:rFonts w:eastAsia="Calibri"/>
          <w:i/>
          <w:iCs/>
        </w:rPr>
        <w:t>The HPV (Human Papillomavirus) Immunisation Programme</w:t>
      </w:r>
      <w:r w:rsidR="00F13D5D" w:rsidRPr="00FC32FC">
        <w:rPr>
          <w:rFonts w:eastAsia="Calibri"/>
          <w:i/>
          <w:iCs/>
        </w:rPr>
        <w:t xml:space="preserve"> </w:t>
      </w:r>
      <w:r w:rsidRPr="00FC32FC">
        <w:rPr>
          <w:rFonts w:eastAsia="Calibri"/>
          <w:i/>
          <w:iCs/>
        </w:rPr>
        <w:t>National Implementation Strategic Overview</w:t>
      </w:r>
      <w:r w:rsidRPr="00B94DE3">
        <w:rPr>
          <w:rFonts w:eastAsia="Calibri"/>
        </w:rPr>
        <w:t>. Wellington: Ministry of Health. URL:</w:t>
      </w:r>
      <w:r w:rsidR="00F13D5D">
        <w:rPr>
          <w:rFonts w:eastAsia="Calibri"/>
        </w:rPr>
        <w:t xml:space="preserve"> </w:t>
      </w:r>
      <w:hyperlink r:id="rId49" w:history="1">
        <w:r w:rsidRPr="00B94DE3">
          <w:rPr>
            <w:rStyle w:val="Hyperlink"/>
            <w:rFonts w:eastAsia="Calibri" w:cs="Arial"/>
            <w:szCs w:val="22"/>
          </w:rPr>
          <w:t>www.health.govt.nz/system/files/documents/pages/national-implementation-strategic-overview.pdf</w:t>
        </w:r>
      </w:hyperlink>
    </w:p>
    <w:p w14:paraId="6C56E713" w14:textId="77777777" w:rsidR="003C1D1F" w:rsidRPr="0052190F" w:rsidRDefault="003C1D1F" w:rsidP="00F13D5D">
      <w:pPr>
        <w:pStyle w:val="References"/>
        <w:rPr>
          <w:rFonts w:eastAsia="Calibri"/>
        </w:rPr>
      </w:pPr>
      <w:r w:rsidRPr="00B94DE3">
        <w:rPr>
          <w:rFonts w:eastAsia="Calibri"/>
        </w:rPr>
        <w:t xml:space="preserve">Ministry of Health. 2012. </w:t>
      </w:r>
      <w:r w:rsidRPr="00FC32FC">
        <w:rPr>
          <w:rFonts w:eastAsia="Calibri"/>
          <w:i/>
        </w:rPr>
        <w:t>National Guidelines for V</w:t>
      </w:r>
      <w:r w:rsidRPr="00FC32FC">
        <w:rPr>
          <w:rFonts w:eastAsia="Calibri"/>
          <w:i/>
          <w:iCs/>
        </w:rPr>
        <w:t>accine Storage and Distribution</w:t>
      </w:r>
      <w:r w:rsidRPr="00B94DE3">
        <w:rPr>
          <w:rFonts w:eastAsia="Calibri"/>
          <w:iCs/>
        </w:rPr>
        <w:t xml:space="preserve">. Wellington: Ministry of Health. </w:t>
      </w:r>
      <w:r w:rsidRPr="00B94DE3">
        <w:rPr>
          <w:rFonts w:eastAsia="Calibri"/>
        </w:rPr>
        <w:t>URL:</w:t>
      </w:r>
      <w:r w:rsidR="00F13D5D">
        <w:rPr>
          <w:rFonts w:eastAsia="Calibri"/>
        </w:rPr>
        <w:t xml:space="preserve"> </w:t>
      </w:r>
      <w:hyperlink r:id="rId50" w:history="1">
        <w:r w:rsidRPr="00B94DE3">
          <w:rPr>
            <w:rStyle w:val="Hyperlink"/>
            <w:rFonts w:eastAsia="Calibri" w:cs="Arial"/>
            <w:szCs w:val="22"/>
          </w:rPr>
          <w:t>www.health.govt.nz/system/files/documents/publications/vaccine-storage-guidelines-v2.pdf</w:t>
        </w:r>
      </w:hyperlink>
      <w:r w:rsidRPr="00B94DE3">
        <w:rPr>
          <w:rFonts w:eastAsia="Calibri"/>
        </w:rPr>
        <w:t xml:space="preserve"> </w:t>
      </w:r>
      <w:r w:rsidRPr="0052190F">
        <w:rPr>
          <w:rFonts w:eastAsia="Calibri"/>
        </w:rPr>
        <w:t>[currently under review]</w:t>
      </w:r>
    </w:p>
    <w:p w14:paraId="5CF8530C" w14:textId="46E7FD7B" w:rsidR="009C0F04" w:rsidRDefault="003C1D1F" w:rsidP="00F13D5D">
      <w:pPr>
        <w:pStyle w:val="References"/>
        <w:rPr>
          <w:rStyle w:val="Hyperlink"/>
        </w:rPr>
      </w:pPr>
      <w:r w:rsidRPr="00B94DE3">
        <w:rPr>
          <w:rFonts w:eastAsia="Calibri"/>
        </w:rPr>
        <w:t>Ministry of Health. 2014</w:t>
      </w:r>
      <w:r w:rsidR="00244B21">
        <w:rPr>
          <w:rFonts w:eastAsia="Calibri"/>
        </w:rPr>
        <w:t>a</w:t>
      </w:r>
      <w:r w:rsidRPr="00B94DE3">
        <w:rPr>
          <w:rFonts w:eastAsia="Calibri"/>
        </w:rPr>
        <w:t xml:space="preserve">. </w:t>
      </w:r>
      <w:r w:rsidRPr="00FC32FC">
        <w:rPr>
          <w:rFonts w:eastAsia="Calibri"/>
          <w:i/>
          <w:iCs/>
        </w:rPr>
        <w:t>Immunisation Handbook 2014</w:t>
      </w:r>
      <w:r w:rsidRPr="00B94DE3">
        <w:rPr>
          <w:rFonts w:eastAsia="Calibri"/>
          <w:iCs/>
        </w:rPr>
        <w:t xml:space="preserve"> (2</w:t>
      </w:r>
      <w:r w:rsidRPr="0052190F">
        <w:rPr>
          <w:rFonts w:eastAsia="Calibri"/>
          <w:iCs/>
        </w:rPr>
        <w:t>nd</w:t>
      </w:r>
      <w:r w:rsidRPr="00BE4F15">
        <w:rPr>
          <w:rFonts w:eastAsia="Calibri"/>
          <w:iCs/>
        </w:rPr>
        <w:t xml:space="preserve"> </w:t>
      </w:r>
      <w:r w:rsidRPr="00B726F8">
        <w:rPr>
          <w:rFonts w:eastAsia="Calibri"/>
          <w:iCs/>
        </w:rPr>
        <w:t>ed</w:t>
      </w:r>
      <w:r w:rsidR="00FC32FC">
        <w:rPr>
          <w:rFonts w:eastAsia="Calibri"/>
          <w:iCs/>
        </w:rPr>
        <w:t>itio</w:t>
      </w:r>
      <w:r w:rsidRPr="00B726F8">
        <w:rPr>
          <w:rFonts w:eastAsia="Calibri"/>
          <w:iCs/>
        </w:rPr>
        <w:t>n)</w:t>
      </w:r>
      <w:r w:rsidRPr="00B94DE3">
        <w:rPr>
          <w:rFonts w:eastAsia="Calibri"/>
        </w:rPr>
        <w:t>. Wellington: Ministry of Health. URL:</w:t>
      </w:r>
      <w:r w:rsidR="00F13D5D">
        <w:rPr>
          <w:rFonts w:eastAsia="Calibri"/>
        </w:rPr>
        <w:t xml:space="preserve"> </w:t>
      </w:r>
      <w:hyperlink r:id="rId51" w:history="1">
        <w:r w:rsidR="009C0F04" w:rsidRPr="00235B18">
          <w:rPr>
            <w:rStyle w:val="Hyperlink"/>
          </w:rPr>
          <w:t>http://immunisation.book.health.govt.nz/</w:t>
        </w:r>
      </w:hyperlink>
    </w:p>
    <w:p w14:paraId="7ADB4706" w14:textId="4CF429A8" w:rsidR="00C47B30" w:rsidRDefault="00C47B30" w:rsidP="00F13D5D">
      <w:pPr>
        <w:pStyle w:val="References"/>
      </w:pPr>
      <w:r w:rsidRPr="00C47B30">
        <w:rPr>
          <w:lang w:val="en"/>
        </w:rPr>
        <w:t>Ministry of Health. 2014</w:t>
      </w:r>
      <w:r w:rsidR="00244B21">
        <w:rPr>
          <w:lang w:val="en"/>
        </w:rPr>
        <w:t>b</w:t>
      </w:r>
      <w:r w:rsidRPr="00C47B30">
        <w:rPr>
          <w:lang w:val="en"/>
        </w:rPr>
        <w:t xml:space="preserve">. </w:t>
      </w:r>
      <w:r w:rsidRPr="00322A65">
        <w:rPr>
          <w:i/>
          <w:lang w:val="en"/>
        </w:rPr>
        <w:t>The Guide to He Korowai Oranga – Māori Health Strategy</w:t>
      </w:r>
      <w:r w:rsidRPr="00C47B30">
        <w:rPr>
          <w:lang w:val="en"/>
        </w:rPr>
        <w:t>. Wellington: Ministry of Health.</w:t>
      </w:r>
    </w:p>
    <w:p w14:paraId="6CFD8E50" w14:textId="0932DDDF" w:rsidR="00C47B30" w:rsidRPr="00C47B30" w:rsidRDefault="00C47B30" w:rsidP="00C47B30">
      <w:pPr>
        <w:pStyle w:val="References"/>
        <w:rPr>
          <w:rFonts w:eastAsia="Calibri"/>
        </w:rPr>
      </w:pPr>
      <w:r w:rsidRPr="00C47B30">
        <w:rPr>
          <w:rFonts w:eastAsia="Calibri"/>
        </w:rPr>
        <w:t xml:space="preserve">Ministry of Health. 2015. </w:t>
      </w:r>
      <w:r w:rsidRPr="00C47B30">
        <w:rPr>
          <w:rFonts w:eastAsia="Calibri"/>
          <w:i/>
        </w:rPr>
        <w:t>Revitalising the</w:t>
      </w:r>
      <w:r w:rsidRPr="00C47B30">
        <w:rPr>
          <w:rFonts w:eastAsia="Calibri"/>
        </w:rPr>
        <w:t xml:space="preserve"> </w:t>
      </w:r>
      <w:r w:rsidRPr="00C47B30">
        <w:rPr>
          <w:rFonts w:eastAsia="Calibri"/>
          <w:i/>
        </w:rPr>
        <w:t>National HPV Immunisation Programme with Agreed Outcomes from the August 2014 Workshop</w:t>
      </w:r>
      <w:r w:rsidRPr="00C47B30">
        <w:rPr>
          <w:rFonts w:eastAsia="Calibri"/>
        </w:rPr>
        <w:t>.</w:t>
      </w:r>
      <w:r w:rsidR="00D24896">
        <w:rPr>
          <w:rFonts w:eastAsia="Calibri"/>
        </w:rPr>
        <w:t xml:space="preserve"> </w:t>
      </w:r>
      <w:r w:rsidRPr="00C47B30">
        <w:rPr>
          <w:rFonts w:eastAsia="Calibri"/>
        </w:rPr>
        <w:t>Wellington: Ministry of Health.</w:t>
      </w:r>
    </w:p>
    <w:p w14:paraId="5AE07C37" w14:textId="37660002" w:rsidR="003C1D1F" w:rsidRPr="00B94DE3" w:rsidRDefault="003C1D1F" w:rsidP="00F13D5D">
      <w:pPr>
        <w:pStyle w:val="References"/>
        <w:rPr>
          <w:rFonts w:eastAsia="Calibri"/>
        </w:rPr>
      </w:pPr>
      <w:r w:rsidRPr="00B94DE3">
        <w:rPr>
          <w:rFonts w:eastAsia="Calibri"/>
        </w:rPr>
        <w:lastRenderedPageBreak/>
        <w:t xml:space="preserve">Ministry of Transport. </w:t>
      </w:r>
      <w:r w:rsidRPr="00E75524">
        <w:rPr>
          <w:rFonts w:eastAsia="Calibri"/>
          <w:i/>
        </w:rPr>
        <w:t>Land Transport Rule: Dangerous Goods 2005</w:t>
      </w:r>
      <w:r w:rsidRPr="00BE4F15">
        <w:rPr>
          <w:rFonts w:eastAsia="Calibri"/>
        </w:rPr>
        <w:t xml:space="preserve"> (Rule 45001/1). URL: </w:t>
      </w:r>
      <w:hyperlink r:id="rId52" w:anchor="642b" w:history="1">
        <w:r w:rsidRPr="00B94DE3">
          <w:rPr>
            <w:rStyle w:val="Hyperlink"/>
            <w:rFonts w:eastAsia="Calibri" w:cs="Arial"/>
            <w:szCs w:val="22"/>
          </w:rPr>
          <w:t>www.nzta.govt.nz/resources/rules/dangerous-goods-2005/#642b</w:t>
        </w:r>
      </w:hyperlink>
    </w:p>
    <w:p w14:paraId="710A2025" w14:textId="77777777" w:rsidR="003C1D1F" w:rsidRDefault="003C1D1F" w:rsidP="00D24896">
      <w:pPr>
        <w:pStyle w:val="References"/>
        <w:rPr>
          <w:rFonts w:eastAsia="Calibri"/>
        </w:rPr>
      </w:pPr>
      <w:r w:rsidRPr="00B94DE3">
        <w:rPr>
          <w:rFonts w:eastAsia="Calibri"/>
        </w:rPr>
        <w:t xml:space="preserve">New Zealand Nurses Organisation. 2014. </w:t>
      </w:r>
      <w:r w:rsidRPr="00E75524">
        <w:rPr>
          <w:rFonts w:eastAsia="Calibri"/>
          <w:i/>
        </w:rPr>
        <w:t>Guidelines for Nurses on the Administration of Medicines</w:t>
      </w:r>
      <w:r w:rsidRPr="00B94DE3">
        <w:rPr>
          <w:rFonts w:eastAsia="Calibri"/>
        </w:rPr>
        <w:t>. Wellington: New Zealand Nurses Organisation. URL:</w:t>
      </w:r>
      <w:r w:rsidR="00F13D5D">
        <w:rPr>
          <w:rFonts w:eastAsia="Calibri"/>
        </w:rPr>
        <w:t xml:space="preserve"> </w:t>
      </w:r>
      <w:hyperlink r:id="rId53" w:history="1">
        <w:r w:rsidRPr="00B94DE3">
          <w:rPr>
            <w:rStyle w:val="Hyperlink"/>
            <w:rFonts w:eastAsia="Calibri" w:cs="Arial"/>
            <w:szCs w:val="22"/>
          </w:rPr>
          <w:t>www.nzno.org.nz/Portals/0/Files/Documents/Resources/Publications/Guidelines%20for%20nurses%20on%20the%20administration%20of%20medicines%2C%20October%202014.pdf</w:t>
        </w:r>
      </w:hyperlink>
    </w:p>
    <w:p w14:paraId="2C80274D" w14:textId="77777777" w:rsidR="003C1D1F" w:rsidRDefault="003C1D1F" w:rsidP="00F13D5D">
      <w:pPr>
        <w:pStyle w:val="References"/>
        <w:rPr>
          <w:rFonts w:eastAsia="Calibri"/>
        </w:rPr>
      </w:pPr>
      <w:r w:rsidRPr="00BC451B">
        <w:rPr>
          <w:rFonts w:eastAsia="Calibri"/>
        </w:rPr>
        <w:t>ProPharma. 2009</w:t>
      </w:r>
      <w:r w:rsidR="00E75524">
        <w:rPr>
          <w:rFonts w:eastAsia="Calibri"/>
        </w:rPr>
        <w:t>.</w:t>
      </w:r>
      <w:r w:rsidRPr="00BC451B">
        <w:rPr>
          <w:rFonts w:eastAsia="Calibri"/>
        </w:rPr>
        <w:t xml:space="preserve"> </w:t>
      </w:r>
      <w:r w:rsidRPr="00E75524">
        <w:rPr>
          <w:rFonts w:eastAsia="Calibri"/>
          <w:i/>
        </w:rPr>
        <w:t>Vaccine Order Form</w:t>
      </w:r>
      <w:r w:rsidRPr="00BC451B">
        <w:rPr>
          <w:rFonts w:eastAsia="Calibri"/>
        </w:rPr>
        <w:t>. URL:</w:t>
      </w:r>
      <w:r>
        <w:rPr>
          <w:rFonts w:eastAsia="Calibri"/>
        </w:rPr>
        <w:t xml:space="preserve"> </w:t>
      </w:r>
      <w:hyperlink r:id="rId54" w:history="1">
        <w:r w:rsidRPr="00B94DE3">
          <w:rPr>
            <w:rStyle w:val="Hyperlink"/>
            <w:rFonts w:eastAsia="Calibri" w:cs="Arial"/>
            <w:szCs w:val="22"/>
          </w:rPr>
          <w:t>www.fundedvaccines.co.nz/Login.aspx</w:t>
        </w:r>
      </w:hyperlink>
    </w:p>
    <w:p w14:paraId="3C3A50C6" w14:textId="4C057340" w:rsidR="009A7CEC" w:rsidRDefault="00096AF3" w:rsidP="00F13D5D">
      <w:pPr>
        <w:rPr>
          <w:rStyle w:val="Hyperlink"/>
          <w:rFonts w:eastAsia="Calibri"/>
        </w:rPr>
      </w:pPr>
      <w:r>
        <w:rPr>
          <w:rFonts w:eastAsia="Calibri"/>
        </w:rPr>
        <w:t xml:space="preserve">Seqirus. 2016. </w:t>
      </w:r>
      <w:r w:rsidRPr="00096AF3">
        <w:rPr>
          <w:rFonts w:eastAsia="Calibri"/>
        </w:rPr>
        <w:t>GARDASIL®9</w:t>
      </w:r>
      <w:r>
        <w:rPr>
          <w:rFonts w:eastAsia="Calibri"/>
        </w:rPr>
        <w:t xml:space="preserve"> Data Sheet. URL: </w:t>
      </w:r>
      <w:hyperlink r:id="rId55" w:history="1">
        <w:r w:rsidRPr="006B47D2">
          <w:rPr>
            <w:rStyle w:val="Hyperlink"/>
            <w:rFonts w:eastAsia="Calibri"/>
          </w:rPr>
          <w:t>http://medsafe.govt.nz/profs/Datasheet/g/gardasil9inj.pdf</w:t>
        </w:r>
      </w:hyperlink>
    </w:p>
    <w:p w14:paraId="08233ACA" w14:textId="77777777" w:rsidR="00D24896" w:rsidRDefault="00D24896" w:rsidP="00F13D5D">
      <w:pPr>
        <w:rPr>
          <w:rFonts w:eastAsia="Calibri"/>
        </w:rPr>
      </w:pPr>
    </w:p>
    <w:p w14:paraId="33D984A3" w14:textId="3C3444A5" w:rsidR="003C1D1F" w:rsidRPr="006E15CC" w:rsidRDefault="003C1D1F" w:rsidP="00F13D5D">
      <w:pPr>
        <w:pStyle w:val="Heading2"/>
        <w:numPr>
          <w:ilvl w:val="0"/>
          <w:numId w:val="0"/>
        </w:numPr>
        <w:rPr>
          <w:rFonts w:eastAsia="Calibri"/>
        </w:rPr>
      </w:pPr>
      <w:bookmarkStart w:id="668" w:name="_Toc465165498"/>
      <w:r w:rsidRPr="006E15CC">
        <w:rPr>
          <w:rFonts w:eastAsia="Calibri"/>
        </w:rPr>
        <w:t>Legislation and codes</w:t>
      </w:r>
      <w:bookmarkEnd w:id="668"/>
    </w:p>
    <w:p w14:paraId="3AC23BF4" w14:textId="77777777" w:rsidR="003C1D1F" w:rsidRPr="00BE4F15" w:rsidRDefault="003C1D1F" w:rsidP="00F13D5D">
      <w:pPr>
        <w:pStyle w:val="References"/>
        <w:rPr>
          <w:rFonts w:eastAsia="Calibri"/>
        </w:rPr>
      </w:pPr>
      <w:r w:rsidRPr="0052190F">
        <w:rPr>
          <w:rFonts w:eastAsia="Calibri"/>
        </w:rPr>
        <w:t>Care of Children Act 2004</w:t>
      </w:r>
      <w:r>
        <w:rPr>
          <w:rFonts w:eastAsia="Calibri"/>
        </w:rPr>
        <w:t>,</w:t>
      </w:r>
      <w:r w:rsidRPr="0052190F">
        <w:rPr>
          <w:rFonts w:eastAsia="Calibri"/>
        </w:rPr>
        <w:t xml:space="preserve"> </w:t>
      </w:r>
      <w:r>
        <w:rPr>
          <w:rFonts w:eastAsia="Calibri"/>
        </w:rPr>
        <w:t>s</w:t>
      </w:r>
      <w:r w:rsidRPr="0052190F">
        <w:rPr>
          <w:rFonts w:eastAsia="Calibri"/>
        </w:rPr>
        <w:t>ection 36(3). URL:</w:t>
      </w:r>
      <w:r w:rsidR="00F13D5D">
        <w:rPr>
          <w:rFonts w:eastAsia="Calibri"/>
        </w:rPr>
        <w:t xml:space="preserve"> </w:t>
      </w:r>
      <w:hyperlink r:id="rId56" w:history="1">
        <w:r w:rsidRPr="0052190F">
          <w:rPr>
            <w:rStyle w:val="Hyperlink"/>
            <w:rFonts w:eastAsia="Calibri" w:cs="Arial"/>
            <w:szCs w:val="22"/>
          </w:rPr>
          <w:t>http://legislation.govt.nz/act/public/2004/0090/latest/DLM317233.html</w:t>
        </w:r>
      </w:hyperlink>
    </w:p>
    <w:p w14:paraId="4882D835" w14:textId="77777777" w:rsidR="003C1D1F" w:rsidRPr="00BC451B" w:rsidRDefault="003C1D1F" w:rsidP="00F13D5D">
      <w:pPr>
        <w:pStyle w:val="References"/>
        <w:rPr>
          <w:rFonts w:eastAsia="Calibri"/>
        </w:rPr>
      </w:pPr>
      <w:r w:rsidRPr="0052190F">
        <w:rPr>
          <w:rFonts w:eastAsia="Calibri"/>
        </w:rPr>
        <w:t xml:space="preserve">Health Information Privacy Code 1993. URL: </w:t>
      </w:r>
      <w:hyperlink r:id="rId57" w:history="1">
        <w:r w:rsidRPr="0052190F">
          <w:rPr>
            <w:rStyle w:val="Hyperlink"/>
            <w:rFonts w:eastAsia="Calibri" w:cs="Arial"/>
            <w:szCs w:val="22"/>
          </w:rPr>
          <w:t>www.privacy.org.nz/assets/Files/Codes-of-Practice-materials/Health-Information-Privacy-Code-1994-including-Amendment.pdf</w:t>
        </w:r>
      </w:hyperlink>
    </w:p>
    <w:p w14:paraId="5EAD378D" w14:textId="77777777" w:rsidR="003C1D1F" w:rsidRPr="00BC451B" w:rsidRDefault="003C1D1F" w:rsidP="00F13D5D">
      <w:pPr>
        <w:pStyle w:val="References"/>
        <w:rPr>
          <w:rFonts w:eastAsia="Calibri"/>
        </w:rPr>
      </w:pPr>
      <w:r w:rsidRPr="00BC451B">
        <w:rPr>
          <w:rFonts w:eastAsia="Calibri"/>
        </w:rPr>
        <w:t>Medicines Regulations 1984</w:t>
      </w:r>
      <w:r>
        <w:rPr>
          <w:rFonts w:eastAsia="Calibri"/>
        </w:rPr>
        <w:t>, s</w:t>
      </w:r>
      <w:r w:rsidRPr="00BC451B">
        <w:rPr>
          <w:rFonts w:eastAsia="Calibri"/>
        </w:rPr>
        <w:t>ection 44A (2). URL:</w:t>
      </w:r>
      <w:r w:rsidR="00F13D5D">
        <w:rPr>
          <w:rFonts w:eastAsia="Calibri"/>
        </w:rPr>
        <w:t xml:space="preserve"> </w:t>
      </w:r>
      <w:hyperlink r:id="rId58" w:history="1">
        <w:r w:rsidRPr="00B94DE3">
          <w:rPr>
            <w:rStyle w:val="Hyperlink"/>
            <w:rFonts w:eastAsia="Calibri" w:cs="Arial"/>
            <w:szCs w:val="22"/>
          </w:rPr>
          <w:t>www.legislation.govt.nz/regulation/public/1984/0143/latest/DLM95668.html</w:t>
        </w:r>
      </w:hyperlink>
    </w:p>
    <w:p w14:paraId="3639154F" w14:textId="77777777" w:rsidR="00F25970" w:rsidRPr="00E76D66" w:rsidRDefault="00F25970" w:rsidP="00F13D5D"/>
    <w:sectPr w:rsidR="00F25970" w:rsidRPr="00E76D66" w:rsidSect="009D5125">
      <w:headerReference w:type="default" r:id="rId59"/>
      <w:footerReference w:type="default" r:id="rId60"/>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23401" w14:textId="77777777" w:rsidR="00B939C7" w:rsidRDefault="00B939C7">
      <w:pPr>
        <w:spacing w:line="240" w:lineRule="auto"/>
      </w:pPr>
      <w:r>
        <w:separator/>
      </w:r>
    </w:p>
    <w:p w14:paraId="26B1FD9B" w14:textId="77777777" w:rsidR="00B939C7" w:rsidRDefault="00B939C7"/>
  </w:endnote>
  <w:endnote w:type="continuationSeparator" w:id="0">
    <w:p w14:paraId="5B0556A3" w14:textId="77777777" w:rsidR="00B939C7" w:rsidRDefault="00B939C7">
      <w:pPr>
        <w:spacing w:line="240" w:lineRule="auto"/>
      </w:pPr>
      <w:r>
        <w:continuationSeparator/>
      </w:r>
    </w:p>
    <w:p w14:paraId="76D9855A" w14:textId="77777777" w:rsidR="00B939C7" w:rsidRDefault="00B93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8B943" w14:textId="77777777" w:rsidR="00AC0938" w:rsidRDefault="00AC09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88B09" w14:textId="77777777" w:rsidR="00AC0938" w:rsidRPr="00581136" w:rsidRDefault="00AC0938" w:rsidP="00F9366A">
    <w:pPr>
      <w:pStyle w:val="Footer"/>
      <w:pBdr>
        <w:bottom w:val="single" w:sz="4" w:space="1" w:color="auto"/>
      </w:pBdr>
      <w:tabs>
        <w:tab w:val="right" w:pos="8504"/>
      </w:tabs>
      <w:ind w:left="-1559"/>
      <w:rPr>
        <w:b/>
      </w:rPr>
    </w:pPr>
    <w:r w:rsidRPr="00581136">
      <w:rPr>
        <w:b/>
      </w:rPr>
      <w:t>Released 201</w:t>
    </w:r>
    <w:r>
      <w:rPr>
        <w:b/>
      </w:rPr>
      <w:t>6</w:t>
    </w:r>
    <w:r w:rsidRPr="00581136">
      <w:rPr>
        <w:b/>
      </w:rPr>
      <w:tab/>
      <w:t>health.govt.nz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54ECE" w14:textId="77777777" w:rsidR="00AC0938" w:rsidRDefault="00AC09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A090F" w14:textId="77777777" w:rsidR="00AC0938" w:rsidRDefault="00AC0938" w:rsidP="004D6689">
    <w:pPr>
      <w:pStyle w:val="Footer"/>
      <w:pBdr>
        <w:bottom w:val="none" w:sz="0" w:space="0" w:color="auto"/>
      </w:pBd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42DA7" w14:textId="77777777" w:rsidR="00AC0938" w:rsidRDefault="00AC093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D4DB9" w14:textId="32A7BF12" w:rsidR="00AC0938" w:rsidRPr="00275D08" w:rsidRDefault="00AC0938"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664019">
      <w:rPr>
        <w:rStyle w:val="PageNumber"/>
        <w:noProof/>
      </w:rPr>
      <w:t>4</w:t>
    </w:r>
    <w:r w:rsidRPr="00FC46E7">
      <w:rPr>
        <w:rStyle w:val="PageNumber"/>
      </w:rPr>
      <w:fldChar w:fldCharType="end"/>
    </w:r>
    <w:r>
      <w:tab/>
      <w:t>Professional Standards for School-based Immunisation Service Delivery</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F74BE" w14:textId="0E787250" w:rsidR="00AC0938" w:rsidRDefault="00AC0938" w:rsidP="00533B90">
    <w:pPr>
      <w:pStyle w:val="RectoFooter"/>
    </w:pPr>
    <w:r>
      <w:tab/>
      <w:t>Professional Standards for School-based Immunisation Service Delivery</w:t>
    </w:r>
    <w:r>
      <w:tab/>
    </w:r>
    <w:r>
      <w:rPr>
        <w:rStyle w:val="PageNumber"/>
      </w:rPr>
      <w:fldChar w:fldCharType="begin"/>
    </w:r>
    <w:r>
      <w:rPr>
        <w:rStyle w:val="PageNumber"/>
      </w:rPr>
      <w:instrText xml:space="preserve"> PAGE </w:instrText>
    </w:r>
    <w:r>
      <w:rPr>
        <w:rStyle w:val="PageNumber"/>
      </w:rPr>
      <w:fldChar w:fldCharType="separate"/>
    </w:r>
    <w:r w:rsidR="00664019">
      <w:rPr>
        <w:rStyle w:val="PageNumber"/>
        <w:noProof/>
      </w:rPr>
      <w:t>iii</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C0E5B" w14:textId="5AD729B7" w:rsidR="00AC0938" w:rsidRDefault="00AC0938" w:rsidP="009E3C8C">
    <w:pPr>
      <w:pStyle w:val="RectoFooter"/>
    </w:pPr>
    <w:r>
      <w:tab/>
      <w:t>Professional Standards for School-based Immunisation Service Delivery</w:t>
    </w:r>
    <w:r>
      <w:tab/>
    </w:r>
    <w:r>
      <w:rPr>
        <w:rStyle w:val="PageNumber"/>
      </w:rPr>
      <w:fldChar w:fldCharType="begin"/>
    </w:r>
    <w:r>
      <w:rPr>
        <w:rStyle w:val="PageNumber"/>
      </w:rPr>
      <w:instrText xml:space="preserve"> PAGE </w:instrText>
    </w:r>
    <w:r>
      <w:rPr>
        <w:rStyle w:val="PageNumber"/>
      </w:rPr>
      <w:fldChar w:fldCharType="separate"/>
    </w:r>
    <w:r w:rsidR="00664019">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107EE" w14:textId="77777777" w:rsidR="00B939C7" w:rsidRPr="00A26E6B" w:rsidRDefault="00B939C7" w:rsidP="00A26E6B"/>
  </w:footnote>
  <w:footnote w:type="continuationSeparator" w:id="0">
    <w:p w14:paraId="0E36788D" w14:textId="77777777" w:rsidR="00B939C7" w:rsidRDefault="00B939C7">
      <w:pPr>
        <w:spacing w:line="240" w:lineRule="auto"/>
      </w:pPr>
      <w:r>
        <w:continuationSeparator/>
      </w:r>
    </w:p>
    <w:p w14:paraId="5ABB64C1" w14:textId="77777777" w:rsidR="00B939C7" w:rsidRDefault="00B939C7"/>
  </w:footnote>
  <w:footnote w:id="1">
    <w:p w14:paraId="6FE3CB0C" w14:textId="2A41C764" w:rsidR="00AC0938" w:rsidRPr="0041122A" w:rsidRDefault="00AC0938" w:rsidP="00BA4973">
      <w:pPr>
        <w:pStyle w:val="FootnoteText"/>
      </w:pPr>
      <w:r w:rsidRPr="00BA4973">
        <w:rPr>
          <w:rStyle w:val="FootnoteReference"/>
        </w:rPr>
        <w:footnoteRef/>
      </w:r>
      <w:r>
        <w:tab/>
      </w:r>
      <w:r w:rsidRPr="0041122A">
        <w:t>If a student</w:t>
      </w:r>
      <w:r>
        <w:t>’</w:t>
      </w:r>
      <w:r w:rsidRPr="0041122A">
        <w:t>s parent lives overseas, a consent form will need to be scanned and emailed (if possible) to the known guardian, signed and returned. If th</w:t>
      </w:r>
      <w:r w:rsidRPr="00B94DE3">
        <w:t>e student has a parent overseas</w:t>
      </w:r>
      <w:r w:rsidRPr="0041122A">
        <w:t xml:space="preserve"> but is under the care of </w:t>
      </w:r>
      <w:r w:rsidRPr="00B94DE3">
        <w:t>a legal guardian in New Zealand</w:t>
      </w:r>
      <w:r w:rsidRPr="0041122A">
        <w:t xml:space="preserve"> who is aware of the student</w:t>
      </w:r>
      <w:r>
        <w:t>’</w:t>
      </w:r>
      <w:r w:rsidRPr="0041122A">
        <w:t>s medical background, consent from</w:t>
      </w:r>
      <w:r w:rsidRPr="00B94DE3">
        <w:t xml:space="preserve"> this guardian is valid. Note: </w:t>
      </w:r>
      <w:r>
        <w:t>i</w:t>
      </w:r>
      <w:r w:rsidRPr="0041122A">
        <w:t xml:space="preserve">t is always important to ensure the student can identify </w:t>
      </w:r>
      <w:r>
        <w:t xml:space="preserve">the </w:t>
      </w:r>
      <w:r w:rsidRPr="0041122A">
        <w:t>persons wh</w:t>
      </w:r>
      <w:r w:rsidRPr="00B94DE3">
        <w:t>o gave consent</w:t>
      </w:r>
      <w:r w:rsidRPr="0041122A">
        <w:t xml:space="preserve"> before administering a vaccine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6925D" w14:textId="77777777" w:rsidR="00AC0938" w:rsidRDefault="00AC09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060E" w14:textId="77777777" w:rsidR="00AC0938" w:rsidRDefault="00AC0938" w:rsidP="009216CC">
    <w:pPr>
      <w:pStyle w:val="Header"/>
      <w:ind w:left="-1559"/>
    </w:pPr>
    <w:r w:rsidRPr="009A7CEC">
      <w:rPr>
        <w:noProof/>
        <w:lang w:eastAsia="en-NZ"/>
      </w:rPr>
      <w:drawing>
        <wp:inline distT="0" distB="0" distL="0" distR="0" wp14:anchorId="5B4B8A08" wp14:editId="7BFB39C2">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BB396" w14:textId="77777777" w:rsidR="00AC0938" w:rsidRDefault="00AC09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F1476" w14:textId="77777777" w:rsidR="00AC0938" w:rsidRDefault="00AC0938" w:rsidP="00533B9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B6C02" w14:textId="77777777" w:rsidR="00AC0938" w:rsidRDefault="00AC0938" w:rsidP="009001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E1BDB" w14:textId="77777777" w:rsidR="00AC0938" w:rsidRDefault="00AC09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1B320BEF"/>
    <w:multiLevelType w:val="multilevel"/>
    <w:tmpl w:val="DF86ADF2"/>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FED7DA1"/>
    <w:multiLevelType w:val="hybridMultilevel"/>
    <w:tmpl w:val="1E285F78"/>
    <w:lvl w:ilvl="0" w:tplc="438811B8">
      <w:numFmt w:val="bullet"/>
      <w:lvlText w:val="-"/>
      <w:lvlJc w:val="left"/>
      <w:pPr>
        <w:ind w:left="644" w:hanging="360"/>
      </w:pPr>
      <w:rPr>
        <w:rFonts w:ascii="Arial" w:eastAsia="Times New Roman" w:hAnsi="Arial" w:cs="Aria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3">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6">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3D22"/>
    <w:rsid w:val="000145D8"/>
    <w:rsid w:val="00030B26"/>
    <w:rsid w:val="00043829"/>
    <w:rsid w:val="0005755C"/>
    <w:rsid w:val="00060A1D"/>
    <w:rsid w:val="0006228D"/>
    <w:rsid w:val="00072BD6"/>
    <w:rsid w:val="00073A90"/>
    <w:rsid w:val="00075B78"/>
    <w:rsid w:val="00082CD6"/>
    <w:rsid w:val="00085AFE"/>
    <w:rsid w:val="00096AF3"/>
    <w:rsid w:val="000B0730"/>
    <w:rsid w:val="000B40F5"/>
    <w:rsid w:val="000F2AE2"/>
    <w:rsid w:val="00102063"/>
    <w:rsid w:val="001053F7"/>
    <w:rsid w:val="0010541C"/>
    <w:rsid w:val="00106F93"/>
    <w:rsid w:val="00111D50"/>
    <w:rsid w:val="00113B8E"/>
    <w:rsid w:val="00115984"/>
    <w:rsid w:val="001342C7"/>
    <w:rsid w:val="0013585C"/>
    <w:rsid w:val="00142954"/>
    <w:rsid w:val="001460E0"/>
    <w:rsid w:val="00147F71"/>
    <w:rsid w:val="00150A6E"/>
    <w:rsid w:val="00154C5E"/>
    <w:rsid w:val="0016468A"/>
    <w:rsid w:val="001714B0"/>
    <w:rsid w:val="00187E15"/>
    <w:rsid w:val="001A5CF5"/>
    <w:rsid w:val="001B39D2"/>
    <w:rsid w:val="001B4BF8"/>
    <w:rsid w:val="001C198A"/>
    <w:rsid w:val="001C4326"/>
    <w:rsid w:val="001D08F1"/>
    <w:rsid w:val="001D3541"/>
    <w:rsid w:val="001F45A7"/>
    <w:rsid w:val="001F52DF"/>
    <w:rsid w:val="00201A01"/>
    <w:rsid w:val="002104D3"/>
    <w:rsid w:val="00213A33"/>
    <w:rsid w:val="0021763B"/>
    <w:rsid w:val="0023579B"/>
    <w:rsid w:val="00244B21"/>
    <w:rsid w:val="00246DB1"/>
    <w:rsid w:val="002476B5"/>
    <w:rsid w:val="00253ECF"/>
    <w:rsid w:val="002546A1"/>
    <w:rsid w:val="00275D08"/>
    <w:rsid w:val="002858E3"/>
    <w:rsid w:val="0029190A"/>
    <w:rsid w:val="00292C5A"/>
    <w:rsid w:val="00295241"/>
    <w:rsid w:val="002B047D"/>
    <w:rsid w:val="002B732B"/>
    <w:rsid w:val="002C02B9"/>
    <w:rsid w:val="002C2219"/>
    <w:rsid w:val="002D0DF2"/>
    <w:rsid w:val="002D23BD"/>
    <w:rsid w:val="002D7565"/>
    <w:rsid w:val="002E0B47"/>
    <w:rsid w:val="002E679B"/>
    <w:rsid w:val="002F1619"/>
    <w:rsid w:val="002F7213"/>
    <w:rsid w:val="0030382F"/>
    <w:rsid w:val="0030408D"/>
    <w:rsid w:val="003060E4"/>
    <w:rsid w:val="00315631"/>
    <w:rsid w:val="003160E7"/>
    <w:rsid w:val="0031739E"/>
    <w:rsid w:val="00320F6B"/>
    <w:rsid w:val="00322A65"/>
    <w:rsid w:val="003325AB"/>
    <w:rsid w:val="0033412B"/>
    <w:rsid w:val="003357C6"/>
    <w:rsid w:val="00343365"/>
    <w:rsid w:val="00353501"/>
    <w:rsid w:val="003606F8"/>
    <w:rsid w:val="003648EF"/>
    <w:rsid w:val="00365D4B"/>
    <w:rsid w:val="003673E6"/>
    <w:rsid w:val="00377264"/>
    <w:rsid w:val="00385740"/>
    <w:rsid w:val="003A26A5"/>
    <w:rsid w:val="003A3761"/>
    <w:rsid w:val="003A5FEA"/>
    <w:rsid w:val="003B1D10"/>
    <w:rsid w:val="003B57D9"/>
    <w:rsid w:val="003C1D1F"/>
    <w:rsid w:val="003C76D4"/>
    <w:rsid w:val="003D2CC5"/>
    <w:rsid w:val="003E7C46"/>
    <w:rsid w:val="003F52A7"/>
    <w:rsid w:val="0040240C"/>
    <w:rsid w:val="00406C21"/>
    <w:rsid w:val="00413021"/>
    <w:rsid w:val="00423A06"/>
    <w:rsid w:val="00434E95"/>
    <w:rsid w:val="00440BE0"/>
    <w:rsid w:val="004420B8"/>
    <w:rsid w:val="00442C1C"/>
    <w:rsid w:val="0044584B"/>
    <w:rsid w:val="00447CB7"/>
    <w:rsid w:val="004519AA"/>
    <w:rsid w:val="00455C2E"/>
    <w:rsid w:val="00460826"/>
    <w:rsid w:val="00460EA7"/>
    <w:rsid w:val="0046195B"/>
    <w:rsid w:val="0046596D"/>
    <w:rsid w:val="00471D5C"/>
    <w:rsid w:val="00486C64"/>
    <w:rsid w:val="00487C04"/>
    <w:rsid w:val="004907E1"/>
    <w:rsid w:val="004A035B"/>
    <w:rsid w:val="004A38D7"/>
    <w:rsid w:val="004A778C"/>
    <w:rsid w:val="004B320D"/>
    <w:rsid w:val="004C2E6A"/>
    <w:rsid w:val="004C64B8"/>
    <w:rsid w:val="004C7B5A"/>
    <w:rsid w:val="004D2A2D"/>
    <w:rsid w:val="004D6689"/>
    <w:rsid w:val="004E1D1D"/>
    <w:rsid w:val="004E7AB6"/>
    <w:rsid w:val="004E7AC8"/>
    <w:rsid w:val="004F0C94"/>
    <w:rsid w:val="004F65BB"/>
    <w:rsid w:val="004F6FB5"/>
    <w:rsid w:val="005019AE"/>
    <w:rsid w:val="00503749"/>
    <w:rsid w:val="00504CF4"/>
    <w:rsid w:val="0050635B"/>
    <w:rsid w:val="005304D3"/>
    <w:rsid w:val="0053199F"/>
    <w:rsid w:val="00533B90"/>
    <w:rsid w:val="005410F8"/>
    <w:rsid w:val="005448EC"/>
    <w:rsid w:val="00545963"/>
    <w:rsid w:val="00550256"/>
    <w:rsid w:val="00553958"/>
    <w:rsid w:val="0055763D"/>
    <w:rsid w:val="005621F2"/>
    <w:rsid w:val="00567B58"/>
    <w:rsid w:val="005763E0"/>
    <w:rsid w:val="00581136"/>
    <w:rsid w:val="00581B18"/>
    <w:rsid w:val="005A27CA"/>
    <w:rsid w:val="005A43BD"/>
    <w:rsid w:val="005B30E7"/>
    <w:rsid w:val="005D1DD1"/>
    <w:rsid w:val="005E226E"/>
    <w:rsid w:val="006015D7"/>
    <w:rsid w:val="00601B21"/>
    <w:rsid w:val="006030D1"/>
    <w:rsid w:val="006041F0"/>
    <w:rsid w:val="0062095D"/>
    <w:rsid w:val="00626CF8"/>
    <w:rsid w:val="00636D7D"/>
    <w:rsid w:val="00637408"/>
    <w:rsid w:val="00642868"/>
    <w:rsid w:val="00647AFE"/>
    <w:rsid w:val="006512BC"/>
    <w:rsid w:val="00653A5A"/>
    <w:rsid w:val="006575F4"/>
    <w:rsid w:val="006579E6"/>
    <w:rsid w:val="00663EDC"/>
    <w:rsid w:val="00664019"/>
    <w:rsid w:val="00671078"/>
    <w:rsid w:val="006758CA"/>
    <w:rsid w:val="00680A04"/>
    <w:rsid w:val="00686D80"/>
    <w:rsid w:val="00694895"/>
    <w:rsid w:val="00697E2E"/>
    <w:rsid w:val="006A25A2"/>
    <w:rsid w:val="006A394E"/>
    <w:rsid w:val="006B0E73"/>
    <w:rsid w:val="006B4A4D"/>
    <w:rsid w:val="006B5695"/>
    <w:rsid w:val="006C78EB"/>
    <w:rsid w:val="006D1660"/>
    <w:rsid w:val="006E3871"/>
    <w:rsid w:val="006E52A7"/>
    <w:rsid w:val="006F1B67"/>
    <w:rsid w:val="006F227D"/>
    <w:rsid w:val="006F588A"/>
    <w:rsid w:val="007000C1"/>
    <w:rsid w:val="0070091D"/>
    <w:rsid w:val="00702854"/>
    <w:rsid w:val="0071741C"/>
    <w:rsid w:val="00725C41"/>
    <w:rsid w:val="00732426"/>
    <w:rsid w:val="00742B90"/>
    <w:rsid w:val="0074434D"/>
    <w:rsid w:val="0076303E"/>
    <w:rsid w:val="00771B1E"/>
    <w:rsid w:val="00773C95"/>
    <w:rsid w:val="0078171E"/>
    <w:rsid w:val="00793078"/>
    <w:rsid w:val="00795B34"/>
    <w:rsid w:val="007B1770"/>
    <w:rsid w:val="007B4D3E"/>
    <w:rsid w:val="007B58EE"/>
    <w:rsid w:val="007B7C70"/>
    <w:rsid w:val="007C0BAD"/>
    <w:rsid w:val="007D2151"/>
    <w:rsid w:val="007D42CC"/>
    <w:rsid w:val="007D5DE4"/>
    <w:rsid w:val="007E0777"/>
    <w:rsid w:val="007E1341"/>
    <w:rsid w:val="007E1B41"/>
    <w:rsid w:val="007E30B9"/>
    <w:rsid w:val="007E74F1"/>
    <w:rsid w:val="007F0F0C"/>
    <w:rsid w:val="007F1288"/>
    <w:rsid w:val="00800A8A"/>
    <w:rsid w:val="0080155C"/>
    <w:rsid w:val="008052E1"/>
    <w:rsid w:val="00811060"/>
    <w:rsid w:val="00814A49"/>
    <w:rsid w:val="00822F19"/>
    <w:rsid w:val="00822F2C"/>
    <w:rsid w:val="008305E8"/>
    <w:rsid w:val="00836D32"/>
    <w:rsid w:val="00860826"/>
    <w:rsid w:val="0086083E"/>
    <w:rsid w:val="00860E21"/>
    <w:rsid w:val="00863117"/>
    <w:rsid w:val="0086388B"/>
    <w:rsid w:val="008642E5"/>
    <w:rsid w:val="00872D93"/>
    <w:rsid w:val="00880470"/>
    <w:rsid w:val="00880D94"/>
    <w:rsid w:val="008817FF"/>
    <w:rsid w:val="008924DE"/>
    <w:rsid w:val="008A3755"/>
    <w:rsid w:val="008A6D6E"/>
    <w:rsid w:val="008B264F"/>
    <w:rsid w:val="008B5117"/>
    <w:rsid w:val="008B6F83"/>
    <w:rsid w:val="008B7FD8"/>
    <w:rsid w:val="008C2973"/>
    <w:rsid w:val="008C6324"/>
    <w:rsid w:val="008C64C4"/>
    <w:rsid w:val="008D74D5"/>
    <w:rsid w:val="008E18A7"/>
    <w:rsid w:val="008E5BE8"/>
    <w:rsid w:val="008F29BE"/>
    <w:rsid w:val="008F4AE5"/>
    <w:rsid w:val="008F51EB"/>
    <w:rsid w:val="00900197"/>
    <w:rsid w:val="00902F55"/>
    <w:rsid w:val="0090582B"/>
    <w:rsid w:val="009060C0"/>
    <w:rsid w:val="00910DCC"/>
    <w:rsid w:val="009133F5"/>
    <w:rsid w:val="00915E69"/>
    <w:rsid w:val="00920A27"/>
    <w:rsid w:val="00921216"/>
    <w:rsid w:val="009216CC"/>
    <w:rsid w:val="00932D69"/>
    <w:rsid w:val="009409C5"/>
    <w:rsid w:val="00942740"/>
    <w:rsid w:val="00944647"/>
    <w:rsid w:val="00977B8A"/>
    <w:rsid w:val="00980404"/>
    <w:rsid w:val="009826B6"/>
    <w:rsid w:val="00982971"/>
    <w:rsid w:val="009845AD"/>
    <w:rsid w:val="00990163"/>
    <w:rsid w:val="00995BA0"/>
    <w:rsid w:val="009A418B"/>
    <w:rsid w:val="009A4473"/>
    <w:rsid w:val="009A7CEC"/>
    <w:rsid w:val="009B25E9"/>
    <w:rsid w:val="009C0F04"/>
    <w:rsid w:val="009C151C"/>
    <w:rsid w:val="009D5125"/>
    <w:rsid w:val="009D60B8"/>
    <w:rsid w:val="009D7910"/>
    <w:rsid w:val="009D7D4B"/>
    <w:rsid w:val="009E36ED"/>
    <w:rsid w:val="009E3C8C"/>
    <w:rsid w:val="009E6B77"/>
    <w:rsid w:val="009F460A"/>
    <w:rsid w:val="00A043FB"/>
    <w:rsid w:val="00A0729C"/>
    <w:rsid w:val="00A07779"/>
    <w:rsid w:val="00A20B2E"/>
    <w:rsid w:val="00A25069"/>
    <w:rsid w:val="00A26E6B"/>
    <w:rsid w:val="00A3068F"/>
    <w:rsid w:val="00A3145B"/>
    <w:rsid w:val="00A339D0"/>
    <w:rsid w:val="00A41002"/>
    <w:rsid w:val="00A4201A"/>
    <w:rsid w:val="00A553CE"/>
    <w:rsid w:val="00A5677A"/>
    <w:rsid w:val="00A57E7C"/>
    <w:rsid w:val="00A6490D"/>
    <w:rsid w:val="00A73FC4"/>
    <w:rsid w:val="00A80363"/>
    <w:rsid w:val="00A9169D"/>
    <w:rsid w:val="00A945DE"/>
    <w:rsid w:val="00AA240C"/>
    <w:rsid w:val="00AC0938"/>
    <w:rsid w:val="00AC0C4C"/>
    <w:rsid w:val="00AC101C"/>
    <w:rsid w:val="00AD373A"/>
    <w:rsid w:val="00AD4CF1"/>
    <w:rsid w:val="00AD5988"/>
    <w:rsid w:val="00AE1CDB"/>
    <w:rsid w:val="00AF1D3E"/>
    <w:rsid w:val="00AF7800"/>
    <w:rsid w:val="00B072E0"/>
    <w:rsid w:val="00B253F6"/>
    <w:rsid w:val="00B305DB"/>
    <w:rsid w:val="00B314A2"/>
    <w:rsid w:val="00B317B2"/>
    <w:rsid w:val="00B332F8"/>
    <w:rsid w:val="00B3492B"/>
    <w:rsid w:val="00B4646F"/>
    <w:rsid w:val="00B55C7D"/>
    <w:rsid w:val="00B63038"/>
    <w:rsid w:val="00B64BD8"/>
    <w:rsid w:val="00B65B32"/>
    <w:rsid w:val="00B701D1"/>
    <w:rsid w:val="00B718F5"/>
    <w:rsid w:val="00B73AF2"/>
    <w:rsid w:val="00B7551A"/>
    <w:rsid w:val="00B939C7"/>
    <w:rsid w:val="00B9566D"/>
    <w:rsid w:val="00BA4973"/>
    <w:rsid w:val="00BB52DD"/>
    <w:rsid w:val="00BC59F1"/>
    <w:rsid w:val="00BD1BE3"/>
    <w:rsid w:val="00BD4764"/>
    <w:rsid w:val="00BE0238"/>
    <w:rsid w:val="00BE310D"/>
    <w:rsid w:val="00BF3DE1"/>
    <w:rsid w:val="00BF4843"/>
    <w:rsid w:val="00BF5205"/>
    <w:rsid w:val="00C124F8"/>
    <w:rsid w:val="00C12508"/>
    <w:rsid w:val="00C200EA"/>
    <w:rsid w:val="00C21B70"/>
    <w:rsid w:val="00C336DC"/>
    <w:rsid w:val="00C3571A"/>
    <w:rsid w:val="00C45AA2"/>
    <w:rsid w:val="00C47B30"/>
    <w:rsid w:val="00C53FB6"/>
    <w:rsid w:val="00C55BEF"/>
    <w:rsid w:val="00C66296"/>
    <w:rsid w:val="00C77282"/>
    <w:rsid w:val="00C77663"/>
    <w:rsid w:val="00C84DE5"/>
    <w:rsid w:val="00C86248"/>
    <w:rsid w:val="00C968BF"/>
    <w:rsid w:val="00C97A9F"/>
    <w:rsid w:val="00CA4C33"/>
    <w:rsid w:val="00CA6F4A"/>
    <w:rsid w:val="00CB6E59"/>
    <w:rsid w:val="00CC74D3"/>
    <w:rsid w:val="00CD2119"/>
    <w:rsid w:val="00CD237A"/>
    <w:rsid w:val="00CD36AC"/>
    <w:rsid w:val="00CD517F"/>
    <w:rsid w:val="00CD78B4"/>
    <w:rsid w:val="00CF1747"/>
    <w:rsid w:val="00D23323"/>
    <w:rsid w:val="00D2392A"/>
    <w:rsid w:val="00D24896"/>
    <w:rsid w:val="00D25FFE"/>
    <w:rsid w:val="00D4476F"/>
    <w:rsid w:val="00D54D50"/>
    <w:rsid w:val="00D66797"/>
    <w:rsid w:val="00D7087C"/>
    <w:rsid w:val="00D70C3C"/>
    <w:rsid w:val="00D72BE5"/>
    <w:rsid w:val="00D82F26"/>
    <w:rsid w:val="00D8406C"/>
    <w:rsid w:val="00D85B7F"/>
    <w:rsid w:val="00D863D0"/>
    <w:rsid w:val="00D87C87"/>
    <w:rsid w:val="00DB39CF"/>
    <w:rsid w:val="00DD0BCD"/>
    <w:rsid w:val="00DD447A"/>
    <w:rsid w:val="00DD4623"/>
    <w:rsid w:val="00DD6B59"/>
    <w:rsid w:val="00DE3B20"/>
    <w:rsid w:val="00DE6C94"/>
    <w:rsid w:val="00DE6FD7"/>
    <w:rsid w:val="00E05040"/>
    <w:rsid w:val="00E23271"/>
    <w:rsid w:val="00E244DC"/>
    <w:rsid w:val="00E24F80"/>
    <w:rsid w:val="00E259F3"/>
    <w:rsid w:val="00E33238"/>
    <w:rsid w:val="00E3596D"/>
    <w:rsid w:val="00E35F7C"/>
    <w:rsid w:val="00E4486C"/>
    <w:rsid w:val="00E460B6"/>
    <w:rsid w:val="00E511D5"/>
    <w:rsid w:val="00E57171"/>
    <w:rsid w:val="00E60249"/>
    <w:rsid w:val="00E63B37"/>
    <w:rsid w:val="00E65269"/>
    <w:rsid w:val="00E75524"/>
    <w:rsid w:val="00E76D66"/>
    <w:rsid w:val="00E82B10"/>
    <w:rsid w:val="00E846A0"/>
    <w:rsid w:val="00EA796A"/>
    <w:rsid w:val="00EB1233"/>
    <w:rsid w:val="00EB1856"/>
    <w:rsid w:val="00EC50CE"/>
    <w:rsid w:val="00EC5B34"/>
    <w:rsid w:val="00ED5DC4"/>
    <w:rsid w:val="00EE2D5C"/>
    <w:rsid w:val="00EE4ADE"/>
    <w:rsid w:val="00EE5CB7"/>
    <w:rsid w:val="00EE6114"/>
    <w:rsid w:val="00F024FE"/>
    <w:rsid w:val="00F05AD4"/>
    <w:rsid w:val="00F13D5D"/>
    <w:rsid w:val="00F17DE7"/>
    <w:rsid w:val="00F24654"/>
    <w:rsid w:val="00F25970"/>
    <w:rsid w:val="00F27C15"/>
    <w:rsid w:val="00F5180D"/>
    <w:rsid w:val="00F54762"/>
    <w:rsid w:val="00F67496"/>
    <w:rsid w:val="00F801BA"/>
    <w:rsid w:val="00F9366A"/>
    <w:rsid w:val="00F946C9"/>
    <w:rsid w:val="00FA597B"/>
    <w:rsid w:val="00FA633E"/>
    <w:rsid w:val="00FA74EE"/>
    <w:rsid w:val="00FB06D5"/>
    <w:rsid w:val="00FC0528"/>
    <w:rsid w:val="00FC32FC"/>
    <w:rsid w:val="00FC3711"/>
    <w:rsid w:val="00FC46E7"/>
    <w:rsid w:val="00FC5D25"/>
    <w:rsid w:val="00FD0D7E"/>
    <w:rsid w:val="00FE032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70AFE"/>
  <w15:docId w15:val="{59C7DFA7-0289-4149-97F5-CBDDDE83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C2E"/>
    <w:pPr>
      <w:spacing w:line="264" w:lineRule="auto"/>
    </w:pPr>
    <w:rPr>
      <w:rFonts w:ascii="Georgia" w:hAnsi="Georgia"/>
      <w:sz w:val="22"/>
      <w:lang w:eastAsia="en-GB"/>
    </w:rPr>
  </w:style>
  <w:style w:type="paragraph" w:styleId="Heading1">
    <w:name w:val="heading 1"/>
    <w:basedOn w:val="Normal"/>
    <w:next w:val="Normal"/>
    <w:link w:val="Heading1Char"/>
    <w:qFormat/>
    <w:rsid w:val="008817FF"/>
    <w:pPr>
      <w:pageBreakBefore/>
      <w:numPr>
        <w:numId w:val="6"/>
      </w:numPr>
      <w:pBdr>
        <w:top w:val="single" w:sz="48" w:space="16" w:color="auto"/>
      </w:pBdr>
      <w:spacing w:after="360"/>
      <w:outlineLvl w:val="0"/>
    </w:pPr>
    <w:rPr>
      <w:b/>
      <w:sz w:val="60"/>
    </w:rPr>
  </w:style>
  <w:style w:type="paragraph" w:styleId="Heading2">
    <w:name w:val="heading 2"/>
    <w:basedOn w:val="Normal"/>
    <w:next w:val="Normal"/>
    <w:link w:val="Heading2Char"/>
    <w:qFormat/>
    <w:rsid w:val="00D2392A"/>
    <w:pPr>
      <w:keepNext/>
      <w:numPr>
        <w:ilvl w:val="1"/>
        <w:numId w:val="6"/>
      </w:numPr>
      <w:spacing w:before="120" w:after="120"/>
      <w:outlineLvl w:val="1"/>
    </w:pPr>
    <w:rPr>
      <w:b/>
      <w:sz w:val="40"/>
    </w:rPr>
  </w:style>
  <w:style w:type="paragraph" w:styleId="Heading3">
    <w:name w:val="heading 3"/>
    <w:basedOn w:val="Normal"/>
    <w:next w:val="Normal"/>
    <w:link w:val="Heading3Char"/>
    <w:qFormat/>
    <w:rsid w:val="0033412B"/>
    <w:pPr>
      <w:keepNext/>
      <w:numPr>
        <w:ilvl w:val="2"/>
        <w:numId w:val="6"/>
      </w:numPr>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paragraph" w:styleId="Heading6">
    <w:name w:val="heading 6"/>
    <w:basedOn w:val="Normal"/>
    <w:next w:val="Normal"/>
    <w:link w:val="Heading6Char"/>
    <w:qFormat/>
    <w:rsid w:val="003C1D1F"/>
    <w:pPr>
      <w:tabs>
        <w:tab w:val="num" w:pos="1152"/>
      </w:tabs>
      <w:autoSpaceDE w:val="0"/>
      <w:autoSpaceDN w:val="0"/>
      <w:adjustRightInd w:val="0"/>
      <w:spacing w:before="240" w:after="60" w:line="240" w:lineRule="auto"/>
      <w:ind w:left="1152" w:hanging="1152"/>
      <w:jc w:val="both"/>
      <w:outlineLvl w:val="5"/>
    </w:pPr>
    <w:rPr>
      <w:rFonts w:ascii="Times New Roman" w:hAnsi="Times New Roman"/>
      <w:b/>
      <w:bCs/>
      <w:sz w:val="24"/>
      <w:szCs w:val="22"/>
      <w:lang w:val="en-AU" w:eastAsia="en-US"/>
    </w:rPr>
  </w:style>
  <w:style w:type="paragraph" w:styleId="Heading7">
    <w:name w:val="heading 7"/>
    <w:basedOn w:val="Normal"/>
    <w:next w:val="Normal"/>
    <w:link w:val="Heading7Char"/>
    <w:qFormat/>
    <w:rsid w:val="003C1D1F"/>
    <w:pPr>
      <w:tabs>
        <w:tab w:val="num" w:pos="1296"/>
      </w:tabs>
      <w:autoSpaceDE w:val="0"/>
      <w:autoSpaceDN w:val="0"/>
      <w:adjustRightInd w:val="0"/>
      <w:spacing w:before="240" w:after="60" w:line="240" w:lineRule="auto"/>
      <w:ind w:left="1296" w:hanging="1296"/>
      <w:jc w:val="both"/>
      <w:outlineLvl w:val="6"/>
    </w:pPr>
    <w:rPr>
      <w:rFonts w:ascii="Times New Roman" w:hAnsi="Times New Roman"/>
      <w:sz w:val="24"/>
      <w:szCs w:val="24"/>
      <w:lang w:val="en-AU" w:eastAsia="en-US"/>
    </w:rPr>
  </w:style>
  <w:style w:type="paragraph" w:styleId="Heading8">
    <w:name w:val="heading 8"/>
    <w:basedOn w:val="Normal"/>
    <w:next w:val="Normal"/>
    <w:link w:val="Heading8Char"/>
    <w:qFormat/>
    <w:rsid w:val="003C1D1F"/>
    <w:pPr>
      <w:keepNext/>
      <w:tabs>
        <w:tab w:val="num" w:pos="1440"/>
      </w:tabs>
      <w:autoSpaceDE w:val="0"/>
      <w:autoSpaceDN w:val="0"/>
      <w:adjustRightInd w:val="0"/>
      <w:spacing w:after="120" w:line="240" w:lineRule="auto"/>
      <w:ind w:left="1440" w:hanging="1440"/>
      <w:jc w:val="both"/>
      <w:outlineLvl w:val="7"/>
    </w:pPr>
    <w:rPr>
      <w:rFonts w:ascii="Arial Mäori" w:hAnsi="Arial Mäori"/>
      <w:b/>
      <w:i/>
      <w:color w:val="000000"/>
      <w:sz w:val="24"/>
      <w:szCs w:val="24"/>
      <w:lang w:eastAsia="en-US"/>
    </w:rPr>
  </w:style>
  <w:style w:type="paragraph" w:styleId="Heading9">
    <w:name w:val="heading 9"/>
    <w:basedOn w:val="Normal"/>
    <w:next w:val="Normal"/>
    <w:link w:val="Heading9Char"/>
    <w:qFormat/>
    <w:rsid w:val="003C1D1F"/>
    <w:pPr>
      <w:keepNext/>
      <w:tabs>
        <w:tab w:val="num" w:pos="1584"/>
      </w:tabs>
      <w:autoSpaceDE w:val="0"/>
      <w:autoSpaceDN w:val="0"/>
      <w:adjustRightInd w:val="0"/>
      <w:spacing w:line="240" w:lineRule="auto"/>
      <w:ind w:left="1584" w:hanging="1584"/>
      <w:jc w:val="both"/>
      <w:outlineLvl w:val="8"/>
    </w:pPr>
    <w:rPr>
      <w:rFonts w:ascii="Calibri" w:hAnsi="Calibri" w:cs="Arial"/>
      <w:b/>
      <w:bCs/>
      <w:color w:val="000000"/>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9A7CEC"/>
    <w:pPr>
      <w:tabs>
        <w:tab w:val="right" w:pos="9356"/>
      </w:tabs>
      <w:spacing w:before="300"/>
      <w:ind w:left="567" w:hanging="567"/>
    </w:pPr>
    <w:rPr>
      <w:b/>
    </w:rPr>
  </w:style>
  <w:style w:type="paragraph" w:styleId="TOC2">
    <w:name w:val="toc 2"/>
    <w:basedOn w:val="Normal"/>
    <w:next w:val="Normal"/>
    <w:uiPriority w:val="39"/>
    <w:rsid w:val="009A7CEC"/>
    <w:pPr>
      <w:tabs>
        <w:tab w:val="right" w:pos="9356"/>
      </w:tabs>
      <w:spacing w:before="60"/>
      <w:ind w:left="567" w:hanging="567"/>
    </w:pPr>
  </w:style>
  <w:style w:type="paragraph" w:styleId="TOC3">
    <w:name w:val="toc 3"/>
    <w:basedOn w:val="Normal"/>
    <w:next w:val="Normal"/>
    <w:uiPriority w:val="39"/>
    <w:rsid w:val="009A7CEC"/>
    <w:pPr>
      <w:tabs>
        <w:tab w:val="right" w:pos="9356"/>
      </w:tabs>
      <w:spacing w:before="120"/>
      <w:ind w:left="1276"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semiHidden/>
    <w:rsid w:val="003060E4"/>
    <w:pPr>
      <w:spacing w:before="60"/>
      <w:ind w:left="284" w:hanging="284"/>
    </w:pPr>
    <w:rPr>
      <w:sz w:val="18"/>
    </w:rPr>
  </w:style>
  <w:style w:type="paragraph" w:styleId="Header">
    <w:name w:val="header"/>
    <w:basedOn w:val="Normal"/>
    <w:link w:val="HeaderChar"/>
    <w:qFormat/>
    <w:rsid w:val="00D25FFE"/>
  </w:style>
  <w:style w:type="paragraph" w:styleId="Title">
    <w:name w:val="Title"/>
    <w:basedOn w:val="Normal"/>
    <w:next w:val="Normal"/>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8817FF"/>
    <w:pPr>
      <w:numPr>
        <w:numId w:val="0"/>
      </w:num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semiHidden/>
    <w:rsid w:val="003060E4"/>
    <w:rPr>
      <w:rFonts w:ascii="Georgia" w:hAnsi="Georgia"/>
      <w:sz w:val="18"/>
      <w:lang w:eastAsia="en-GB"/>
    </w:rPr>
  </w:style>
  <w:style w:type="table" w:styleId="TableGrid">
    <w:name w:val="Table Grid"/>
    <w:basedOn w:val="TableNormal"/>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rsid w:val="008817FF"/>
    <w:rPr>
      <w:rFonts w:ascii="Georgia" w:hAnsi="Georgia"/>
      <w:b/>
      <w:sz w:val="60"/>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rsid w:val="0086388B"/>
    <w:rPr>
      <w:rFonts w:ascii="Georgia" w:hAnsi="Georgia"/>
      <w:b/>
      <w:sz w:val="40"/>
      <w:lang w:eastAsia="en-GB"/>
    </w:rPr>
  </w:style>
  <w:style w:type="character" w:customStyle="1" w:styleId="Heading3Char">
    <w:name w:val="Heading 3 Char"/>
    <w:link w:val="Heading3"/>
    <w:rsid w:val="0086388B"/>
    <w:rPr>
      <w:rFonts w:ascii="Georgia" w:hAnsi="Georgia"/>
      <w:b/>
      <w:sz w:val="28"/>
      <w:lang w:eastAsia="en-GB"/>
    </w:rPr>
  </w:style>
  <w:style w:type="character" w:customStyle="1" w:styleId="Heading6Char">
    <w:name w:val="Heading 6 Char"/>
    <w:basedOn w:val="DefaultParagraphFont"/>
    <w:link w:val="Heading6"/>
    <w:rsid w:val="003C1D1F"/>
    <w:rPr>
      <w:b/>
      <w:bCs/>
      <w:sz w:val="24"/>
      <w:szCs w:val="22"/>
      <w:lang w:val="en-AU" w:eastAsia="en-US"/>
    </w:rPr>
  </w:style>
  <w:style w:type="character" w:customStyle="1" w:styleId="Heading7Char">
    <w:name w:val="Heading 7 Char"/>
    <w:basedOn w:val="DefaultParagraphFont"/>
    <w:link w:val="Heading7"/>
    <w:rsid w:val="003C1D1F"/>
    <w:rPr>
      <w:sz w:val="24"/>
      <w:szCs w:val="24"/>
      <w:lang w:val="en-AU" w:eastAsia="en-US"/>
    </w:rPr>
  </w:style>
  <w:style w:type="character" w:customStyle="1" w:styleId="Heading8Char">
    <w:name w:val="Heading 8 Char"/>
    <w:basedOn w:val="DefaultParagraphFont"/>
    <w:link w:val="Heading8"/>
    <w:rsid w:val="003C1D1F"/>
    <w:rPr>
      <w:rFonts w:ascii="Arial Mäori" w:hAnsi="Arial Mäori"/>
      <w:b/>
      <w:i/>
      <w:color w:val="000000"/>
      <w:sz w:val="24"/>
      <w:szCs w:val="24"/>
      <w:lang w:eastAsia="en-US"/>
    </w:rPr>
  </w:style>
  <w:style w:type="character" w:customStyle="1" w:styleId="Heading9Char">
    <w:name w:val="Heading 9 Char"/>
    <w:basedOn w:val="DefaultParagraphFont"/>
    <w:link w:val="Heading9"/>
    <w:rsid w:val="003C1D1F"/>
    <w:rPr>
      <w:rFonts w:ascii="Calibri" w:hAnsi="Calibri" w:cs="Arial"/>
      <w:b/>
      <w:bCs/>
      <w:color w:val="000000"/>
      <w:sz w:val="24"/>
      <w:szCs w:val="22"/>
      <w:lang w:val="en-US" w:eastAsia="en-US"/>
    </w:rPr>
  </w:style>
  <w:style w:type="paragraph" w:styleId="BalloonText">
    <w:name w:val="Balloon Text"/>
    <w:basedOn w:val="Normal"/>
    <w:link w:val="BalloonTextChar"/>
    <w:semiHidden/>
    <w:unhideWhenUsed/>
    <w:rsid w:val="00ED5DC4"/>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D5DC4"/>
    <w:rPr>
      <w:rFonts w:ascii="Tahoma" w:hAnsi="Tahoma" w:cs="Tahoma"/>
      <w:sz w:val="16"/>
      <w:szCs w:val="16"/>
      <w:lang w:eastAsia="en-GB"/>
    </w:rPr>
  </w:style>
  <w:style w:type="character" w:styleId="CommentReference">
    <w:name w:val="annotation reference"/>
    <w:basedOn w:val="DefaultParagraphFont"/>
    <w:semiHidden/>
    <w:unhideWhenUsed/>
    <w:rsid w:val="00BE0238"/>
    <w:rPr>
      <w:sz w:val="16"/>
      <w:szCs w:val="16"/>
    </w:rPr>
  </w:style>
  <w:style w:type="paragraph" w:styleId="CommentText">
    <w:name w:val="annotation text"/>
    <w:basedOn w:val="Normal"/>
    <w:link w:val="CommentTextChar"/>
    <w:semiHidden/>
    <w:unhideWhenUsed/>
    <w:rsid w:val="00BE0238"/>
    <w:pPr>
      <w:spacing w:line="240" w:lineRule="auto"/>
    </w:pPr>
    <w:rPr>
      <w:sz w:val="20"/>
    </w:rPr>
  </w:style>
  <w:style w:type="character" w:customStyle="1" w:styleId="CommentTextChar">
    <w:name w:val="Comment Text Char"/>
    <w:basedOn w:val="DefaultParagraphFont"/>
    <w:link w:val="CommentText"/>
    <w:semiHidden/>
    <w:rsid w:val="00BE0238"/>
    <w:rPr>
      <w:rFonts w:ascii="Georgia" w:hAnsi="Georgia"/>
      <w:lang w:eastAsia="en-GB"/>
    </w:rPr>
  </w:style>
  <w:style w:type="paragraph" w:styleId="CommentSubject">
    <w:name w:val="annotation subject"/>
    <w:basedOn w:val="CommentText"/>
    <w:next w:val="CommentText"/>
    <w:link w:val="CommentSubjectChar"/>
    <w:semiHidden/>
    <w:unhideWhenUsed/>
    <w:rsid w:val="00BE0238"/>
    <w:rPr>
      <w:b/>
      <w:bCs/>
    </w:rPr>
  </w:style>
  <w:style w:type="character" w:customStyle="1" w:styleId="CommentSubjectChar">
    <w:name w:val="Comment Subject Char"/>
    <w:basedOn w:val="CommentTextChar"/>
    <w:link w:val="CommentSubject"/>
    <w:semiHidden/>
    <w:rsid w:val="00BE0238"/>
    <w:rPr>
      <w:rFonts w:ascii="Georgia" w:hAnsi="Georgia"/>
      <w:b/>
      <w:bCs/>
      <w:lang w:eastAsia="en-GB"/>
    </w:rPr>
  </w:style>
  <w:style w:type="character" w:styleId="FollowedHyperlink">
    <w:name w:val="FollowedHyperlink"/>
    <w:basedOn w:val="DefaultParagraphFont"/>
    <w:semiHidden/>
    <w:unhideWhenUsed/>
    <w:rsid w:val="008E18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yperlink" Target="http://www.immune.org.nz/sites/default/files/resources/Chilly_Bin_Specs_Interim%20MoH%20Final.pdf" TargetMode="External"/><Relationship Id="rId39" Type="http://schemas.openxmlformats.org/officeDocument/2006/relationships/hyperlink" Target="http://www.chop.edu/centers-programs/vaccine-education-center%20" TargetMode="External"/><Relationship Id="rId21" Type="http://schemas.openxmlformats.org/officeDocument/2006/relationships/footer" Target="footer7.xml"/><Relationship Id="rId34" Type="http://schemas.openxmlformats.org/officeDocument/2006/relationships/hyperlink" Target="http://www.medsafe.govt.nz/profs/Datasheet/g/gardasil9inj.pdf" TargetMode="External"/><Relationship Id="rId42" Type="http://schemas.openxmlformats.org/officeDocument/2006/relationships/hyperlink" Target="http://www.thecommunityguide.org/library/book/Front-Matter.pdf" TargetMode="External"/><Relationship Id="rId47" Type="http://schemas.openxmlformats.org/officeDocument/2006/relationships/hyperlink" Target="http://www.immune.org.nz/sites/default/files/resources/2015%20VTC%20Standards%20FINAL.pdf" TargetMode="External"/><Relationship Id="rId50" Type="http://schemas.openxmlformats.org/officeDocument/2006/relationships/hyperlink" Target="http://www.health.govt.nz/system/files/documents/publications/vaccine-storage-guidelines-v2.pdf" TargetMode="External"/><Relationship Id="rId55" Type="http://schemas.openxmlformats.org/officeDocument/2006/relationships/hyperlink" Target="http://medsafe.govt.nz/profs/Datasheet/g/gardasil9inj.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yperlink" Target="http://www.nzno.org.nz/Portals/0/Files/Documents/Resources/Publications/Guidelines%20for%20nurses%20on%20the%20administration%20of%20medicines%2C%20October%202014.pdf" TargetMode="External"/><Relationship Id="rId41" Type="http://schemas.openxmlformats.org/officeDocument/2006/relationships/hyperlink" Target="http://www.boc-gas.co.nz/en/sheq/msds/index.html" TargetMode="External"/><Relationship Id="rId54" Type="http://schemas.openxmlformats.org/officeDocument/2006/relationships/hyperlink" Target="http://www.fundedvaccines.co.nz/Login.asp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rivacy.org.nz/assets/Files/Codes-of-Practice-materials/HIPC-1994-2008-revised-edition.pdf" TargetMode="External"/><Relationship Id="rId32" Type="http://schemas.openxmlformats.org/officeDocument/2006/relationships/hyperlink" Target="http://www.medsafe.govt.nz/profs/Datasheet/dsform.asp" TargetMode="External"/><Relationship Id="rId37" Type="http://schemas.openxmlformats.org/officeDocument/2006/relationships/hyperlink" Target="http://immunisation.book.health.govt.nz/" TargetMode="External"/><Relationship Id="rId40" Type="http://schemas.openxmlformats.org/officeDocument/2006/relationships/hyperlink" Target="http://www.healthed.govt.nz" TargetMode="External"/><Relationship Id="rId45" Type="http://schemas.openxmlformats.org/officeDocument/2006/relationships/hyperlink" Target="http://www.immune.org.nz/vaccine-preventable-diseases" TargetMode="External"/><Relationship Id="rId53" Type="http://schemas.openxmlformats.org/officeDocument/2006/relationships/hyperlink" Target="http://www.nzno.org.nz/Portals/0/Files/Documents/Resources/Publications/Guidelines%20for%20nurses%20on%20the%20administration%20of%20medicines%2C%20October%202014.pdf" TargetMode="External"/><Relationship Id="rId58" Type="http://schemas.openxmlformats.org/officeDocument/2006/relationships/hyperlink" Target="http://www.legislation.govt.nz/regulation/public/1984/0143/latest/DLM95668.html"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immunisation.book.health.govt.nz/" TargetMode="External"/><Relationship Id="rId28" Type="http://schemas.openxmlformats.org/officeDocument/2006/relationships/hyperlink" Target="http://www.health.govt.nz/publication/standing-order-guidelines" TargetMode="External"/><Relationship Id="rId36" Type="http://schemas.openxmlformats.org/officeDocument/2006/relationships/hyperlink" Target="http://www.immune.org.nz" TargetMode="External"/><Relationship Id="rId49" Type="http://schemas.openxmlformats.org/officeDocument/2006/relationships/hyperlink" Target="http://www.health.govt.nz/system/files/documents/pages/national-implementation-strategic-overview.pdf" TargetMode="External"/><Relationship Id="rId57" Type="http://schemas.openxmlformats.org/officeDocument/2006/relationships/hyperlink" Target="http://www.privacy.org.nz/assets/Files/Codes-of-Practice-materials/Health-Information-Privacy-Code-1994-including-Amendment.pdf" TargetMode="Externa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immunisation.book.health.govt.nz/).This" TargetMode="External"/><Relationship Id="rId44" Type="http://schemas.openxmlformats.org/officeDocument/2006/relationships/hyperlink" Target="http://www.hqsc.govt.nz/news-and-events/news/126/" TargetMode="External"/><Relationship Id="rId52" Type="http://schemas.openxmlformats.org/officeDocument/2006/relationships/hyperlink" Target="http://www.nzta.govt.nz/resources/rules/dangerous-goods-2005/" TargetMode="External"/><Relationship Id="rId60"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immunisation.book.health.govt.nz/" TargetMode="External"/><Relationship Id="rId27" Type="http://schemas.openxmlformats.org/officeDocument/2006/relationships/hyperlink" Target="http://www.immune.org.nz/sites/default/files/resources/2015%20VTC%20Standards%20FINAL.pdf" TargetMode="External"/><Relationship Id="rId30" Type="http://schemas.openxmlformats.org/officeDocument/2006/relationships/hyperlink" Target="http://www.nzta.govt.nz/resources/rules/dangerous-goods-2005/" TargetMode="External"/><Relationship Id="rId35" Type="http://schemas.openxmlformats.org/officeDocument/2006/relationships/hyperlink" Target="http://www.health.govt.nz/hpv" TargetMode="External"/><Relationship Id="rId43" Type="http://schemas.openxmlformats.org/officeDocument/2006/relationships/hyperlink" Target="http://www.medsafe.govt.nz/profs/datasheet/b/boostrixinj.pdf" TargetMode="External"/><Relationship Id="rId48" Type="http://schemas.openxmlformats.org/officeDocument/2006/relationships/hyperlink" Target="http://www.health.govt.nz/system/files/documents/publications/mhs-english.pdf" TargetMode="External"/><Relationship Id="rId56" Type="http://schemas.openxmlformats.org/officeDocument/2006/relationships/hyperlink" Target="http://legislation.govt.nz/act/public/2004/0090/latest/DLM317233.html" TargetMode="External"/><Relationship Id="rId8" Type="http://schemas.openxmlformats.org/officeDocument/2006/relationships/header" Target="header1.xml"/><Relationship Id="rId51" Type="http://schemas.openxmlformats.org/officeDocument/2006/relationships/hyperlink" Target="http://immunisation.book.health.govt.nz/"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www.health.govt.nz/our-work/preventative-health-wellness/immunisation/national-immunisation-programme-cold-chain-management" TargetMode="External"/><Relationship Id="rId33" Type="http://schemas.openxmlformats.org/officeDocument/2006/relationships/hyperlink" Target="http://www.medsafe.govt.nz/profs/datasheet/b/boostrixinj.pdf" TargetMode="External"/><Relationship Id="rId38" Type="http://schemas.openxmlformats.org/officeDocument/2006/relationships/hyperlink" Target="http://www.immunize.org/askexperts/" TargetMode="External"/><Relationship Id="rId46" Type="http://schemas.openxmlformats.org/officeDocument/2006/relationships/hyperlink" Target="http://www.immune.org.nz/sites/default/files/resources/Chilly_Bin_Specs_Interim%20MoH%20Final.pdf" TargetMode="External"/><Relationship Id="rId59"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9B22-523E-4326-A40F-15B819B24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35</TotalTime>
  <Pages>33</Pages>
  <Words>9998</Words>
  <Characters>56989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Standards for School-based Immunisation Service Delivery</dc:title>
  <dc:creator>Ministry of Health</dc:creator>
  <cp:lastModifiedBy>Jane Adam</cp:lastModifiedBy>
  <cp:revision>5</cp:revision>
  <cp:lastPrinted>2016-10-25T03:06:00Z</cp:lastPrinted>
  <dcterms:created xsi:type="dcterms:W3CDTF">2016-11-09T02:13:00Z</dcterms:created>
  <dcterms:modified xsi:type="dcterms:W3CDTF">2016-12-04T21:18:00Z</dcterms:modified>
</cp:coreProperties>
</file>