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E922F1" w:rsidRDefault="00B67876" w:rsidP="007D028F">
      <w:pPr>
        <w:pStyle w:val="Title"/>
        <w:ind w:left="-142"/>
      </w:pPr>
      <w:bookmarkStart w:id="0" w:name="_GoBack"/>
      <w:r w:rsidRPr="00E922F1">
        <w:t>Secure Dementia Care Home Design</w:t>
      </w:r>
    </w:p>
    <w:p w:rsidR="00C86248" w:rsidRPr="00E922F1" w:rsidRDefault="00B67876" w:rsidP="007D028F">
      <w:pPr>
        <w:pStyle w:val="Subhead"/>
        <w:ind w:left="-142"/>
      </w:pPr>
      <w:r w:rsidRPr="00E922F1">
        <w:t>Information Resource</w:t>
      </w:r>
      <w:r w:rsidR="007D028F">
        <w:t xml:space="preserve"> Summary</w:t>
      </w:r>
    </w:p>
    <w:bookmarkEnd w:id="0"/>
    <w:p w:rsidR="00142954" w:rsidRPr="00E922F1" w:rsidRDefault="00142954" w:rsidP="00142954">
      <w:pPr>
        <w:sectPr w:rsidR="00142954" w:rsidRPr="00E922F1" w:rsidSect="000F2AE2">
          <w:headerReference w:type="default" r:id="rId8"/>
          <w:footerReference w:type="default" r:id="rId9"/>
          <w:pgSz w:w="11907" w:h="16834" w:code="9"/>
          <w:pgMar w:top="3969" w:right="851" w:bottom="851" w:left="2552" w:header="851" w:footer="851" w:gutter="0"/>
          <w:cols w:space="720"/>
        </w:sectPr>
      </w:pPr>
    </w:p>
    <w:p w:rsidR="00B67876" w:rsidRPr="00E922F1" w:rsidRDefault="00B67876" w:rsidP="00A05C0C">
      <w:pPr>
        <w:pStyle w:val="Heading3"/>
        <w:rPr>
          <w:rFonts w:eastAsia="Georgia" w:cs="Georgia"/>
          <w:szCs w:val="28"/>
        </w:rPr>
      </w:pPr>
      <w:r w:rsidRPr="00E922F1">
        <w:lastRenderedPageBreak/>
        <w:t>Acknowledgements</w:t>
      </w:r>
    </w:p>
    <w:p w:rsidR="00B67876" w:rsidRPr="00E922F1" w:rsidRDefault="00B67876" w:rsidP="00A05C0C">
      <w:r w:rsidRPr="00E922F1">
        <w:t xml:space="preserve">The </w:t>
      </w:r>
      <w:r w:rsidRPr="00E922F1">
        <w:rPr>
          <w:rFonts w:eastAsia="Georgia" w:cs="Georgia"/>
          <w:i/>
        </w:rPr>
        <w:t xml:space="preserve">Secure Dementia Care Home Design Information Resource </w:t>
      </w:r>
      <w:r w:rsidRPr="00E922F1">
        <w:t>was produced collaboratively by the Ministry of Health and the University of Auckland – School of Nursing. The development team of the information resource and this summary document held workgroups across New Zealand that included over 150 people, representing key interest groups including aged care providers, district health board leaders and clinicians, academics, architects, and family and friends of people with dementia.</w:t>
      </w:r>
    </w:p>
    <w:p w:rsidR="00B67876" w:rsidRPr="00E922F1" w:rsidRDefault="00B67876" w:rsidP="00A05C0C">
      <w:pPr>
        <w:rPr>
          <w:rFonts w:eastAsia="Century"/>
        </w:rPr>
      </w:pPr>
    </w:p>
    <w:p w:rsidR="00B67876" w:rsidRPr="00E922F1" w:rsidRDefault="00B67876" w:rsidP="00A05C0C">
      <w:r w:rsidRPr="00E922F1">
        <w:t>The development team would like to thank all those who attended workshops and those who provided feedback to the team.</w:t>
      </w:r>
    </w:p>
    <w:p w:rsidR="00A80363" w:rsidRPr="00E922F1" w:rsidRDefault="00A80363" w:rsidP="00A05C0C">
      <w:pPr>
        <w:pStyle w:val="Imprint"/>
        <w:spacing w:before="5000"/>
      </w:pPr>
      <w:r w:rsidRPr="00E922F1">
        <w:t xml:space="preserve">Citation: </w:t>
      </w:r>
      <w:r w:rsidR="00442C1C" w:rsidRPr="00E922F1">
        <w:t xml:space="preserve">Ministry of Health. </w:t>
      </w:r>
      <w:r w:rsidR="00B67876" w:rsidRPr="00E922F1">
        <w:t>2016</w:t>
      </w:r>
      <w:r w:rsidR="00442C1C" w:rsidRPr="00E922F1">
        <w:t xml:space="preserve">. </w:t>
      </w:r>
      <w:r w:rsidR="00B67876" w:rsidRPr="00E922F1">
        <w:rPr>
          <w:i/>
        </w:rPr>
        <w:t>Secure Dementia Care Home Design</w:t>
      </w:r>
      <w:proofErr w:type="gramStart"/>
      <w:r w:rsidR="00DE3B20" w:rsidRPr="00E922F1">
        <w:rPr>
          <w:i/>
        </w:rPr>
        <w:t>:</w:t>
      </w:r>
      <w:proofErr w:type="gramEnd"/>
      <w:r w:rsidR="00B67876" w:rsidRPr="00E922F1">
        <w:rPr>
          <w:i/>
        </w:rPr>
        <w:br/>
        <w:t>Information Resource</w:t>
      </w:r>
      <w:r w:rsidR="00442C1C" w:rsidRPr="00E922F1">
        <w:t>. Wellington: Ministry of Health.</w:t>
      </w:r>
    </w:p>
    <w:p w:rsidR="00C86248" w:rsidRPr="00E922F1" w:rsidRDefault="00C86248">
      <w:pPr>
        <w:pStyle w:val="Imprint"/>
      </w:pPr>
      <w:r w:rsidRPr="00E922F1">
        <w:t xml:space="preserve">Published in </w:t>
      </w:r>
      <w:r w:rsidR="00B67876" w:rsidRPr="00E922F1">
        <w:t>August 2016</w:t>
      </w:r>
      <w:r w:rsidR="005019AE" w:rsidRPr="00E922F1">
        <w:br/>
      </w:r>
      <w:r w:rsidRPr="00E922F1">
        <w:t>by the</w:t>
      </w:r>
      <w:r w:rsidR="00442C1C" w:rsidRPr="00E922F1">
        <w:t xml:space="preserve"> </w:t>
      </w:r>
      <w:r w:rsidRPr="00E922F1">
        <w:t>Ministry of Health</w:t>
      </w:r>
      <w:r w:rsidRPr="00E922F1">
        <w:br/>
        <w:t>PO Box 5013, Wellington</w:t>
      </w:r>
      <w:r w:rsidR="00A80363" w:rsidRPr="00E922F1">
        <w:t xml:space="preserve"> 614</w:t>
      </w:r>
      <w:r w:rsidR="006041F0" w:rsidRPr="00E922F1">
        <w:t>0</w:t>
      </w:r>
      <w:r w:rsidRPr="00E922F1">
        <w:t>, New Zealand</w:t>
      </w:r>
    </w:p>
    <w:p w:rsidR="00082CD6" w:rsidRPr="00E922F1" w:rsidRDefault="00D863D0" w:rsidP="00082CD6">
      <w:pPr>
        <w:pStyle w:val="Imprint"/>
      </w:pPr>
      <w:r w:rsidRPr="00E922F1">
        <w:t>ISBN</w:t>
      </w:r>
      <w:r w:rsidR="00442C1C" w:rsidRPr="00E922F1">
        <w:t xml:space="preserve"> </w:t>
      </w:r>
      <w:r w:rsidR="00B67876" w:rsidRPr="00E922F1">
        <w:t xml:space="preserve">978-0-947515-54-6 </w:t>
      </w:r>
      <w:r w:rsidRPr="00E922F1">
        <w:t>(</w:t>
      </w:r>
      <w:r w:rsidR="00442C1C" w:rsidRPr="00E922F1">
        <w:t>online</w:t>
      </w:r>
      <w:proofErr w:type="gramStart"/>
      <w:r w:rsidRPr="00E922F1">
        <w:t>)</w:t>
      </w:r>
      <w:proofErr w:type="gramEnd"/>
      <w:r w:rsidR="00082CD6" w:rsidRPr="00E922F1">
        <w:br/>
        <w:t xml:space="preserve">HP </w:t>
      </w:r>
      <w:r w:rsidR="00B67876" w:rsidRPr="00E922F1">
        <w:t>6469</w:t>
      </w:r>
    </w:p>
    <w:p w:rsidR="00C86248" w:rsidRPr="00E922F1" w:rsidRDefault="00C86248">
      <w:pPr>
        <w:pStyle w:val="Imprint"/>
      </w:pPr>
      <w:r w:rsidRPr="00E922F1">
        <w:t xml:space="preserve">This document is available </w:t>
      </w:r>
      <w:r w:rsidR="0071741C" w:rsidRPr="00E922F1">
        <w:t>at w</w:t>
      </w:r>
      <w:r w:rsidRPr="00E922F1">
        <w:t>ww.h</w:t>
      </w:r>
      <w:r w:rsidR="00A80363" w:rsidRPr="00E922F1">
        <w:t>ealth</w:t>
      </w:r>
      <w:r w:rsidRPr="00E922F1">
        <w:t>.govt.nz</w:t>
      </w:r>
    </w:p>
    <w:p w:rsidR="00C86248" w:rsidRPr="00E922F1" w:rsidRDefault="008C64C4">
      <w:pPr>
        <w:jc w:val="center"/>
      </w:pPr>
      <w:r w:rsidRPr="00E922F1">
        <w:rPr>
          <w:noProof/>
          <w:lang w:eastAsia="en-NZ"/>
        </w:rPr>
        <w:drawing>
          <wp:inline distT="0" distB="0" distL="0" distR="0" wp14:anchorId="34AD5784" wp14:editId="79032BB5">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E922F1" w:rsidRDefault="007E74F1" w:rsidP="001F45A7">
      <w:pPr>
        <w:spacing w:before="240"/>
        <w:ind w:right="-851"/>
        <w:rPr>
          <w:sz w:val="18"/>
          <w:szCs w:val="18"/>
        </w:rPr>
      </w:pPr>
      <w:r w:rsidRPr="00E922F1">
        <w:rPr>
          <w:b/>
          <w:noProof/>
          <w:sz w:val="18"/>
          <w:szCs w:val="18"/>
          <w:lang w:eastAsia="en-NZ"/>
        </w:rPr>
        <w:drawing>
          <wp:inline distT="0" distB="0" distL="0" distR="0" wp14:anchorId="09B0A6E8" wp14:editId="58FFD830">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E922F1">
        <w:rPr>
          <w:sz w:val="18"/>
          <w:szCs w:val="18"/>
        </w:rPr>
        <w:t xml:space="preserve"> This work is licensed under the Creative Commons Attribution 4.0 International licence. In essence, </w:t>
      </w:r>
      <w:r w:rsidRPr="00E922F1">
        <w:rPr>
          <w:bCs/>
          <w:sz w:val="18"/>
          <w:szCs w:val="18"/>
        </w:rPr>
        <w:t xml:space="preserve">you are free to: </w:t>
      </w:r>
      <w:r w:rsidRPr="00E922F1">
        <w:rPr>
          <w:sz w:val="18"/>
          <w:szCs w:val="18"/>
        </w:rPr>
        <w:t xml:space="preserve">share </w:t>
      </w:r>
      <w:proofErr w:type="spellStart"/>
      <w:r w:rsidRPr="00E922F1">
        <w:rPr>
          <w:sz w:val="18"/>
          <w:szCs w:val="18"/>
        </w:rPr>
        <w:t>ie</w:t>
      </w:r>
      <w:proofErr w:type="spellEnd"/>
      <w:r w:rsidRPr="00E922F1">
        <w:rPr>
          <w:sz w:val="18"/>
          <w:szCs w:val="18"/>
        </w:rPr>
        <w:t xml:space="preserve">, copy and redistribute the material in any medium or format; adapt </w:t>
      </w:r>
      <w:proofErr w:type="spellStart"/>
      <w:r w:rsidRPr="00E922F1">
        <w:rPr>
          <w:sz w:val="18"/>
          <w:szCs w:val="18"/>
        </w:rPr>
        <w:t>ie</w:t>
      </w:r>
      <w:proofErr w:type="spellEnd"/>
      <w:r w:rsidRPr="00E922F1">
        <w:rPr>
          <w:sz w:val="18"/>
          <w:szCs w:val="18"/>
        </w:rPr>
        <w:t xml:space="preserve">, remix, transform and build upon the material. </w:t>
      </w:r>
      <w:r w:rsidRPr="00E922F1">
        <w:rPr>
          <w:bCs/>
          <w:sz w:val="18"/>
          <w:szCs w:val="18"/>
        </w:rPr>
        <w:t>You must give appropriate credit, provide a link to the licence and indicate if changes were made.</w:t>
      </w:r>
    </w:p>
    <w:p w:rsidR="00C86248" w:rsidRPr="00E922F1" w:rsidRDefault="00C86248">
      <w:pPr>
        <w:jc w:val="center"/>
        <w:sectPr w:rsidR="00C86248" w:rsidRPr="00E922F1" w:rsidSect="0016468A">
          <w:footerReference w:type="even" r:id="rId12"/>
          <w:footerReference w:type="default" r:id="rId13"/>
          <w:pgSz w:w="11907" w:h="16834" w:code="9"/>
          <w:pgMar w:top="1701" w:right="1134" w:bottom="1134" w:left="1985" w:header="0" w:footer="0" w:gutter="0"/>
          <w:cols w:space="720"/>
          <w:vAlign w:val="bottom"/>
        </w:sectPr>
      </w:pPr>
    </w:p>
    <w:p w:rsidR="00C86248" w:rsidRPr="00E922F1" w:rsidRDefault="00C86248">
      <w:pPr>
        <w:pStyle w:val="IntroHead"/>
      </w:pPr>
      <w:bookmarkStart w:id="1" w:name="_Toc405792991"/>
      <w:bookmarkStart w:id="2" w:name="_Toc405793224"/>
      <w:r w:rsidRPr="00E922F1">
        <w:lastRenderedPageBreak/>
        <w:t>Contents</w:t>
      </w:r>
      <w:bookmarkEnd w:id="1"/>
      <w:bookmarkEnd w:id="2"/>
    </w:p>
    <w:p w:rsidR="00F245F4" w:rsidRPr="00E922F1" w:rsidRDefault="00C86248">
      <w:pPr>
        <w:pStyle w:val="TOC1"/>
        <w:rPr>
          <w:rFonts w:asciiTheme="minorHAnsi" w:eastAsiaTheme="minorEastAsia" w:hAnsiTheme="minorHAnsi" w:cstheme="minorBidi"/>
          <w:b w:val="0"/>
          <w:noProof/>
          <w:szCs w:val="22"/>
          <w:lang w:eastAsia="en-NZ"/>
        </w:rPr>
      </w:pPr>
      <w:r w:rsidRPr="00E922F1">
        <w:rPr>
          <w:b w:val="0"/>
        </w:rPr>
        <w:fldChar w:fldCharType="begin"/>
      </w:r>
      <w:r w:rsidRPr="00E922F1">
        <w:instrText xml:space="preserve"> TOC \o "1-2" </w:instrText>
      </w:r>
      <w:r w:rsidRPr="00E922F1">
        <w:rPr>
          <w:b w:val="0"/>
        </w:rPr>
        <w:fldChar w:fldCharType="separate"/>
      </w:r>
      <w:r w:rsidR="00F245F4" w:rsidRPr="00E922F1">
        <w:rPr>
          <w:noProof/>
        </w:rPr>
        <w:t>Introduction</w:t>
      </w:r>
      <w:r w:rsidR="00F245F4" w:rsidRPr="00E922F1">
        <w:rPr>
          <w:noProof/>
        </w:rPr>
        <w:tab/>
      </w:r>
      <w:r w:rsidR="00F245F4" w:rsidRPr="00E922F1">
        <w:rPr>
          <w:noProof/>
        </w:rPr>
        <w:fldChar w:fldCharType="begin"/>
      </w:r>
      <w:r w:rsidR="00F245F4" w:rsidRPr="00E922F1">
        <w:rPr>
          <w:noProof/>
        </w:rPr>
        <w:instrText xml:space="preserve"> PAGEREF _Toc459188091 \h </w:instrText>
      </w:r>
      <w:r w:rsidR="00F245F4" w:rsidRPr="00E922F1">
        <w:rPr>
          <w:noProof/>
        </w:rPr>
      </w:r>
      <w:r w:rsidR="00F245F4" w:rsidRPr="00E922F1">
        <w:rPr>
          <w:noProof/>
        </w:rPr>
        <w:fldChar w:fldCharType="separate"/>
      </w:r>
      <w:r w:rsidR="004C461E">
        <w:rPr>
          <w:noProof/>
        </w:rPr>
        <w:t>1</w:t>
      </w:r>
      <w:r w:rsidR="00F245F4" w:rsidRPr="00E922F1">
        <w:rPr>
          <w:noProof/>
        </w:rPr>
        <w:fldChar w:fldCharType="end"/>
      </w:r>
    </w:p>
    <w:p w:rsidR="00F245F4" w:rsidRPr="00E922F1" w:rsidRDefault="00F245F4">
      <w:pPr>
        <w:pStyle w:val="TOC2"/>
        <w:rPr>
          <w:rFonts w:asciiTheme="minorHAnsi" w:eastAsiaTheme="minorEastAsia" w:hAnsiTheme="minorHAnsi" w:cstheme="minorBidi"/>
          <w:noProof/>
          <w:szCs w:val="22"/>
          <w:lang w:eastAsia="en-NZ"/>
        </w:rPr>
      </w:pPr>
      <w:r w:rsidRPr="00E922F1">
        <w:rPr>
          <w:noProof/>
        </w:rPr>
        <w:t>Structure</w:t>
      </w:r>
      <w:r w:rsidRPr="00E922F1">
        <w:rPr>
          <w:noProof/>
        </w:rPr>
        <w:tab/>
      </w:r>
      <w:r w:rsidRPr="00E922F1">
        <w:rPr>
          <w:noProof/>
        </w:rPr>
        <w:fldChar w:fldCharType="begin"/>
      </w:r>
      <w:r w:rsidRPr="00E922F1">
        <w:rPr>
          <w:noProof/>
        </w:rPr>
        <w:instrText xml:space="preserve"> PAGEREF _Toc459188092 \h </w:instrText>
      </w:r>
      <w:r w:rsidRPr="00E922F1">
        <w:rPr>
          <w:noProof/>
        </w:rPr>
      </w:r>
      <w:r w:rsidRPr="00E922F1">
        <w:rPr>
          <w:noProof/>
        </w:rPr>
        <w:fldChar w:fldCharType="separate"/>
      </w:r>
      <w:r w:rsidR="004C461E">
        <w:rPr>
          <w:noProof/>
        </w:rPr>
        <w:t>1</w:t>
      </w:r>
      <w:r w:rsidRPr="00E922F1">
        <w:rPr>
          <w:noProof/>
        </w:rPr>
        <w:fldChar w:fldCharType="end"/>
      </w:r>
    </w:p>
    <w:p w:rsidR="00F245F4" w:rsidRPr="00E922F1" w:rsidRDefault="00F245F4">
      <w:pPr>
        <w:pStyle w:val="TOC1"/>
        <w:rPr>
          <w:rFonts w:asciiTheme="minorHAnsi" w:eastAsiaTheme="minorEastAsia" w:hAnsiTheme="minorHAnsi" w:cstheme="minorBidi"/>
          <w:b w:val="0"/>
          <w:noProof/>
          <w:szCs w:val="22"/>
          <w:lang w:eastAsia="en-NZ"/>
        </w:rPr>
      </w:pPr>
      <w:r w:rsidRPr="00E922F1">
        <w:rPr>
          <w:noProof/>
        </w:rPr>
        <w:t>Dignity, human rights and person-centred care</w:t>
      </w:r>
      <w:r w:rsidRPr="00E922F1">
        <w:rPr>
          <w:noProof/>
        </w:rPr>
        <w:tab/>
      </w:r>
      <w:r w:rsidRPr="00E922F1">
        <w:rPr>
          <w:noProof/>
        </w:rPr>
        <w:fldChar w:fldCharType="begin"/>
      </w:r>
      <w:r w:rsidRPr="00E922F1">
        <w:rPr>
          <w:noProof/>
        </w:rPr>
        <w:instrText xml:space="preserve"> PAGEREF _Toc459188093 \h </w:instrText>
      </w:r>
      <w:r w:rsidRPr="00E922F1">
        <w:rPr>
          <w:noProof/>
        </w:rPr>
      </w:r>
      <w:r w:rsidRPr="00E922F1">
        <w:rPr>
          <w:noProof/>
        </w:rPr>
        <w:fldChar w:fldCharType="separate"/>
      </w:r>
      <w:r w:rsidR="004C461E">
        <w:rPr>
          <w:noProof/>
        </w:rPr>
        <w:t>2</w:t>
      </w:r>
      <w:r w:rsidRPr="00E922F1">
        <w:rPr>
          <w:noProof/>
        </w:rPr>
        <w:fldChar w:fldCharType="end"/>
      </w:r>
    </w:p>
    <w:p w:rsidR="00F245F4" w:rsidRPr="00E922F1" w:rsidRDefault="00F245F4">
      <w:pPr>
        <w:pStyle w:val="TOC1"/>
        <w:rPr>
          <w:rFonts w:asciiTheme="minorHAnsi" w:eastAsiaTheme="minorEastAsia" w:hAnsiTheme="minorHAnsi" w:cstheme="minorBidi"/>
          <w:b w:val="0"/>
          <w:noProof/>
          <w:szCs w:val="22"/>
          <w:lang w:eastAsia="en-NZ"/>
        </w:rPr>
      </w:pPr>
      <w:r w:rsidRPr="00E922F1">
        <w:rPr>
          <w:noProof/>
        </w:rPr>
        <w:t>Cultural identity</w:t>
      </w:r>
      <w:r w:rsidRPr="00E922F1">
        <w:rPr>
          <w:noProof/>
        </w:rPr>
        <w:tab/>
      </w:r>
      <w:r w:rsidRPr="00E922F1">
        <w:rPr>
          <w:noProof/>
        </w:rPr>
        <w:fldChar w:fldCharType="begin"/>
      </w:r>
      <w:r w:rsidRPr="00E922F1">
        <w:rPr>
          <w:noProof/>
        </w:rPr>
        <w:instrText xml:space="preserve"> PAGEREF _Toc459188094 \h </w:instrText>
      </w:r>
      <w:r w:rsidRPr="00E922F1">
        <w:rPr>
          <w:noProof/>
        </w:rPr>
      </w:r>
      <w:r w:rsidRPr="00E922F1">
        <w:rPr>
          <w:noProof/>
        </w:rPr>
        <w:fldChar w:fldCharType="separate"/>
      </w:r>
      <w:r w:rsidR="004C461E">
        <w:rPr>
          <w:noProof/>
        </w:rPr>
        <w:t>4</w:t>
      </w:r>
      <w:r w:rsidRPr="00E922F1">
        <w:rPr>
          <w:noProof/>
        </w:rPr>
        <w:fldChar w:fldCharType="end"/>
      </w:r>
    </w:p>
    <w:p w:rsidR="00F245F4" w:rsidRPr="00E922F1" w:rsidRDefault="00F245F4">
      <w:pPr>
        <w:pStyle w:val="TOC1"/>
        <w:rPr>
          <w:rFonts w:asciiTheme="minorHAnsi" w:eastAsiaTheme="minorEastAsia" w:hAnsiTheme="minorHAnsi" w:cstheme="minorBidi"/>
          <w:b w:val="0"/>
          <w:noProof/>
          <w:szCs w:val="22"/>
          <w:lang w:eastAsia="en-NZ"/>
        </w:rPr>
      </w:pPr>
      <w:r w:rsidRPr="00E922F1">
        <w:rPr>
          <w:noProof/>
        </w:rPr>
        <w:t>Design principles</w:t>
      </w:r>
      <w:r w:rsidRPr="00E922F1">
        <w:rPr>
          <w:noProof/>
        </w:rPr>
        <w:tab/>
      </w:r>
      <w:r w:rsidRPr="00E922F1">
        <w:rPr>
          <w:noProof/>
        </w:rPr>
        <w:fldChar w:fldCharType="begin"/>
      </w:r>
      <w:r w:rsidRPr="00E922F1">
        <w:rPr>
          <w:noProof/>
        </w:rPr>
        <w:instrText xml:space="preserve"> PAGEREF _Toc459188095 \h </w:instrText>
      </w:r>
      <w:r w:rsidRPr="00E922F1">
        <w:rPr>
          <w:noProof/>
        </w:rPr>
      </w:r>
      <w:r w:rsidRPr="00E922F1">
        <w:rPr>
          <w:noProof/>
        </w:rPr>
        <w:fldChar w:fldCharType="separate"/>
      </w:r>
      <w:r w:rsidR="004C461E">
        <w:rPr>
          <w:noProof/>
        </w:rPr>
        <w:t>5</w:t>
      </w:r>
      <w:r w:rsidRPr="00E922F1">
        <w:rPr>
          <w:noProof/>
        </w:rPr>
        <w:fldChar w:fldCharType="end"/>
      </w:r>
    </w:p>
    <w:p w:rsidR="00F245F4" w:rsidRPr="00E922F1" w:rsidRDefault="00F245F4">
      <w:pPr>
        <w:pStyle w:val="TOC2"/>
        <w:rPr>
          <w:rFonts w:asciiTheme="minorHAnsi" w:eastAsiaTheme="minorEastAsia" w:hAnsiTheme="minorHAnsi" w:cstheme="minorBidi"/>
          <w:noProof/>
          <w:szCs w:val="22"/>
          <w:lang w:eastAsia="en-NZ"/>
        </w:rPr>
      </w:pPr>
      <w:r w:rsidRPr="00E922F1">
        <w:rPr>
          <w:noProof/>
        </w:rPr>
        <w:t>Home-like therapeutic environment</w:t>
      </w:r>
      <w:r w:rsidRPr="00E922F1">
        <w:rPr>
          <w:noProof/>
        </w:rPr>
        <w:tab/>
      </w:r>
      <w:r w:rsidRPr="00E922F1">
        <w:rPr>
          <w:noProof/>
        </w:rPr>
        <w:fldChar w:fldCharType="begin"/>
      </w:r>
      <w:r w:rsidRPr="00E922F1">
        <w:rPr>
          <w:noProof/>
        </w:rPr>
        <w:instrText xml:space="preserve"> PAGEREF _Toc459188096 \h </w:instrText>
      </w:r>
      <w:r w:rsidRPr="00E922F1">
        <w:rPr>
          <w:noProof/>
        </w:rPr>
      </w:r>
      <w:r w:rsidRPr="00E922F1">
        <w:rPr>
          <w:noProof/>
        </w:rPr>
        <w:fldChar w:fldCharType="separate"/>
      </w:r>
      <w:r w:rsidR="004C461E">
        <w:rPr>
          <w:noProof/>
        </w:rPr>
        <w:t>6</w:t>
      </w:r>
      <w:r w:rsidRPr="00E922F1">
        <w:rPr>
          <w:noProof/>
        </w:rPr>
        <w:fldChar w:fldCharType="end"/>
      </w:r>
    </w:p>
    <w:p w:rsidR="00F245F4" w:rsidRPr="00E922F1" w:rsidRDefault="00F245F4">
      <w:pPr>
        <w:pStyle w:val="TOC2"/>
        <w:rPr>
          <w:rFonts w:asciiTheme="minorHAnsi" w:eastAsiaTheme="minorEastAsia" w:hAnsiTheme="minorHAnsi" w:cstheme="minorBidi"/>
          <w:noProof/>
          <w:szCs w:val="22"/>
          <w:lang w:eastAsia="en-NZ"/>
        </w:rPr>
      </w:pPr>
      <w:r w:rsidRPr="00E922F1">
        <w:rPr>
          <w:noProof/>
        </w:rPr>
        <w:t>Gardens and environs</w:t>
      </w:r>
      <w:r w:rsidRPr="00E922F1">
        <w:rPr>
          <w:noProof/>
        </w:rPr>
        <w:tab/>
      </w:r>
      <w:r w:rsidRPr="00E922F1">
        <w:rPr>
          <w:noProof/>
        </w:rPr>
        <w:fldChar w:fldCharType="begin"/>
      </w:r>
      <w:r w:rsidRPr="00E922F1">
        <w:rPr>
          <w:noProof/>
        </w:rPr>
        <w:instrText xml:space="preserve"> PAGEREF _Toc459188097 \h </w:instrText>
      </w:r>
      <w:r w:rsidRPr="00E922F1">
        <w:rPr>
          <w:noProof/>
        </w:rPr>
      </w:r>
      <w:r w:rsidRPr="00E922F1">
        <w:rPr>
          <w:noProof/>
        </w:rPr>
        <w:fldChar w:fldCharType="separate"/>
      </w:r>
      <w:r w:rsidR="004C461E">
        <w:rPr>
          <w:noProof/>
        </w:rPr>
        <w:t>8</w:t>
      </w:r>
      <w:r w:rsidRPr="00E922F1">
        <w:rPr>
          <w:noProof/>
        </w:rPr>
        <w:fldChar w:fldCharType="end"/>
      </w:r>
    </w:p>
    <w:p w:rsidR="00F245F4" w:rsidRPr="00E922F1" w:rsidRDefault="00F245F4">
      <w:pPr>
        <w:pStyle w:val="TOC2"/>
        <w:rPr>
          <w:rFonts w:asciiTheme="minorHAnsi" w:eastAsiaTheme="minorEastAsia" w:hAnsiTheme="minorHAnsi" w:cstheme="minorBidi"/>
          <w:noProof/>
          <w:szCs w:val="22"/>
          <w:lang w:eastAsia="en-NZ"/>
        </w:rPr>
      </w:pPr>
      <w:r w:rsidRPr="00E922F1">
        <w:rPr>
          <w:noProof/>
        </w:rPr>
        <w:t>Secure dementia care home size and density</w:t>
      </w:r>
      <w:r w:rsidRPr="00E922F1">
        <w:rPr>
          <w:noProof/>
        </w:rPr>
        <w:tab/>
      </w:r>
      <w:r w:rsidRPr="00E922F1">
        <w:rPr>
          <w:noProof/>
        </w:rPr>
        <w:fldChar w:fldCharType="begin"/>
      </w:r>
      <w:r w:rsidRPr="00E922F1">
        <w:rPr>
          <w:noProof/>
        </w:rPr>
        <w:instrText xml:space="preserve"> PAGEREF _Toc459188098 \h </w:instrText>
      </w:r>
      <w:r w:rsidRPr="00E922F1">
        <w:rPr>
          <w:noProof/>
        </w:rPr>
      </w:r>
      <w:r w:rsidRPr="00E922F1">
        <w:rPr>
          <w:noProof/>
        </w:rPr>
        <w:fldChar w:fldCharType="separate"/>
      </w:r>
      <w:r w:rsidR="004C461E">
        <w:rPr>
          <w:noProof/>
        </w:rPr>
        <w:t>8</w:t>
      </w:r>
      <w:r w:rsidRPr="00E922F1">
        <w:rPr>
          <w:noProof/>
        </w:rPr>
        <w:fldChar w:fldCharType="end"/>
      </w:r>
    </w:p>
    <w:p w:rsidR="00F245F4" w:rsidRPr="00E922F1" w:rsidRDefault="00F245F4">
      <w:pPr>
        <w:pStyle w:val="TOC2"/>
        <w:rPr>
          <w:rFonts w:asciiTheme="minorHAnsi" w:eastAsiaTheme="minorEastAsia" w:hAnsiTheme="minorHAnsi" w:cstheme="minorBidi"/>
          <w:noProof/>
          <w:szCs w:val="22"/>
          <w:lang w:eastAsia="en-NZ"/>
        </w:rPr>
      </w:pPr>
      <w:r w:rsidRPr="00E922F1">
        <w:rPr>
          <w:noProof/>
        </w:rPr>
        <w:t>Colour and contrast</w:t>
      </w:r>
      <w:r w:rsidRPr="00E922F1">
        <w:rPr>
          <w:noProof/>
        </w:rPr>
        <w:tab/>
      </w:r>
      <w:r w:rsidRPr="00E922F1">
        <w:rPr>
          <w:noProof/>
        </w:rPr>
        <w:fldChar w:fldCharType="begin"/>
      </w:r>
      <w:r w:rsidRPr="00E922F1">
        <w:rPr>
          <w:noProof/>
        </w:rPr>
        <w:instrText xml:space="preserve"> PAGEREF _Toc459188099 \h </w:instrText>
      </w:r>
      <w:r w:rsidRPr="00E922F1">
        <w:rPr>
          <w:noProof/>
        </w:rPr>
      </w:r>
      <w:r w:rsidRPr="00E922F1">
        <w:rPr>
          <w:noProof/>
        </w:rPr>
        <w:fldChar w:fldCharType="separate"/>
      </w:r>
      <w:r w:rsidR="004C461E">
        <w:rPr>
          <w:noProof/>
        </w:rPr>
        <w:t>9</w:t>
      </w:r>
      <w:r w:rsidRPr="00E922F1">
        <w:rPr>
          <w:noProof/>
        </w:rPr>
        <w:fldChar w:fldCharType="end"/>
      </w:r>
    </w:p>
    <w:p w:rsidR="00F245F4" w:rsidRPr="00E922F1" w:rsidRDefault="00F245F4">
      <w:pPr>
        <w:pStyle w:val="TOC2"/>
        <w:rPr>
          <w:rFonts w:asciiTheme="minorHAnsi" w:eastAsiaTheme="minorEastAsia" w:hAnsiTheme="minorHAnsi" w:cstheme="minorBidi"/>
          <w:noProof/>
          <w:szCs w:val="22"/>
          <w:lang w:eastAsia="en-NZ"/>
        </w:rPr>
      </w:pPr>
      <w:r w:rsidRPr="00E922F1">
        <w:rPr>
          <w:noProof/>
        </w:rPr>
        <w:t>Lighting</w:t>
      </w:r>
      <w:r w:rsidRPr="00E922F1">
        <w:rPr>
          <w:noProof/>
        </w:rPr>
        <w:tab/>
      </w:r>
      <w:r w:rsidRPr="00E922F1">
        <w:rPr>
          <w:noProof/>
        </w:rPr>
        <w:fldChar w:fldCharType="begin"/>
      </w:r>
      <w:r w:rsidRPr="00E922F1">
        <w:rPr>
          <w:noProof/>
        </w:rPr>
        <w:instrText xml:space="preserve"> PAGEREF _Toc459188100 \h </w:instrText>
      </w:r>
      <w:r w:rsidRPr="00E922F1">
        <w:rPr>
          <w:noProof/>
        </w:rPr>
      </w:r>
      <w:r w:rsidRPr="00E922F1">
        <w:rPr>
          <w:noProof/>
        </w:rPr>
        <w:fldChar w:fldCharType="separate"/>
      </w:r>
      <w:r w:rsidR="004C461E">
        <w:rPr>
          <w:noProof/>
        </w:rPr>
        <w:t>10</w:t>
      </w:r>
      <w:r w:rsidRPr="00E922F1">
        <w:rPr>
          <w:noProof/>
        </w:rPr>
        <w:fldChar w:fldCharType="end"/>
      </w:r>
    </w:p>
    <w:p w:rsidR="00F245F4" w:rsidRPr="00E922F1" w:rsidRDefault="00F245F4">
      <w:pPr>
        <w:pStyle w:val="TOC2"/>
        <w:rPr>
          <w:rFonts w:asciiTheme="minorHAnsi" w:eastAsiaTheme="minorEastAsia" w:hAnsiTheme="minorHAnsi" w:cstheme="minorBidi"/>
          <w:noProof/>
          <w:szCs w:val="22"/>
          <w:lang w:eastAsia="en-NZ"/>
        </w:rPr>
      </w:pPr>
      <w:r w:rsidRPr="00E922F1">
        <w:rPr>
          <w:noProof/>
        </w:rPr>
        <w:t>Managing environmental stimulation</w:t>
      </w:r>
      <w:r w:rsidRPr="00E922F1">
        <w:rPr>
          <w:noProof/>
        </w:rPr>
        <w:tab/>
      </w:r>
      <w:r w:rsidRPr="00E922F1">
        <w:rPr>
          <w:noProof/>
        </w:rPr>
        <w:fldChar w:fldCharType="begin"/>
      </w:r>
      <w:r w:rsidRPr="00E922F1">
        <w:rPr>
          <w:noProof/>
        </w:rPr>
        <w:instrText xml:space="preserve"> PAGEREF _Toc459188101 \h </w:instrText>
      </w:r>
      <w:r w:rsidRPr="00E922F1">
        <w:rPr>
          <w:noProof/>
        </w:rPr>
      </w:r>
      <w:r w:rsidRPr="00E922F1">
        <w:rPr>
          <w:noProof/>
        </w:rPr>
        <w:fldChar w:fldCharType="separate"/>
      </w:r>
      <w:r w:rsidR="004C461E">
        <w:rPr>
          <w:noProof/>
        </w:rPr>
        <w:t>10</w:t>
      </w:r>
      <w:r w:rsidRPr="00E922F1">
        <w:rPr>
          <w:noProof/>
        </w:rPr>
        <w:fldChar w:fldCharType="end"/>
      </w:r>
    </w:p>
    <w:p w:rsidR="00F245F4" w:rsidRPr="00E922F1" w:rsidRDefault="00F245F4">
      <w:pPr>
        <w:pStyle w:val="TOC2"/>
        <w:rPr>
          <w:rFonts w:asciiTheme="minorHAnsi" w:eastAsiaTheme="minorEastAsia" w:hAnsiTheme="minorHAnsi" w:cstheme="minorBidi"/>
          <w:noProof/>
          <w:szCs w:val="22"/>
          <w:lang w:eastAsia="en-NZ"/>
        </w:rPr>
      </w:pPr>
      <w:r w:rsidRPr="00E922F1">
        <w:rPr>
          <w:noProof/>
        </w:rPr>
        <w:t>Memory aides/cues and floor plans</w:t>
      </w:r>
      <w:r w:rsidRPr="00E922F1">
        <w:rPr>
          <w:noProof/>
        </w:rPr>
        <w:tab/>
      </w:r>
      <w:r w:rsidRPr="00E922F1">
        <w:rPr>
          <w:noProof/>
        </w:rPr>
        <w:fldChar w:fldCharType="begin"/>
      </w:r>
      <w:r w:rsidRPr="00E922F1">
        <w:rPr>
          <w:noProof/>
        </w:rPr>
        <w:instrText xml:space="preserve"> PAGEREF _Toc459188102 \h </w:instrText>
      </w:r>
      <w:r w:rsidRPr="00E922F1">
        <w:rPr>
          <w:noProof/>
        </w:rPr>
      </w:r>
      <w:r w:rsidRPr="00E922F1">
        <w:rPr>
          <w:noProof/>
        </w:rPr>
        <w:fldChar w:fldCharType="separate"/>
      </w:r>
      <w:r w:rsidR="004C461E">
        <w:rPr>
          <w:noProof/>
        </w:rPr>
        <w:t>11</w:t>
      </w:r>
      <w:r w:rsidRPr="00E922F1">
        <w:rPr>
          <w:noProof/>
        </w:rPr>
        <w:fldChar w:fldCharType="end"/>
      </w:r>
    </w:p>
    <w:p w:rsidR="00F245F4" w:rsidRPr="00E922F1" w:rsidRDefault="00F245F4">
      <w:pPr>
        <w:pStyle w:val="TOC2"/>
        <w:rPr>
          <w:rFonts w:asciiTheme="minorHAnsi" w:eastAsiaTheme="minorEastAsia" w:hAnsiTheme="minorHAnsi" w:cstheme="minorBidi"/>
          <w:noProof/>
          <w:szCs w:val="22"/>
          <w:lang w:eastAsia="en-NZ"/>
        </w:rPr>
      </w:pPr>
      <w:r w:rsidRPr="00E922F1">
        <w:rPr>
          <w:noProof/>
        </w:rPr>
        <w:t>Community links</w:t>
      </w:r>
      <w:r w:rsidRPr="00E922F1">
        <w:rPr>
          <w:noProof/>
        </w:rPr>
        <w:tab/>
      </w:r>
      <w:r w:rsidRPr="00E922F1">
        <w:rPr>
          <w:noProof/>
        </w:rPr>
        <w:fldChar w:fldCharType="begin"/>
      </w:r>
      <w:r w:rsidRPr="00E922F1">
        <w:rPr>
          <w:noProof/>
        </w:rPr>
        <w:instrText xml:space="preserve"> PAGEREF _Toc459188103 \h </w:instrText>
      </w:r>
      <w:r w:rsidRPr="00E922F1">
        <w:rPr>
          <w:noProof/>
        </w:rPr>
      </w:r>
      <w:r w:rsidRPr="00E922F1">
        <w:rPr>
          <w:noProof/>
        </w:rPr>
        <w:fldChar w:fldCharType="separate"/>
      </w:r>
      <w:r w:rsidR="004C461E">
        <w:rPr>
          <w:noProof/>
        </w:rPr>
        <w:t>11</w:t>
      </w:r>
      <w:r w:rsidRPr="00E922F1">
        <w:rPr>
          <w:noProof/>
        </w:rPr>
        <w:fldChar w:fldCharType="end"/>
      </w:r>
    </w:p>
    <w:p w:rsidR="00F245F4" w:rsidRPr="00E922F1" w:rsidRDefault="00F245F4">
      <w:pPr>
        <w:pStyle w:val="TOC2"/>
        <w:rPr>
          <w:rFonts w:asciiTheme="minorHAnsi" w:eastAsiaTheme="minorEastAsia" w:hAnsiTheme="minorHAnsi" w:cstheme="minorBidi"/>
          <w:noProof/>
          <w:szCs w:val="22"/>
          <w:lang w:eastAsia="en-NZ"/>
        </w:rPr>
      </w:pPr>
      <w:r w:rsidRPr="00E922F1">
        <w:rPr>
          <w:noProof/>
        </w:rPr>
        <w:t>Recommended design audit tool</w:t>
      </w:r>
      <w:r w:rsidRPr="00E922F1">
        <w:rPr>
          <w:noProof/>
        </w:rPr>
        <w:tab/>
      </w:r>
      <w:r w:rsidRPr="00E922F1">
        <w:rPr>
          <w:noProof/>
        </w:rPr>
        <w:fldChar w:fldCharType="begin"/>
      </w:r>
      <w:r w:rsidRPr="00E922F1">
        <w:rPr>
          <w:noProof/>
        </w:rPr>
        <w:instrText xml:space="preserve"> PAGEREF _Toc459188104 \h </w:instrText>
      </w:r>
      <w:r w:rsidRPr="00E922F1">
        <w:rPr>
          <w:noProof/>
        </w:rPr>
      </w:r>
      <w:r w:rsidRPr="00E922F1">
        <w:rPr>
          <w:noProof/>
        </w:rPr>
        <w:fldChar w:fldCharType="separate"/>
      </w:r>
      <w:r w:rsidR="004C461E">
        <w:rPr>
          <w:noProof/>
        </w:rPr>
        <w:t>12</w:t>
      </w:r>
      <w:r w:rsidRPr="00E922F1">
        <w:rPr>
          <w:noProof/>
        </w:rPr>
        <w:fldChar w:fldCharType="end"/>
      </w:r>
    </w:p>
    <w:p w:rsidR="00F245F4" w:rsidRPr="00E922F1" w:rsidRDefault="00F245F4">
      <w:pPr>
        <w:pStyle w:val="TOC1"/>
        <w:rPr>
          <w:rFonts w:asciiTheme="minorHAnsi" w:eastAsiaTheme="minorEastAsia" w:hAnsiTheme="minorHAnsi" w:cstheme="minorBidi"/>
          <w:b w:val="0"/>
          <w:noProof/>
          <w:szCs w:val="22"/>
          <w:lang w:eastAsia="en-NZ"/>
        </w:rPr>
      </w:pPr>
      <w:r w:rsidRPr="00E922F1">
        <w:rPr>
          <w:noProof/>
        </w:rPr>
        <w:t>References</w:t>
      </w:r>
      <w:r w:rsidRPr="00E922F1">
        <w:rPr>
          <w:noProof/>
        </w:rPr>
        <w:tab/>
      </w:r>
      <w:r w:rsidRPr="00E922F1">
        <w:rPr>
          <w:noProof/>
        </w:rPr>
        <w:fldChar w:fldCharType="begin"/>
      </w:r>
      <w:r w:rsidRPr="00E922F1">
        <w:rPr>
          <w:noProof/>
        </w:rPr>
        <w:instrText xml:space="preserve"> PAGEREF _Toc459188105 \h </w:instrText>
      </w:r>
      <w:r w:rsidRPr="00E922F1">
        <w:rPr>
          <w:noProof/>
        </w:rPr>
      </w:r>
      <w:r w:rsidRPr="00E922F1">
        <w:rPr>
          <w:noProof/>
        </w:rPr>
        <w:fldChar w:fldCharType="separate"/>
      </w:r>
      <w:r w:rsidR="004C461E">
        <w:rPr>
          <w:noProof/>
        </w:rPr>
        <w:t>13</w:t>
      </w:r>
      <w:r w:rsidRPr="00E922F1">
        <w:rPr>
          <w:noProof/>
        </w:rPr>
        <w:fldChar w:fldCharType="end"/>
      </w:r>
    </w:p>
    <w:p w:rsidR="00C86248" w:rsidRPr="00E922F1" w:rsidRDefault="00C86248">
      <w:r w:rsidRPr="00E922F1">
        <w:rPr>
          <w:b/>
        </w:rPr>
        <w:fldChar w:fldCharType="end"/>
      </w:r>
    </w:p>
    <w:p w:rsidR="00C86248" w:rsidRPr="00E922F1" w:rsidRDefault="00C86248" w:rsidP="0086388B"/>
    <w:p w:rsidR="00C86248" w:rsidRPr="00E922F1" w:rsidRDefault="00C86248">
      <w:pPr>
        <w:sectPr w:rsidR="00C86248" w:rsidRPr="00E922F1"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8C2973" w:rsidRPr="00E922F1" w:rsidRDefault="0086388B" w:rsidP="0086388B">
      <w:pPr>
        <w:pStyle w:val="Heading1"/>
      </w:pPr>
      <w:bookmarkStart w:id="3" w:name="_Toc459188091"/>
      <w:r w:rsidRPr="00E922F1">
        <w:lastRenderedPageBreak/>
        <w:t>Introduction</w:t>
      </w:r>
      <w:bookmarkEnd w:id="3"/>
    </w:p>
    <w:p w:rsidR="00B67876" w:rsidRPr="00E922F1" w:rsidRDefault="00B67876" w:rsidP="00A67F7D">
      <w:r w:rsidRPr="00E922F1">
        <w:t xml:space="preserve">The environment in which a person with dementia lives can be a positive therapeutic intervention on its own, regardless of the type of health care that person receives (Day et al 2000; Zeisel et al 2003; Fleming and </w:t>
      </w:r>
      <w:proofErr w:type="spellStart"/>
      <w:r w:rsidRPr="00E922F1">
        <w:t>Purandare</w:t>
      </w:r>
      <w:proofErr w:type="spellEnd"/>
      <w:r w:rsidRPr="00E922F1">
        <w:t xml:space="preserve"> 2010; Marquardt et al 2014).</w:t>
      </w:r>
    </w:p>
    <w:p w:rsidR="00B67876" w:rsidRPr="00E922F1" w:rsidRDefault="00B67876" w:rsidP="00A67F7D">
      <w:pPr>
        <w:rPr>
          <w:rFonts w:eastAsia="Century"/>
        </w:rPr>
      </w:pPr>
    </w:p>
    <w:p w:rsidR="00B67876" w:rsidRPr="00E922F1" w:rsidRDefault="00B67876" w:rsidP="00A67F7D">
      <w:r w:rsidRPr="00E922F1">
        <w:t xml:space="preserve">The aim of the </w:t>
      </w:r>
      <w:r w:rsidRPr="00E922F1">
        <w:rPr>
          <w:i/>
        </w:rPr>
        <w:t xml:space="preserve">Secure Dementia Care Home Design: Information resource </w:t>
      </w:r>
      <w:r w:rsidRPr="00E922F1">
        <w:t>is to support people involved with the development or major reconfiguration of secure dementia care homes, and to enhance the quality of life of people living in them. The information resource approaches these aims from a person-centred perspective. It is based on current research, consultation with key New Zealand stakeholders and international guidelines. This resource focuses on the experience of the person with dementia.</w:t>
      </w:r>
    </w:p>
    <w:p w:rsidR="00B67876" w:rsidRPr="00E922F1" w:rsidRDefault="00B67876" w:rsidP="00A67F7D">
      <w:pPr>
        <w:rPr>
          <w:rFonts w:eastAsia="Century"/>
        </w:rPr>
      </w:pPr>
    </w:p>
    <w:p w:rsidR="00B67876" w:rsidRPr="00E922F1" w:rsidRDefault="00B67876" w:rsidP="00A67F7D">
      <w:r w:rsidRPr="00E922F1">
        <w:t>The full version of the resource provides in-depth information and research for aged care providers, DHBs and anyone else planning and designing new builds or reconfiguring secure dementia care homes. The design principles set out in the Resource are relevant to all people living with dementia in non-secure and secure care homes, in any setting. However, this Resource is specifically designed for secure dementia care homes, rather than other (non-secure) residential aged care built environments.</w:t>
      </w:r>
    </w:p>
    <w:p w:rsidR="00B67876" w:rsidRPr="00E922F1" w:rsidRDefault="00B67876" w:rsidP="00A67F7D">
      <w:pPr>
        <w:rPr>
          <w:rFonts w:eastAsia="Century"/>
        </w:rPr>
      </w:pPr>
    </w:p>
    <w:p w:rsidR="00B67876" w:rsidRPr="00E922F1" w:rsidRDefault="00B67876" w:rsidP="00A67F7D">
      <w:pPr>
        <w:pStyle w:val="Heading2"/>
        <w:rPr>
          <w:bCs/>
        </w:rPr>
      </w:pPr>
      <w:bookmarkStart w:id="4" w:name="_Toc459188092"/>
      <w:r w:rsidRPr="00E922F1">
        <w:t>Structure</w:t>
      </w:r>
      <w:bookmarkEnd w:id="4"/>
    </w:p>
    <w:p w:rsidR="00B67876" w:rsidRPr="00E922F1" w:rsidRDefault="00B67876" w:rsidP="00A67F7D">
      <w:r w:rsidRPr="00E922F1">
        <w:t>The complete research and consultation background data used to form the basis for each resource topic is presented in two documents.</w:t>
      </w:r>
    </w:p>
    <w:p w:rsidR="00B67876" w:rsidRPr="00E922F1" w:rsidRDefault="00B67876" w:rsidP="00A67F7D">
      <w:pPr>
        <w:rPr>
          <w:rFonts w:eastAsia="Century"/>
        </w:rPr>
      </w:pPr>
    </w:p>
    <w:p w:rsidR="00B67876" w:rsidRPr="00E922F1" w:rsidRDefault="00B67876" w:rsidP="00A67F7D">
      <w:r w:rsidRPr="00E922F1">
        <w:t>The full information resource begins by presenting a background on dementia in general and the dementia care context in New Zealand. It provides design principles for secure dementia care homes, along with accompanying research rationales. It orders topics under three overarching headings:</w:t>
      </w:r>
    </w:p>
    <w:p w:rsidR="00B67876" w:rsidRPr="00E922F1" w:rsidRDefault="00B67876" w:rsidP="00A67F7D">
      <w:pPr>
        <w:pStyle w:val="Bullet"/>
      </w:pPr>
      <w:r w:rsidRPr="00E922F1">
        <w:t>dignity, human rights and person-centred care</w:t>
      </w:r>
    </w:p>
    <w:p w:rsidR="00B67876" w:rsidRPr="00E922F1" w:rsidRDefault="00B67876" w:rsidP="00A67F7D">
      <w:pPr>
        <w:pStyle w:val="Bullet"/>
      </w:pPr>
      <w:r w:rsidRPr="00E922F1">
        <w:t>cultural identity</w:t>
      </w:r>
    </w:p>
    <w:p w:rsidR="00B67876" w:rsidRPr="00E922F1" w:rsidRDefault="00B67876" w:rsidP="00A67F7D">
      <w:pPr>
        <w:pStyle w:val="Bullet"/>
      </w:pPr>
      <w:proofErr w:type="gramStart"/>
      <w:r w:rsidRPr="00E922F1">
        <w:t>design</w:t>
      </w:r>
      <w:proofErr w:type="gramEnd"/>
      <w:r w:rsidRPr="00E922F1">
        <w:t xml:space="preserve"> principles.</w:t>
      </w:r>
    </w:p>
    <w:p w:rsidR="00B67876" w:rsidRPr="00E922F1" w:rsidRDefault="00B67876" w:rsidP="00A67F7D">
      <w:pPr>
        <w:rPr>
          <w:rFonts w:eastAsia="Century"/>
        </w:rPr>
      </w:pPr>
    </w:p>
    <w:p w:rsidR="00B67876" w:rsidRPr="00E922F1" w:rsidRDefault="00B67876" w:rsidP="00A67F7D">
      <w:r w:rsidRPr="00E922F1">
        <w:t>This summary document presents the design principles concisely, for easy access.</w:t>
      </w:r>
    </w:p>
    <w:p w:rsidR="00B67876" w:rsidRPr="00E922F1" w:rsidRDefault="00B67876" w:rsidP="00A67F7D">
      <w:pPr>
        <w:rPr>
          <w:rFonts w:eastAsia="Century"/>
        </w:rPr>
      </w:pPr>
    </w:p>
    <w:p w:rsidR="00B67876" w:rsidRPr="00E922F1" w:rsidRDefault="00B67876" w:rsidP="00A67F7D">
      <w:r w:rsidRPr="00E922F1">
        <w:t>It is recommended that designers of secure dementia care homes consider other documents that guide the provision of services in New Zealand, such as the Health and Disability Service Standards and DHBs</w:t>
      </w:r>
      <w:r w:rsidR="00A67F7D" w:rsidRPr="00E922F1">
        <w:t>’</w:t>
      </w:r>
      <w:r w:rsidRPr="00E922F1">
        <w:t xml:space="preserve"> Aged Related Residential Care (ARRC) contract.</w:t>
      </w:r>
    </w:p>
    <w:p w:rsidR="00A67F7D" w:rsidRPr="00E922F1" w:rsidRDefault="00A67F7D" w:rsidP="00A67F7D"/>
    <w:p w:rsidR="00B67876" w:rsidRPr="00E922F1" w:rsidRDefault="00B67876" w:rsidP="00A67F7D">
      <w:pPr>
        <w:pStyle w:val="Heading1"/>
        <w:rPr>
          <w:bCs/>
        </w:rPr>
      </w:pPr>
      <w:bookmarkStart w:id="5" w:name="Dignity,_human_rights_and_person-centred"/>
      <w:bookmarkStart w:id="6" w:name="_bookmark1"/>
      <w:bookmarkStart w:id="7" w:name="_Toc459188093"/>
      <w:bookmarkEnd w:id="5"/>
      <w:bookmarkEnd w:id="6"/>
      <w:r w:rsidRPr="00E922F1">
        <w:lastRenderedPageBreak/>
        <w:t>Dignity, human rights and person-centred care</w:t>
      </w:r>
      <w:bookmarkEnd w:id="7"/>
    </w:p>
    <w:p w:rsidR="00B67876" w:rsidRPr="00E922F1" w:rsidRDefault="00B67876" w:rsidP="00AA45D0">
      <w:r w:rsidRPr="00E922F1">
        <w:t>Upholding of basic human rights forms the foundation of secure dementia care home design: preserving the dignity of people with dementia even though they require a secure care home, which</w:t>
      </w:r>
      <w:r w:rsidR="00A67F7D" w:rsidRPr="00E922F1">
        <w:t xml:space="preserve"> </w:t>
      </w:r>
      <w:r w:rsidRPr="00E922F1">
        <w:t>by its very nature restricts personal freedom. There is an inherent tension between ensuring a person</w:t>
      </w:r>
      <w:r w:rsidR="00A67F7D" w:rsidRPr="00E922F1">
        <w:t>’</w:t>
      </w:r>
      <w:r w:rsidRPr="00E922F1">
        <w:t>s safety and promoting their autonomy and quality of life. It is essential that personal dignity and person-centred care form the bases of care home design.</w:t>
      </w:r>
    </w:p>
    <w:p w:rsidR="00B67876" w:rsidRPr="00E922F1" w:rsidRDefault="00B67876" w:rsidP="00AA45D0">
      <w:pPr>
        <w:rPr>
          <w:rFonts w:eastAsia="Century"/>
        </w:rPr>
      </w:pPr>
    </w:p>
    <w:p w:rsidR="00B67876" w:rsidRPr="00E922F1" w:rsidRDefault="00B67876" w:rsidP="00AA45D0">
      <w:r w:rsidRPr="00E922F1">
        <w:t>The Human Rights Commission has considered those cared for in secure dementia care homes to be subject to the human rights protections afforded to any detained persons. As such, their rights include the right to receive care that provides adequate staff training, as well as access to outdoor space and equipment suitable to promote health, exercise and recreation (Human Rights Commission 2014).</w:t>
      </w:r>
    </w:p>
    <w:p w:rsidR="00B67876" w:rsidRPr="00E922F1" w:rsidRDefault="00B67876" w:rsidP="00AA45D0">
      <w:pPr>
        <w:rPr>
          <w:rFonts w:eastAsia="Century"/>
        </w:rPr>
      </w:pPr>
    </w:p>
    <w:p w:rsidR="00B67876" w:rsidRPr="00E922F1" w:rsidRDefault="00B67876" w:rsidP="00AA45D0">
      <w:r w:rsidRPr="00E922F1">
        <w:t>The 2015 New Zealand consultation workgroup participants provided the following considerations for a person-centred care approach.</w:t>
      </w:r>
    </w:p>
    <w:p w:rsidR="00B67876" w:rsidRPr="00E922F1" w:rsidRDefault="00B67876" w:rsidP="00AA45D0">
      <w:pPr>
        <w:pStyle w:val="Bullet"/>
      </w:pPr>
      <w:r w:rsidRPr="00E922F1">
        <w:t>Providers facilitate person-centred care by offering personal space, a variety of flexible spaces, and the ability to choose how to occupy space and how and when to socialise.</w:t>
      </w:r>
    </w:p>
    <w:p w:rsidR="00B67876" w:rsidRPr="00E922F1" w:rsidRDefault="00B67876" w:rsidP="00AA45D0">
      <w:pPr>
        <w:pStyle w:val="Bullet"/>
      </w:pPr>
      <w:r w:rsidRPr="00E922F1">
        <w:t>Person-centred care is delivered through models of care, philosophies of care and staff training – it is much more than just the environment.</w:t>
      </w:r>
    </w:p>
    <w:p w:rsidR="00B67876" w:rsidRPr="00E922F1" w:rsidRDefault="00B67876" w:rsidP="00AA45D0">
      <w:pPr>
        <w:pStyle w:val="Bullet"/>
      </w:pPr>
      <w:r w:rsidRPr="00E922F1">
        <w:t>Collaboration between families and care staff is critical to person-centred care.</w:t>
      </w:r>
    </w:p>
    <w:p w:rsidR="00B67876" w:rsidRPr="00E922F1" w:rsidRDefault="00B67876" w:rsidP="00AA45D0">
      <w:pPr>
        <w:pStyle w:val="Bullet"/>
      </w:pPr>
      <w:r w:rsidRPr="00E922F1">
        <w:t>Care home size determines staff</w:t>
      </w:r>
      <w:r w:rsidR="00A67F7D" w:rsidRPr="00E922F1">
        <w:t>’</w:t>
      </w:r>
      <w:r w:rsidRPr="00E922F1">
        <w:t>s ability to really know the people they care for and to respond differentially to their needs, thereby providing person-centred care.</w:t>
      </w:r>
    </w:p>
    <w:p w:rsidR="00B67876" w:rsidRPr="00E922F1" w:rsidRDefault="00B67876" w:rsidP="00AA45D0">
      <w:pPr>
        <w:rPr>
          <w:rFonts w:eastAsia="Century"/>
        </w:rPr>
      </w:pPr>
    </w:p>
    <w:p w:rsidR="00B67876" w:rsidRPr="00E922F1" w:rsidRDefault="00B67876" w:rsidP="00AA45D0">
      <w:r w:rsidRPr="00E922F1">
        <w:t>The New Zealand Code of Health and Disability Services Consumers</w:t>
      </w:r>
      <w:r w:rsidR="00A67F7D" w:rsidRPr="00E922F1">
        <w:t>’</w:t>
      </w:r>
      <w:r w:rsidRPr="00E922F1">
        <w:t xml:space="preserve"> Rights sees patients</w:t>
      </w:r>
      <w:r w:rsidR="00A67F7D" w:rsidRPr="00E922F1">
        <w:t>’</w:t>
      </w:r>
      <w:r w:rsidRPr="00E922F1">
        <w:t>/consumers</w:t>
      </w:r>
      <w:r w:rsidR="00A67F7D" w:rsidRPr="00E922F1">
        <w:t>’</w:t>
      </w:r>
      <w:r w:rsidRPr="00E922F1">
        <w:t xml:space="preserve"> dignity as an essential aspect of their interactions with health services; it states as follows.</w:t>
      </w:r>
    </w:p>
    <w:p w:rsidR="00B67876" w:rsidRPr="00E922F1" w:rsidRDefault="00B67876" w:rsidP="00AA45D0">
      <w:pPr>
        <w:rPr>
          <w:rFonts w:eastAsia="Century"/>
        </w:rPr>
      </w:pPr>
    </w:p>
    <w:p w:rsidR="00B67876" w:rsidRPr="00E922F1" w:rsidRDefault="00B67876" w:rsidP="00AA45D0">
      <w:pPr>
        <w:pStyle w:val="Heading3"/>
        <w:rPr>
          <w:bCs/>
        </w:rPr>
      </w:pPr>
      <w:r w:rsidRPr="00E922F1">
        <w:t>Right 1: Right to be treated with respect</w:t>
      </w:r>
    </w:p>
    <w:p w:rsidR="00B67876" w:rsidRPr="00E922F1" w:rsidRDefault="00AA45D0" w:rsidP="00AA45D0">
      <w:pPr>
        <w:spacing w:before="120"/>
        <w:ind w:left="567" w:hanging="567"/>
      </w:pPr>
      <w:r w:rsidRPr="00E922F1">
        <w:t>(1)</w:t>
      </w:r>
      <w:r w:rsidRPr="00E922F1">
        <w:tab/>
      </w:r>
      <w:r w:rsidR="00B67876" w:rsidRPr="00E922F1">
        <w:t>Every consumer has the right to be treated with respect.</w:t>
      </w:r>
    </w:p>
    <w:p w:rsidR="00B67876" w:rsidRPr="00E922F1" w:rsidRDefault="00AA45D0" w:rsidP="00AA45D0">
      <w:pPr>
        <w:spacing w:before="120"/>
        <w:ind w:left="567" w:hanging="567"/>
      </w:pPr>
      <w:r w:rsidRPr="00E922F1">
        <w:t>(2)</w:t>
      </w:r>
      <w:r w:rsidRPr="00E922F1">
        <w:tab/>
      </w:r>
      <w:r w:rsidR="00B67876" w:rsidRPr="00E922F1">
        <w:t>Every consumer has the right to have his or her privacy respected.</w:t>
      </w:r>
    </w:p>
    <w:p w:rsidR="00B67876" w:rsidRPr="00E922F1" w:rsidRDefault="00AA45D0" w:rsidP="00AA45D0">
      <w:pPr>
        <w:spacing w:before="120"/>
        <w:ind w:left="567" w:hanging="567"/>
      </w:pPr>
      <w:r w:rsidRPr="00E922F1">
        <w:t>(3)</w:t>
      </w:r>
      <w:r w:rsidRPr="00E922F1">
        <w:tab/>
      </w:r>
      <w:r w:rsidR="00B67876" w:rsidRPr="00E922F1">
        <w:t>Every consumer has the right to be provided with services that take into account the needs, values, and beliefs of different cultural, religious, social, and ethnic groups, including the needs, values, and beliefs of Māori.</w:t>
      </w:r>
    </w:p>
    <w:p w:rsidR="00B67876" w:rsidRPr="00E922F1" w:rsidRDefault="00B67876" w:rsidP="00AA45D0">
      <w:pPr>
        <w:rPr>
          <w:rFonts w:eastAsia="Century"/>
        </w:rPr>
      </w:pPr>
    </w:p>
    <w:p w:rsidR="00B67876" w:rsidRPr="00E922F1" w:rsidRDefault="00B67876" w:rsidP="00AA45D0">
      <w:pPr>
        <w:pStyle w:val="Heading3"/>
        <w:rPr>
          <w:bCs/>
        </w:rPr>
      </w:pPr>
      <w:r w:rsidRPr="00E922F1">
        <w:t>Right 3: Right to dignity and independence</w:t>
      </w:r>
    </w:p>
    <w:p w:rsidR="00B67876" w:rsidRPr="00E922F1" w:rsidRDefault="00B67876" w:rsidP="00AA45D0">
      <w:r w:rsidRPr="00E922F1">
        <w:t>Every consumer has the right to have services provided in a manner that respects the dignity and independence of the individual.</w:t>
      </w:r>
    </w:p>
    <w:p w:rsidR="00B67876" w:rsidRPr="00E922F1" w:rsidRDefault="00B67876" w:rsidP="00AA45D0">
      <w:pPr>
        <w:rPr>
          <w:rFonts w:eastAsia="Century"/>
        </w:rPr>
      </w:pPr>
    </w:p>
    <w:p w:rsidR="00B67876" w:rsidRPr="00E922F1" w:rsidRDefault="00B67876" w:rsidP="00AA45D0">
      <w:pPr>
        <w:pStyle w:val="Heading3"/>
        <w:rPr>
          <w:bCs/>
        </w:rPr>
      </w:pPr>
      <w:r w:rsidRPr="00E922F1">
        <w:lastRenderedPageBreak/>
        <w:t>Right 4: Right to services of an appropriate standard</w:t>
      </w:r>
    </w:p>
    <w:p w:rsidR="00B67876" w:rsidRPr="00E922F1" w:rsidRDefault="00AA45D0" w:rsidP="00AA45D0">
      <w:pPr>
        <w:keepNext/>
        <w:ind w:left="567" w:hanging="567"/>
      </w:pPr>
      <w:r w:rsidRPr="00E922F1">
        <w:t>(1)</w:t>
      </w:r>
      <w:r w:rsidRPr="00E922F1">
        <w:tab/>
      </w:r>
      <w:r w:rsidR="00B67876" w:rsidRPr="00E922F1">
        <w:t>Every consumer has the right to have services provided in a manner that minimises the potential harm to, and optimises the quality of life of, that consumer.</w:t>
      </w:r>
    </w:p>
    <w:p w:rsidR="00B67876" w:rsidRPr="00E922F1" w:rsidRDefault="00B67876" w:rsidP="00AA45D0">
      <w:pPr>
        <w:rPr>
          <w:rFonts w:eastAsia="Century"/>
        </w:rPr>
      </w:pPr>
    </w:p>
    <w:p w:rsidR="00B67876" w:rsidRPr="00E922F1" w:rsidRDefault="00B67876" w:rsidP="00AA45D0">
      <w:pPr>
        <w:pStyle w:val="Heading3"/>
        <w:rPr>
          <w:bCs/>
        </w:rPr>
      </w:pPr>
      <w:r w:rsidRPr="00E922F1">
        <w:t>Right 8: Right to support</w:t>
      </w:r>
    </w:p>
    <w:p w:rsidR="00B67876" w:rsidRPr="00E922F1" w:rsidRDefault="00B67876" w:rsidP="00AA45D0">
      <w:r w:rsidRPr="00E922F1">
        <w:t>Every consumer has the right to have one or more support persons of his or her choice present, except where safety may be compromised or another consumer</w:t>
      </w:r>
      <w:r w:rsidR="00A67F7D" w:rsidRPr="00E922F1">
        <w:t>’</w:t>
      </w:r>
      <w:r w:rsidRPr="00E922F1">
        <w:t>s rights may be unreasonably infringed.</w:t>
      </w:r>
    </w:p>
    <w:p w:rsidR="00AA45D0" w:rsidRPr="00E922F1" w:rsidRDefault="00AA45D0" w:rsidP="00AA45D0"/>
    <w:p w:rsidR="00B67876" w:rsidRPr="00E922F1" w:rsidRDefault="00B67876" w:rsidP="00AA45D0">
      <w:pPr>
        <w:pStyle w:val="Heading1"/>
        <w:rPr>
          <w:bCs/>
        </w:rPr>
      </w:pPr>
      <w:bookmarkStart w:id="8" w:name="Cultural_identity"/>
      <w:bookmarkStart w:id="9" w:name="_bookmark2"/>
      <w:bookmarkStart w:id="10" w:name="_Toc459188094"/>
      <w:bookmarkEnd w:id="8"/>
      <w:bookmarkEnd w:id="9"/>
      <w:r w:rsidRPr="00E922F1">
        <w:lastRenderedPageBreak/>
        <w:t>Cultural identity</w:t>
      </w:r>
      <w:bookmarkEnd w:id="10"/>
    </w:p>
    <w:p w:rsidR="00B67876" w:rsidRPr="00E922F1" w:rsidRDefault="00B67876" w:rsidP="00AA45D0">
      <w:r w:rsidRPr="00E922F1">
        <w:t>Research about cultural aspects of design for secure dementia care homes is very limited.</w:t>
      </w:r>
    </w:p>
    <w:p w:rsidR="00B67876" w:rsidRPr="00E922F1" w:rsidRDefault="00B67876" w:rsidP="00AA45D0">
      <w:pPr>
        <w:rPr>
          <w:rFonts w:eastAsia="Century"/>
        </w:rPr>
      </w:pPr>
    </w:p>
    <w:p w:rsidR="00B67876" w:rsidRPr="00E922F1" w:rsidRDefault="00B67876" w:rsidP="00AA45D0">
      <w:r w:rsidRPr="00E922F1">
        <w:t>Participants in the workgroups noted the following requirements in regard to cultural considerations.</w:t>
      </w:r>
    </w:p>
    <w:p w:rsidR="00B67876" w:rsidRPr="00E922F1" w:rsidRDefault="00B67876" w:rsidP="00AA45D0">
      <w:pPr>
        <w:pStyle w:val="Bullet"/>
      </w:pPr>
      <w:r w:rsidRPr="00E922F1">
        <w:t>Spaces must be varied and flexible enough to accommodate different kinds of families and different family, cultural and religious rituals, including visits by extended family.</w:t>
      </w:r>
    </w:p>
    <w:p w:rsidR="00B67876" w:rsidRPr="00E922F1" w:rsidRDefault="00B67876" w:rsidP="00AA45D0">
      <w:pPr>
        <w:pStyle w:val="Bullet"/>
      </w:pPr>
      <w:r w:rsidRPr="00E922F1">
        <w:t>There is significant need for family space that is not the person</w:t>
      </w:r>
      <w:r w:rsidR="00A67F7D" w:rsidRPr="00E922F1">
        <w:t>’</w:t>
      </w:r>
      <w:r w:rsidRPr="00E922F1">
        <w:t>s bedroom.</w:t>
      </w:r>
    </w:p>
    <w:p w:rsidR="00B67876" w:rsidRPr="00E922F1" w:rsidRDefault="00B67876" w:rsidP="00AA45D0">
      <w:pPr>
        <w:pStyle w:val="Bullet"/>
      </w:pPr>
      <w:r w:rsidRPr="00E922F1">
        <w:t>Staff need to understand cultural issues.</w:t>
      </w:r>
    </w:p>
    <w:p w:rsidR="00B67876" w:rsidRPr="00E922F1" w:rsidRDefault="00B67876" w:rsidP="00AA45D0">
      <w:pPr>
        <w:rPr>
          <w:rFonts w:eastAsia="Century"/>
        </w:rPr>
      </w:pPr>
    </w:p>
    <w:p w:rsidR="00B67876" w:rsidRPr="00E922F1" w:rsidRDefault="00B67876" w:rsidP="00AA45D0">
      <w:r w:rsidRPr="00E922F1">
        <w:t>Different cultures perceive dementia differently. Townsend and New (2011) investigated contemporary Māori views of dementia resulting from both spiritual and traditional beliefs. They noted that approaches to dementia care for Māori needed to be more holistic; the exclusion of Māori cultural values and understandings from service provision was detrimental to the wellbeing of older Māori.</w:t>
      </w:r>
    </w:p>
    <w:p w:rsidR="00B67876" w:rsidRPr="00E922F1" w:rsidRDefault="00B67876" w:rsidP="00AA45D0">
      <w:pPr>
        <w:rPr>
          <w:rFonts w:eastAsia="Century"/>
        </w:rPr>
      </w:pPr>
    </w:p>
    <w:p w:rsidR="00B67876" w:rsidRPr="00E922F1" w:rsidRDefault="00B67876" w:rsidP="00AA45D0">
      <w:r w:rsidRPr="00E922F1">
        <w:t>Designing care homes with consideration of a particular cultural group requires attending to that</w:t>
      </w:r>
      <w:r w:rsidR="00AA45D0" w:rsidRPr="00E922F1">
        <w:t xml:space="preserve"> </w:t>
      </w:r>
      <w:r w:rsidRPr="00E922F1">
        <w:t>group</w:t>
      </w:r>
      <w:r w:rsidR="00A67F7D" w:rsidRPr="00E922F1">
        <w:t>’</w:t>
      </w:r>
      <w:r w:rsidRPr="00E922F1">
        <w:t>s:</w:t>
      </w:r>
    </w:p>
    <w:p w:rsidR="00B67876" w:rsidRPr="00E922F1" w:rsidRDefault="00B67876" w:rsidP="00AA45D0">
      <w:pPr>
        <w:pStyle w:val="Bullet"/>
      </w:pPr>
      <w:r w:rsidRPr="00E922F1">
        <w:t>history and life experiences</w:t>
      </w:r>
    </w:p>
    <w:p w:rsidR="00B67876" w:rsidRPr="00E922F1" w:rsidRDefault="00B67876" w:rsidP="00AA45D0">
      <w:pPr>
        <w:pStyle w:val="Bullet"/>
      </w:pPr>
      <w:r w:rsidRPr="00E922F1">
        <w:t>characteristics</w:t>
      </w:r>
    </w:p>
    <w:p w:rsidR="00B67876" w:rsidRPr="00E922F1" w:rsidRDefault="00B67876" w:rsidP="00AA45D0">
      <w:pPr>
        <w:pStyle w:val="Bullet"/>
      </w:pPr>
      <w:r w:rsidRPr="00E922F1">
        <w:t>beliefs and values</w:t>
      </w:r>
    </w:p>
    <w:p w:rsidR="00B67876" w:rsidRPr="00E922F1" w:rsidRDefault="00B67876" w:rsidP="00AA45D0">
      <w:pPr>
        <w:pStyle w:val="Bullet"/>
      </w:pPr>
      <w:r w:rsidRPr="00E922F1">
        <w:t>caregiving practices</w:t>
      </w:r>
    </w:p>
    <w:p w:rsidR="00B67876" w:rsidRPr="00E922F1" w:rsidRDefault="00B67876" w:rsidP="00AA45D0">
      <w:pPr>
        <w:pStyle w:val="Bullet"/>
      </w:pPr>
      <w:proofErr w:type="gramStart"/>
      <w:r w:rsidRPr="00E922F1">
        <w:t>activities</w:t>
      </w:r>
      <w:proofErr w:type="gramEnd"/>
      <w:r w:rsidRPr="00E922F1">
        <w:t xml:space="preserve"> and behaviours (Day and Cohen 2000).</w:t>
      </w:r>
    </w:p>
    <w:p w:rsidR="00AA45D0" w:rsidRPr="00E922F1" w:rsidRDefault="00AA45D0" w:rsidP="00AA45D0"/>
    <w:p w:rsidR="00B67876" w:rsidRPr="00E922F1" w:rsidRDefault="00B67876" w:rsidP="00AA45D0">
      <w:pPr>
        <w:pStyle w:val="Heading1"/>
        <w:rPr>
          <w:bCs/>
        </w:rPr>
      </w:pPr>
      <w:bookmarkStart w:id="11" w:name="Design_principles_"/>
      <w:bookmarkStart w:id="12" w:name="_bookmark3"/>
      <w:bookmarkStart w:id="13" w:name="_Toc459188095"/>
      <w:bookmarkEnd w:id="11"/>
      <w:bookmarkEnd w:id="12"/>
      <w:r w:rsidRPr="00E922F1">
        <w:lastRenderedPageBreak/>
        <w:t>Design principles</w:t>
      </w:r>
      <w:bookmarkEnd w:id="13"/>
    </w:p>
    <w:p w:rsidR="00B67876" w:rsidRPr="00E922F1" w:rsidRDefault="00B67876" w:rsidP="00AA45D0">
      <w:r w:rsidRPr="00E922F1">
        <w:t>Marshall</w:t>
      </w:r>
      <w:r w:rsidR="00A67F7D" w:rsidRPr="00E922F1">
        <w:t>’</w:t>
      </w:r>
      <w:r w:rsidRPr="00E922F1">
        <w:t>s key design principles for secure dementia care homes (Marshall 1998b) arguably provide the definitive quality standard. Fleming et al 2015 and Fleming and Bennett 2015 cite significant empirical support for these principles, which include:</w:t>
      </w:r>
    </w:p>
    <w:p w:rsidR="00B67876" w:rsidRPr="00E922F1" w:rsidRDefault="00B67876" w:rsidP="00AA45D0">
      <w:pPr>
        <w:pStyle w:val="Bullet"/>
      </w:pPr>
      <w:r w:rsidRPr="00E922F1">
        <w:t>compensation for disability</w:t>
      </w:r>
    </w:p>
    <w:p w:rsidR="00B67876" w:rsidRPr="00E922F1" w:rsidRDefault="00B67876" w:rsidP="00AA45D0">
      <w:pPr>
        <w:pStyle w:val="Bullet"/>
      </w:pPr>
      <w:r w:rsidRPr="00E922F1">
        <w:t>maximising independence</w:t>
      </w:r>
    </w:p>
    <w:p w:rsidR="00B67876" w:rsidRPr="00E922F1" w:rsidRDefault="00B67876" w:rsidP="00AA45D0">
      <w:pPr>
        <w:pStyle w:val="Bullet"/>
      </w:pPr>
      <w:r w:rsidRPr="00E922F1">
        <w:t>enhancement of self-esteem and confidence</w:t>
      </w:r>
    </w:p>
    <w:p w:rsidR="00B67876" w:rsidRPr="00E922F1" w:rsidRDefault="00B67876" w:rsidP="00AA45D0">
      <w:pPr>
        <w:pStyle w:val="Bullet"/>
      </w:pPr>
      <w:r w:rsidRPr="00E922F1">
        <w:t>demonstration of care for staff</w:t>
      </w:r>
    </w:p>
    <w:p w:rsidR="00B67876" w:rsidRPr="00E922F1" w:rsidRDefault="00B67876" w:rsidP="00AA45D0">
      <w:pPr>
        <w:pStyle w:val="Bullet"/>
      </w:pPr>
      <w:r w:rsidRPr="00E922F1">
        <w:t>ability to be orientating and understandable</w:t>
      </w:r>
    </w:p>
    <w:p w:rsidR="00B67876" w:rsidRPr="00E922F1" w:rsidRDefault="00B67876" w:rsidP="00AA45D0">
      <w:pPr>
        <w:pStyle w:val="Bullet"/>
      </w:pPr>
      <w:r w:rsidRPr="00E922F1">
        <w:t>reinforcement of personal identity</w:t>
      </w:r>
    </w:p>
    <w:p w:rsidR="00B67876" w:rsidRPr="00E922F1" w:rsidRDefault="00B67876" w:rsidP="00AA45D0">
      <w:pPr>
        <w:pStyle w:val="Bullet"/>
      </w:pPr>
      <w:r w:rsidRPr="00E922F1">
        <w:t>welcoming of relatives and the local community</w:t>
      </w:r>
    </w:p>
    <w:p w:rsidR="00B67876" w:rsidRPr="00E922F1" w:rsidRDefault="00B67876" w:rsidP="00AA45D0">
      <w:pPr>
        <w:pStyle w:val="Bullet"/>
      </w:pPr>
      <w:proofErr w:type="gramStart"/>
      <w:r w:rsidRPr="00E922F1">
        <w:t>allowance</w:t>
      </w:r>
      <w:proofErr w:type="gramEnd"/>
      <w:r w:rsidRPr="00E922F1">
        <w:t xml:space="preserve"> for the control of stimuli.</w:t>
      </w:r>
    </w:p>
    <w:p w:rsidR="00B67876" w:rsidRPr="00E922F1" w:rsidRDefault="00B67876" w:rsidP="00AA45D0">
      <w:pPr>
        <w:rPr>
          <w:rFonts w:eastAsia="Century"/>
        </w:rPr>
      </w:pPr>
    </w:p>
    <w:p w:rsidR="00B67876" w:rsidRPr="00E922F1" w:rsidRDefault="00B67876" w:rsidP="00AA45D0">
      <w:r w:rsidRPr="00E922F1">
        <w:t xml:space="preserve">Based on research evidence, Fleming and Bennett (2015) incorporated eight design principles into their development of the </w:t>
      </w:r>
      <w:r w:rsidRPr="00E922F1">
        <w:rPr>
          <w:i/>
        </w:rPr>
        <w:t xml:space="preserve">Environmental Assessment Tool </w:t>
      </w:r>
      <w:r w:rsidRPr="00E922F1">
        <w:t>(Fleming et al 2012; Fleming and Bennett 2015):</w:t>
      </w:r>
    </w:p>
    <w:p w:rsidR="00B67876" w:rsidRPr="00E922F1" w:rsidRDefault="00AA45D0" w:rsidP="00AA45D0">
      <w:pPr>
        <w:spacing w:before="120"/>
        <w:ind w:left="567" w:hanging="567"/>
      </w:pPr>
      <w:r w:rsidRPr="00E922F1">
        <w:t>1</w:t>
      </w:r>
      <w:r w:rsidRPr="00E922F1">
        <w:tab/>
      </w:r>
      <w:r w:rsidR="00B67876" w:rsidRPr="00E922F1">
        <w:t>unobtrusively reduce risks (be safe and secure)</w:t>
      </w:r>
    </w:p>
    <w:p w:rsidR="00B67876" w:rsidRPr="00E922F1" w:rsidRDefault="00AA45D0" w:rsidP="00AA45D0">
      <w:pPr>
        <w:spacing w:before="120"/>
        <w:ind w:left="567" w:hanging="567"/>
      </w:pPr>
      <w:r w:rsidRPr="00E922F1">
        <w:t>2</w:t>
      </w:r>
      <w:r w:rsidRPr="00E922F1">
        <w:tab/>
      </w:r>
      <w:r w:rsidR="00B67876" w:rsidRPr="00E922F1">
        <w:t>provide a human scale (</w:t>
      </w:r>
      <w:proofErr w:type="spellStart"/>
      <w:r w:rsidR="00B67876" w:rsidRPr="00E922F1">
        <w:t>eg</w:t>
      </w:r>
      <w:proofErr w:type="spellEnd"/>
      <w:r w:rsidR="00B67876" w:rsidRPr="00E922F1">
        <w:t xml:space="preserve">, </w:t>
      </w:r>
      <w:r w:rsidR="00A67F7D" w:rsidRPr="00E922F1">
        <w:t>‘</w:t>
      </w:r>
      <w:r w:rsidR="00B67876" w:rsidRPr="00E922F1">
        <w:t>family-sized</w:t>
      </w:r>
      <w:r w:rsidR="00A67F7D" w:rsidRPr="00E922F1">
        <w:t>’</w:t>
      </w:r>
      <w:r w:rsidR="00B67876" w:rsidRPr="00E922F1">
        <w:t xml:space="preserve"> clusters and a low number of people per care home)</w:t>
      </w:r>
    </w:p>
    <w:p w:rsidR="00B67876" w:rsidRPr="00E922F1" w:rsidRDefault="00AA45D0" w:rsidP="00AA45D0">
      <w:pPr>
        <w:spacing w:before="120"/>
        <w:ind w:left="567" w:hanging="567"/>
      </w:pPr>
      <w:r w:rsidRPr="00E922F1">
        <w:t>3</w:t>
      </w:r>
      <w:r w:rsidRPr="00E922F1">
        <w:tab/>
      </w:r>
      <w:r w:rsidR="00B67876" w:rsidRPr="00E922F1">
        <w:t xml:space="preserve">allow people to see and be seen (be simple and provide good </w:t>
      </w:r>
      <w:r w:rsidR="00A67F7D" w:rsidRPr="00E922F1">
        <w:t>‘</w:t>
      </w:r>
      <w:r w:rsidR="00B67876" w:rsidRPr="00E922F1">
        <w:t xml:space="preserve">visual </w:t>
      </w:r>
      <w:proofErr w:type="spellStart"/>
      <w:r w:rsidR="00B67876" w:rsidRPr="00E922F1">
        <w:t>access</w:t>
      </w:r>
      <w:r w:rsidR="00A67F7D" w:rsidRPr="00E922F1">
        <w:t>’</w:t>
      </w:r>
      <w:proofErr w:type="spellEnd"/>
      <w:r w:rsidR="00B67876" w:rsidRPr="00E922F1">
        <w:t>)</w:t>
      </w:r>
    </w:p>
    <w:p w:rsidR="00B67876" w:rsidRPr="00E922F1" w:rsidRDefault="00AA45D0" w:rsidP="00AA45D0">
      <w:pPr>
        <w:spacing w:before="120"/>
        <w:ind w:left="567" w:hanging="567"/>
      </w:pPr>
      <w:r w:rsidRPr="00E922F1">
        <w:t>4</w:t>
      </w:r>
      <w:r w:rsidRPr="00E922F1">
        <w:tab/>
      </w:r>
      <w:r w:rsidR="00B67876" w:rsidRPr="00E922F1">
        <w:t>manage levels of stimulation:</w:t>
      </w:r>
    </w:p>
    <w:p w:rsidR="00B67876" w:rsidRPr="00E922F1" w:rsidRDefault="00B67876" w:rsidP="00AA45D0">
      <w:pPr>
        <w:pStyle w:val="Dash"/>
        <w:tabs>
          <w:tab w:val="clear" w:pos="567"/>
          <w:tab w:val="num" w:pos="850"/>
        </w:tabs>
        <w:ind w:left="850"/>
      </w:pPr>
      <w:r w:rsidRPr="00E922F1">
        <w:t>reduce unhelpful stimulation</w:t>
      </w:r>
    </w:p>
    <w:p w:rsidR="00B67876" w:rsidRPr="00E922F1" w:rsidRDefault="00B67876" w:rsidP="00AA45D0">
      <w:pPr>
        <w:pStyle w:val="Dash"/>
        <w:ind w:left="850"/>
      </w:pPr>
      <w:r w:rsidRPr="00E922F1">
        <w:t>optimise/highlight helpful stimulation</w:t>
      </w:r>
    </w:p>
    <w:p w:rsidR="00B67876" w:rsidRPr="00E922F1" w:rsidRDefault="00AA45D0" w:rsidP="00AA45D0">
      <w:pPr>
        <w:spacing w:before="120"/>
        <w:ind w:left="567" w:hanging="567"/>
      </w:pPr>
      <w:r w:rsidRPr="00E922F1">
        <w:t>5</w:t>
      </w:r>
      <w:r w:rsidRPr="00E922F1">
        <w:tab/>
      </w:r>
      <w:r w:rsidR="00B67876" w:rsidRPr="00E922F1">
        <w:t>support movement and engagement (provide for planned wandering)</w:t>
      </w:r>
    </w:p>
    <w:p w:rsidR="00B67876" w:rsidRPr="00E922F1" w:rsidRDefault="00AA45D0" w:rsidP="00AA45D0">
      <w:pPr>
        <w:spacing w:before="120"/>
        <w:ind w:left="567" w:hanging="567"/>
      </w:pPr>
      <w:r w:rsidRPr="00E922F1">
        <w:t>6</w:t>
      </w:r>
      <w:r w:rsidRPr="00E922F1">
        <w:tab/>
      </w:r>
      <w:r w:rsidR="00B67876" w:rsidRPr="00E922F1">
        <w:t>create a familiar place</w:t>
      </w:r>
    </w:p>
    <w:p w:rsidR="00B67876" w:rsidRPr="00E922F1" w:rsidRDefault="00AA45D0" w:rsidP="00AA45D0">
      <w:pPr>
        <w:spacing w:before="120"/>
        <w:ind w:left="567" w:hanging="567"/>
      </w:pPr>
      <w:r w:rsidRPr="00E922F1">
        <w:t>7</w:t>
      </w:r>
      <w:r w:rsidRPr="00E922F1">
        <w:tab/>
      </w:r>
      <w:r w:rsidR="00B67876" w:rsidRPr="00E922F1">
        <w:t xml:space="preserve">provide a variety of </w:t>
      </w:r>
      <w:proofErr w:type="gramStart"/>
      <w:r w:rsidR="00B67876" w:rsidRPr="00E922F1">
        <w:t>spaces, that</w:t>
      </w:r>
      <w:proofErr w:type="gramEnd"/>
      <w:r w:rsidR="00B67876" w:rsidRPr="00E922F1">
        <w:t xml:space="preserve"> provide opportunities to be alone, with others, or with others from the community</w:t>
      </w:r>
    </w:p>
    <w:p w:rsidR="00B67876" w:rsidRPr="00E922F1" w:rsidRDefault="00AA45D0" w:rsidP="00AA45D0">
      <w:pPr>
        <w:spacing w:before="120"/>
        <w:ind w:left="567" w:hanging="567"/>
      </w:pPr>
      <w:r w:rsidRPr="00E922F1">
        <w:t>8</w:t>
      </w:r>
      <w:r w:rsidRPr="00E922F1">
        <w:tab/>
      </w:r>
      <w:r w:rsidR="00B67876" w:rsidRPr="00E922F1">
        <w:t>respond to a vision for the values and goals of care (</w:t>
      </w:r>
      <w:proofErr w:type="spellStart"/>
      <w:r w:rsidR="00B67876" w:rsidRPr="00E922F1">
        <w:t>eg</w:t>
      </w:r>
      <w:proofErr w:type="spellEnd"/>
      <w:r w:rsidR="00B67876" w:rsidRPr="00E922F1">
        <w:t>, domestic and homelike).</w:t>
      </w:r>
    </w:p>
    <w:p w:rsidR="00B67876" w:rsidRPr="00E922F1" w:rsidRDefault="00B67876" w:rsidP="00AA45D0">
      <w:pPr>
        <w:rPr>
          <w:rFonts w:eastAsia="Century"/>
        </w:rPr>
      </w:pPr>
    </w:p>
    <w:p w:rsidR="00B67876" w:rsidRPr="00E922F1" w:rsidRDefault="00B67876" w:rsidP="00AA45D0">
      <w:r w:rsidRPr="00E922F1">
        <w:t>The consultation process for this resource found general agreement with these principles. However, some respondents noted that connection to the wider community was missing as a basic principle. Respondents also noted that the size of a care home should be a core principle, and that design of physical space could not be separated from models of care. Workgroup participants noted the inherent tension between security and safety and quality of life, and said that too much emphasis on risk reduction can impoverish a person</w:t>
      </w:r>
      <w:r w:rsidR="00A67F7D" w:rsidRPr="00E922F1">
        <w:t>’</w:t>
      </w:r>
      <w:r w:rsidRPr="00E922F1">
        <w:t>s quality of life.</w:t>
      </w:r>
    </w:p>
    <w:p w:rsidR="00AA45D0" w:rsidRPr="00E922F1" w:rsidRDefault="00AA45D0" w:rsidP="00AA45D0"/>
    <w:p w:rsidR="00B67876" w:rsidRPr="00E922F1" w:rsidRDefault="00B67876" w:rsidP="005D196F">
      <w:pPr>
        <w:keepNext/>
      </w:pPr>
      <w:r w:rsidRPr="00E922F1">
        <w:lastRenderedPageBreak/>
        <w:t>The resource explores design principles in more detail under the following headings.</w:t>
      </w:r>
    </w:p>
    <w:p w:rsidR="00B67876" w:rsidRPr="00E922F1" w:rsidRDefault="00B67876" w:rsidP="005D196F">
      <w:pPr>
        <w:pStyle w:val="Bullet"/>
        <w:keepNext/>
      </w:pPr>
      <w:r w:rsidRPr="00E922F1">
        <w:t>home-like therapeutic environment</w:t>
      </w:r>
    </w:p>
    <w:p w:rsidR="00B67876" w:rsidRPr="00E922F1" w:rsidRDefault="00B67876" w:rsidP="005D196F">
      <w:pPr>
        <w:pStyle w:val="Bullet"/>
        <w:keepNext/>
      </w:pPr>
      <w:r w:rsidRPr="00E922F1">
        <w:t>gardens and environs</w:t>
      </w:r>
    </w:p>
    <w:p w:rsidR="00B67876" w:rsidRPr="00E922F1" w:rsidRDefault="00B67876" w:rsidP="005D196F">
      <w:pPr>
        <w:pStyle w:val="Bullet"/>
        <w:keepNext/>
      </w:pPr>
      <w:r w:rsidRPr="00E922F1">
        <w:t>care home size and density</w:t>
      </w:r>
    </w:p>
    <w:p w:rsidR="00B67876" w:rsidRPr="00E922F1" w:rsidRDefault="00B67876" w:rsidP="005D196F">
      <w:pPr>
        <w:pStyle w:val="Bullet"/>
        <w:keepNext/>
      </w:pPr>
      <w:r w:rsidRPr="00E922F1">
        <w:t>colour and contrast</w:t>
      </w:r>
    </w:p>
    <w:p w:rsidR="00B67876" w:rsidRPr="00E922F1" w:rsidRDefault="005D196F" w:rsidP="00AA45D0">
      <w:pPr>
        <w:pStyle w:val="Bullet"/>
      </w:pPr>
      <w:r w:rsidRPr="00E922F1">
        <w:t>l</w:t>
      </w:r>
      <w:r w:rsidR="00B67876" w:rsidRPr="00E922F1">
        <w:t>ighting</w:t>
      </w:r>
    </w:p>
    <w:p w:rsidR="00B67876" w:rsidRPr="00E922F1" w:rsidRDefault="00B67876" w:rsidP="00AA45D0">
      <w:pPr>
        <w:pStyle w:val="Bullet"/>
      </w:pPr>
      <w:r w:rsidRPr="00E922F1">
        <w:t>managing environmental stimulation</w:t>
      </w:r>
    </w:p>
    <w:p w:rsidR="00B67876" w:rsidRPr="00E922F1" w:rsidRDefault="00B67876" w:rsidP="00AA45D0">
      <w:pPr>
        <w:pStyle w:val="Bullet"/>
      </w:pPr>
      <w:r w:rsidRPr="00E922F1">
        <w:t>memory aides/cues and floor plans</w:t>
      </w:r>
    </w:p>
    <w:p w:rsidR="00B67876" w:rsidRPr="00E922F1" w:rsidRDefault="00B67876" w:rsidP="00AA45D0">
      <w:pPr>
        <w:pStyle w:val="Bullet"/>
      </w:pPr>
      <w:proofErr w:type="gramStart"/>
      <w:r w:rsidRPr="00E922F1">
        <w:t>community</w:t>
      </w:r>
      <w:proofErr w:type="gramEnd"/>
      <w:r w:rsidRPr="00E922F1">
        <w:t xml:space="preserve"> links.</w:t>
      </w:r>
    </w:p>
    <w:p w:rsidR="00AA45D0" w:rsidRPr="00E922F1" w:rsidRDefault="00AA45D0" w:rsidP="00AA45D0"/>
    <w:p w:rsidR="00B67876" w:rsidRPr="00E922F1" w:rsidRDefault="00B67876" w:rsidP="00AA45D0">
      <w:r w:rsidRPr="00E922F1">
        <w:t>The following figure provides a schematic overview of the philosophical basis and the key features of well-designed secure dementia care homes.</w:t>
      </w:r>
    </w:p>
    <w:p w:rsidR="00B67876" w:rsidRPr="00E922F1" w:rsidRDefault="00B67876" w:rsidP="00AA45D0">
      <w:pPr>
        <w:rPr>
          <w:rFonts w:eastAsia="Century"/>
        </w:rPr>
      </w:pPr>
    </w:p>
    <w:p w:rsidR="00B67876" w:rsidRPr="00E922F1" w:rsidRDefault="00B67876" w:rsidP="00AA45D0">
      <w:pPr>
        <w:pStyle w:val="Figure"/>
        <w:rPr>
          <w:rFonts w:eastAsia="Georgia" w:cs="Georgia"/>
          <w:szCs w:val="18"/>
        </w:rPr>
      </w:pPr>
      <w:r w:rsidRPr="00E922F1">
        <w:t>Figure 1: Schematic overview of design principles</w:t>
      </w:r>
    </w:p>
    <w:p w:rsidR="00B67876" w:rsidRPr="00E922F1" w:rsidRDefault="005D196F" w:rsidP="00AA45D0">
      <w:pPr>
        <w:rPr>
          <w:rFonts w:eastAsia="Georgia"/>
        </w:rPr>
      </w:pPr>
      <w:r w:rsidRPr="00E922F1">
        <w:rPr>
          <w:noProof/>
          <w:lang w:eastAsia="en-NZ"/>
        </w:rPr>
        <w:drawing>
          <wp:inline distT="0" distB="0" distL="0" distR="0" wp14:anchorId="6A159555" wp14:editId="590ECD4C">
            <wp:extent cx="4305993" cy="3222071"/>
            <wp:effectExtent l="0" t="0" r="0" b="0"/>
            <wp:docPr id="1" name="Picture 1" title="Figure 1: Schematic overview of design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grayscl/>
                    </a:blip>
                    <a:stretch>
                      <a:fillRect/>
                    </a:stretch>
                  </pic:blipFill>
                  <pic:spPr>
                    <a:xfrm>
                      <a:off x="0" y="0"/>
                      <a:ext cx="4308520" cy="3223962"/>
                    </a:xfrm>
                    <a:prstGeom prst="rect">
                      <a:avLst/>
                    </a:prstGeom>
                  </pic:spPr>
                </pic:pic>
              </a:graphicData>
            </a:graphic>
          </wp:inline>
        </w:drawing>
      </w:r>
    </w:p>
    <w:p w:rsidR="00AA45D0" w:rsidRPr="00E922F1" w:rsidRDefault="00AA45D0" w:rsidP="00AA45D0">
      <w:pPr>
        <w:rPr>
          <w:rFonts w:eastAsia="Georgia"/>
        </w:rPr>
      </w:pPr>
    </w:p>
    <w:p w:rsidR="00B67876" w:rsidRPr="00E922F1" w:rsidRDefault="00B67876" w:rsidP="00AA45D0">
      <w:pPr>
        <w:pStyle w:val="Heading2"/>
        <w:rPr>
          <w:bCs/>
        </w:rPr>
      </w:pPr>
      <w:bookmarkStart w:id="14" w:name="Home-like_therapeutic_environment"/>
      <w:bookmarkStart w:id="15" w:name="_bookmark4"/>
      <w:bookmarkStart w:id="16" w:name="_Toc459188096"/>
      <w:bookmarkEnd w:id="14"/>
      <w:bookmarkEnd w:id="15"/>
      <w:r w:rsidRPr="00E922F1">
        <w:t>Home-like therapeutic environment</w:t>
      </w:r>
      <w:bookmarkEnd w:id="16"/>
    </w:p>
    <w:p w:rsidR="00B67876" w:rsidRPr="00E922F1" w:rsidRDefault="00B67876" w:rsidP="005D196F">
      <w:pPr>
        <w:keepNext/>
      </w:pPr>
      <w:r w:rsidRPr="00E922F1">
        <w:t xml:space="preserve">In terms of the design of secure dementia care home, </w:t>
      </w:r>
      <w:r w:rsidR="00A67F7D" w:rsidRPr="00E922F1">
        <w:t>‘</w:t>
      </w:r>
      <w:r w:rsidRPr="00E922F1">
        <w:t>homeliness</w:t>
      </w:r>
      <w:r w:rsidR="00A67F7D" w:rsidRPr="00E922F1">
        <w:t>’</w:t>
      </w:r>
      <w:r w:rsidRPr="00E922F1">
        <w:t xml:space="preserve">, </w:t>
      </w:r>
      <w:r w:rsidR="00A67F7D" w:rsidRPr="00E922F1">
        <w:t>‘</w:t>
      </w:r>
      <w:r w:rsidRPr="00E922F1">
        <w:t>home-likeness</w:t>
      </w:r>
      <w:r w:rsidR="00A67F7D" w:rsidRPr="00E922F1">
        <w:t>’</w:t>
      </w:r>
      <w:r w:rsidRPr="00E922F1">
        <w:t xml:space="preserve"> and similar words attempt to describe a non-institutional living environment. A homelike environment </w:t>
      </w:r>
      <w:r w:rsidRPr="00E922F1">
        <w:lastRenderedPageBreak/>
        <w:t>includes a living room, dining room, kitchen, homelike furnishings, and objects and artefacts that carry personal meaning.</w:t>
      </w:r>
    </w:p>
    <w:p w:rsidR="00B67876" w:rsidRPr="00E922F1" w:rsidRDefault="00B67876" w:rsidP="005D196F">
      <w:pPr>
        <w:keepNext/>
        <w:rPr>
          <w:rFonts w:eastAsia="Century"/>
        </w:rPr>
      </w:pPr>
    </w:p>
    <w:p w:rsidR="00B67876" w:rsidRPr="00E922F1" w:rsidRDefault="00B67876" w:rsidP="005D196F">
      <w:pPr>
        <w:keepNext/>
      </w:pPr>
      <w:r w:rsidRPr="00E922F1">
        <w:t xml:space="preserve">The following components are important determinants of a </w:t>
      </w:r>
      <w:r w:rsidR="00A67F7D" w:rsidRPr="00E922F1">
        <w:t>‘</w:t>
      </w:r>
      <w:r w:rsidRPr="00E922F1">
        <w:t>home-like</w:t>
      </w:r>
      <w:r w:rsidR="00A67F7D" w:rsidRPr="00E922F1">
        <w:t>’</w:t>
      </w:r>
      <w:r w:rsidRPr="00E922F1">
        <w:t xml:space="preserve"> environment.</w:t>
      </w:r>
    </w:p>
    <w:p w:rsidR="00B67876" w:rsidRPr="00E922F1" w:rsidRDefault="00B67876" w:rsidP="005D196F">
      <w:pPr>
        <w:keepNext/>
        <w:rPr>
          <w:rFonts w:eastAsia="Century"/>
        </w:rPr>
      </w:pPr>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2518"/>
        <w:gridCol w:w="6838"/>
      </w:tblGrid>
      <w:tr w:rsidR="00B67876" w:rsidRPr="00E922F1" w:rsidTr="00AA45D0">
        <w:trPr>
          <w:cantSplit/>
          <w:tblHeader/>
        </w:trPr>
        <w:tc>
          <w:tcPr>
            <w:tcW w:w="2518" w:type="dxa"/>
            <w:tcBorders>
              <w:top w:val="single" w:sz="4" w:space="0" w:color="auto"/>
              <w:bottom w:val="single" w:sz="4" w:space="0" w:color="auto"/>
            </w:tcBorders>
            <w:shd w:val="clear" w:color="auto" w:fill="auto"/>
          </w:tcPr>
          <w:p w:rsidR="00B67876" w:rsidRPr="00E922F1" w:rsidRDefault="00B67876" w:rsidP="005D196F">
            <w:pPr>
              <w:pStyle w:val="TableText"/>
              <w:keepNext/>
              <w:ind w:right="284"/>
              <w:rPr>
                <w:rFonts w:eastAsia="Arial" w:cs="Arial"/>
                <w:b/>
                <w:szCs w:val="19"/>
              </w:rPr>
            </w:pPr>
            <w:r w:rsidRPr="00E922F1">
              <w:rPr>
                <w:b/>
              </w:rPr>
              <w:t>Components</w:t>
            </w:r>
          </w:p>
        </w:tc>
        <w:tc>
          <w:tcPr>
            <w:tcW w:w="6838" w:type="dxa"/>
            <w:tcBorders>
              <w:top w:val="single" w:sz="4" w:space="0" w:color="auto"/>
              <w:bottom w:val="single" w:sz="4" w:space="0" w:color="auto"/>
            </w:tcBorders>
            <w:shd w:val="clear" w:color="auto" w:fill="auto"/>
          </w:tcPr>
          <w:p w:rsidR="00B67876" w:rsidRPr="00E922F1" w:rsidRDefault="00B67876" w:rsidP="005D196F">
            <w:pPr>
              <w:pStyle w:val="TableText"/>
              <w:keepNext/>
              <w:rPr>
                <w:rFonts w:eastAsia="Arial" w:cs="Arial"/>
                <w:b/>
                <w:szCs w:val="19"/>
              </w:rPr>
            </w:pPr>
            <w:r w:rsidRPr="00E922F1">
              <w:rPr>
                <w:b/>
              </w:rPr>
              <w:t>Detail</w:t>
            </w:r>
          </w:p>
        </w:tc>
      </w:tr>
      <w:tr w:rsidR="00B67876" w:rsidRPr="00E922F1" w:rsidTr="00AA45D0">
        <w:trPr>
          <w:cantSplit/>
        </w:trPr>
        <w:tc>
          <w:tcPr>
            <w:tcW w:w="2518" w:type="dxa"/>
            <w:tcBorders>
              <w:top w:val="single" w:sz="4" w:space="0" w:color="auto"/>
              <w:bottom w:val="single" w:sz="4" w:space="0" w:color="A6A6A6" w:themeColor="background1" w:themeShade="A6"/>
            </w:tcBorders>
            <w:shd w:val="clear" w:color="auto" w:fill="auto"/>
          </w:tcPr>
          <w:p w:rsidR="00B67876" w:rsidRPr="00E922F1" w:rsidRDefault="00B67876" w:rsidP="00AA45D0">
            <w:pPr>
              <w:pStyle w:val="TableText"/>
              <w:ind w:right="284"/>
              <w:rPr>
                <w:rFonts w:eastAsia="Arial" w:cs="Arial"/>
                <w:szCs w:val="19"/>
              </w:rPr>
            </w:pPr>
            <w:r w:rsidRPr="00E922F1">
              <w:t>Design is to a human, domestic scale</w:t>
            </w:r>
          </w:p>
        </w:tc>
        <w:tc>
          <w:tcPr>
            <w:tcW w:w="6838" w:type="dxa"/>
            <w:tcBorders>
              <w:top w:val="single" w:sz="4" w:space="0" w:color="auto"/>
              <w:bottom w:val="single" w:sz="4" w:space="0" w:color="A6A6A6" w:themeColor="background1" w:themeShade="A6"/>
            </w:tcBorders>
            <w:shd w:val="clear" w:color="auto" w:fill="auto"/>
          </w:tcPr>
          <w:p w:rsidR="00B67876" w:rsidRPr="00E922F1" w:rsidRDefault="00B67876" w:rsidP="00AA45D0">
            <w:pPr>
              <w:pStyle w:val="TableBullet"/>
              <w:spacing w:before="60"/>
              <w:rPr>
                <w:rFonts w:eastAsia="Arial" w:cs="Arial"/>
                <w:szCs w:val="19"/>
              </w:rPr>
            </w:pPr>
            <w:r w:rsidRPr="00E922F1">
              <w:t>No long corridors</w:t>
            </w:r>
          </w:p>
          <w:p w:rsidR="00B67876" w:rsidRPr="00E922F1" w:rsidRDefault="00A67F7D" w:rsidP="00AA45D0">
            <w:pPr>
              <w:pStyle w:val="TableBullet"/>
              <w:rPr>
                <w:rFonts w:eastAsia="Arial" w:cs="Arial"/>
                <w:szCs w:val="19"/>
              </w:rPr>
            </w:pPr>
            <w:r w:rsidRPr="00E922F1">
              <w:rPr>
                <w:rFonts w:eastAsia="Arial" w:cs="Arial"/>
                <w:szCs w:val="19"/>
              </w:rPr>
              <w:t>‘</w:t>
            </w:r>
            <w:r w:rsidR="00B67876" w:rsidRPr="00E922F1">
              <w:rPr>
                <w:rFonts w:eastAsia="Arial" w:cs="Arial"/>
                <w:szCs w:val="19"/>
              </w:rPr>
              <w:t>Clustered care</w:t>
            </w:r>
            <w:r w:rsidRPr="00E922F1">
              <w:rPr>
                <w:rFonts w:eastAsia="Arial" w:cs="Arial"/>
                <w:szCs w:val="19"/>
              </w:rPr>
              <w:t>’</w:t>
            </w:r>
            <w:r w:rsidR="00B67876" w:rsidRPr="00E922F1">
              <w:rPr>
                <w:rFonts w:eastAsia="Arial" w:cs="Arial"/>
                <w:szCs w:val="19"/>
              </w:rPr>
              <w:t xml:space="preserve"> – a family-like setting (Some participants thought that the ideal number of people living together was between five and twelve as commonly found in the disability sector, but others noted that this was not economically feasible. There was a general consensus that there should be no more than</w:t>
            </w:r>
            <w:r w:rsidR="00AA45D0" w:rsidRPr="00E922F1">
              <w:rPr>
                <w:rFonts w:eastAsia="Arial" w:cs="Arial"/>
                <w:szCs w:val="19"/>
              </w:rPr>
              <w:t xml:space="preserve"> </w:t>
            </w:r>
            <w:r w:rsidR="00B67876" w:rsidRPr="00E922F1">
              <w:t>20</w:t>
            </w:r>
            <w:r w:rsidR="00AA45D0" w:rsidRPr="00E922F1">
              <w:t> </w:t>
            </w:r>
            <w:r w:rsidR="00B67876" w:rsidRPr="00E922F1">
              <w:t>people in one care home, as specified in the current Age Related Residential Care (ARRC) contract.)</w:t>
            </w:r>
          </w:p>
          <w:p w:rsidR="00B67876" w:rsidRPr="00E922F1" w:rsidRDefault="00B67876" w:rsidP="00AA45D0">
            <w:pPr>
              <w:pStyle w:val="TableBullet"/>
              <w:rPr>
                <w:rFonts w:eastAsia="Arial" w:cs="Arial"/>
                <w:szCs w:val="19"/>
              </w:rPr>
            </w:pPr>
            <w:r w:rsidRPr="00E922F1">
              <w:t>Common spaces, kitchen, sitting area and dining area of a domestic size</w:t>
            </w:r>
          </w:p>
          <w:p w:rsidR="00B67876" w:rsidRPr="00E922F1" w:rsidRDefault="00B67876" w:rsidP="00AA45D0">
            <w:pPr>
              <w:pStyle w:val="TableBullet"/>
              <w:rPr>
                <w:rFonts w:eastAsia="Arial" w:cs="Arial"/>
                <w:szCs w:val="19"/>
              </w:rPr>
            </w:pPr>
            <w:r w:rsidRPr="00E922F1">
              <w:t>Domestic furniture</w:t>
            </w:r>
          </w:p>
          <w:p w:rsidR="00B67876" w:rsidRPr="00E922F1" w:rsidRDefault="00B67876" w:rsidP="00AA45D0">
            <w:pPr>
              <w:pStyle w:val="TableBullet"/>
              <w:rPr>
                <w:rFonts w:eastAsia="Arial" w:cs="Arial"/>
                <w:szCs w:val="19"/>
              </w:rPr>
            </w:pPr>
            <w:r w:rsidRPr="00E922F1">
              <w:t>Domestic focus points (</w:t>
            </w:r>
            <w:proofErr w:type="spellStart"/>
            <w:r w:rsidRPr="00E922F1">
              <w:t>eg</w:t>
            </w:r>
            <w:proofErr w:type="spellEnd"/>
            <w:r w:rsidRPr="00E922F1">
              <w:t>, kitchen table, fireplace)</w:t>
            </w:r>
          </w:p>
          <w:p w:rsidR="00B67876" w:rsidRPr="00E922F1" w:rsidRDefault="00B67876" w:rsidP="00AA45D0">
            <w:pPr>
              <w:pStyle w:val="TableBullet"/>
              <w:rPr>
                <w:rFonts w:eastAsia="Arial" w:cs="Arial"/>
                <w:szCs w:val="19"/>
              </w:rPr>
            </w:pPr>
            <w:r w:rsidRPr="00E922F1">
              <w:rPr>
                <w:rFonts w:eastAsia="Arial" w:cs="Arial"/>
                <w:szCs w:val="19"/>
              </w:rPr>
              <w:t>Domestic scale and domestic appearance – familiar</w:t>
            </w:r>
          </w:p>
          <w:p w:rsidR="00B67876" w:rsidRPr="00E922F1" w:rsidRDefault="00B67876" w:rsidP="00AA45D0">
            <w:pPr>
              <w:pStyle w:val="TableBullet"/>
              <w:rPr>
                <w:rFonts w:eastAsia="Arial" w:cs="Arial"/>
                <w:szCs w:val="19"/>
              </w:rPr>
            </w:pPr>
            <w:r w:rsidRPr="00E922F1">
              <w:t>Domestic dining experience</w:t>
            </w:r>
          </w:p>
          <w:p w:rsidR="00B67876" w:rsidRPr="00E922F1" w:rsidRDefault="00B67876" w:rsidP="00AA45D0">
            <w:pPr>
              <w:pStyle w:val="TableBullet"/>
              <w:rPr>
                <w:rFonts w:eastAsia="Arial" w:cs="Arial"/>
                <w:szCs w:val="19"/>
              </w:rPr>
            </w:pPr>
            <w:r w:rsidRPr="00E922F1">
              <w:rPr>
                <w:rFonts w:eastAsia="Arial" w:cs="Arial"/>
                <w:szCs w:val="19"/>
              </w:rPr>
              <w:t>No internal rooms – each room should have windows</w:t>
            </w:r>
          </w:p>
          <w:p w:rsidR="00B67876" w:rsidRPr="00E922F1" w:rsidRDefault="00B67876" w:rsidP="00AA45D0">
            <w:pPr>
              <w:pStyle w:val="TableBullet"/>
              <w:rPr>
                <w:rFonts w:eastAsia="Arial" w:cs="Arial"/>
                <w:szCs w:val="19"/>
              </w:rPr>
            </w:pPr>
            <w:r w:rsidRPr="00E922F1">
              <w:t>Lack of clutter (</w:t>
            </w:r>
            <w:proofErr w:type="spellStart"/>
            <w:r w:rsidRPr="00E922F1">
              <w:t>eg</w:t>
            </w:r>
            <w:proofErr w:type="spellEnd"/>
            <w:r w:rsidRPr="00E922F1">
              <w:t>, no equipment stored in corridors)</w:t>
            </w:r>
          </w:p>
          <w:p w:rsidR="00B67876" w:rsidRPr="00E922F1" w:rsidRDefault="00B67876" w:rsidP="00AA45D0">
            <w:pPr>
              <w:pStyle w:val="TableBullet"/>
              <w:rPr>
                <w:rFonts w:eastAsia="Arial" w:cs="Arial"/>
                <w:szCs w:val="19"/>
              </w:rPr>
            </w:pPr>
            <w:r w:rsidRPr="00E922F1">
              <w:t>Heating systems to accommodate the needs of frail older people</w:t>
            </w:r>
          </w:p>
          <w:p w:rsidR="00B67876" w:rsidRPr="00E922F1" w:rsidRDefault="00B67876" w:rsidP="00AA45D0">
            <w:pPr>
              <w:pStyle w:val="TableBullet"/>
              <w:rPr>
                <w:rFonts w:eastAsia="Arial" w:cs="Arial"/>
                <w:szCs w:val="19"/>
              </w:rPr>
            </w:pPr>
            <w:r w:rsidRPr="00E922F1">
              <w:t>Incontinence management considerations (everything easily cleaned)</w:t>
            </w:r>
          </w:p>
        </w:tc>
      </w:tr>
      <w:tr w:rsidR="00B67876" w:rsidRPr="00E922F1" w:rsidTr="00AA45D0">
        <w:trPr>
          <w:cantSplit/>
        </w:trPr>
        <w:tc>
          <w:tcPr>
            <w:tcW w:w="2518" w:type="dxa"/>
            <w:tcBorders>
              <w:top w:val="single" w:sz="4" w:space="0" w:color="A6A6A6" w:themeColor="background1" w:themeShade="A6"/>
              <w:bottom w:val="single" w:sz="4" w:space="0" w:color="A6A6A6" w:themeColor="background1" w:themeShade="A6"/>
            </w:tcBorders>
            <w:shd w:val="clear" w:color="auto" w:fill="auto"/>
          </w:tcPr>
          <w:p w:rsidR="00B67876" w:rsidRPr="00E922F1" w:rsidRDefault="00B67876" w:rsidP="00AA45D0">
            <w:pPr>
              <w:pStyle w:val="TableText"/>
              <w:ind w:right="284"/>
              <w:rPr>
                <w:rFonts w:eastAsia="Arial" w:cs="Arial"/>
                <w:szCs w:val="19"/>
              </w:rPr>
            </w:pPr>
            <w:r w:rsidRPr="00E922F1">
              <w:t>A variety of communal spaces that facilitate family and community engagement, and personal choice</w:t>
            </w:r>
          </w:p>
        </w:tc>
        <w:tc>
          <w:tcPr>
            <w:tcW w:w="6838" w:type="dxa"/>
            <w:tcBorders>
              <w:top w:val="single" w:sz="4" w:space="0" w:color="A6A6A6" w:themeColor="background1" w:themeShade="A6"/>
              <w:bottom w:val="single" w:sz="4" w:space="0" w:color="A6A6A6" w:themeColor="background1" w:themeShade="A6"/>
            </w:tcBorders>
            <w:shd w:val="clear" w:color="auto" w:fill="auto"/>
          </w:tcPr>
          <w:p w:rsidR="00B67876" w:rsidRPr="00E922F1" w:rsidRDefault="00A67F7D" w:rsidP="00AA45D0">
            <w:pPr>
              <w:pStyle w:val="TableBullet"/>
              <w:spacing w:before="60"/>
              <w:rPr>
                <w:rFonts w:eastAsia="Arial" w:cs="Arial"/>
                <w:szCs w:val="19"/>
              </w:rPr>
            </w:pPr>
            <w:r w:rsidRPr="00E922F1">
              <w:rPr>
                <w:rFonts w:eastAsia="Arial" w:cs="Arial"/>
                <w:szCs w:val="19"/>
              </w:rPr>
              <w:t>‘</w:t>
            </w:r>
            <w:r w:rsidR="00B67876" w:rsidRPr="00E922F1">
              <w:rPr>
                <w:rFonts w:eastAsia="Arial" w:cs="Arial"/>
                <w:szCs w:val="19"/>
              </w:rPr>
              <w:t>Hosting space</w:t>
            </w:r>
            <w:r w:rsidRPr="00E922F1">
              <w:rPr>
                <w:rFonts w:eastAsia="Arial" w:cs="Arial"/>
                <w:szCs w:val="19"/>
              </w:rPr>
              <w:t>’</w:t>
            </w:r>
            <w:r w:rsidR="00B67876" w:rsidRPr="00E922F1">
              <w:rPr>
                <w:rFonts w:eastAsia="Arial" w:cs="Arial"/>
                <w:szCs w:val="19"/>
              </w:rPr>
              <w:t xml:space="preserve"> where friends and family can go that is not the bedroom</w:t>
            </w:r>
          </w:p>
          <w:p w:rsidR="00B67876" w:rsidRPr="00E922F1" w:rsidRDefault="00B67876" w:rsidP="00AA45D0">
            <w:pPr>
              <w:pStyle w:val="TableBullet"/>
              <w:rPr>
                <w:rFonts w:eastAsia="Arial" w:cs="Arial"/>
                <w:szCs w:val="19"/>
              </w:rPr>
            </w:pPr>
            <w:r w:rsidRPr="00E922F1">
              <w:t>Spaces such as sunrooms, decks and libraries</w:t>
            </w:r>
          </w:p>
          <w:p w:rsidR="00B67876" w:rsidRPr="00E922F1" w:rsidRDefault="00B67876" w:rsidP="00AA45D0">
            <w:pPr>
              <w:pStyle w:val="TableBullet"/>
              <w:rPr>
                <w:rFonts w:eastAsia="Arial" w:cs="Arial"/>
                <w:szCs w:val="19"/>
              </w:rPr>
            </w:pPr>
            <w:r w:rsidRPr="00E922F1">
              <w:t>Gardens</w:t>
            </w:r>
          </w:p>
          <w:p w:rsidR="00B67876" w:rsidRPr="00E922F1" w:rsidRDefault="00B67876" w:rsidP="00AA45D0">
            <w:pPr>
              <w:pStyle w:val="TableBullet"/>
              <w:rPr>
                <w:rFonts w:eastAsia="Arial" w:cs="Arial"/>
                <w:szCs w:val="19"/>
              </w:rPr>
            </w:pPr>
            <w:r w:rsidRPr="00E922F1">
              <w:t>Quiet places</w:t>
            </w:r>
          </w:p>
          <w:p w:rsidR="00B67876" w:rsidRPr="00E922F1" w:rsidRDefault="00B67876" w:rsidP="00AA45D0">
            <w:pPr>
              <w:pStyle w:val="TableBullet"/>
              <w:rPr>
                <w:rFonts w:eastAsia="Arial" w:cs="Arial"/>
                <w:szCs w:val="19"/>
              </w:rPr>
            </w:pPr>
            <w:r w:rsidRPr="00E922F1">
              <w:t>Space to accommodate extended family for family events (</w:t>
            </w:r>
            <w:proofErr w:type="spellStart"/>
            <w:r w:rsidRPr="00E922F1">
              <w:t>eg</w:t>
            </w:r>
            <w:proofErr w:type="spellEnd"/>
            <w:r w:rsidRPr="00E922F1">
              <w:t>, celebrating birthdays or other ceremonies) appropriate for a variety of cultures</w:t>
            </w:r>
          </w:p>
          <w:p w:rsidR="00B67876" w:rsidRPr="00E922F1" w:rsidRDefault="00B67876" w:rsidP="00AA45D0">
            <w:pPr>
              <w:pStyle w:val="TableBullet"/>
              <w:rPr>
                <w:rFonts w:eastAsia="Arial" w:cs="Arial"/>
                <w:szCs w:val="19"/>
              </w:rPr>
            </w:pPr>
            <w:r w:rsidRPr="00E922F1">
              <w:t>Cues to welcome different cultures</w:t>
            </w:r>
          </w:p>
          <w:p w:rsidR="00B67876" w:rsidRPr="00E922F1" w:rsidRDefault="00B67876" w:rsidP="00AA45D0">
            <w:pPr>
              <w:pStyle w:val="TableBullet"/>
              <w:rPr>
                <w:rFonts w:eastAsia="Arial" w:cs="Arial"/>
                <w:szCs w:val="19"/>
              </w:rPr>
            </w:pPr>
            <w:r w:rsidRPr="00E922F1">
              <w:t>A pet-friendly environment</w:t>
            </w:r>
          </w:p>
          <w:p w:rsidR="00B67876" w:rsidRPr="00E922F1" w:rsidRDefault="00B67876" w:rsidP="00AA45D0">
            <w:pPr>
              <w:pStyle w:val="TableBullet"/>
              <w:rPr>
                <w:rFonts w:eastAsia="Arial" w:cs="Arial"/>
                <w:szCs w:val="19"/>
              </w:rPr>
            </w:pPr>
            <w:r w:rsidRPr="00E922F1">
              <w:rPr>
                <w:rFonts w:eastAsia="Arial" w:cs="Arial"/>
                <w:szCs w:val="19"/>
              </w:rPr>
              <w:t>A child-friendly environment (</w:t>
            </w:r>
            <w:proofErr w:type="spellStart"/>
            <w:r w:rsidRPr="00E922F1">
              <w:rPr>
                <w:rFonts w:eastAsia="Arial" w:cs="Arial"/>
                <w:szCs w:val="19"/>
              </w:rPr>
              <w:t>eg</w:t>
            </w:r>
            <w:proofErr w:type="spellEnd"/>
            <w:r w:rsidRPr="00E922F1">
              <w:rPr>
                <w:rFonts w:eastAsia="Arial" w:cs="Arial"/>
                <w:szCs w:val="19"/>
              </w:rPr>
              <w:t>, children</w:t>
            </w:r>
            <w:r w:rsidR="00A67F7D" w:rsidRPr="00E922F1">
              <w:rPr>
                <w:rFonts w:eastAsia="Arial" w:cs="Arial"/>
                <w:szCs w:val="19"/>
              </w:rPr>
              <w:t>’</w:t>
            </w:r>
            <w:r w:rsidRPr="00E922F1">
              <w:rPr>
                <w:rFonts w:eastAsia="Arial" w:cs="Arial"/>
                <w:szCs w:val="19"/>
              </w:rPr>
              <w:t>s play areas)</w:t>
            </w:r>
          </w:p>
          <w:p w:rsidR="00B67876" w:rsidRPr="00E922F1" w:rsidRDefault="00B67876" w:rsidP="00AA45D0">
            <w:pPr>
              <w:pStyle w:val="TableBullet"/>
              <w:rPr>
                <w:rFonts w:eastAsia="Arial" w:cs="Arial"/>
                <w:szCs w:val="19"/>
              </w:rPr>
            </w:pPr>
            <w:r w:rsidRPr="00E922F1">
              <w:t>Spaces to show or create art</w:t>
            </w:r>
          </w:p>
        </w:tc>
      </w:tr>
      <w:tr w:rsidR="00B67876" w:rsidRPr="00E922F1" w:rsidTr="00AA45D0">
        <w:trPr>
          <w:cantSplit/>
        </w:trPr>
        <w:tc>
          <w:tcPr>
            <w:tcW w:w="2518" w:type="dxa"/>
            <w:tcBorders>
              <w:top w:val="single" w:sz="4" w:space="0" w:color="A6A6A6" w:themeColor="background1" w:themeShade="A6"/>
              <w:bottom w:val="single" w:sz="4" w:space="0" w:color="A6A6A6" w:themeColor="background1" w:themeShade="A6"/>
            </w:tcBorders>
            <w:shd w:val="clear" w:color="auto" w:fill="auto"/>
          </w:tcPr>
          <w:p w:rsidR="00B67876" w:rsidRPr="00E922F1" w:rsidRDefault="00B67876" w:rsidP="00AA45D0">
            <w:pPr>
              <w:pStyle w:val="TableText"/>
              <w:ind w:right="284"/>
              <w:rPr>
                <w:rFonts w:eastAsia="Arial" w:cs="Arial"/>
                <w:szCs w:val="19"/>
              </w:rPr>
            </w:pPr>
            <w:r w:rsidRPr="00E922F1">
              <w:t>People can easily personalise their individual space</w:t>
            </w:r>
          </w:p>
        </w:tc>
        <w:tc>
          <w:tcPr>
            <w:tcW w:w="6838" w:type="dxa"/>
            <w:tcBorders>
              <w:top w:val="single" w:sz="4" w:space="0" w:color="A6A6A6" w:themeColor="background1" w:themeShade="A6"/>
              <w:bottom w:val="single" w:sz="4" w:space="0" w:color="A6A6A6" w:themeColor="background1" w:themeShade="A6"/>
            </w:tcBorders>
            <w:shd w:val="clear" w:color="auto" w:fill="auto"/>
          </w:tcPr>
          <w:p w:rsidR="00B67876" w:rsidRPr="00E922F1" w:rsidRDefault="00B67876" w:rsidP="00AA45D0">
            <w:pPr>
              <w:pStyle w:val="TableBullet"/>
              <w:spacing w:before="60"/>
              <w:rPr>
                <w:rFonts w:eastAsia="Arial" w:cs="Arial"/>
                <w:szCs w:val="19"/>
              </w:rPr>
            </w:pPr>
            <w:r w:rsidRPr="00E922F1">
              <w:t>Opportunity for people to have their own furniture and curtains</w:t>
            </w:r>
          </w:p>
          <w:p w:rsidR="00B67876" w:rsidRPr="00E922F1" w:rsidRDefault="00B67876" w:rsidP="00AA45D0">
            <w:pPr>
              <w:pStyle w:val="TableBullet"/>
              <w:rPr>
                <w:rFonts w:eastAsia="Arial" w:cs="Arial"/>
                <w:szCs w:val="19"/>
              </w:rPr>
            </w:pPr>
            <w:r w:rsidRPr="00E922F1">
              <w:rPr>
                <w:rFonts w:eastAsia="Arial" w:cs="Arial"/>
                <w:szCs w:val="19"/>
              </w:rPr>
              <w:t>Allowance for pictures and familiar things in people</w:t>
            </w:r>
            <w:r w:rsidR="00A67F7D" w:rsidRPr="00E922F1">
              <w:rPr>
                <w:rFonts w:eastAsia="Arial" w:cs="Arial"/>
                <w:szCs w:val="19"/>
              </w:rPr>
              <w:t>’</w:t>
            </w:r>
            <w:r w:rsidRPr="00E922F1">
              <w:rPr>
                <w:rFonts w:eastAsia="Arial" w:cs="Arial"/>
                <w:szCs w:val="19"/>
              </w:rPr>
              <w:t>s own rooms</w:t>
            </w:r>
          </w:p>
          <w:p w:rsidR="00B67876" w:rsidRPr="00E922F1" w:rsidRDefault="00B67876" w:rsidP="00AA45D0">
            <w:pPr>
              <w:pStyle w:val="TableBullet"/>
              <w:rPr>
                <w:rFonts w:eastAsia="Arial" w:cs="Arial"/>
                <w:szCs w:val="19"/>
              </w:rPr>
            </w:pPr>
            <w:r w:rsidRPr="00E922F1">
              <w:t>Comfortably sized rooms, with space for furniture as well as equipment needed to provide care</w:t>
            </w:r>
          </w:p>
        </w:tc>
      </w:tr>
      <w:tr w:rsidR="00B67876" w:rsidRPr="00E922F1" w:rsidTr="00AA45D0">
        <w:trPr>
          <w:cantSplit/>
        </w:trPr>
        <w:tc>
          <w:tcPr>
            <w:tcW w:w="2518" w:type="dxa"/>
            <w:tcBorders>
              <w:top w:val="single" w:sz="4" w:space="0" w:color="A6A6A6" w:themeColor="background1" w:themeShade="A6"/>
              <w:bottom w:val="single" w:sz="4" w:space="0" w:color="A6A6A6" w:themeColor="background1" w:themeShade="A6"/>
            </w:tcBorders>
            <w:shd w:val="clear" w:color="auto" w:fill="auto"/>
          </w:tcPr>
          <w:p w:rsidR="00B67876" w:rsidRPr="00E922F1" w:rsidRDefault="00B67876" w:rsidP="00AA45D0">
            <w:pPr>
              <w:pStyle w:val="TableText"/>
              <w:ind w:right="284"/>
              <w:rPr>
                <w:rFonts w:eastAsia="Arial" w:cs="Arial"/>
                <w:szCs w:val="19"/>
              </w:rPr>
            </w:pPr>
            <w:r w:rsidRPr="00E922F1">
              <w:rPr>
                <w:rFonts w:eastAsia="Arial" w:cs="Arial"/>
                <w:szCs w:val="19"/>
              </w:rPr>
              <w:t>Design facilitates people</w:t>
            </w:r>
            <w:r w:rsidR="00A67F7D" w:rsidRPr="00E922F1">
              <w:rPr>
                <w:rFonts w:eastAsia="Arial" w:cs="Arial"/>
                <w:szCs w:val="19"/>
              </w:rPr>
              <w:t>’</w:t>
            </w:r>
            <w:r w:rsidRPr="00E922F1">
              <w:rPr>
                <w:rFonts w:eastAsia="Arial" w:cs="Arial"/>
                <w:szCs w:val="19"/>
              </w:rPr>
              <w:t>s independent domestic activity</w:t>
            </w:r>
          </w:p>
        </w:tc>
        <w:tc>
          <w:tcPr>
            <w:tcW w:w="6838" w:type="dxa"/>
            <w:tcBorders>
              <w:top w:val="single" w:sz="4" w:space="0" w:color="A6A6A6" w:themeColor="background1" w:themeShade="A6"/>
              <w:bottom w:val="single" w:sz="4" w:space="0" w:color="A6A6A6" w:themeColor="background1" w:themeShade="A6"/>
            </w:tcBorders>
            <w:shd w:val="clear" w:color="auto" w:fill="auto"/>
          </w:tcPr>
          <w:p w:rsidR="00B67876" w:rsidRPr="00E922F1" w:rsidRDefault="00B67876" w:rsidP="00AA45D0">
            <w:pPr>
              <w:pStyle w:val="TableBullet"/>
              <w:spacing w:before="60"/>
              <w:rPr>
                <w:rFonts w:eastAsia="Arial" w:cs="Arial"/>
                <w:szCs w:val="19"/>
              </w:rPr>
            </w:pPr>
            <w:r w:rsidRPr="00E922F1">
              <w:t>Easy access to a communal kitchen</w:t>
            </w:r>
          </w:p>
          <w:p w:rsidR="00B67876" w:rsidRPr="00E922F1" w:rsidRDefault="00B67876" w:rsidP="00AA45D0">
            <w:pPr>
              <w:pStyle w:val="TableBullet"/>
              <w:rPr>
                <w:rFonts w:eastAsia="Arial" w:cs="Arial"/>
                <w:szCs w:val="19"/>
              </w:rPr>
            </w:pPr>
            <w:r w:rsidRPr="00E922F1">
              <w:t>Opportunity for people to access domestic spaces and undertake a variety of household tasks</w:t>
            </w:r>
          </w:p>
          <w:p w:rsidR="00B67876" w:rsidRPr="00E922F1" w:rsidRDefault="00B67876" w:rsidP="00AA45D0">
            <w:pPr>
              <w:pStyle w:val="TableBullet"/>
              <w:rPr>
                <w:rFonts w:eastAsia="Arial" w:cs="Arial"/>
                <w:szCs w:val="19"/>
              </w:rPr>
            </w:pPr>
            <w:r w:rsidRPr="00E922F1">
              <w:t>Potentially raised garden beds, a working shed, a clothes line</w:t>
            </w:r>
          </w:p>
        </w:tc>
      </w:tr>
      <w:tr w:rsidR="00B67876" w:rsidRPr="00E922F1" w:rsidTr="00AA45D0">
        <w:trPr>
          <w:cantSplit/>
        </w:trPr>
        <w:tc>
          <w:tcPr>
            <w:tcW w:w="2518" w:type="dxa"/>
            <w:tcBorders>
              <w:top w:val="single" w:sz="4" w:space="0" w:color="A6A6A6" w:themeColor="background1" w:themeShade="A6"/>
              <w:bottom w:val="single" w:sz="4" w:space="0" w:color="A6A6A6" w:themeColor="background1" w:themeShade="A6"/>
            </w:tcBorders>
            <w:shd w:val="clear" w:color="auto" w:fill="auto"/>
          </w:tcPr>
          <w:p w:rsidR="00B67876" w:rsidRPr="00E922F1" w:rsidRDefault="00B67876" w:rsidP="00AA45D0">
            <w:pPr>
              <w:pStyle w:val="TableText"/>
              <w:ind w:right="284"/>
              <w:rPr>
                <w:rFonts w:eastAsia="Arial" w:cs="Arial"/>
                <w:szCs w:val="19"/>
              </w:rPr>
            </w:pPr>
            <w:r w:rsidRPr="00E922F1">
              <w:t>Design facilitates visual and physical flow between indoors and outdoors</w:t>
            </w:r>
          </w:p>
        </w:tc>
        <w:tc>
          <w:tcPr>
            <w:tcW w:w="6838" w:type="dxa"/>
            <w:tcBorders>
              <w:top w:val="single" w:sz="4" w:space="0" w:color="A6A6A6" w:themeColor="background1" w:themeShade="A6"/>
              <w:bottom w:val="single" w:sz="4" w:space="0" w:color="A6A6A6" w:themeColor="background1" w:themeShade="A6"/>
            </w:tcBorders>
            <w:shd w:val="clear" w:color="auto" w:fill="auto"/>
          </w:tcPr>
          <w:p w:rsidR="00B67876" w:rsidRPr="00E922F1" w:rsidRDefault="00B67876" w:rsidP="00AA45D0">
            <w:pPr>
              <w:pStyle w:val="TableBullet"/>
              <w:spacing w:before="60"/>
              <w:rPr>
                <w:rFonts w:eastAsia="Arial" w:cs="Arial"/>
                <w:szCs w:val="19"/>
              </w:rPr>
            </w:pPr>
            <w:r w:rsidRPr="00E922F1">
              <w:t>Opportunity for people to engage with the outdoor environment</w:t>
            </w:r>
          </w:p>
          <w:p w:rsidR="00B67876" w:rsidRPr="00E922F1" w:rsidRDefault="00B67876" w:rsidP="00AA45D0">
            <w:pPr>
              <w:pStyle w:val="TableBullet"/>
              <w:rPr>
                <w:rFonts w:eastAsia="Arial" w:cs="Arial"/>
                <w:szCs w:val="19"/>
              </w:rPr>
            </w:pPr>
            <w:r w:rsidRPr="00E922F1">
              <w:rPr>
                <w:rFonts w:eastAsia="Arial" w:cs="Arial"/>
                <w:szCs w:val="19"/>
              </w:rPr>
              <w:t>Freedom to walk around – places to go</w:t>
            </w:r>
          </w:p>
          <w:p w:rsidR="00B67876" w:rsidRPr="00E922F1" w:rsidRDefault="00B67876" w:rsidP="00AA45D0">
            <w:pPr>
              <w:pStyle w:val="TableBullet"/>
              <w:rPr>
                <w:rFonts w:eastAsia="Arial" w:cs="Arial"/>
                <w:szCs w:val="19"/>
              </w:rPr>
            </w:pPr>
            <w:r w:rsidRPr="00E922F1">
              <w:rPr>
                <w:rFonts w:eastAsia="Arial" w:cs="Arial"/>
                <w:szCs w:val="19"/>
              </w:rPr>
              <w:t>Cues for meaningful activity – clothes line, working shed, mailbox</w:t>
            </w:r>
          </w:p>
          <w:p w:rsidR="00B67876" w:rsidRPr="00E922F1" w:rsidRDefault="00B67876" w:rsidP="00AA45D0">
            <w:pPr>
              <w:pStyle w:val="TableBullet"/>
              <w:rPr>
                <w:rFonts w:eastAsia="Arial" w:cs="Arial"/>
                <w:szCs w:val="19"/>
              </w:rPr>
            </w:pPr>
            <w:r w:rsidRPr="00E922F1">
              <w:t>Decreased obviousness of entries and exits</w:t>
            </w:r>
          </w:p>
          <w:p w:rsidR="00B67876" w:rsidRPr="00E922F1" w:rsidRDefault="00B67876" w:rsidP="00AA45D0">
            <w:pPr>
              <w:pStyle w:val="TableBullet"/>
              <w:rPr>
                <w:rFonts w:eastAsia="Arial" w:cs="Arial"/>
                <w:szCs w:val="19"/>
              </w:rPr>
            </w:pPr>
            <w:r w:rsidRPr="00E922F1">
              <w:t>Designs that allow easy access to cars so staff or family can easily help people into a vehicle</w:t>
            </w:r>
          </w:p>
        </w:tc>
      </w:tr>
      <w:tr w:rsidR="00AA45D0" w:rsidRPr="00E922F1" w:rsidTr="00AA45D0">
        <w:trPr>
          <w:cantSplit/>
        </w:trPr>
        <w:tc>
          <w:tcPr>
            <w:tcW w:w="2518" w:type="dxa"/>
            <w:tcBorders>
              <w:top w:val="single" w:sz="4" w:space="0" w:color="A6A6A6" w:themeColor="background1" w:themeShade="A6"/>
            </w:tcBorders>
            <w:shd w:val="clear" w:color="auto" w:fill="auto"/>
          </w:tcPr>
          <w:p w:rsidR="00AA45D0" w:rsidRPr="00E922F1" w:rsidRDefault="00AA45D0" w:rsidP="00AA45D0">
            <w:pPr>
              <w:pStyle w:val="TableText"/>
              <w:ind w:right="284"/>
            </w:pPr>
            <w:r w:rsidRPr="00E922F1">
              <w:t>Security is unobtrusive</w:t>
            </w:r>
          </w:p>
        </w:tc>
        <w:tc>
          <w:tcPr>
            <w:tcW w:w="6838" w:type="dxa"/>
            <w:tcBorders>
              <w:top w:val="single" w:sz="4" w:space="0" w:color="A6A6A6" w:themeColor="background1" w:themeShade="A6"/>
            </w:tcBorders>
            <w:shd w:val="clear" w:color="auto" w:fill="auto"/>
          </w:tcPr>
          <w:p w:rsidR="00AA45D0" w:rsidRPr="00E922F1" w:rsidRDefault="00AA45D0" w:rsidP="00AA45D0">
            <w:pPr>
              <w:pStyle w:val="TableBullet"/>
              <w:spacing w:before="60"/>
              <w:rPr>
                <w:rFonts w:eastAsia="Arial"/>
              </w:rPr>
            </w:pPr>
            <w:r w:rsidRPr="00E922F1">
              <w:rPr>
                <w:rFonts w:eastAsia="Arial"/>
              </w:rPr>
              <w:t>Unobtrusive boundary security – no obviously high gates or fences</w:t>
            </w:r>
          </w:p>
          <w:p w:rsidR="00AA45D0" w:rsidRPr="00E922F1" w:rsidRDefault="00AA45D0" w:rsidP="00AA45D0">
            <w:pPr>
              <w:pStyle w:val="TableBullet"/>
              <w:rPr>
                <w:rFonts w:eastAsia="Arial" w:cs="Arial"/>
                <w:szCs w:val="19"/>
              </w:rPr>
            </w:pPr>
            <w:r w:rsidRPr="00E922F1">
              <w:t>Perimeter fencing that provides both privacy and a view to the outside community</w:t>
            </w:r>
          </w:p>
          <w:p w:rsidR="00AA45D0" w:rsidRPr="00E922F1" w:rsidRDefault="00AA45D0" w:rsidP="00AA45D0">
            <w:pPr>
              <w:pStyle w:val="TableBullet"/>
              <w:rPr>
                <w:rFonts w:eastAsia="Arial"/>
              </w:rPr>
            </w:pPr>
            <w:r w:rsidRPr="00E922F1">
              <w:rPr>
                <w:rFonts w:eastAsia="Arial"/>
              </w:rPr>
              <w:t>Philosophy of care that allows for reasonable, supported risk-taking, on the understanding that an overly restrictive approach to risk can impoverish the environment and people’s lives</w:t>
            </w:r>
          </w:p>
          <w:p w:rsidR="00AA45D0" w:rsidRPr="00E922F1" w:rsidRDefault="00AA45D0" w:rsidP="00AA45D0">
            <w:pPr>
              <w:pStyle w:val="TableBullet"/>
              <w:rPr>
                <w:rFonts w:eastAsia="Arial" w:cs="Arial"/>
                <w:szCs w:val="19"/>
              </w:rPr>
            </w:pPr>
            <w:r w:rsidRPr="00E922F1">
              <w:t>Systems that allow family and friends to enter easily</w:t>
            </w:r>
          </w:p>
        </w:tc>
      </w:tr>
    </w:tbl>
    <w:p w:rsidR="00B67876" w:rsidRPr="00E922F1" w:rsidRDefault="00B67876" w:rsidP="00AA45D0">
      <w:pPr>
        <w:rPr>
          <w:rFonts w:eastAsia="Century"/>
        </w:rPr>
      </w:pPr>
    </w:p>
    <w:p w:rsidR="00B67876" w:rsidRPr="00E922F1" w:rsidRDefault="00B67876" w:rsidP="00AA45D0">
      <w:pPr>
        <w:pStyle w:val="Heading2"/>
        <w:rPr>
          <w:bCs/>
        </w:rPr>
      </w:pPr>
      <w:bookmarkStart w:id="17" w:name="_Toc459188097"/>
      <w:r w:rsidRPr="00E922F1">
        <w:lastRenderedPageBreak/>
        <w:t>Gardens and environs</w:t>
      </w:r>
      <w:bookmarkEnd w:id="17"/>
    </w:p>
    <w:p w:rsidR="00B67876" w:rsidRPr="00E922F1" w:rsidRDefault="00B67876" w:rsidP="00AA45D0">
      <w:r w:rsidRPr="00E922F1">
        <w:t xml:space="preserve">The successful design of gardens for people with dementia is complex but important for many reasons, the greatest of which is the conservation of dignity. Access to the outdoors bestows a certain level of potential autonomy on people with dementia (Schwarz and </w:t>
      </w:r>
      <w:proofErr w:type="spellStart"/>
      <w:r w:rsidRPr="00E922F1">
        <w:t>Rodiek</w:t>
      </w:r>
      <w:proofErr w:type="spellEnd"/>
      <w:r w:rsidRPr="00E922F1">
        <w:t xml:space="preserve"> 2007), as well as affording them</w:t>
      </w:r>
      <w:r w:rsidR="00AA45D0" w:rsidRPr="00E922F1">
        <w:t xml:space="preserve"> </w:t>
      </w:r>
      <w:r w:rsidRPr="00E922F1">
        <w:t>the opportunity to experience and enjoy nature. Participants in the workgroups noted that gardens and outdoor environments in dementia care homes do two things – they provide access and exposure to nature, known to be health-giving, and they provide the space for exercise and recreation (a basic human right). They are therefore essential, rather than optional.</w:t>
      </w:r>
    </w:p>
    <w:p w:rsidR="00B67876" w:rsidRPr="00E922F1" w:rsidRDefault="00B67876" w:rsidP="00AA45D0">
      <w:pPr>
        <w:rPr>
          <w:rFonts w:eastAsia="Century"/>
        </w:rPr>
      </w:pPr>
    </w:p>
    <w:p w:rsidR="00B67876" w:rsidRPr="00E922F1" w:rsidRDefault="00B67876" w:rsidP="00AA45D0">
      <w:r w:rsidRPr="00E922F1">
        <w:t>Workshop participants clearly stated that secure dementia care should be provided on the ground floor in order to offer independent access to safe outdoor space that provides an experience of nature</w:t>
      </w:r>
      <w:r w:rsidR="00AA45D0" w:rsidRPr="00E922F1">
        <w:t xml:space="preserve"> </w:t>
      </w:r>
      <w:r w:rsidRPr="00E922F1">
        <w:t>and the space for exercise. This outdoor space needs to be sized appropriately for the number of people who will use it. Dementia care providers who build units on upper levels in New Zealand should take steps to ensure they meet the principles set out in this Resource, including independent access to an outdoor area.</w:t>
      </w:r>
    </w:p>
    <w:p w:rsidR="00B67876" w:rsidRPr="00E922F1" w:rsidRDefault="00B67876" w:rsidP="00AA45D0">
      <w:pPr>
        <w:rPr>
          <w:rFonts w:eastAsia="Century"/>
        </w:rPr>
      </w:pPr>
    </w:p>
    <w:p w:rsidR="00B67876" w:rsidRPr="00E922F1" w:rsidRDefault="00B67876" w:rsidP="00AA45D0">
      <w:r w:rsidRPr="00E922F1">
        <w:t>The following components are important in terms of secure dementia care homes</w:t>
      </w:r>
      <w:r w:rsidR="00A67F7D" w:rsidRPr="00E922F1">
        <w:t>’</w:t>
      </w:r>
      <w:r w:rsidRPr="00E922F1">
        <w:t xml:space="preserve"> gardens and environs.</w:t>
      </w:r>
    </w:p>
    <w:p w:rsidR="00B67876" w:rsidRPr="00E922F1" w:rsidRDefault="00B67876" w:rsidP="00AA45D0">
      <w:pPr>
        <w:rPr>
          <w:rFonts w:eastAsia="Century"/>
        </w:rPr>
      </w:pPr>
    </w:p>
    <w:tbl>
      <w:tblPr>
        <w:tblW w:w="9356" w:type="dxa"/>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187"/>
        <w:gridCol w:w="6169"/>
      </w:tblGrid>
      <w:tr w:rsidR="00B67876" w:rsidRPr="00E922F1" w:rsidTr="00AA45D0">
        <w:trPr>
          <w:cantSplit/>
          <w:tblHeader/>
        </w:trPr>
        <w:tc>
          <w:tcPr>
            <w:tcW w:w="3187" w:type="dxa"/>
            <w:tcBorders>
              <w:top w:val="single" w:sz="4" w:space="0" w:color="auto"/>
              <w:bottom w:val="single" w:sz="4" w:space="0" w:color="auto"/>
            </w:tcBorders>
            <w:shd w:val="clear" w:color="auto" w:fill="auto"/>
          </w:tcPr>
          <w:p w:rsidR="00B67876" w:rsidRPr="00E922F1" w:rsidRDefault="00B67876" w:rsidP="00AA45D0">
            <w:pPr>
              <w:pStyle w:val="TableText"/>
              <w:ind w:right="284"/>
              <w:rPr>
                <w:rFonts w:eastAsia="Arial" w:cs="Arial"/>
                <w:b/>
                <w:szCs w:val="19"/>
              </w:rPr>
            </w:pPr>
            <w:r w:rsidRPr="00E922F1">
              <w:rPr>
                <w:b/>
              </w:rPr>
              <w:t>Components</w:t>
            </w:r>
          </w:p>
        </w:tc>
        <w:tc>
          <w:tcPr>
            <w:tcW w:w="6169" w:type="dxa"/>
            <w:tcBorders>
              <w:top w:val="single" w:sz="4" w:space="0" w:color="auto"/>
              <w:bottom w:val="single" w:sz="4" w:space="0" w:color="auto"/>
            </w:tcBorders>
            <w:shd w:val="clear" w:color="auto" w:fill="auto"/>
          </w:tcPr>
          <w:p w:rsidR="00B67876" w:rsidRPr="00E922F1" w:rsidRDefault="00B67876" w:rsidP="00AA45D0">
            <w:pPr>
              <w:pStyle w:val="TableText"/>
              <w:rPr>
                <w:rFonts w:eastAsia="Arial" w:cs="Arial"/>
                <w:b/>
                <w:szCs w:val="19"/>
              </w:rPr>
            </w:pPr>
            <w:r w:rsidRPr="00E922F1">
              <w:rPr>
                <w:b/>
              </w:rPr>
              <w:t>Detail</w:t>
            </w:r>
          </w:p>
        </w:tc>
      </w:tr>
      <w:tr w:rsidR="00B67876" w:rsidRPr="00E922F1" w:rsidTr="00AA45D0">
        <w:trPr>
          <w:cantSplit/>
        </w:trPr>
        <w:tc>
          <w:tcPr>
            <w:tcW w:w="3187" w:type="dxa"/>
            <w:tcBorders>
              <w:top w:val="single" w:sz="4" w:space="0" w:color="auto"/>
              <w:bottom w:val="single" w:sz="4" w:space="0" w:color="A6A6A6" w:themeColor="background1" w:themeShade="A6"/>
            </w:tcBorders>
            <w:shd w:val="clear" w:color="auto" w:fill="auto"/>
          </w:tcPr>
          <w:p w:rsidR="00B67876" w:rsidRPr="00E922F1" w:rsidRDefault="00B67876" w:rsidP="00AA45D0">
            <w:pPr>
              <w:pStyle w:val="TableText"/>
              <w:ind w:right="284"/>
              <w:rPr>
                <w:rFonts w:eastAsia="Arial" w:cs="Arial"/>
                <w:szCs w:val="19"/>
              </w:rPr>
            </w:pPr>
            <w:r w:rsidRPr="00E922F1">
              <w:t>Outdoor space is designed as an extension of indoor space</w:t>
            </w:r>
          </w:p>
        </w:tc>
        <w:tc>
          <w:tcPr>
            <w:tcW w:w="6169" w:type="dxa"/>
            <w:tcBorders>
              <w:top w:val="single" w:sz="4" w:space="0" w:color="auto"/>
              <w:bottom w:val="single" w:sz="4" w:space="0" w:color="A6A6A6" w:themeColor="background1" w:themeShade="A6"/>
            </w:tcBorders>
            <w:shd w:val="clear" w:color="auto" w:fill="auto"/>
          </w:tcPr>
          <w:p w:rsidR="00B67876" w:rsidRPr="00E922F1" w:rsidRDefault="00B67876" w:rsidP="00AA45D0">
            <w:pPr>
              <w:pStyle w:val="TableBullet"/>
              <w:spacing w:before="60"/>
              <w:rPr>
                <w:rFonts w:eastAsia="Arial" w:cs="Arial"/>
                <w:szCs w:val="19"/>
              </w:rPr>
            </w:pPr>
            <w:r w:rsidRPr="00E922F1">
              <w:t>Visual and physical access between inside and outside</w:t>
            </w:r>
          </w:p>
          <w:p w:rsidR="00B67876" w:rsidRPr="00E922F1" w:rsidRDefault="00B67876" w:rsidP="00AA45D0">
            <w:pPr>
              <w:pStyle w:val="TableBullet"/>
              <w:rPr>
                <w:rFonts w:eastAsia="Arial" w:cs="Arial"/>
                <w:szCs w:val="19"/>
              </w:rPr>
            </w:pPr>
            <w:r w:rsidRPr="00E922F1">
              <w:t>Opportunity for independent physical access from inside to outside</w:t>
            </w:r>
          </w:p>
          <w:p w:rsidR="00B67876" w:rsidRPr="00E922F1" w:rsidRDefault="00B67876" w:rsidP="00AA45D0">
            <w:pPr>
              <w:pStyle w:val="TableBullet"/>
              <w:rPr>
                <w:rFonts w:eastAsia="Arial" w:cs="Arial"/>
                <w:szCs w:val="19"/>
              </w:rPr>
            </w:pPr>
            <w:r w:rsidRPr="00E922F1">
              <w:t>A transition between indoors and outdoors that is even underfoot</w:t>
            </w:r>
          </w:p>
          <w:p w:rsidR="00B67876" w:rsidRPr="00E922F1" w:rsidRDefault="00B67876" w:rsidP="00AA45D0">
            <w:pPr>
              <w:pStyle w:val="TableBullet"/>
              <w:rPr>
                <w:rFonts w:eastAsia="Arial" w:cs="Arial"/>
                <w:szCs w:val="19"/>
              </w:rPr>
            </w:pPr>
            <w:r w:rsidRPr="00E922F1">
              <w:t>Appropriately surfaced and consistently coloured pathways</w:t>
            </w:r>
          </w:p>
          <w:p w:rsidR="00B67876" w:rsidRPr="00E922F1" w:rsidRDefault="00B67876" w:rsidP="00AA45D0">
            <w:pPr>
              <w:pStyle w:val="TableBullet"/>
              <w:rPr>
                <w:rFonts w:eastAsia="Arial" w:cs="Arial"/>
                <w:szCs w:val="19"/>
              </w:rPr>
            </w:pPr>
            <w:r w:rsidRPr="00E922F1">
              <w:t>An entrance to the home itself that is home-like: no confronting signage, and some garden elements at the entrance</w:t>
            </w:r>
          </w:p>
        </w:tc>
      </w:tr>
      <w:tr w:rsidR="00B67876" w:rsidRPr="00E922F1" w:rsidTr="00AA45D0">
        <w:trPr>
          <w:cantSplit/>
        </w:trPr>
        <w:tc>
          <w:tcPr>
            <w:tcW w:w="3187" w:type="dxa"/>
            <w:tcBorders>
              <w:top w:val="single" w:sz="4" w:space="0" w:color="A6A6A6" w:themeColor="background1" w:themeShade="A6"/>
              <w:bottom w:val="single" w:sz="4" w:space="0" w:color="A6A6A6" w:themeColor="background1" w:themeShade="A6"/>
            </w:tcBorders>
            <w:shd w:val="clear" w:color="auto" w:fill="auto"/>
          </w:tcPr>
          <w:p w:rsidR="00B67876" w:rsidRPr="00E922F1" w:rsidRDefault="00B67876" w:rsidP="00AA45D0">
            <w:pPr>
              <w:pStyle w:val="TableText"/>
              <w:ind w:right="284"/>
              <w:rPr>
                <w:rFonts w:eastAsia="Arial" w:cs="Arial"/>
                <w:szCs w:val="19"/>
              </w:rPr>
            </w:pPr>
            <w:r w:rsidRPr="00E922F1">
              <w:t>Outdoor space provides opportunity for walking</w:t>
            </w:r>
          </w:p>
        </w:tc>
        <w:tc>
          <w:tcPr>
            <w:tcW w:w="6169" w:type="dxa"/>
            <w:tcBorders>
              <w:top w:val="single" w:sz="4" w:space="0" w:color="A6A6A6" w:themeColor="background1" w:themeShade="A6"/>
              <w:bottom w:val="single" w:sz="4" w:space="0" w:color="A6A6A6" w:themeColor="background1" w:themeShade="A6"/>
            </w:tcBorders>
            <w:shd w:val="clear" w:color="auto" w:fill="auto"/>
          </w:tcPr>
          <w:p w:rsidR="00B67876" w:rsidRPr="00E922F1" w:rsidRDefault="00B67876" w:rsidP="00AA45D0">
            <w:pPr>
              <w:pStyle w:val="TableBullet"/>
              <w:spacing w:before="60"/>
              <w:rPr>
                <w:rFonts w:eastAsia="Arial" w:cs="Arial"/>
                <w:szCs w:val="19"/>
              </w:rPr>
            </w:pPr>
            <w:r w:rsidRPr="00E922F1">
              <w:t>A continuous looped path with destination points but no dead ends</w:t>
            </w:r>
          </w:p>
          <w:p w:rsidR="00B67876" w:rsidRPr="00E922F1" w:rsidRDefault="00B67876" w:rsidP="00AA45D0">
            <w:pPr>
              <w:pStyle w:val="TableBullet"/>
              <w:rPr>
                <w:rFonts w:eastAsia="Arial" w:cs="Arial"/>
                <w:szCs w:val="19"/>
              </w:rPr>
            </w:pPr>
            <w:r w:rsidRPr="00E922F1">
              <w:t>(with well-placed benches and sheltered rest areas)</w:t>
            </w:r>
          </w:p>
          <w:p w:rsidR="00B67876" w:rsidRPr="00E922F1" w:rsidRDefault="00B67876" w:rsidP="00AA45D0">
            <w:pPr>
              <w:pStyle w:val="TableBullet"/>
              <w:rPr>
                <w:rFonts w:eastAsia="Arial" w:cs="Arial"/>
                <w:szCs w:val="19"/>
              </w:rPr>
            </w:pPr>
            <w:r w:rsidRPr="00E922F1">
              <w:t>A space large enough for meaningful exercise and therapeutic benefit</w:t>
            </w:r>
          </w:p>
          <w:p w:rsidR="00B67876" w:rsidRPr="00E922F1" w:rsidRDefault="00B67876" w:rsidP="00AA45D0">
            <w:pPr>
              <w:pStyle w:val="TableBullet"/>
              <w:rPr>
                <w:rFonts w:eastAsia="Arial" w:cs="Arial"/>
                <w:szCs w:val="19"/>
              </w:rPr>
            </w:pPr>
            <w:r w:rsidRPr="00E922F1">
              <w:t>Motion sensor lighting for night use</w:t>
            </w:r>
          </w:p>
        </w:tc>
      </w:tr>
      <w:tr w:rsidR="00B67876" w:rsidRPr="00E922F1" w:rsidTr="00AA45D0">
        <w:trPr>
          <w:cantSplit/>
        </w:trPr>
        <w:tc>
          <w:tcPr>
            <w:tcW w:w="3187" w:type="dxa"/>
            <w:tcBorders>
              <w:top w:val="single" w:sz="4" w:space="0" w:color="A6A6A6" w:themeColor="background1" w:themeShade="A6"/>
              <w:bottom w:val="single" w:sz="4" w:space="0" w:color="A6A6A6" w:themeColor="background1" w:themeShade="A6"/>
            </w:tcBorders>
            <w:shd w:val="clear" w:color="auto" w:fill="auto"/>
          </w:tcPr>
          <w:p w:rsidR="00B67876" w:rsidRPr="00E922F1" w:rsidRDefault="00B67876" w:rsidP="00AA45D0">
            <w:pPr>
              <w:pStyle w:val="TableText"/>
              <w:ind w:right="284"/>
              <w:rPr>
                <w:rFonts w:eastAsia="Arial" w:cs="Arial"/>
                <w:szCs w:val="19"/>
              </w:rPr>
            </w:pPr>
            <w:r w:rsidRPr="00E922F1">
              <w:t>Outdoor space and garden is designed to provide opportunities for social interaction and engagement with the environment</w:t>
            </w:r>
          </w:p>
        </w:tc>
        <w:tc>
          <w:tcPr>
            <w:tcW w:w="6169" w:type="dxa"/>
            <w:tcBorders>
              <w:top w:val="single" w:sz="4" w:space="0" w:color="A6A6A6" w:themeColor="background1" w:themeShade="A6"/>
              <w:bottom w:val="single" w:sz="4" w:space="0" w:color="A6A6A6" w:themeColor="background1" w:themeShade="A6"/>
            </w:tcBorders>
            <w:shd w:val="clear" w:color="auto" w:fill="auto"/>
          </w:tcPr>
          <w:p w:rsidR="00B67876" w:rsidRPr="00E922F1" w:rsidRDefault="00B67876" w:rsidP="00AA45D0">
            <w:pPr>
              <w:pStyle w:val="TableBullet"/>
              <w:spacing w:before="60"/>
              <w:rPr>
                <w:rFonts w:eastAsia="Arial" w:cs="Arial"/>
                <w:szCs w:val="19"/>
              </w:rPr>
            </w:pPr>
            <w:r w:rsidRPr="00E922F1">
              <w:t>Raised garden beds, shed, clothes line</w:t>
            </w:r>
          </w:p>
          <w:p w:rsidR="00B67876" w:rsidRPr="00E922F1" w:rsidRDefault="00B67876" w:rsidP="00AA45D0">
            <w:pPr>
              <w:pStyle w:val="TableBullet"/>
              <w:rPr>
                <w:rFonts w:eastAsia="Arial" w:cs="Arial"/>
                <w:szCs w:val="19"/>
              </w:rPr>
            </w:pPr>
            <w:r w:rsidRPr="00E922F1">
              <w:rPr>
                <w:rFonts w:eastAsia="Arial" w:cs="Arial"/>
                <w:szCs w:val="19"/>
              </w:rPr>
              <w:t>Mixed spaces – large and small</w:t>
            </w:r>
          </w:p>
          <w:p w:rsidR="00B67876" w:rsidRPr="00E922F1" w:rsidRDefault="00B67876" w:rsidP="00AA45D0">
            <w:pPr>
              <w:pStyle w:val="TableBullet"/>
              <w:rPr>
                <w:rFonts w:eastAsia="Arial" w:cs="Arial"/>
                <w:szCs w:val="19"/>
              </w:rPr>
            </w:pPr>
            <w:r w:rsidRPr="00E922F1">
              <w:t>Seating and tables</w:t>
            </w:r>
          </w:p>
          <w:p w:rsidR="00B67876" w:rsidRPr="00E922F1" w:rsidRDefault="00B67876" w:rsidP="00AA45D0">
            <w:pPr>
              <w:pStyle w:val="TableBullet"/>
              <w:rPr>
                <w:rFonts w:eastAsia="Arial" w:cs="Arial"/>
                <w:szCs w:val="19"/>
              </w:rPr>
            </w:pPr>
            <w:r w:rsidRPr="00E922F1">
              <w:t>Sunny places and shady places</w:t>
            </w:r>
          </w:p>
          <w:p w:rsidR="00B67876" w:rsidRPr="00E922F1" w:rsidRDefault="00B67876" w:rsidP="00AA45D0">
            <w:pPr>
              <w:pStyle w:val="TableBullet"/>
              <w:rPr>
                <w:rFonts w:eastAsia="Arial" w:cs="Arial"/>
                <w:szCs w:val="19"/>
              </w:rPr>
            </w:pPr>
            <w:r w:rsidRPr="00E922F1">
              <w:t>Space for animals</w:t>
            </w:r>
          </w:p>
          <w:p w:rsidR="00B67876" w:rsidRPr="00E922F1" w:rsidRDefault="00B67876" w:rsidP="00AA45D0">
            <w:pPr>
              <w:pStyle w:val="TableBullet"/>
              <w:rPr>
                <w:rFonts w:eastAsia="Arial" w:cs="Arial"/>
                <w:szCs w:val="19"/>
              </w:rPr>
            </w:pPr>
            <w:r w:rsidRPr="00E922F1">
              <w:t>Space for children</w:t>
            </w:r>
          </w:p>
          <w:p w:rsidR="00B67876" w:rsidRPr="00E922F1" w:rsidRDefault="00B67876" w:rsidP="00AA45D0">
            <w:pPr>
              <w:pStyle w:val="TableBullet"/>
              <w:rPr>
                <w:rFonts w:eastAsia="Arial" w:cs="Arial"/>
                <w:szCs w:val="19"/>
              </w:rPr>
            </w:pPr>
            <w:r w:rsidRPr="00E922F1">
              <w:t>Allowance for privacy but also for engagement with the surrounding community</w:t>
            </w:r>
          </w:p>
        </w:tc>
      </w:tr>
      <w:tr w:rsidR="00B67876" w:rsidRPr="00E922F1" w:rsidTr="00AA45D0">
        <w:trPr>
          <w:cantSplit/>
        </w:trPr>
        <w:tc>
          <w:tcPr>
            <w:tcW w:w="3187" w:type="dxa"/>
            <w:tcBorders>
              <w:top w:val="single" w:sz="4" w:space="0" w:color="A6A6A6" w:themeColor="background1" w:themeShade="A6"/>
              <w:bottom w:val="single" w:sz="4" w:space="0" w:color="auto"/>
            </w:tcBorders>
            <w:shd w:val="clear" w:color="auto" w:fill="auto"/>
          </w:tcPr>
          <w:p w:rsidR="00B67876" w:rsidRPr="00E922F1" w:rsidRDefault="00B67876" w:rsidP="00AA45D0">
            <w:pPr>
              <w:pStyle w:val="TableText"/>
              <w:ind w:right="284"/>
              <w:rPr>
                <w:rFonts w:eastAsia="Arial" w:cs="Arial"/>
                <w:szCs w:val="19"/>
              </w:rPr>
            </w:pPr>
            <w:r w:rsidRPr="00E922F1">
              <w:t>Outdoor space and garden is designed to provide sensory stimulation</w:t>
            </w:r>
          </w:p>
        </w:tc>
        <w:tc>
          <w:tcPr>
            <w:tcW w:w="6169" w:type="dxa"/>
            <w:tcBorders>
              <w:top w:val="single" w:sz="4" w:space="0" w:color="A6A6A6" w:themeColor="background1" w:themeShade="A6"/>
              <w:bottom w:val="single" w:sz="4" w:space="0" w:color="auto"/>
            </w:tcBorders>
            <w:shd w:val="clear" w:color="auto" w:fill="auto"/>
          </w:tcPr>
          <w:p w:rsidR="00B67876" w:rsidRPr="00E922F1" w:rsidRDefault="00B67876" w:rsidP="00AA45D0">
            <w:pPr>
              <w:pStyle w:val="TableBullet"/>
              <w:spacing w:before="60"/>
              <w:rPr>
                <w:rFonts w:eastAsia="Arial" w:cs="Arial"/>
                <w:szCs w:val="19"/>
              </w:rPr>
            </w:pPr>
            <w:r w:rsidRPr="00E922F1">
              <w:t>Flowers, colour, water, textures</w:t>
            </w:r>
          </w:p>
          <w:p w:rsidR="00B67876" w:rsidRPr="00E922F1" w:rsidRDefault="00B67876" w:rsidP="00AA45D0">
            <w:pPr>
              <w:pStyle w:val="TableBullet"/>
              <w:rPr>
                <w:rFonts w:eastAsia="Arial" w:cs="Arial"/>
                <w:szCs w:val="19"/>
              </w:rPr>
            </w:pPr>
            <w:r w:rsidRPr="00E922F1">
              <w:t>Seasonal variation</w:t>
            </w:r>
          </w:p>
          <w:p w:rsidR="00B67876" w:rsidRPr="00E922F1" w:rsidRDefault="00B67876" w:rsidP="00AA45D0">
            <w:pPr>
              <w:pStyle w:val="TableBullet"/>
              <w:rPr>
                <w:rFonts w:eastAsia="Arial" w:cs="Arial"/>
                <w:szCs w:val="19"/>
              </w:rPr>
            </w:pPr>
            <w:r w:rsidRPr="00E922F1">
              <w:t>Vegetable gardens</w:t>
            </w:r>
          </w:p>
          <w:p w:rsidR="00B67876" w:rsidRPr="00E922F1" w:rsidRDefault="00B67876" w:rsidP="00AA45D0">
            <w:pPr>
              <w:pStyle w:val="TableBullet"/>
              <w:rPr>
                <w:rFonts w:eastAsia="Arial" w:cs="Arial"/>
                <w:szCs w:val="19"/>
              </w:rPr>
            </w:pPr>
            <w:r w:rsidRPr="00E922F1">
              <w:t>Scented plants (to stimulate memory)</w:t>
            </w:r>
          </w:p>
        </w:tc>
      </w:tr>
    </w:tbl>
    <w:p w:rsidR="00B67876" w:rsidRPr="00E922F1" w:rsidRDefault="00B67876" w:rsidP="005D196F">
      <w:pPr>
        <w:pStyle w:val="Heading2"/>
        <w:spacing w:before="360"/>
        <w:rPr>
          <w:bCs/>
        </w:rPr>
      </w:pPr>
      <w:bookmarkStart w:id="18" w:name="Secure_dementia_care_home_size_and_densi"/>
      <w:bookmarkStart w:id="19" w:name="_bookmark6"/>
      <w:bookmarkStart w:id="20" w:name="_Toc459188098"/>
      <w:bookmarkEnd w:id="18"/>
      <w:bookmarkEnd w:id="19"/>
      <w:r w:rsidRPr="00E922F1">
        <w:t>Secure dementia care home size and density</w:t>
      </w:r>
      <w:bookmarkEnd w:id="20"/>
    </w:p>
    <w:p w:rsidR="00B67876" w:rsidRPr="00E922F1" w:rsidRDefault="00B67876" w:rsidP="00AA45D0">
      <w:r w:rsidRPr="00E922F1">
        <w:t xml:space="preserve">There was general consensus among workgroup participants that, in terms of dementia care home size and design, small clusters of people were desirable, as the research suggests that people with dementia experience less agitation and distress in </w:t>
      </w:r>
      <w:r w:rsidR="00A67F7D" w:rsidRPr="00E922F1">
        <w:t>‘</w:t>
      </w:r>
      <w:r w:rsidRPr="00E922F1">
        <w:t>family-sized</w:t>
      </w:r>
      <w:r w:rsidR="00A67F7D" w:rsidRPr="00E922F1">
        <w:t>’</w:t>
      </w:r>
      <w:r w:rsidRPr="00E922F1">
        <w:t xml:space="preserve"> care homes. However, there was no consensus on the ideal number of people per cluster or care home. Participants commented further that a</w:t>
      </w:r>
      <w:r w:rsidR="00AA45D0" w:rsidRPr="00E922F1">
        <w:t xml:space="preserve"> </w:t>
      </w:r>
      <w:r w:rsidRPr="00E922F1">
        <w:t xml:space="preserve">variety of care home sizes and styles was appropriate, to give people a choice. Workgroup participants compared the institutionalisation and </w:t>
      </w:r>
      <w:r w:rsidRPr="00E922F1">
        <w:lastRenderedPageBreak/>
        <w:t>stigmatisation of dementia care to arising in the context of treatment of people with mental health issues. The move towards small care homes in mental health was suggested as a model for dementia care (Peace et al 2002).</w:t>
      </w:r>
    </w:p>
    <w:p w:rsidR="00B67876" w:rsidRPr="00E922F1" w:rsidRDefault="00B67876" w:rsidP="00AA45D0">
      <w:pPr>
        <w:rPr>
          <w:rFonts w:eastAsia="Century"/>
        </w:rPr>
      </w:pPr>
    </w:p>
    <w:p w:rsidR="00B67876" w:rsidRPr="00E922F1" w:rsidRDefault="00B67876" w:rsidP="00AA45D0">
      <w:r w:rsidRPr="00E922F1">
        <w:t>Marquardt et al (2014) defined small-scale environments as catering for between 5 and 15 people and having home-like features. They reviewed 30 studies investigating this feature, and cited sufficient empirical evidence to support lower people density in secure dementia care homes.</w:t>
      </w:r>
    </w:p>
    <w:p w:rsidR="00B67876" w:rsidRPr="00E922F1" w:rsidRDefault="00B67876" w:rsidP="00AA45D0">
      <w:pPr>
        <w:rPr>
          <w:rFonts w:eastAsia="Century"/>
        </w:rPr>
      </w:pPr>
    </w:p>
    <w:p w:rsidR="00B67876" w:rsidRPr="00E922F1" w:rsidRDefault="00B67876" w:rsidP="00AA45D0">
      <w:r w:rsidRPr="00E922F1">
        <w:t>Fleming and Bennett (2015) determine that the scale of a dementia care home should be human, and be governed by three factors:</w:t>
      </w:r>
    </w:p>
    <w:p w:rsidR="00B67876" w:rsidRPr="00E922F1" w:rsidRDefault="00B67876" w:rsidP="00AA45D0">
      <w:pPr>
        <w:pStyle w:val="Bullet"/>
      </w:pPr>
      <w:r w:rsidRPr="00E922F1">
        <w:t>the number of people that the person encounters on a daily basis</w:t>
      </w:r>
    </w:p>
    <w:p w:rsidR="00B67876" w:rsidRPr="00E922F1" w:rsidRDefault="00B67876" w:rsidP="00AA45D0">
      <w:pPr>
        <w:pStyle w:val="Bullet"/>
      </w:pPr>
      <w:r w:rsidRPr="00E922F1">
        <w:t>the overall size of the building</w:t>
      </w:r>
    </w:p>
    <w:p w:rsidR="00B67876" w:rsidRPr="00E922F1" w:rsidRDefault="00B67876" w:rsidP="00AA45D0">
      <w:pPr>
        <w:pStyle w:val="Bullet"/>
      </w:pPr>
      <w:proofErr w:type="gramStart"/>
      <w:r w:rsidRPr="00E922F1">
        <w:t>the</w:t>
      </w:r>
      <w:proofErr w:type="gramEnd"/>
      <w:r w:rsidRPr="00E922F1">
        <w:t xml:space="preserve"> size of the individual components, such as doors, rooms and corridors.</w:t>
      </w:r>
    </w:p>
    <w:p w:rsidR="00B67876" w:rsidRPr="00E922F1" w:rsidRDefault="00B67876" w:rsidP="00AA45D0">
      <w:pPr>
        <w:rPr>
          <w:rFonts w:eastAsia="Century"/>
        </w:rPr>
      </w:pPr>
    </w:p>
    <w:p w:rsidR="00B67876" w:rsidRPr="00E922F1" w:rsidRDefault="00B67876" w:rsidP="00AA45D0">
      <w:r w:rsidRPr="00E922F1">
        <w:t>The following component is important in terms of dementia care home size and density.</w:t>
      </w:r>
    </w:p>
    <w:p w:rsidR="00B67876" w:rsidRPr="00E922F1" w:rsidRDefault="00B67876" w:rsidP="00AA45D0">
      <w:pPr>
        <w:rPr>
          <w:rFonts w:eastAsia="Century"/>
        </w:rPr>
      </w:pPr>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397"/>
        <w:gridCol w:w="5959"/>
      </w:tblGrid>
      <w:tr w:rsidR="00B67876" w:rsidRPr="00E922F1" w:rsidTr="00AA45D0">
        <w:trPr>
          <w:cantSplit/>
        </w:trPr>
        <w:tc>
          <w:tcPr>
            <w:tcW w:w="3397" w:type="dxa"/>
            <w:tcBorders>
              <w:top w:val="single" w:sz="4" w:space="0" w:color="auto"/>
              <w:bottom w:val="single" w:sz="4" w:space="0" w:color="auto"/>
            </w:tcBorders>
            <w:shd w:val="clear" w:color="auto" w:fill="auto"/>
          </w:tcPr>
          <w:p w:rsidR="00B67876" w:rsidRPr="00E922F1" w:rsidRDefault="00B67876" w:rsidP="00AA45D0">
            <w:pPr>
              <w:pStyle w:val="TableText"/>
              <w:ind w:right="284"/>
              <w:rPr>
                <w:rFonts w:eastAsia="Arial" w:cs="Arial"/>
                <w:b/>
                <w:szCs w:val="19"/>
              </w:rPr>
            </w:pPr>
            <w:r w:rsidRPr="00E922F1">
              <w:rPr>
                <w:b/>
              </w:rPr>
              <w:t>Components</w:t>
            </w:r>
          </w:p>
        </w:tc>
        <w:tc>
          <w:tcPr>
            <w:tcW w:w="5959" w:type="dxa"/>
            <w:tcBorders>
              <w:top w:val="single" w:sz="4" w:space="0" w:color="auto"/>
              <w:bottom w:val="single" w:sz="4" w:space="0" w:color="auto"/>
            </w:tcBorders>
            <w:shd w:val="clear" w:color="auto" w:fill="auto"/>
          </w:tcPr>
          <w:p w:rsidR="00B67876" w:rsidRPr="00E922F1" w:rsidRDefault="00B67876" w:rsidP="00AA45D0">
            <w:pPr>
              <w:pStyle w:val="TableText"/>
              <w:rPr>
                <w:rFonts w:eastAsia="Arial" w:cs="Arial"/>
                <w:b/>
                <w:szCs w:val="19"/>
              </w:rPr>
            </w:pPr>
            <w:r w:rsidRPr="00E922F1">
              <w:rPr>
                <w:b/>
              </w:rPr>
              <w:t>Detail</w:t>
            </w:r>
          </w:p>
        </w:tc>
      </w:tr>
      <w:tr w:rsidR="00B67876" w:rsidRPr="00E922F1" w:rsidTr="00AA45D0">
        <w:trPr>
          <w:cantSplit/>
        </w:trPr>
        <w:tc>
          <w:tcPr>
            <w:tcW w:w="3397" w:type="dxa"/>
            <w:tcBorders>
              <w:top w:val="single" w:sz="4" w:space="0" w:color="auto"/>
            </w:tcBorders>
            <w:shd w:val="clear" w:color="auto" w:fill="auto"/>
          </w:tcPr>
          <w:p w:rsidR="00B67876" w:rsidRPr="00E922F1" w:rsidRDefault="00B67876" w:rsidP="00AA45D0">
            <w:pPr>
              <w:pStyle w:val="TableText"/>
              <w:ind w:right="284"/>
              <w:rPr>
                <w:rFonts w:eastAsia="Arial" w:cs="Arial"/>
                <w:szCs w:val="19"/>
              </w:rPr>
            </w:pPr>
            <w:r w:rsidRPr="00E922F1">
              <w:t>Secure dementia care homes are designed so that people live in small, independently secure clusters approximating a household</w:t>
            </w:r>
          </w:p>
        </w:tc>
        <w:tc>
          <w:tcPr>
            <w:tcW w:w="5959" w:type="dxa"/>
            <w:tcBorders>
              <w:top w:val="single" w:sz="4" w:space="0" w:color="auto"/>
            </w:tcBorders>
            <w:shd w:val="clear" w:color="auto" w:fill="auto"/>
          </w:tcPr>
          <w:p w:rsidR="00B67876" w:rsidRPr="00E922F1" w:rsidRDefault="00B67876" w:rsidP="00AA45D0">
            <w:pPr>
              <w:pStyle w:val="TableBullet"/>
              <w:spacing w:before="60"/>
              <w:rPr>
                <w:rFonts w:eastAsia="Arial" w:cs="Arial"/>
                <w:szCs w:val="19"/>
              </w:rPr>
            </w:pPr>
            <w:r w:rsidRPr="00E922F1">
              <w:t>A number of clusters within one care home (independently physically constrained environment) as the best or most viable strategy</w:t>
            </w:r>
          </w:p>
          <w:p w:rsidR="00B67876" w:rsidRPr="00E922F1" w:rsidRDefault="00B67876" w:rsidP="00AA45D0">
            <w:pPr>
              <w:pStyle w:val="TableBullet"/>
              <w:rPr>
                <w:rFonts w:eastAsia="Arial" w:cs="Arial"/>
                <w:szCs w:val="19"/>
              </w:rPr>
            </w:pPr>
            <w:r w:rsidRPr="00E922F1">
              <w:t>Acknowledgement of the critical interaction between the number of people and design of the space: larger clusters may be acceptable if there are multiple breakout spaces and the domestic dining experience is not compromised</w:t>
            </w:r>
          </w:p>
          <w:p w:rsidR="00B67876" w:rsidRPr="00E922F1" w:rsidRDefault="00B67876" w:rsidP="00AA45D0">
            <w:pPr>
              <w:pStyle w:val="TableBullet"/>
              <w:rPr>
                <w:rFonts w:eastAsia="Arial" w:cs="Arial"/>
                <w:szCs w:val="19"/>
              </w:rPr>
            </w:pPr>
            <w:r w:rsidRPr="00E922F1">
              <w:t>Scale that helps people feel in control</w:t>
            </w:r>
          </w:p>
          <w:p w:rsidR="00B67876" w:rsidRPr="00E922F1" w:rsidRDefault="00B67876" w:rsidP="00AA45D0">
            <w:pPr>
              <w:pStyle w:val="TableBullet"/>
              <w:rPr>
                <w:rFonts w:eastAsia="Arial" w:cs="Arial"/>
                <w:szCs w:val="19"/>
              </w:rPr>
            </w:pPr>
            <w:r w:rsidRPr="00E922F1">
              <w:rPr>
                <w:rFonts w:eastAsia="Arial" w:cs="Arial"/>
                <w:szCs w:val="19"/>
              </w:rPr>
              <w:t>Multiple clusters within a large care home to allow for the clustering of people with similar needs – people with dementia are not a homogeneous group</w:t>
            </w:r>
          </w:p>
        </w:tc>
      </w:tr>
    </w:tbl>
    <w:p w:rsidR="00AA45D0" w:rsidRPr="00E922F1" w:rsidRDefault="00AA45D0" w:rsidP="00AA45D0">
      <w:bookmarkStart w:id="21" w:name="Colour_and_contrast"/>
      <w:bookmarkStart w:id="22" w:name="Lighting"/>
      <w:bookmarkStart w:id="23" w:name="_bookmark7"/>
      <w:bookmarkEnd w:id="21"/>
      <w:bookmarkEnd w:id="22"/>
      <w:bookmarkEnd w:id="23"/>
    </w:p>
    <w:p w:rsidR="00B67876" w:rsidRPr="00E922F1" w:rsidRDefault="00B67876" w:rsidP="00AA45D0">
      <w:pPr>
        <w:pStyle w:val="Heading2"/>
        <w:rPr>
          <w:bCs/>
        </w:rPr>
      </w:pPr>
      <w:bookmarkStart w:id="24" w:name="_Toc459188099"/>
      <w:r w:rsidRPr="00E922F1">
        <w:t>Colour and contrast</w:t>
      </w:r>
      <w:bookmarkEnd w:id="24"/>
    </w:p>
    <w:p w:rsidR="00B67876" w:rsidRPr="00E922F1" w:rsidRDefault="00B67876" w:rsidP="005D196F">
      <w:pPr>
        <w:keepNext/>
      </w:pPr>
      <w:r w:rsidRPr="00E922F1">
        <w:t>People with dementia have difficulty seeing differences in shades or tones of colour (Brawley 2009; van Hoof et al 2010). Colour contrasts allow people with visual impairment to distinguish edges.</w:t>
      </w:r>
      <w:r w:rsidR="00F245F4" w:rsidRPr="00E922F1">
        <w:t xml:space="preserve"> </w:t>
      </w:r>
      <w:r w:rsidRPr="00E922F1">
        <w:t xml:space="preserve">Conversely, designers can hide doors or exit ways by eliminating colour contrasts. Colour </w:t>
      </w:r>
      <w:r w:rsidRPr="00E922F1">
        <w:lastRenderedPageBreak/>
        <w:t>use is also important for personalisation and for way-finding: for example, colours can be used for labelling spaces and rooms (Kelly et al 2011).</w:t>
      </w:r>
    </w:p>
    <w:p w:rsidR="00B67876" w:rsidRPr="00E922F1" w:rsidRDefault="00B67876" w:rsidP="005D196F">
      <w:pPr>
        <w:keepNext/>
        <w:rPr>
          <w:rFonts w:eastAsia="Century"/>
        </w:rPr>
      </w:pPr>
    </w:p>
    <w:p w:rsidR="00B67876" w:rsidRPr="00E922F1" w:rsidRDefault="00B67876" w:rsidP="005D196F">
      <w:pPr>
        <w:keepNext/>
      </w:pPr>
      <w:r w:rsidRPr="00E922F1">
        <w:t>The following component is important in terms of colour and contrast that adheres to recognised design principles.</w:t>
      </w:r>
    </w:p>
    <w:p w:rsidR="00B67876" w:rsidRPr="00E922F1" w:rsidRDefault="00B67876" w:rsidP="005D196F">
      <w:pPr>
        <w:keepNext/>
        <w:rPr>
          <w:rFonts w:eastAsia="Century"/>
        </w:rPr>
      </w:pPr>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397"/>
        <w:gridCol w:w="5959"/>
      </w:tblGrid>
      <w:tr w:rsidR="00B67876" w:rsidRPr="00E922F1" w:rsidTr="00F245F4">
        <w:trPr>
          <w:cantSplit/>
        </w:trPr>
        <w:tc>
          <w:tcPr>
            <w:tcW w:w="3397" w:type="dxa"/>
            <w:tcBorders>
              <w:top w:val="single" w:sz="4" w:space="0" w:color="auto"/>
              <w:bottom w:val="single" w:sz="4" w:space="0" w:color="auto"/>
            </w:tcBorders>
            <w:shd w:val="clear" w:color="auto" w:fill="auto"/>
          </w:tcPr>
          <w:p w:rsidR="00B67876" w:rsidRPr="00E922F1" w:rsidRDefault="00B67876" w:rsidP="005D196F">
            <w:pPr>
              <w:pStyle w:val="TableText"/>
              <w:keepNext/>
              <w:rPr>
                <w:rFonts w:eastAsia="Arial" w:cs="Arial"/>
                <w:b/>
                <w:szCs w:val="19"/>
              </w:rPr>
            </w:pPr>
            <w:r w:rsidRPr="00E922F1">
              <w:rPr>
                <w:b/>
              </w:rPr>
              <w:t>Component</w:t>
            </w:r>
          </w:p>
        </w:tc>
        <w:tc>
          <w:tcPr>
            <w:tcW w:w="5959" w:type="dxa"/>
            <w:tcBorders>
              <w:top w:val="single" w:sz="4" w:space="0" w:color="auto"/>
              <w:bottom w:val="single" w:sz="4" w:space="0" w:color="auto"/>
            </w:tcBorders>
            <w:shd w:val="clear" w:color="auto" w:fill="auto"/>
          </w:tcPr>
          <w:p w:rsidR="00B67876" w:rsidRPr="00E922F1" w:rsidRDefault="00B67876" w:rsidP="005D196F">
            <w:pPr>
              <w:pStyle w:val="TableText"/>
              <w:keepNext/>
              <w:rPr>
                <w:rFonts w:eastAsia="Arial" w:cs="Arial"/>
                <w:b/>
                <w:szCs w:val="19"/>
              </w:rPr>
            </w:pPr>
            <w:r w:rsidRPr="00E922F1">
              <w:rPr>
                <w:b/>
              </w:rPr>
              <w:t>Detail</w:t>
            </w:r>
          </w:p>
        </w:tc>
      </w:tr>
      <w:tr w:rsidR="00B67876" w:rsidRPr="00E922F1" w:rsidTr="00F245F4">
        <w:trPr>
          <w:cantSplit/>
        </w:trPr>
        <w:tc>
          <w:tcPr>
            <w:tcW w:w="3397" w:type="dxa"/>
            <w:tcBorders>
              <w:top w:val="single" w:sz="4" w:space="0" w:color="auto"/>
            </w:tcBorders>
            <w:shd w:val="clear" w:color="auto" w:fill="auto"/>
          </w:tcPr>
          <w:p w:rsidR="00B67876" w:rsidRPr="00E922F1" w:rsidRDefault="00B67876" w:rsidP="00F245F4">
            <w:pPr>
              <w:pStyle w:val="TableText"/>
              <w:ind w:right="284"/>
              <w:rPr>
                <w:rFonts w:eastAsia="Arial" w:cs="Arial"/>
                <w:szCs w:val="19"/>
              </w:rPr>
            </w:pPr>
            <w:r w:rsidRPr="00E922F1">
              <w:t>Secure dementia care homes use colour and contrast effectively</w:t>
            </w:r>
          </w:p>
        </w:tc>
        <w:tc>
          <w:tcPr>
            <w:tcW w:w="5959" w:type="dxa"/>
            <w:tcBorders>
              <w:top w:val="single" w:sz="4" w:space="0" w:color="auto"/>
            </w:tcBorders>
            <w:shd w:val="clear" w:color="auto" w:fill="auto"/>
          </w:tcPr>
          <w:p w:rsidR="00B67876" w:rsidRPr="00E922F1" w:rsidRDefault="00B67876" w:rsidP="00F245F4">
            <w:pPr>
              <w:pStyle w:val="TableBullet"/>
              <w:spacing w:before="60"/>
              <w:rPr>
                <w:rFonts w:eastAsia="Arial" w:cs="Arial"/>
                <w:szCs w:val="19"/>
              </w:rPr>
            </w:pPr>
            <w:r w:rsidRPr="00E922F1">
              <w:t>Contrasting colour on toilet seats</w:t>
            </w:r>
          </w:p>
          <w:p w:rsidR="00B67876" w:rsidRPr="00E922F1" w:rsidRDefault="00B67876" w:rsidP="00F245F4">
            <w:pPr>
              <w:pStyle w:val="TableBullet"/>
              <w:rPr>
                <w:rFonts w:eastAsia="Arial" w:cs="Arial"/>
                <w:szCs w:val="19"/>
              </w:rPr>
            </w:pPr>
            <w:r w:rsidRPr="00E922F1">
              <w:t>Contrasting colour on doors that people should engage with</w:t>
            </w:r>
          </w:p>
          <w:p w:rsidR="00B67876" w:rsidRPr="00E922F1" w:rsidRDefault="00B67876" w:rsidP="00F245F4">
            <w:pPr>
              <w:pStyle w:val="TableBullet"/>
              <w:rPr>
                <w:rFonts w:eastAsia="Arial" w:cs="Arial"/>
                <w:szCs w:val="19"/>
              </w:rPr>
            </w:pPr>
            <w:r w:rsidRPr="00E922F1">
              <w:t>Low contrast on spaces people should not engage with</w:t>
            </w:r>
          </w:p>
          <w:p w:rsidR="00B67876" w:rsidRPr="00E922F1" w:rsidRDefault="00B67876" w:rsidP="00F245F4">
            <w:pPr>
              <w:pStyle w:val="TableBullet"/>
              <w:rPr>
                <w:rFonts w:eastAsia="Arial" w:cs="Arial"/>
                <w:szCs w:val="19"/>
              </w:rPr>
            </w:pPr>
            <w:r w:rsidRPr="00E922F1">
              <w:t>Surfaces of different textures</w:t>
            </w:r>
          </w:p>
          <w:p w:rsidR="00B67876" w:rsidRPr="00E922F1" w:rsidRDefault="00B67876" w:rsidP="00F245F4">
            <w:pPr>
              <w:pStyle w:val="TableBullet"/>
              <w:rPr>
                <w:rFonts w:eastAsia="Arial" w:cs="Arial"/>
                <w:szCs w:val="19"/>
              </w:rPr>
            </w:pPr>
            <w:r w:rsidRPr="00E922F1">
              <w:t>Low contrast in transition from one surface to another</w:t>
            </w:r>
          </w:p>
          <w:p w:rsidR="00B67876" w:rsidRPr="00E922F1" w:rsidRDefault="00B67876" w:rsidP="00F245F4">
            <w:pPr>
              <w:pStyle w:val="TableBullet"/>
              <w:rPr>
                <w:rFonts w:eastAsia="Arial" w:cs="Arial"/>
                <w:szCs w:val="19"/>
              </w:rPr>
            </w:pPr>
            <w:r w:rsidRPr="00E922F1">
              <w:t>Contrast between plates and table cloths</w:t>
            </w:r>
          </w:p>
          <w:p w:rsidR="00B67876" w:rsidRPr="00E922F1" w:rsidRDefault="00B67876" w:rsidP="00F245F4">
            <w:pPr>
              <w:pStyle w:val="TableBullet"/>
              <w:rPr>
                <w:rFonts w:eastAsia="Arial" w:cs="Arial"/>
                <w:szCs w:val="19"/>
              </w:rPr>
            </w:pPr>
            <w:r w:rsidRPr="00E922F1">
              <w:t>Colour contrast to demarcate walls and floor</w:t>
            </w:r>
          </w:p>
          <w:p w:rsidR="00B67876" w:rsidRPr="00E922F1" w:rsidRDefault="00B67876" w:rsidP="00F245F4">
            <w:pPr>
              <w:pStyle w:val="TableBullet"/>
              <w:rPr>
                <w:rFonts w:eastAsia="Arial" w:cs="Arial"/>
                <w:szCs w:val="19"/>
              </w:rPr>
            </w:pPr>
            <w:r w:rsidRPr="00E922F1">
              <w:rPr>
                <w:rFonts w:eastAsia="Arial" w:cs="Arial"/>
                <w:szCs w:val="19"/>
              </w:rPr>
              <w:t>Even colours on floors – no patterns</w:t>
            </w:r>
          </w:p>
          <w:p w:rsidR="00B67876" w:rsidRPr="00E922F1" w:rsidRDefault="00B67876" w:rsidP="00F245F4">
            <w:pPr>
              <w:pStyle w:val="TableBullet"/>
              <w:rPr>
                <w:rFonts w:eastAsia="Arial" w:cs="Arial"/>
                <w:szCs w:val="19"/>
              </w:rPr>
            </w:pPr>
            <w:r w:rsidRPr="00E922F1">
              <w:t>Colour to assist with seating</w:t>
            </w:r>
          </w:p>
          <w:p w:rsidR="00B67876" w:rsidRPr="00E922F1" w:rsidRDefault="00B67876" w:rsidP="00F245F4">
            <w:pPr>
              <w:pStyle w:val="TableBullet"/>
              <w:rPr>
                <w:rFonts w:eastAsia="Arial" w:cs="Arial"/>
                <w:szCs w:val="19"/>
              </w:rPr>
            </w:pPr>
            <w:r w:rsidRPr="00E922F1">
              <w:t>Matt surfaces rather than shiny ones</w:t>
            </w:r>
          </w:p>
          <w:p w:rsidR="00B67876" w:rsidRPr="00E922F1" w:rsidRDefault="00B67876" w:rsidP="00F245F4">
            <w:pPr>
              <w:pStyle w:val="TableBullet"/>
              <w:rPr>
                <w:rFonts w:eastAsia="Arial" w:cs="Arial"/>
                <w:szCs w:val="19"/>
              </w:rPr>
            </w:pPr>
            <w:r w:rsidRPr="00E922F1">
              <w:rPr>
                <w:rFonts w:eastAsia="Arial" w:cs="Arial"/>
                <w:szCs w:val="19"/>
              </w:rPr>
              <w:t>Application of the psychology of colour – the way different colours evoke different feelings</w:t>
            </w:r>
          </w:p>
          <w:p w:rsidR="00B67876" w:rsidRPr="00E922F1" w:rsidRDefault="00B67876" w:rsidP="00F245F4">
            <w:pPr>
              <w:pStyle w:val="TableBullet"/>
              <w:rPr>
                <w:rFonts w:eastAsia="Arial" w:cs="Arial"/>
                <w:szCs w:val="19"/>
              </w:rPr>
            </w:pPr>
            <w:r w:rsidRPr="00E922F1">
              <w:t>Purposeful, age-appropriate colour schemes, rather than hotel-like, neutral schemes</w:t>
            </w:r>
          </w:p>
        </w:tc>
      </w:tr>
    </w:tbl>
    <w:p w:rsidR="00B67876" w:rsidRPr="00E922F1" w:rsidRDefault="00B67876" w:rsidP="00F245F4">
      <w:pPr>
        <w:rPr>
          <w:rFonts w:eastAsia="Century"/>
        </w:rPr>
      </w:pPr>
    </w:p>
    <w:p w:rsidR="00B67876" w:rsidRPr="00E922F1" w:rsidRDefault="00B67876" w:rsidP="00F245F4">
      <w:pPr>
        <w:pStyle w:val="Heading2"/>
        <w:rPr>
          <w:bCs/>
        </w:rPr>
      </w:pPr>
      <w:bookmarkStart w:id="25" w:name="_Toc459188100"/>
      <w:r w:rsidRPr="00E922F1">
        <w:t>Lighting</w:t>
      </w:r>
      <w:bookmarkEnd w:id="25"/>
    </w:p>
    <w:p w:rsidR="00B67876" w:rsidRPr="00E922F1" w:rsidRDefault="00B67876" w:rsidP="00F245F4">
      <w:r w:rsidRPr="00E922F1">
        <w:t xml:space="preserve">Older adults need exposure to natural sunlight to maintain circadian rhythms, vitamin D synthesis and stimulation of serotonin (Brawley 2009). Internal lighting in dementia care homes needs to be a mix of direct and accessible sunlight and adjustable artificial lighting to control glare and shadows and help regulate circadian rhythms (Torrington and </w:t>
      </w:r>
      <w:proofErr w:type="spellStart"/>
      <w:r w:rsidRPr="00E922F1">
        <w:t>Tregenza</w:t>
      </w:r>
      <w:proofErr w:type="spellEnd"/>
      <w:r w:rsidRPr="00E922F1">
        <w:t xml:space="preserve"> 2007).</w:t>
      </w:r>
    </w:p>
    <w:p w:rsidR="00B67876" w:rsidRPr="00E922F1" w:rsidRDefault="00B67876" w:rsidP="00F245F4">
      <w:pPr>
        <w:rPr>
          <w:rFonts w:eastAsia="Century"/>
        </w:rPr>
      </w:pPr>
    </w:p>
    <w:p w:rsidR="00B67876" w:rsidRPr="00E922F1" w:rsidRDefault="00B67876" w:rsidP="00F245F4">
      <w:r w:rsidRPr="00E922F1">
        <w:t>The following component is important in terms of lighting design.</w:t>
      </w:r>
    </w:p>
    <w:p w:rsidR="00B67876" w:rsidRPr="00E922F1" w:rsidRDefault="00B67876" w:rsidP="00F245F4">
      <w:pPr>
        <w:rPr>
          <w:rFonts w:eastAsia="Century"/>
        </w:rPr>
      </w:pPr>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397"/>
        <w:gridCol w:w="5959"/>
      </w:tblGrid>
      <w:tr w:rsidR="00B67876" w:rsidRPr="00E922F1" w:rsidTr="00F245F4">
        <w:trPr>
          <w:cantSplit/>
        </w:trPr>
        <w:tc>
          <w:tcPr>
            <w:tcW w:w="3397" w:type="dxa"/>
            <w:tcBorders>
              <w:top w:val="single" w:sz="4" w:space="0" w:color="auto"/>
              <w:bottom w:val="single" w:sz="4" w:space="0" w:color="auto"/>
            </w:tcBorders>
            <w:shd w:val="clear" w:color="auto" w:fill="auto"/>
          </w:tcPr>
          <w:p w:rsidR="00B67876" w:rsidRPr="00E922F1" w:rsidRDefault="00B67876" w:rsidP="00F245F4">
            <w:pPr>
              <w:pStyle w:val="TableText"/>
              <w:rPr>
                <w:rFonts w:eastAsia="Arial" w:cs="Arial"/>
                <w:b/>
                <w:szCs w:val="19"/>
              </w:rPr>
            </w:pPr>
            <w:r w:rsidRPr="00E922F1">
              <w:rPr>
                <w:b/>
              </w:rPr>
              <w:t>Component</w:t>
            </w:r>
          </w:p>
        </w:tc>
        <w:tc>
          <w:tcPr>
            <w:tcW w:w="5959" w:type="dxa"/>
            <w:tcBorders>
              <w:top w:val="single" w:sz="4" w:space="0" w:color="auto"/>
              <w:bottom w:val="single" w:sz="4" w:space="0" w:color="auto"/>
            </w:tcBorders>
            <w:shd w:val="clear" w:color="auto" w:fill="auto"/>
          </w:tcPr>
          <w:p w:rsidR="00B67876" w:rsidRPr="00E922F1" w:rsidRDefault="00B67876" w:rsidP="00F245F4">
            <w:pPr>
              <w:pStyle w:val="TableText"/>
              <w:rPr>
                <w:rFonts w:eastAsia="Arial" w:cs="Arial"/>
                <w:b/>
                <w:szCs w:val="19"/>
              </w:rPr>
            </w:pPr>
            <w:r w:rsidRPr="00E922F1">
              <w:rPr>
                <w:b/>
              </w:rPr>
              <w:t>Detail</w:t>
            </w:r>
          </w:p>
        </w:tc>
      </w:tr>
      <w:tr w:rsidR="00B67876" w:rsidRPr="00E922F1" w:rsidTr="00F245F4">
        <w:trPr>
          <w:cantSplit/>
        </w:trPr>
        <w:tc>
          <w:tcPr>
            <w:tcW w:w="3397" w:type="dxa"/>
            <w:tcBorders>
              <w:top w:val="single" w:sz="4" w:space="0" w:color="auto"/>
            </w:tcBorders>
            <w:shd w:val="clear" w:color="auto" w:fill="auto"/>
          </w:tcPr>
          <w:p w:rsidR="00B67876" w:rsidRPr="00E922F1" w:rsidRDefault="00B67876" w:rsidP="00F245F4">
            <w:pPr>
              <w:pStyle w:val="TableText"/>
              <w:ind w:right="284"/>
              <w:rPr>
                <w:rFonts w:eastAsia="Arial" w:cs="Arial"/>
                <w:szCs w:val="19"/>
              </w:rPr>
            </w:pPr>
            <w:r w:rsidRPr="00E922F1">
              <w:t>Secure dementia care homes are designed to maximise natural light and lighting that assists orientation</w:t>
            </w:r>
          </w:p>
        </w:tc>
        <w:tc>
          <w:tcPr>
            <w:tcW w:w="5959" w:type="dxa"/>
            <w:tcBorders>
              <w:top w:val="single" w:sz="4" w:space="0" w:color="auto"/>
            </w:tcBorders>
            <w:shd w:val="clear" w:color="auto" w:fill="auto"/>
          </w:tcPr>
          <w:p w:rsidR="00B67876" w:rsidRPr="00E922F1" w:rsidRDefault="00B67876" w:rsidP="00F245F4">
            <w:pPr>
              <w:pStyle w:val="TableBullet"/>
              <w:spacing w:before="60"/>
              <w:rPr>
                <w:rFonts w:eastAsia="Arial" w:cs="Arial"/>
                <w:szCs w:val="19"/>
              </w:rPr>
            </w:pPr>
            <w:r w:rsidRPr="00E922F1">
              <w:t>Natural light maximised</w:t>
            </w:r>
          </w:p>
          <w:p w:rsidR="00B67876" w:rsidRPr="00E922F1" w:rsidRDefault="00B67876" w:rsidP="00F245F4">
            <w:pPr>
              <w:pStyle w:val="TableBullet"/>
              <w:rPr>
                <w:rFonts w:eastAsia="Arial" w:cs="Arial"/>
                <w:szCs w:val="19"/>
              </w:rPr>
            </w:pPr>
            <w:r w:rsidRPr="00E922F1">
              <w:t>Shadowing minimised</w:t>
            </w:r>
          </w:p>
          <w:p w:rsidR="00B67876" w:rsidRPr="00E922F1" w:rsidRDefault="00B67876" w:rsidP="00F245F4">
            <w:pPr>
              <w:pStyle w:val="TableBullet"/>
              <w:rPr>
                <w:rFonts w:eastAsia="Arial" w:cs="Arial"/>
                <w:szCs w:val="19"/>
              </w:rPr>
            </w:pPr>
            <w:r w:rsidRPr="00E922F1">
              <w:t>Very high lux levels</w:t>
            </w:r>
          </w:p>
          <w:p w:rsidR="00B67876" w:rsidRPr="00E922F1" w:rsidRDefault="00B67876" w:rsidP="00F245F4">
            <w:pPr>
              <w:pStyle w:val="TableBullet"/>
              <w:rPr>
                <w:rFonts w:eastAsia="Arial" w:cs="Arial"/>
                <w:szCs w:val="19"/>
              </w:rPr>
            </w:pPr>
            <w:r w:rsidRPr="00E922F1">
              <w:t>Standards for lighting</w:t>
            </w:r>
          </w:p>
          <w:p w:rsidR="00B67876" w:rsidRPr="00E922F1" w:rsidRDefault="00B67876" w:rsidP="00F245F4">
            <w:pPr>
              <w:pStyle w:val="TableBullet"/>
              <w:rPr>
                <w:rFonts w:eastAsia="Arial" w:cs="Arial"/>
                <w:szCs w:val="19"/>
              </w:rPr>
            </w:pPr>
            <w:r w:rsidRPr="00E922F1">
              <w:t>Sensors to provide lighting at night</w:t>
            </w:r>
          </w:p>
        </w:tc>
      </w:tr>
    </w:tbl>
    <w:p w:rsidR="00B67876" w:rsidRPr="00E922F1" w:rsidRDefault="00B67876" w:rsidP="00F245F4">
      <w:pPr>
        <w:rPr>
          <w:rFonts w:eastAsia="Century"/>
        </w:rPr>
      </w:pPr>
    </w:p>
    <w:p w:rsidR="00B67876" w:rsidRPr="00E922F1" w:rsidRDefault="00B67876" w:rsidP="00F245F4">
      <w:pPr>
        <w:pStyle w:val="Heading2"/>
        <w:rPr>
          <w:bCs/>
        </w:rPr>
      </w:pPr>
      <w:bookmarkStart w:id="26" w:name="Managing_environmental_stimulation_"/>
      <w:bookmarkStart w:id="27" w:name="_bookmark8"/>
      <w:bookmarkStart w:id="28" w:name="_Toc459188101"/>
      <w:bookmarkEnd w:id="26"/>
      <w:bookmarkEnd w:id="27"/>
      <w:r w:rsidRPr="00E922F1">
        <w:t>Managing environmental stimulation</w:t>
      </w:r>
      <w:bookmarkEnd w:id="28"/>
    </w:p>
    <w:p w:rsidR="00B67876" w:rsidRPr="00E922F1" w:rsidRDefault="00B67876" w:rsidP="00E922F1">
      <w:pPr>
        <w:keepNext/>
      </w:pPr>
      <w:r w:rsidRPr="00E922F1">
        <w:t xml:space="preserve">Fleming investigated two aspects of stimulus control: decrease of distressing stimulation and augmentation of useful stimulation (Fleming et al 2008). </w:t>
      </w:r>
      <w:proofErr w:type="spellStart"/>
      <w:r w:rsidRPr="00E922F1">
        <w:t>Benbow</w:t>
      </w:r>
      <w:proofErr w:type="spellEnd"/>
      <w:r w:rsidRPr="00E922F1">
        <w:t xml:space="preserve"> (2014) recommended a layout that separates noisy areas from quiet areas and includes: acoustic ceiling and wall products, double glazing, partitioning, sound reduction in bedrooms, noise reduction adaptations, alarms/paging systems, places for quiet only and soundproofing in bathrooms.</w:t>
      </w:r>
    </w:p>
    <w:p w:rsidR="00B67876" w:rsidRPr="00E922F1" w:rsidRDefault="00B67876" w:rsidP="00E922F1">
      <w:pPr>
        <w:keepNext/>
        <w:rPr>
          <w:rFonts w:eastAsia="Century"/>
        </w:rPr>
      </w:pPr>
    </w:p>
    <w:p w:rsidR="00B67876" w:rsidRPr="00E922F1" w:rsidRDefault="00B67876" w:rsidP="00F245F4">
      <w:r w:rsidRPr="00E922F1">
        <w:t>The following component is important in terms of managing environmental stimulation.</w:t>
      </w:r>
    </w:p>
    <w:p w:rsidR="00B67876" w:rsidRPr="00E922F1" w:rsidRDefault="00B67876" w:rsidP="00F245F4">
      <w:pPr>
        <w:rPr>
          <w:rFonts w:eastAsia="Century"/>
        </w:rPr>
      </w:pPr>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397"/>
        <w:gridCol w:w="5959"/>
      </w:tblGrid>
      <w:tr w:rsidR="00B67876" w:rsidRPr="00E922F1" w:rsidTr="00F245F4">
        <w:trPr>
          <w:cantSplit/>
        </w:trPr>
        <w:tc>
          <w:tcPr>
            <w:tcW w:w="3397" w:type="dxa"/>
            <w:tcBorders>
              <w:top w:val="single" w:sz="4" w:space="0" w:color="auto"/>
              <w:bottom w:val="single" w:sz="4" w:space="0" w:color="auto"/>
            </w:tcBorders>
            <w:shd w:val="clear" w:color="auto" w:fill="auto"/>
          </w:tcPr>
          <w:p w:rsidR="00B67876" w:rsidRPr="00E922F1" w:rsidRDefault="00B67876" w:rsidP="00F245F4">
            <w:pPr>
              <w:pStyle w:val="TableText"/>
              <w:rPr>
                <w:rFonts w:eastAsia="Arial" w:cs="Arial"/>
                <w:b/>
                <w:szCs w:val="19"/>
              </w:rPr>
            </w:pPr>
            <w:r w:rsidRPr="00E922F1">
              <w:rPr>
                <w:b/>
              </w:rPr>
              <w:t>Component</w:t>
            </w:r>
          </w:p>
        </w:tc>
        <w:tc>
          <w:tcPr>
            <w:tcW w:w="5959" w:type="dxa"/>
            <w:tcBorders>
              <w:top w:val="single" w:sz="4" w:space="0" w:color="auto"/>
              <w:bottom w:val="single" w:sz="4" w:space="0" w:color="auto"/>
            </w:tcBorders>
            <w:shd w:val="clear" w:color="auto" w:fill="auto"/>
          </w:tcPr>
          <w:p w:rsidR="00B67876" w:rsidRPr="00E922F1" w:rsidRDefault="00B67876" w:rsidP="00F245F4">
            <w:pPr>
              <w:pStyle w:val="TableText"/>
              <w:rPr>
                <w:rFonts w:eastAsia="Arial" w:cs="Arial"/>
                <w:b/>
                <w:szCs w:val="19"/>
              </w:rPr>
            </w:pPr>
            <w:r w:rsidRPr="00E922F1">
              <w:rPr>
                <w:b/>
              </w:rPr>
              <w:t>Detail</w:t>
            </w:r>
          </w:p>
        </w:tc>
      </w:tr>
      <w:tr w:rsidR="00B67876" w:rsidRPr="00E922F1" w:rsidTr="00F245F4">
        <w:trPr>
          <w:cantSplit/>
        </w:trPr>
        <w:tc>
          <w:tcPr>
            <w:tcW w:w="3397" w:type="dxa"/>
            <w:tcBorders>
              <w:top w:val="single" w:sz="4" w:space="0" w:color="auto"/>
            </w:tcBorders>
            <w:shd w:val="clear" w:color="auto" w:fill="auto"/>
          </w:tcPr>
          <w:p w:rsidR="00B67876" w:rsidRPr="00E922F1" w:rsidRDefault="00B67876" w:rsidP="00F245F4">
            <w:pPr>
              <w:pStyle w:val="TableText"/>
              <w:ind w:right="284"/>
              <w:rPr>
                <w:rFonts w:eastAsia="Arial" w:cs="Arial"/>
                <w:szCs w:val="19"/>
              </w:rPr>
            </w:pPr>
            <w:r w:rsidRPr="00E922F1">
              <w:lastRenderedPageBreak/>
              <w:t>Secure dementia care homes are designed to decrease harmful stimuli and increase helpful stimuli</w:t>
            </w:r>
          </w:p>
        </w:tc>
        <w:tc>
          <w:tcPr>
            <w:tcW w:w="5959" w:type="dxa"/>
            <w:tcBorders>
              <w:top w:val="single" w:sz="4" w:space="0" w:color="auto"/>
            </w:tcBorders>
            <w:shd w:val="clear" w:color="auto" w:fill="auto"/>
          </w:tcPr>
          <w:p w:rsidR="00B67876" w:rsidRPr="00E922F1" w:rsidRDefault="00B67876" w:rsidP="00F245F4">
            <w:pPr>
              <w:pStyle w:val="TableBullet"/>
              <w:spacing w:before="60"/>
              <w:rPr>
                <w:rFonts w:eastAsia="Arial" w:cs="Arial"/>
                <w:szCs w:val="19"/>
              </w:rPr>
            </w:pPr>
            <w:r w:rsidRPr="00E922F1">
              <w:t>Noise control:</w:t>
            </w:r>
          </w:p>
          <w:p w:rsidR="00B67876" w:rsidRPr="00E922F1" w:rsidRDefault="00B67876" w:rsidP="00F245F4">
            <w:pPr>
              <w:pStyle w:val="TableDash"/>
              <w:rPr>
                <w:rFonts w:eastAsia="Arial"/>
              </w:rPr>
            </w:pPr>
            <w:r w:rsidRPr="00E922F1">
              <w:rPr>
                <w:rFonts w:eastAsia="Arial"/>
              </w:rPr>
              <w:t>Overall noise control – curtaining, flooring choice, baffles</w:t>
            </w:r>
          </w:p>
          <w:p w:rsidR="00B67876" w:rsidRPr="00E922F1" w:rsidRDefault="00B67876" w:rsidP="00F245F4">
            <w:pPr>
              <w:pStyle w:val="TableDash"/>
              <w:rPr>
                <w:rFonts w:eastAsia="Arial"/>
              </w:rPr>
            </w:pPr>
            <w:r w:rsidRPr="00E922F1">
              <w:t>Noisy machinery located an appropriate distance from bedrooms</w:t>
            </w:r>
          </w:p>
          <w:p w:rsidR="00B67876" w:rsidRPr="00E922F1" w:rsidRDefault="00B67876" w:rsidP="00F245F4">
            <w:pPr>
              <w:pStyle w:val="TableDash"/>
              <w:rPr>
                <w:rFonts w:eastAsia="Arial"/>
              </w:rPr>
            </w:pPr>
            <w:r w:rsidRPr="00E922F1">
              <w:t>Exploration of alternatives to auditory call bell alert systems</w:t>
            </w:r>
          </w:p>
          <w:p w:rsidR="00B67876" w:rsidRPr="00E922F1" w:rsidRDefault="00B67876" w:rsidP="00F245F4">
            <w:pPr>
              <w:pStyle w:val="TableDash"/>
              <w:rPr>
                <w:rFonts w:eastAsia="Arial"/>
              </w:rPr>
            </w:pPr>
            <w:r w:rsidRPr="00E922F1">
              <w:t>Soundproofing in bedrooms as needed, with moderation for those who need extra monitoring</w:t>
            </w:r>
          </w:p>
          <w:p w:rsidR="00B67876" w:rsidRPr="00E922F1" w:rsidRDefault="00B67876" w:rsidP="00F245F4">
            <w:pPr>
              <w:pStyle w:val="TableBullet"/>
              <w:spacing w:before="60"/>
              <w:rPr>
                <w:rFonts w:eastAsia="Arial" w:cs="Arial"/>
                <w:szCs w:val="19"/>
              </w:rPr>
            </w:pPr>
            <w:r w:rsidRPr="00E922F1">
              <w:t>Design of space:</w:t>
            </w:r>
          </w:p>
          <w:p w:rsidR="00B67876" w:rsidRPr="00E922F1" w:rsidRDefault="00B67876" w:rsidP="00F245F4">
            <w:pPr>
              <w:pStyle w:val="TableDash"/>
              <w:rPr>
                <w:rFonts w:eastAsia="Arial" w:cs="Arial"/>
                <w:szCs w:val="19"/>
              </w:rPr>
            </w:pPr>
            <w:r w:rsidRPr="00E922F1">
              <w:t>Ability to close off areas and separate small groups from large groups</w:t>
            </w:r>
          </w:p>
          <w:p w:rsidR="00B67876" w:rsidRPr="00E922F1" w:rsidRDefault="00B67876" w:rsidP="00F245F4">
            <w:pPr>
              <w:pStyle w:val="TableDash"/>
              <w:rPr>
                <w:rFonts w:eastAsia="Arial" w:cs="Arial"/>
                <w:szCs w:val="19"/>
              </w:rPr>
            </w:pPr>
            <w:r w:rsidRPr="00E922F1">
              <w:t>Multi-purpose rooms</w:t>
            </w:r>
          </w:p>
          <w:p w:rsidR="00B67876" w:rsidRPr="00E922F1" w:rsidRDefault="00B67876" w:rsidP="00F245F4">
            <w:pPr>
              <w:pStyle w:val="TableDash"/>
              <w:rPr>
                <w:rFonts w:eastAsia="Arial" w:cs="Arial"/>
                <w:szCs w:val="19"/>
              </w:rPr>
            </w:pPr>
            <w:r w:rsidRPr="00E922F1">
              <w:rPr>
                <w:rFonts w:eastAsia="Arial" w:cs="Arial"/>
                <w:szCs w:val="19"/>
              </w:rPr>
              <w:t>Protection of people</w:t>
            </w:r>
            <w:r w:rsidR="00A67F7D" w:rsidRPr="00E922F1">
              <w:rPr>
                <w:rFonts w:eastAsia="Arial" w:cs="Arial"/>
                <w:szCs w:val="19"/>
              </w:rPr>
              <w:t>’</w:t>
            </w:r>
            <w:r w:rsidRPr="00E922F1">
              <w:rPr>
                <w:rFonts w:eastAsia="Arial" w:cs="Arial"/>
                <w:szCs w:val="19"/>
              </w:rPr>
              <w:t>s privacy</w:t>
            </w:r>
          </w:p>
          <w:p w:rsidR="00B67876" w:rsidRPr="00E922F1" w:rsidRDefault="00B67876" w:rsidP="00F245F4">
            <w:pPr>
              <w:pStyle w:val="TableDash"/>
              <w:rPr>
                <w:rFonts w:eastAsia="Arial" w:cs="Arial"/>
                <w:szCs w:val="19"/>
              </w:rPr>
            </w:pPr>
            <w:r w:rsidRPr="00E922F1">
              <w:t>Design that allows for staff and visitor movement</w:t>
            </w:r>
          </w:p>
          <w:p w:rsidR="00B67876" w:rsidRPr="00E922F1" w:rsidRDefault="00B67876" w:rsidP="00F245F4">
            <w:pPr>
              <w:pStyle w:val="TableDash"/>
              <w:rPr>
                <w:rFonts w:eastAsia="Arial" w:cs="Arial"/>
                <w:szCs w:val="19"/>
              </w:rPr>
            </w:pPr>
            <w:r w:rsidRPr="00E922F1">
              <w:rPr>
                <w:rFonts w:eastAsia="Arial" w:cs="Arial"/>
                <w:szCs w:val="19"/>
              </w:rPr>
              <w:t>Space for hosting people</w:t>
            </w:r>
            <w:r w:rsidR="00A67F7D" w:rsidRPr="00E922F1">
              <w:rPr>
                <w:rFonts w:eastAsia="Arial" w:cs="Arial"/>
                <w:szCs w:val="19"/>
              </w:rPr>
              <w:t>’</w:t>
            </w:r>
            <w:r w:rsidRPr="00E922F1">
              <w:rPr>
                <w:rFonts w:eastAsia="Arial" w:cs="Arial"/>
                <w:szCs w:val="19"/>
              </w:rPr>
              <w:t>s friends and family</w:t>
            </w:r>
          </w:p>
          <w:p w:rsidR="00B67876" w:rsidRPr="00E922F1" w:rsidRDefault="00B67876" w:rsidP="00F245F4">
            <w:pPr>
              <w:pStyle w:val="TableDash"/>
              <w:rPr>
                <w:rFonts w:eastAsia="Arial" w:cs="Arial"/>
                <w:szCs w:val="19"/>
              </w:rPr>
            </w:pPr>
            <w:r w:rsidRPr="00E922F1">
              <w:t>No storage along corridors</w:t>
            </w:r>
          </w:p>
          <w:p w:rsidR="00B67876" w:rsidRPr="00E922F1" w:rsidRDefault="00B67876" w:rsidP="00F245F4">
            <w:pPr>
              <w:pStyle w:val="TableDash"/>
              <w:rPr>
                <w:rFonts w:eastAsia="Arial" w:cs="Arial"/>
                <w:szCs w:val="19"/>
              </w:rPr>
            </w:pPr>
            <w:r w:rsidRPr="00E922F1">
              <w:t>Staff utility rooms kept out of the way</w:t>
            </w:r>
          </w:p>
          <w:p w:rsidR="00B67876" w:rsidRPr="00E922F1" w:rsidRDefault="00B67876" w:rsidP="00F245F4">
            <w:pPr>
              <w:pStyle w:val="TableDash"/>
              <w:rPr>
                <w:rFonts w:eastAsia="Arial" w:cs="Arial"/>
                <w:szCs w:val="19"/>
              </w:rPr>
            </w:pPr>
            <w:r w:rsidRPr="00E922F1">
              <w:t>Different furniture/décor, and the ability to easily change decor</w:t>
            </w:r>
          </w:p>
          <w:p w:rsidR="00B67876" w:rsidRPr="00E922F1" w:rsidRDefault="00B67876" w:rsidP="00F245F4">
            <w:pPr>
              <w:pStyle w:val="TableDash"/>
              <w:rPr>
                <w:rFonts w:eastAsia="Arial" w:cs="Arial"/>
                <w:szCs w:val="19"/>
              </w:rPr>
            </w:pPr>
            <w:r w:rsidRPr="00E922F1">
              <w:t>Cultural displays</w:t>
            </w:r>
          </w:p>
          <w:p w:rsidR="00B67876" w:rsidRPr="00E922F1" w:rsidRDefault="00B67876" w:rsidP="00F245F4">
            <w:pPr>
              <w:pStyle w:val="TableBullet"/>
              <w:spacing w:before="60"/>
              <w:rPr>
                <w:rFonts w:eastAsia="Arial" w:cs="Arial"/>
                <w:szCs w:val="19"/>
              </w:rPr>
            </w:pPr>
            <w:r w:rsidRPr="00E922F1">
              <w:t>Good stimulation:</w:t>
            </w:r>
          </w:p>
          <w:p w:rsidR="00B67876" w:rsidRPr="00E922F1" w:rsidRDefault="00B67876" w:rsidP="00F245F4">
            <w:pPr>
              <w:pStyle w:val="TableDash"/>
              <w:rPr>
                <w:rFonts w:eastAsia="Arial" w:cs="Arial"/>
                <w:szCs w:val="19"/>
              </w:rPr>
            </w:pPr>
            <w:r w:rsidRPr="00E922F1">
              <w:t>Reminiscence boards on walls and common spaces</w:t>
            </w:r>
          </w:p>
          <w:p w:rsidR="00B67876" w:rsidRPr="00E922F1" w:rsidRDefault="00B67876" w:rsidP="00F245F4">
            <w:pPr>
              <w:pStyle w:val="TableDash"/>
              <w:rPr>
                <w:rFonts w:eastAsia="Arial" w:cs="Arial"/>
                <w:szCs w:val="19"/>
              </w:rPr>
            </w:pPr>
            <w:r w:rsidRPr="00E922F1">
              <w:t>Use of pictures, objects and books that are familiar to the cohort</w:t>
            </w:r>
          </w:p>
          <w:p w:rsidR="00B67876" w:rsidRPr="00E922F1" w:rsidRDefault="00B67876" w:rsidP="00F245F4">
            <w:pPr>
              <w:pStyle w:val="TableDash"/>
              <w:rPr>
                <w:rFonts w:eastAsia="Arial" w:cs="Arial"/>
                <w:szCs w:val="19"/>
              </w:rPr>
            </w:pPr>
            <w:r w:rsidRPr="00E922F1">
              <w:t>Technology (</w:t>
            </w:r>
            <w:proofErr w:type="spellStart"/>
            <w:r w:rsidRPr="00E922F1">
              <w:t>eg</w:t>
            </w:r>
            <w:proofErr w:type="spellEnd"/>
            <w:r w:rsidRPr="00E922F1">
              <w:t>, Skype)</w:t>
            </w:r>
          </w:p>
          <w:p w:rsidR="00B67876" w:rsidRPr="00E922F1" w:rsidRDefault="00B67876" w:rsidP="00F245F4">
            <w:pPr>
              <w:pStyle w:val="TableDash"/>
              <w:rPr>
                <w:rFonts w:eastAsia="Arial" w:cs="Arial"/>
                <w:szCs w:val="19"/>
              </w:rPr>
            </w:pPr>
            <w:r w:rsidRPr="00E922F1">
              <w:t>Pleasant odours (</w:t>
            </w:r>
            <w:proofErr w:type="spellStart"/>
            <w:r w:rsidRPr="00E922F1">
              <w:t>eg</w:t>
            </w:r>
            <w:proofErr w:type="spellEnd"/>
            <w:r w:rsidRPr="00E922F1">
              <w:t>, baking)</w:t>
            </w:r>
          </w:p>
          <w:p w:rsidR="00B67876" w:rsidRPr="00E922F1" w:rsidRDefault="00B67876" w:rsidP="00F245F4">
            <w:pPr>
              <w:pStyle w:val="TableDash"/>
              <w:spacing w:after="60"/>
              <w:ind w:left="568" w:hanging="284"/>
              <w:rPr>
                <w:rFonts w:eastAsia="Arial" w:cs="Arial"/>
                <w:szCs w:val="19"/>
              </w:rPr>
            </w:pPr>
            <w:r w:rsidRPr="00E922F1">
              <w:t>Music, especially if it can be controlled by people living in the care home (including through headphones)</w:t>
            </w:r>
          </w:p>
        </w:tc>
      </w:tr>
    </w:tbl>
    <w:p w:rsidR="00F245F4" w:rsidRPr="00E922F1" w:rsidRDefault="00F245F4" w:rsidP="00F245F4">
      <w:bookmarkStart w:id="29" w:name="Memory_aides/cues_and_floor_plans"/>
      <w:bookmarkStart w:id="30" w:name="Community_links__"/>
      <w:bookmarkStart w:id="31" w:name="Recommended_design_audit_tool"/>
      <w:bookmarkStart w:id="32" w:name="_bookmark9"/>
      <w:bookmarkEnd w:id="29"/>
      <w:bookmarkEnd w:id="30"/>
      <w:bookmarkEnd w:id="31"/>
      <w:bookmarkEnd w:id="32"/>
    </w:p>
    <w:p w:rsidR="00B67876" w:rsidRPr="00E922F1" w:rsidRDefault="00B67876" w:rsidP="00F245F4">
      <w:pPr>
        <w:pStyle w:val="Heading2"/>
        <w:rPr>
          <w:bCs/>
        </w:rPr>
      </w:pPr>
      <w:bookmarkStart w:id="33" w:name="_Toc459188102"/>
      <w:r w:rsidRPr="00E922F1">
        <w:t>Memory aides/cues and floor plans</w:t>
      </w:r>
      <w:bookmarkEnd w:id="33"/>
    </w:p>
    <w:p w:rsidR="00B67876" w:rsidRPr="00E922F1" w:rsidRDefault="00B67876" w:rsidP="00F245F4">
      <w:r w:rsidRPr="00E922F1">
        <w:t>People with dementia have reduced capabilities to adjust or modify their physical environment; therefore, the environment needs to compensate accordingly through therapeutic design. Therapeutic design to assist memory and way-finding impacts on floor plans and interior finishing such as lighting and colour.</w:t>
      </w:r>
    </w:p>
    <w:p w:rsidR="00B67876" w:rsidRPr="00E922F1" w:rsidRDefault="00B67876" w:rsidP="00F245F4">
      <w:pPr>
        <w:rPr>
          <w:rFonts w:eastAsia="Century"/>
        </w:rPr>
      </w:pPr>
    </w:p>
    <w:p w:rsidR="00B67876" w:rsidRPr="00E922F1" w:rsidRDefault="00B67876" w:rsidP="00F245F4">
      <w:r w:rsidRPr="00E922F1">
        <w:t>The following component is important in terms of memory aides/cues and floor plans.</w:t>
      </w:r>
    </w:p>
    <w:p w:rsidR="00B67876" w:rsidRPr="00E922F1" w:rsidRDefault="00B67876" w:rsidP="00F245F4">
      <w:pPr>
        <w:rPr>
          <w:rFonts w:eastAsia="Century"/>
        </w:rPr>
      </w:pPr>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397"/>
        <w:gridCol w:w="5959"/>
      </w:tblGrid>
      <w:tr w:rsidR="00B67876" w:rsidRPr="00E922F1" w:rsidTr="00F245F4">
        <w:trPr>
          <w:cantSplit/>
        </w:trPr>
        <w:tc>
          <w:tcPr>
            <w:tcW w:w="3397" w:type="dxa"/>
            <w:tcBorders>
              <w:top w:val="single" w:sz="4" w:space="0" w:color="auto"/>
              <w:bottom w:val="single" w:sz="4" w:space="0" w:color="auto"/>
            </w:tcBorders>
            <w:shd w:val="clear" w:color="auto" w:fill="auto"/>
          </w:tcPr>
          <w:p w:rsidR="00B67876" w:rsidRPr="00E922F1" w:rsidRDefault="00B67876" w:rsidP="00F245F4">
            <w:pPr>
              <w:pStyle w:val="TableText"/>
              <w:rPr>
                <w:rFonts w:eastAsia="Arial" w:cs="Arial"/>
                <w:b/>
                <w:szCs w:val="19"/>
              </w:rPr>
            </w:pPr>
            <w:r w:rsidRPr="00E922F1">
              <w:rPr>
                <w:b/>
              </w:rPr>
              <w:t>Component</w:t>
            </w:r>
          </w:p>
        </w:tc>
        <w:tc>
          <w:tcPr>
            <w:tcW w:w="5959" w:type="dxa"/>
            <w:tcBorders>
              <w:top w:val="single" w:sz="4" w:space="0" w:color="auto"/>
              <w:bottom w:val="single" w:sz="4" w:space="0" w:color="auto"/>
            </w:tcBorders>
            <w:shd w:val="clear" w:color="auto" w:fill="auto"/>
          </w:tcPr>
          <w:p w:rsidR="00B67876" w:rsidRPr="00E922F1" w:rsidRDefault="00B67876" w:rsidP="00F245F4">
            <w:pPr>
              <w:pStyle w:val="TableText"/>
              <w:rPr>
                <w:rFonts w:eastAsia="Arial" w:cs="Arial"/>
                <w:b/>
                <w:szCs w:val="19"/>
              </w:rPr>
            </w:pPr>
            <w:r w:rsidRPr="00E922F1">
              <w:rPr>
                <w:b/>
              </w:rPr>
              <w:t>Detail</w:t>
            </w:r>
          </w:p>
        </w:tc>
      </w:tr>
      <w:tr w:rsidR="00B67876" w:rsidRPr="00E922F1" w:rsidTr="00F245F4">
        <w:trPr>
          <w:cantSplit/>
        </w:trPr>
        <w:tc>
          <w:tcPr>
            <w:tcW w:w="3397" w:type="dxa"/>
            <w:tcBorders>
              <w:top w:val="single" w:sz="4" w:space="0" w:color="auto"/>
            </w:tcBorders>
            <w:shd w:val="clear" w:color="auto" w:fill="auto"/>
          </w:tcPr>
          <w:p w:rsidR="00B67876" w:rsidRPr="00E922F1" w:rsidRDefault="00B67876" w:rsidP="00F245F4">
            <w:pPr>
              <w:pStyle w:val="TableText"/>
              <w:ind w:right="284"/>
              <w:rPr>
                <w:rFonts w:eastAsia="Arial" w:cs="Arial"/>
                <w:szCs w:val="19"/>
              </w:rPr>
            </w:pPr>
            <w:r w:rsidRPr="00E922F1">
              <w:t>Secure dementia care homes are designed to incorporate components to provide memory aides and cues</w:t>
            </w:r>
          </w:p>
        </w:tc>
        <w:tc>
          <w:tcPr>
            <w:tcW w:w="5959" w:type="dxa"/>
            <w:tcBorders>
              <w:top w:val="single" w:sz="4" w:space="0" w:color="auto"/>
            </w:tcBorders>
            <w:shd w:val="clear" w:color="auto" w:fill="auto"/>
          </w:tcPr>
          <w:p w:rsidR="00B67876" w:rsidRPr="00E922F1" w:rsidRDefault="00B67876" w:rsidP="00F245F4">
            <w:pPr>
              <w:pStyle w:val="TableBullet"/>
              <w:spacing w:before="60"/>
              <w:rPr>
                <w:rFonts w:eastAsia="Arial"/>
              </w:rPr>
            </w:pPr>
            <w:r w:rsidRPr="00E922F1">
              <w:rPr>
                <w:rFonts w:eastAsia="Arial"/>
              </w:rPr>
              <w:t>Personalised doors to people</w:t>
            </w:r>
            <w:r w:rsidR="00A67F7D" w:rsidRPr="00E922F1">
              <w:rPr>
                <w:rFonts w:eastAsia="Arial"/>
              </w:rPr>
              <w:t>’</w:t>
            </w:r>
            <w:r w:rsidRPr="00E922F1">
              <w:rPr>
                <w:rFonts w:eastAsia="Arial"/>
              </w:rPr>
              <w:t>s rooms</w:t>
            </w:r>
          </w:p>
          <w:p w:rsidR="00B67876" w:rsidRPr="00E922F1" w:rsidRDefault="00B67876" w:rsidP="00F245F4">
            <w:pPr>
              <w:pStyle w:val="TableBullet"/>
              <w:rPr>
                <w:rFonts w:eastAsia="Arial"/>
              </w:rPr>
            </w:pPr>
            <w:r w:rsidRPr="00E922F1">
              <w:t>A mix of types of cues, including colours and symbols</w:t>
            </w:r>
          </w:p>
          <w:p w:rsidR="00B67876" w:rsidRPr="00E922F1" w:rsidRDefault="00B67876" w:rsidP="00F245F4">
            <w:pPr>
              <w:pStyle w:val="TableBullet"/>
              <w:rPr>
                <w:rFonts w:eastAsia="Arial"/>
              </w:rPr>
            </w:pPr>
            <w:r w:rsidRPr="00E922F1">
              <w:t>Cues for activities</w:t>
            </w:r>
          </w:p>
          <w:p w:rsidR="00B67876" w:rsidRPr="00E922F1" w:rsidRDefault="00B67876" w:rsidP="00F245F4">
            <w:pPr>
              <w:pStyle w:val="TableBullet"/>
              <w:rPr>
                <w:rFonts w:eastAsia="Arial"/>
              </w:rPr>
            </w:pPr>
            <w:r w:rsidRPr="00E922F1">
              <w:t>Cues positioned lower than might seem natural</w:t>
            </w:r>
          </w:p>
          <w:p w:rsidR="00B67876" w:rsidRPr="00E922F1" w:rsidRDefault="00B67876" w:rsidP="00F245F4">
            <w:pPr>
              <w:pStyle w:val="TableBullet"/>
              <w:rPr>
                <w:rFonts w:eastAsia="Arial"/>
              </w:rPr>
            </w:pPr>
            <w:r w:rsidRPr="00E922F1">
              <w:t>Standardised colours for different sorts of rooms</w:t>
            </w:r>
          </w:p>
        </w:tc>
      </w:tr>
    </w:tbl>
    <w:p w:rsidR="00B67876" w:rsidRPr="00E922F1" w:rsidRDefault="00B67876" w:rsidP="00F245F4">
      <w:pPr>
        <w:rPr>
          <w:rFonts w:eastAsia="Century"/>
        </w:rPr>
      </w:pPr>
    </w:p>
    <w:p w:rsidR="00B67876" w:rsidRPr="00E922F1" w:rsidRDefault="00B67876" w:rsidP="00F245F4">
      <w:pPr>
        <w:pStyle w:val="Heading2"/>
        <w:rPr>
          <w:bCs/>
        </w:rPr>
      </w:pPr>
      <w:bookmarkStart w:id="34" w:name="_Toc459188103"/>
      <w:r w:rsidRPr="00E922F1">
        <w:t>Community links</w:t>
      </w:r>
      <w:bookmarkEnd w:id="34"/>
    </w:p>
    <w:p w:rsidR="00B67876" w:rsidRPr="00E922F1" w:rsidRDefault="00B67876" w:rsidP="00F245F4">
      <w:r w:rsidRPr="00E922F1">
        <w:t>Strong community and family links are an essential element that supports the creation of</w:t>
      </w:r>
      <w:r w:rsidR="00F245F4" w:rsidRPr="00E922F1">
        <w:t xml:space="preserve"> </w:t>
      </w:r>
      <w:r w:rsidRPr="00E922F1">
        <w:t xml:space="preserve">dementia-friendly environments, and a major factor in de-institutionalisation within care homes and de-stigmatisation of dementia within the wider community. A dementia-friendly environment </w:t>
      </w:r>
      <w:r w:rsidR="00A67F7D" w:rsidRPr="00E922F1">
        <w:t>‘</w:t>
      </w:r>
      <w:r w:rsidRPr="00E922F1">
        <w:t>can be defined as a cohesive system of support that recognises the experiences of the person with dementia and best provides assistance for the person to remain engaged in everyday life in a meaningful way</w:t>
      </w:r>
      <w:r w:rsidR="00A67F7D" w:rsidRPr="00E922F1">
        <w:t>’</w:t>
      </w:r>
      <w:r w:rsidRPr="00E922F1">
        <w:t xml:space="preserve"> (Davis et al 2009, p. 187).</w:t>
      </w:r>
    </w:p>
    <w:p w:rsidR="00B67876" w:rsidRPr="00E922F1" w:rsidRDefault="00B67876" w:rsidP="00F245F4">
      <w:pPr>
        <w:rPr>
          <w:rFonts w:eastAsia="Century"/>
        </w:rPr>
      </w:pPr>
    </w:p>
    <w:p w:rsidR="00B67876" w:rsidRPr="00E922F1" w:rsidRDefault="00B67876" w:rsidP="00F245F4">
      <w:r w:rsidRPr="00E922F1">
        <w:t>Care homes can give people with dementia the opportunity to remain part of organisations or groups, by offering spaces for meetings (Davis et al 2009).</w:t>
      </w:r>
    </w:p>
    <w:p w:rsidR="00B67876" w:rsidRPr="00E922F1" w:rsidRDefault="00B67876" w:rsidP="00F245F4">
      <w:pPr>
        <w:rPr>
          <w:rFonts w:eastAsia="Century"/>
        </w:rPr>
      </w:pPr>
    </w:p>
    <w:p w:rsidR="00B67876" w:rsidRPr="00E922F1" w:rsidRDefault="00B67876" w:rsidP="00F245F4">
      <w:r w:rsidRPr="00E922F1">
        <w:lastRenderedPageBreak/>
        <w:t>Through building location and affordances (</w:t>
      </w:r>
      <w:proofErr w:type="spellStart"/>
      <w:r w:rsidRPr="00E922F1">
        <w:t>Topo</w:t>
      </w:r>
      <w:proofErr w:type="spellEnd"/>
      <w:r w:rsidRPr="00E922F1">
        <w:t xml:space="preserve"> et al 2012), care homes can assist people to participate in the community. Such participation might involve outings, or invitations for community groups to visit. Also, the orientation and location of care homes can consciously offer people the chance to watch the world go by outside (</w:t>
      </w:r>
      <w:proofErr w:type="spellStart"/>
      <w:r w:rsidRPr="00E922F1">
        <w:t>Utton</w:t>
      </w:r>
      <w:proofErr w:type="spellEnd"/>
      <w:r w:rsidRPr="00E922F1">
        <w:t xml:space="preserve"> 2007).</w:t>
      </w:r>
    </w:p>
    <w:p w:rsidR="00B67876" w:rsidRPr="00E922F1" w:rsidRDefault="00B67876" w:rsidP="00F245F4">
      <w:pPr>
        <w:rPr>
          <w:rFonts w:eastAsia="Century"/>
        </w:rPr>
      </w:pPr>
    </w:p>
    <w:p w:rsidR="00B67876" w:rsidRPr="00E922F1" w:rsidRDefault="00B67876" w:rsidP="00F245F4">
      <w:r w:rsidRPr="00E922F1">
        <w:t>The following component is important in terms links with the community.</w:t>
      </w:r>
    </w:p>
    <w:p w:rsidR="00B67876" w:rsidRPr="00E922F1" w:rsidRDefault="00B67876" w:rsidP="00F245F4">
      <w:pPr>
        <w:rPr>
          <w:rFonts w:eastAsia="Century"/>
        </w:rPr>
      </w:pPr>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397"/>
        <w:gridCol w:w="5959"/>
      </w:tblGrid>
      <w:tr w:rsidR="00B67876" w:rsidRPr="00E922F1" w:rsidTr="00F245F4">
        <w:trPr>
          <w:cantSplit/>
        </w:trPr>
        <w:tc>
          <w:tcPr>
            <w:tcW w:w="3397" w:type="dxa"/>
            <w:tcBorders>
              <w:top w:val="single" w:sz="4" w:space="0" w:color="auto"/>
              <w:bottom w:val="single" w:sz="4" w:space="0" w:color="auto"/>
            </w:tcBorders>
            <w:shd w:val="clear" w:color="auto" w:fill="auto"/>
          </w:tcPr>
          <w:p w:rsidR="00B67876" w:rsidRPr="00E922F1" w:rsidRDefault="00B67876" w:rsidP="00F245F4">
            <w:pPr>
              <w:pStyle w:val="TableText"/>
              <w:rPr>
                <w:rFonts w:eastAsia="Arial" w:cs="Arial"/>
                <w:b/>
                <w:szCs w:val="19"/>
              </w:rPr>
            </w:pPr>
            <w:r w:rsidRPr="00E922F1">
              <w:rPr>
                <w:b/>
              </w:rPr>
              <w:t>Component</w:t>
            </w:r>
          </w:p>
        </w:tc>
        <w:tc>
          <w:tcPr>
            <w:tcW w:w="5959" w:type="dxa"/>
            <w:tcBorders>
              <w:top w:val="single" w:sz="4" w:space="0" w:color="auto"/>
              <w:bottom w:val="single" w:sz="4" w:space="0" w:color="auto"/>
            </w:tcBorders>
            <w:shd w:val="clear" w:color="auto" w:fill="auto"/>
          </w:tcPr>
          <w:p w:rsidR="00B67876" w:rsidRPr="00E922F1" w:rsidRDefault="00B67876" w:rsidP="00F245F4">
            <w:pPr>
              <w:pStyle w:val="TableText"/>
              <w:rPr>
                <w:rFonts w:eastAsia="Arial" w:cs="Arial"/>
                <w:b/>
                <w:szCs w:val="19"/>
              </w:rPr>
            </w:pPr>
            <w:r w:rsidRPr="00E922F1">
              <w:rPr>
                <w:b/>
              </w:rPr>
              <w:t>Detail</w:t>
            </w:r>
          </w:p>
        </w:tc>
      </w:tr>
      <w:tr w:rsidR="00B67876" w:rsidRPr="00E922F1" w:rsidTr="00F245F4">
        <w:trPr>
          <w:cantSplit/>
        </w:trPr>
        <w:tc>
          <w:tcPr>
            <w:tcW w:w="3397" w:type="dxa"/>
            <w:tcBorders>
              <w:top w:val="single" w:sz="4" w:space="0" w:color="auto"/>
            </w:tcBorders>
            <w:shd w:val="clear" w:color="auto" w:fill="auto"/>
          </w:tcPr>
          <w:p w:rsidR="00B67876" w:rsidRPr="00E922F1" w:rsidRDefault="00B67876" w:rsidP="00F245F4">
            <w:pPr>
              <w:pStyle w:val="TableText"/>
              <w:ind w:right="284"/>
              <w:rPr>
                <w:rFonts w:eastAsia="Arial" w:cs="Arial"/>
                <w:szCs w:val="19"/>
              </w:rPr>
            </w:pPr>
            <w:r w:rsidRPr="00E922F1">
              <w:t>Secure dementia care homes are designed to incorporate links with the community</w:t>
            </w:r>
          </w:p>
        </w:tc>
        <w:tc>
          <w:tcPr>
            <w:tcW w:w="5959" w:type="dxa"/>
            <w:tcBorders>
              <w:top w:val="single" w:sz="4" w:space="0" w:color="auto"/>
            </w:tcBorders>
            <w:shd w:val="clear" w:color="auto" w:fill="auto"/>
          </w:tcPr>
          <w:p w:rsidR="00B67876" w:rsidRPr="00E922F1" w:rsidRDefault="00B67876" w:rsidP="00F245F4">
            <w:pPr>
              <w:pStyle w:val="TableBullet"/>
              <w:spacing w:before="60"/>
              <w:rPr>
                <w:rFonts w:eastAsia="Arial" w:cs="Arial"/>
                <w:szCs w:val="19"/>
              </w:rPr>
            </w:pPr>
            <w:r w:rsidRPr="00E922F1">
              <w:t>Design of buildings and gardens that welcomes the community in to the space</w:t>
            </w:r>
          </w:p>
          <w:p w:rsidR="00B67876" w:rsidRPr="00E922F1" w:rsidRDefault="00B67876" w:rsidP="00F245F4">
            <w:pPr>
              <w:pStyle w:val="TableBullet"/>
              <w:rPr>
                <w:rFonts w:eastAsia="Arial" w:cs="Arial"/>
                <w:szCs w:val="19"/>
              </w:rPr>
            </w:pPr>
            <w:r w:rsidRPr="00E922F1">
              <w:t>Design that reflects the community of location, to provide a sense of familiarity</w:t>
            </w:r>
          </w:p>
        </w:tc>
      </w:tr>
    </w:tbl>
    <w:p w:rsidR="00B67876" w:rsidRPr="00E922F1" w:rsidRDefault="00B67876" w:rsidP="00F245F4">
      <w:pPr>
        <w:rPr>
          <w:rFonts w:eastAsia="Century"/>
        </w:rPr>
      </w:pPr>
    </w:p>
    <w:p w:rsidR="00B67876" w:rsidRPr="00E922F1" w:rsidRDefault="00B67876" w:rsidP="00F245F4">
      <w:pPr>
        <w:pStyle w:val="Heading2"/>
        <w:rPr>
          <w:bCs/>
        </w:rPr>
      </w:pPr>
      <w:bookmarkStart w:id="35" w:name="_Toc459188104"/>
      <w:r w:rsidRPr="00E922F1">
        <w:t>Recommended design audit tool</w:t>
      </w:r>
      <w:bookmarkEnd w:id="35"/>
    </w:p>
    <w:p w:rsidR="00B67876" w:rsidRPr="00E922F1" w:rsidRDefault="00B67876" w:rsidP="00F245F4">
      <w:r w:rsidRPr="00E922F1">
        <w:t xml:space="preserve">There are various audit tools for the design of secure dementia care homes internationally. The validated Australian </w:t>
      </w:r>
      <w:r w:rsidRPr="00E922F1">
        <w:rPr>
          <w:i/>
        </w:rPr>
        <w:t xml:space="preserve">Environmental Audit Tool: High Care </w:t>
      </w:r>
      <w:r w:rsidRPr="00E922F1">
        <w:t>(Fleming and Bennett 2015) is the most appropriate for the New Zealand context. This tool includes an accompanying Excel spreadsheet to assist with scoring. There is also an app version called BEAT-D, which is available on iTunes (Fleming 2011; Fleming et al 2012; Smith et al 2012; University of Wollongong 2012; Fleming et al 2015). Several other audit tools are listed in the complete Resource.</w:t>
      </w:r>
    </w:p>
    <w:p w:rsidR="00F245F4" w:rsidRPr="00E922F1" w:rsidRDefault="00F245F4" w:rsidP="00F245F4"/>
    <w:p w:rsidR="00B67876" w:rsidRPr="00E922F1" w:rsidRDefault="00B67876" w:rsidP="00F245F4">
      <w:pPr>
        <w:pStyle w:val="Heading1"/>
        <w:rPr>
          <w:bCs/>
        </w:rPr>
      </w:pPr>
      <w:bookmarkStart w:id="36" w:name="References"/>
      <w:bookmarkStart w:id="37" w:name="_bookmark10"/>
      <w:bookmarkStart w:id="38" w:name="_Toc459188105"/>
      <w:bookmarkEnd w:id="36"/>
      <w:bookmarkEnd w:id="37"/>
      <w:r w:rsidRPr="00E922F1">
        <w:lastRenderedPageBreak/>
        <w:t>References</w:t>
      </w:r>
      <w:bookmarkEnd w:id="38"/>
    </w:p>
    <w:p w:rsidR="00B67876" w:rsidRPr="00E922F1" w:rsidRDefault="00B67876" w:rsidP="00F245F4">
      <w:pPr>
        <w:pStyle w:val="References"/>
        <w:rPr>
          <w:rFonts w:eastAsia="Century" w:hAnsi="Century" w:cs="Century"/>
          <w:szCs w:val="18"/>
        </w:rPr>
      </w:pPr>
      <w:proofErr w:type="spellStart"/>
      <w:r w:rsidRPr="00E922F1">
        <w:t>Benbow</w:t>
      </w:r>
      <w:proofErr w:type="spellEnd"/>
      <w:r w:rsidRPr="00E922F1">
        <w:t xml:space="preserve">. 2014. </w:t>
      </w:r>
      <w:proofErr w:type="spellStart"/>
      <w:r w:rsidRPr="00E922F1">
        <w:rPr>
          <w:i/>
        </w:rPr>
        <w:t>Benbow</w:t>
      </w:r>
      <w:proofErr w:type="spellEnd"/>
      <w:r w:rsidRPr="00E922F1">
        <w:rPr>
          <w:i/>
        </w:rPr>
        <w:t xml:space="preserve"> Best Practice Design Guidelines: Nursing home complex care and dementia. </w:t>
      </w:r>
      <w:r w:rsidRPr="00E922F1">
        <w:t xml:space="preserve">Canada: people A </w:t>
      </w:r>
      <w:proofErr w:type="spellStart"/>
      <w:r w:rsidRPr="00E922F1">
        <w:t>Benbow</w:t>
      </w:r>
      <w:proofErr w:type="spellEnd"/>
      <w:r w:rsidRPr="00E922F1">
        <w:t>, Development Consultant: Seniors Housing and Care.</w:t>
      </w:r>
    </w:p>
    <w:p w:rsidR="00B67876" w:rsidRPr="00E922F1" w:rsidRDefault="00B67876" w:rsidP="00F245F4">
      <w:pPr>
        <w:pStyle w:val="References"/>
        <w:rPr>
          <w:rFonts w:eastAsia="Century" w:hAnsi="Century" w:cs="Century"/>
          <w:szCs w:val="18"/>
        </w:rPr>
      </w:pPr>
      <w:r w:rsidRPr="00E922F1">
        <w:rPr>
          <w:rFonts w:eastAsia="Century" w:hAnsi="Century" w:cs="Century"/>
          <w:szCs w:val="18"/>
        </w:rPr>
        <w:t xml:space="preserve">Brawley EC. 2009. Enriching lighting design. </w:t>
      </w:r>
      <w:proofErr w:type="spellStart"/>
      <w:r w:rsidRPr="00E922F1">
        <w:rPr>
          <w:rFonts w:eastAsia="Georgia" w:cs="Georgia"/>
          <w:i/>
          <w:szCs w:val="18"/>
        </w:rPr>
        <w:t>NeuroRehabilitation</w:t>
      </w:r>
      <w:proofErr w:type="spellEnd"/>
      <w:r w:rsidRPr="00E922F1">
        <w:rPr>
          <w:rFonts w:eastAsia="Georgia" w:cs="Georgia"/>
          <w:i/>
          <w:szCs w:val="18"/>
        </w:rPr>
        <w:t xml:space="preserve"> </w:t>
      </w:r>
      <w:r w:rsidRPr="00E922F1">
        <w:rPr>
          <w:rFonts w:eastAsia="Century" w:hAnsi="Century" w:cs="Century"/>
          <w:szCs w:val="18"/>
        </w:rPr>
        <w:t>25(3): 189</w:t>
      </w:r>
      <w:r w:rsidRPr="00E922F1">
        <w:rPr>
          <w:rFonts w:eastAsia="Century" w:hAnsi="Century" w:cs="Century"/>
          <w:szCs w:val="18"/>
        </w:rPr>
        <w:t>–</w:t>
      </w:r>
      <w:r w:rsidRPr="00E922F1">
        <w:rPr>
          <w:rFonts w:eastAsia="Century" w:hAnsi="Century" w:cs="Century"/>
          <w:szCs w:val="18"/>
        </w:rPr>
        <w:t>99.</w:t>
      </w:r>
    </w:p>
    <w:p w:rsidR="00B67876" w:rsidRPr="00E922F1" w:rsidRDefault="00B67876" w:rsidP="00F245F4">
      <w:pPr>
        <w:pStyle w:val="References"/>
        <w:rPr>
          <w:rFonts w:eastAsia="Century" w:hAnsi="Century" w:cs="Century"/>
          <w:szCs w:val="18"/>
        </w:rPr>
      </w:pPr>
      <w:r w:rsidRPr="00E922F1">
        <w:rPr>
          <w:rFonts w:eastAsia="Century" w:hAnsi="Century" w:cs="Century"/>
          <w:szCs w:val="18"/>
        </w:rPr>
        <w:t xml:space="preserve">Davis S, Byers S, Nay R, et al. 2009. Guiding design of dementia friendly environments in residential care settings: Considering the living experiences. </w:t>
      </w:r>
      <w:r w:rsidRPr="00E922F1">
        <w:rPr>
          <w:rFonts w:eastAsia="Georgia" w:cs="Georgia"/>
          <w:i/>
          <w:szCs w:val="18"/>
        </w:rPr>
        <w:t xml:space="preserve">Dementia </w:t>
      </w:r>
      <w:r w:rsidRPr="00E922F1">
        <w:rPr>
          <w:rFonts w:eastAsia="Century" w:hAnsi="Century" w:cs="Century"/>
          <w:szCs w:val="18"/>
        </w:rPr>
        <w:t>8(2): 185</w:t>
      </w:r>
      <w:r w:rsidRPr="00E922F1">
        <w:rPr>
          <w:rFonts w:eastAsia="Century" w:hAnsi="Century" w:cs="Century"/>
          <w:szCs w:val="18"/>
        </w:rPr>
        <w:t>–</w:t>
      </w:r>
      <w:r w:rsidRPr="00E922F1">
        <w:rPr>
          <w:rFonts w:eastAsia="Century" w:hAnsi="Century" w:cs="Century"/>
          <w:szCs w:val="18"/>
        </w:rPr>
        <w:t>203.</w:t>
      </w:r>
    </w:p>
    <w:p w:rsidR="00B67876" w:rsidRPr="00E922F1" w:rsidRDefault="00B67876" w:rsidP="00F245F4">
      <w:pPr>
        <w:pStyle w:val="References"/>
        <w:rPr>
          <w:rFonts w:eastAsia="Century" w:hAnsi="Century" w:cs="Century"/>
          <w:szCs w:val="18"/>
        </w:rPr>
      </w:pPr>
      <w:r w:rsidRPr="00E922F1">
        <w:rPr>
          <w:rFonts w:eastAsia="Century" w:hAnsi="Century" w:cs="Century"/>
          <w:szCs w:val="18"/>
        </w:rPr>
        <w:t xml:space="preserve">Day K, Carreon D, Stump C. 2000. The therapeutic design of environments for people with dementia: a review of the empirical research. </w:t>
      </w:r>
      <w:r w:rsidRPr="00E922F1">
        <w:rPr>
          <w:rFonts w:eastAsia="Georgia" w:cs="Georgia"/>
          <w:i/>
          <w:szCs w:val="18"/>
        </w:rPr>
        <w:t xml:space="preserve">The Gerontologist </w:t>
      </w:r>
      <w:r w:rsidRPr="00E922F1">
        <w:rPr>
          <w:rFonts w:eastAsia="Century" w:hAnsi="Century" w:cs="Century"/>
          <w:szCs w:val="18"/>
        </w:rPr>
        <w:t>40(4): 397</w:t>
      </w:r>
      <w:r w:rsidRPr="00E922F1">
        <w:rPr>
          <w:rFonts w:eastAsia="Century" w:hAnsi="Century" w:cs="Century"/>
          <w:szCs w:val="18"/>
        </w:rPr>
        <w:t>–</w:t>
      </w:r>
      <w:r w:rsidRPr="00E922F1">
        <w:rPr>
          <w:rFonts w:eastAsia="Century" w:hAnsi="Century" w:cs="Century"/>
          <w:szCs w:val="18"/>
        </w:rPr>
        <w:t>416.</w:t>
      </w:r>
    </w:p>
    <w:p w:rsidR="00B67876" w:rsidRPr="00E922F1" w:rsidRDefault="00B67876" w:rsidP="00F245F4">
      <w:pPr>
        <w:pStyle w:val="References"/>
        <w:rPr>
          <w:rFonts w:eastAsia="Century" w:hAnsi="Century" w:cs="Century"/>
          <w:szCs w:val="18"/>
        </w:rPr>
      </w:pPr>
      <w:r w:rsidRPr="00E922F1">
        <w:rPr>
          <w:rFonts w:eastAsia="Century" w:hAnsi="Century" w:cs="Century"/>
          <w:szCs w:val="18"/>
        </w:rPr>
        <w:t xml:space="preserve">Day K, Cohen U. 2000. The role of culture in designing environments for people with dementia. </w:t>
      </w:r>
      <w:r w:rsidRPr="00E922F1">
        <w:rPr>
          <w:rFonts w:eastAsia="Georgia" w:cs="Georgia"/>
          <w:i/>
          <w:szCs w:val="18"/>
        </w:rPr>
        <w:t xml:space="preserve">Environment &amp; </w:t>
      </w:r>
      <w:proofErr w:type="spellStart"/>
      <w:r w:rsidRPr="00E922F1">
        <w:rPr>
          <w:rFonts w:eastAsia="Georgia" w:cs="Georgia"/>
          <w:i/>
          <w:szCs w:val="18"/>
        </w:rPr>
        <w:t>Behavior</w:t>
      </w:r>
      <w:proofErr w:type="spellEnd"/>
      <w:r w:rsidRPr="00E922F1">
        <w:rPr>
          <w:rFonts w:eastAsia="Georgia" w:cs="Georgia"/>
          <w:i/>
          <w:szCs w:val="18"/>
        </w:rPr>
        <w:t xml:space="preserve"> </w:t>
      </w:r>
      <w:r w:rsidRPr="00E922F1">
        <w:rPr>
          <w:rFonts w:eastAsia="Century" w:hAnsi="Century" w:cs="Century"/>
          <w:szCs w:val="18"/>
        </w:rPr>
        <w:t>32(3): 361</w:t>
      </w:r>
      <w:r w:rsidRPr="00E922F1">
        <w:rPr>
          <w:rFonts w:eastAsia="Century" w:hAnsi="Century" w:cs="Century"/>
          <w:szCs w:val="18"/>
        </w:rPr>
        <w:t>–</w:t>
      </w:r>
      <w:r w:rsidRPr="00E922F1">
        <w:rPr>
          <w:rFonts w:eastAsia="Century" w:hAnsi="Century" w:cs="Century"/>
          <w:szCs w:val="18"/>
        </w:rPr>
        <w:t>99.</w:t>
      </w:r>
    </w:p>
    <w:p w:rsidR="00B67876" w:rsidRPr="00E922F1" w:rsidRDefault="00B67876" w:rsidP="00F245F4">
      <w:pPr>
        <w:pStyle w:val="References"/>
        <w:rPr>
          <w:rFonts w:eastAsia="Century" w:hAnsi="Century" w:cs="Century"/>
          <w:szCs w:val="18"/>
        </w:rPr>
      </w:pPr>
      <w:r w:rsidRPr="00E922F1">
        <w:t>Fleming R. 2011. An environmental audit tool suitable for use in homelike facilities for people with dementia.</w:t>
      </w:r>
      <w:r w:rsidR="00F245F4" w:rsidRPr="00E922F1">
        <w:t xml:space="preserve"> </w:t>
      </w:r>
      <w:r w:rsidRPr="00E922F1">
        <w:rPr>
          <w:rFonts w:eastAsia="Georgia" w:cs="Georgia"/>
          <w:i/>
          <w:szCs w:val="18"/>
        </w:rPr>
        <w:t xml:space="preserve">Australasian Journal on Ageing </w:t>
      </w:r>
      <w:r w:rsidRPr="00E922F1">
        <w:rPr>
          <w:rFonts w:eastAsia="Century" w:hAnsi="Century" w:cs="Century"/>
          <w:szCs w:val="18"/>
        </w:rPr>
        <w:t>30(3): 108</w:t>
      </w:r>
      <w:r w:rsidRPr="00E922F1">
        <w:rPr>
          <w:rFonts w:eastAsia="Century" w:hAnsi="Century" w:cs="Century"/>
          <w:szCs w:val="18"/>
        </w:rPr>
        <w:t>–</w:t>
      </w:r>
      <w:r w:rsidRPr="00E922F1">
        <w:rPr>
          <w:rFonts w:eastAsia="Century" w:hAnsi="Century" w:cs="Century"/>
          <w:szCs w:val="18"/>
        </w:rPr>
        <w:t>12.</w:t>
      </w:r>
    </w:p>
    <w:p w:rsidR="00B67876" w:rsidRPr="00E922F1" w:rsidRDefault="00B67876" w:rsidP="00F245F4">
      <w:pPr>
        <w:pStyle w:val="References"/>
        <w:rPr>
          <w:rFonts w:eastAsia="Century" w:hAnsi="Century" w:cs="Century"/>
          <w:szCs w:val="18"/>
        </w:rPr>
      </w:pPr>
      <w:r w:rsidRPr="00E922F1">
        <w:t xml:space="preserve">Fleming R, Bennett K. 2015. </w:t>
      </w:r>
      <w:r w:rsidRPr="00E922F1">
        <w:rPr>
          <w:i/>
        </w:rPr>
        <w:t>The Environmental Audit Tool: High Care</w:t>
      </w:r>
      <w:r w:rsidRPr="00E922F1">
        <w:t>. Australia: Department of Social Services Dementia Training Study Centres and University of Wollongong.</w:t>
      </w:r>
    </w:p>
    <w:p w:rsidR="00B67876" w:rsidRPr="00E922F1" w:rsidRDefault="00B67876" w:rsidP="00F245F4">
      <w:pPr>
        <w:pStyle w:val="References"/>
        <w:rPr>
          <w:rFonts w:eastAsia="Century" w:hAnsi="Century" w:cs="Century"/>
          <w:szCs w:val="18"/>
        </w:rPr>
      </w:pPr>
      <w:r w:rsidRPr="00E922F1">
        <w:t xml:space="preserve">Fleming R, Crookes PA, Sum S. 2008. A review of the empirical literature on the design of physical environments for people with dementia. </w:t>
      </w:r>
      <w:r w:rsidRPr="00E922F1">
        <w:rPr>
          <w:i/>
        </w:rPr>
        <w:t>University of Wollongong Research Online</w:t>
      </w:r>
      <w:r w:rsidRPr="00E922F1">
        <w:t>.</w:t>
      </w:r>
    </w:p>
    <w:p w:rsidR="00B67876" w:rsidRPr="00E922F1" w:rsidRDefault="00B67876" w:rsidP="00F245F4">
      <w:pPr>
        <w:pStyle w:val="References"/>
        <w:rPr>
          <w:rFonts w:eastAsia="Century" w:hAnsi="Century" w:cs="Century"/>
          <w:szCs w:val="18"/>
        </w:rPr>
      </w:pPr>
      <w:r w:rsidRPr="00E922F1">
        <w:rPr>
          <w:rFonts w:eastAsia="Century" w:hAnsi="Century" w:cs="Century"/>
          <w:szCs w:val="18"/>
        </w:rPr>
        <w:t xml:space="preserve">Fleming R, Fay R, Robinson A. 2012. Evidence-based facilities design in health care: a study of aged care facilities in Australia. </w:t>
      </w:r>
      <w:r w:rsidRPr="00E922F1">
        <w:rPr>
          <w:rFonts w:eastAsia="Georgia" w:cs="Georgia"/>
          <w:i/>
          <w:szCs w:val="18"/>
        </w:rPr>
        <w:t xml:space="preserve">Health Services Management Research </w:t>
      </w:r>
      <w:r w:rsidRPr="00E922F1">
        <w:rPr>
          <w:rFonts w:eastAsia="Century" w:hAnsi="Century" w:cs="Century"/>
          <w:szCs w:val="18"/>
        </w:rPr>
        <w:t>25(3): 121</w:t>
      </w:r>
      <w:r w:rsidRPr="00E922F1">
        <w:rPr>
          <w:rFonts w:eastAsia="Century" w:hAnsi="Century" w:cs="Century"/>
          <w:szCs w:val="18"/>
        </w:rPr>
        <w:t>–</w:t>
      </w:r>
      <w:r w:rsidRPr="00E922F1">
        <w:rPr>
          <w:rFonts w:eastAsia="Century" w:hAnsi="Century" w:cs="Century"/>
          <w:szCs w:val="18"/>
        </w:rPr>
        <w:t>8.</w:t>
      </w:r>
    </w:p>
    <w:p w:rsidR="00B67876" w:rsidRPr="00E922F1" w:rsidRDefault="00B67876" w:rsidP="00F245F4">
      <w:pPr>
        <w:pStyle w:val="References"/>
        <w:rPr>
          <w:rFonts w:eastAsia="Century" w:hAnsi="Century" w:cs="Century"/>
          <w:szCs w:val="18"/>
        </w:rPr>
      </w:pPr>
      <w:r w:rsidRPr="00E922F1">
        <w:rPr>
          <w:rFonts w:eastAsia="Century" w:hAnsi="Century" w:cs="Century"/>
          <w:szCs w:val="18"/>
        </w:rPr>
        <w:t xml:space="preserve">Fleming R, Kelly F, </w:t>
      </w:r>
      <w:proofErr w:type="spellStart"/>
      <w:r w:rsidRPr="00E922F1">
        <w:rPr>
          <w:rFonts w:eastAsia="Century" w:hAnsi="Century" w:cs="Century"/>
          <w:szCs w:val="18"/>
        </w:rPr>
        <w:t>Stillfried</w:t>
      </w:r>
      <w:proofErr w:type="spellEnd"/>
      <w:r w:rsidRPr="00E922F1">
        <w:rPr>
          <w:rFonts w:eastAsia="Century" w:hAnsi="Century" w:cs="Century"/>
          <w:szCs w:val="18"/>
        </w:rPr>
        <w:t xml:space="preserve"> G. 2015. </w:t>
      </w:r>
      <w:r w:rsidR="00A67F7D" w:rsidRPr="00E922F1">
        <w:rPr>
          <w:rFonts w:eastAsia="Century" w:hAnsi="Century" w:cs="Century"/>
          <w:szCs w:val="18"/>
        </w:rPr>
        <w:t>‘</w:t>
      </w:r>
      <w:r w:rsidRPr="00E922F1">
        <w:rPr>
          <w:rFonts w:eastAsia="Century" w:hAnsi="Century" w:cs="Century"/>
          <w:szCs w:val="18"/>
        </w:rPr>
        <w:t>I want to feel at home</w:t>
      </w:r>
      <w:r w:rsidR="00A67F7D" w:rsidRPr="00E922F1">
        <w:rPr>
          <w:rFonts w:eastAsia="Century" w:hAnsi="Century" w:cs="Century"/>
          <w:szCs w:val="18"/>
        </w:rPr>
        <w:t>’</w:t>
      </w:r>
      <w:r w:rsidRPr="00E922F1">
        <w:rPr>
          <w:rFonts w:eastAsia="Century" w:hAnsi="Century" w:cs="Century"/>
          <w:szCs w:val="18"/>
        </w:rPr>
        <w:t xml:space="preserve">: establishing what aspects of environmental design are important to people with dementia nearing the end of life. </w:t>
      </w:r>
      <w:r w:rsidRPr="00E922F1">
        <w:rPr>
          <w:rFonts w:eastAsia="Georgia" w:cs="Georgia"/>
          <w:i/>
          <w:szCs w:val="18"/>
        </w:rPr>
        <w:t xml:space="preserve">BMC Palliative Care </w:t>
      </w:r>
      <w:r w:rsidRPr="00E922F1">
        <w:rPr>
          <w:rFonts w:eastAsia="Century" w:hAnsi="Century" w:cs="Century"/>
          <w:szCs w:val="18"/>
        </w:rPr>
        <w:t>14: 26.</w:t>
      </w:r>
    </w:p>
    <w:p w:rsidR="00B67876" w:rsidRPr="00E922F1" w:rsidRDefault="00B67876" w:rsidP="00F245F4">
      <w:pPr>
        <w:pStyle w:val="References"/>
        <w:rPr>
          <w:rFonts w:eastAsia="Century" w:hAnsi="Century" w:cs="Century"/>
          <w:szCs w:val="18"/>
        </w:rPr>
      </w:pPr>
      <w:r w:rsidRPr="00E922F1">
        <w:t xml:space="preserve">Human Rights Commission. 2014. </w:t>
      </w:r>
      <w:r w:rsidRPr="00E922F1">
        <w:rPr>
          <w:i/>
        </w:rPr>
        <w:t>Annual Report</w:t>
      </w:r>
      <w:r w:rsidRPr="00E922F1">
        <w:t>. Wellington: Human Rights Commission.</w:t>
      </w:r>
    </w:p>
    <w:p w:rsidR="00B67876" w:rsidRPr="00E922F1" w:rsidRDefault="00B67876" w:rsidP="00F245F4">
      <w:pPr>
        <w:pStyle w:val="References"/>
        <w:rPr>
          <w:rFonts w:eastAsia="Century" w:hAnsi="Century" w:cs="Century"/>
          <w:szCs w:val="18"/>
        </w:rPr>
      </w:pPr>
      <w:r w:rsidRPr="00E922F1">
        <w:rPr>
          <w:rFonts w:eastAsia="Century" w:hAnsi="Century" w:cs="Century"/>
          <w:szCs w:val="18"/>
        </w:rPr>
        <w:t xml:space="preserve">Kelly F, Innes A, </w:t>
      </w:r>
      <w:proofErr w:type="spellStart"/>
      <w:r w:rsidRPr="00E922F1">
        <w:rPr>
          <w:rFonts w:eastAsia="Century" w:hAnsi="Century" w:cs="Century"/>
          <w:szCs w:val="18"/>
        </w:rPr>
        <w:t>Dincarslan</w:t>
      </w:r>
      <w:proofErr w:type="spellEnd"/>
      <w:r w:rsidRPr="00E922F1">
        <w:rPr>
          <w:rFonts w:eastAsia="Century" w:hAnsi="Century" w:cs="Century"/>
          <w:szCs w:val="18"/>
        </w:rPr>
        <w:t xml:space="preserve"> O. 2011. Improving care home design for people with dementia. </w:t>
      </w:r>
      <w:r w:rsidRPr="00E922F1">
        <w:rPr>
          <w:rFonts w:eastAsia="Georgia" w:cs="Georgia"/>
          <w:i/>
          <w:szCs w:val="18"/>
        </w:rPr>
        <w:t xml:space="preserve">Journal of Care Services Management </w:t>
      </w:r>
      <w:r w:rsidRPr="00E922F1">
        <w:rPr>
          <w:rFonts w:eastAsia="Century" w:hAnsi="Century" w:cs="Century"/>
          <w:szCs w:val="18"/>
        </w:rPr>
        <w:t>5(3): 147</w:t>
      </w:r>
      <w:r w:rsidRPr="00E922F1">
        <w:rPr>
          <w:rFonts w:eastAsia="Century" w:hAnsi="Century" w:cs="Century"/>
          <w:szCs w:val="18"/>
        </w:rPr>
        <w:t>–</w:t>
      </w:r>
      <w:r w:rsidRPr="00E922F1">
        <w:rPr>
          <w:rFonts w:eastAsia="Century" w:hAnsi="Century" w:cs="Century"/>
          <w:szCs w:val="18"/>
        </w:rPr>
        <w:t>55.</w:t>
      </w:r>
    </w:p>
    <w:p w:rsidR="00B67876" w:rsidRPr="00E922F1" w:rsidRDefault="00B67876" w:rsidP="00F245F4">
      <w:pPr>
        <w:pStyle w:val="References"/>
        <w:rPr>
          <w:rFonts w:eastAsia="Century" w:hAnsi="Century" w:cs="Century"/>
          <w:szCs w:val="18"/>
        </w:rPr>
      </w:pPr>
      <w:r w:rsidRPr="00E922F1">
        <w:rPr>
          <w:rFonts w:eastAsia="Century" w:hAnsi="Century" w:cs="Century"/>
          <w:szCs w:val="18"/>
        </w:rPr>
        <w:t xml:space="preserve">Marquardt G, </w:t>
      </w:r>
      <w:proofErr w:type="spellStart"/>
      <w:r w:rsidRPr="00E922F1">
        <w:rPr>
          <w:rFonts w:eastAsia="Century" w:hAnsi="Century" w:cs="Century"/>
          <w:szCs w:val="18"/>
        </w:rPr>
        <w:t>Bueter</w:t>
      </w:r>
      <w:proofErr w:type="spellEnd"/>
      <w:r w:rsidRPr="00E922F1">
        <w:rPr>
          <w:rFonts w:eastAsia="Century" w:hAnsi="Century" w:cs="Century"/>
          <w:szCs w:val="18"/>
        </w:rPr>
        <w:t xml:space="preserve"> K, </w:t>
      </w:r>
      <w:proofErr w:type="spellStart"/>
      <w:r w:rsidRPr="00E922F1">
        <w:rPr>
          <w:rFonts w:eastAsia="Century" w:hAnsi="Century" w:cs="Century"/>
          <w:szCs w:val="18"/>
        </w:rPr>
        <w:t>Motzek</w:t>
      </w:r>
      <w:proofErr w:type="spellEnd"/>
      <w:r w:rsidRPr="00E922F1">
        <w:rPr>
          <w:rFonts w:eastAsia="Century" w:hAnsi="Century" w:cs="Century"/>
          <w:szCs w:val="18"/>
        </w:rPr>
        <w:t xml:space="preserve"> T. 2014. Impact of the design of the built environment on people with dementia: an evidence-based review. </w:t>
      </w:r>
      <w:r w:rsidRPr="00E922F1">
        <w:rPr>
          <w:rFonts w:eastAsia="Georgia" w:cs="Georgia"/>
          <w:i/>
          <w:szCs w:val="18"/>
        </w:rPr>
        <w:t xml:space="preserve">HERD </w:t>
      </w:r>
      <w:r w:rsidRPr="00E922F1">
        <w:rPr>
          <w:rFonts w:eastAsia="Century" w:hAnsi="Century" w:cs="Century"/>
          <w:szCs w:val="18"/>
        </w:rPr>
        <w:t>8(1): 127</w:t>
      </w:r>
      <w:r w:rsidRPr="00E922F1">
        <w:rPr>
          <w:rFonts w:eastAsia="Century" w:hAnsi="Century" w:cs="Century"/>
          <w:szCs w:val="18"/>
        </w:rPr>
        <w:t>–</w:t>
      </w:r>
      <w:r w:rsidRPr="00E922F1">
        <w:rPr>
          <w:rFonts w:eastAsia="Century" w:hAnsi="Century" w:cs="Century"/>
          <w:szCs w:val="18"/>
        </w:rPr>
        <w:t>57.</w:t>
      </w:r>
    </w:p>
    <w:p w:rsidR="00B67876" w:rsidRPr="00E922F1" w:rsidRDefault="00B67876" w:rsidP="00F245F4">
      <w:pPr>
        <w:pStyle w:val="References"/>
        <w:rPr>
          <w:rFonts w:eastAsia="Century" w:hAnsi="Century" w:cs="Century"/>
          <w:szCs w:val="18"/>
        </w:rPr>
      </w:pPr>
      <w:r w:rsidRPr="00E922F1">
        <w:t xml:space="preserve">Marshall M. 1998b. Therapeutic buildings for people with dementia. In: Judd S, Marshall M, </w:t>
      </w:r>
      <w:proofErr w:type="spellStart"/>
      <w:r w:rsidRPr="00E922F1">
        <w:t>Phippen</w:t>
      </w:r>
      <w:proofErr w:type="spellEnd"/>
      <w:r w:rsidR="00F245F4" w:rsidRPr="00E922F1">
        <w:t> </w:t>
      </w:r>
      <w:r w:rsidRPr="00E922F1">
        <w:t>P (</w:t>
      </w:r>
      <w:proofErr w:type="spellStart"/>
      <w:proofErr w:type="gramStart"/>
      <w:r w:rsidRPr="00E922F1">
        <w:t>eds</w:t>
      </w:r>
      <w:proofErr w:type="spellEnd"/>
      <w:proofErr w:type="gramEnd"/>
      <w:r w:rsidRPr="00E922F1">
        <w:t>).</w:t>
      </w:r>
      <w:r w:rsidR="00F245F4" w:rsidRPr="00E922F1">
        <w:t xml:space="preserve"> </w:t>
      </w:r>
      <w:r w:rsidRPr="00E922F1">
        <w:rPr>
          <w:i/>
        </w:rPr>
        <w:t>Design for Dementia</w:t>
      </w:r>
      <w:r w:rsidRPr="00E922F1">
        <w:t>. London: Hawker Publications.</w:t>
      </w:r>
    </w:p>
    <w:p w:rsidR="00B67876" w:rsidRPr="00E922F1" w:rsidRDefault="00B67876" w:rsidP="00F245F4">
      <w:pPr>
        <w:pStyle w:val="References"/>
        <w:rPr>
          <w:rFonts w:eastAsia="Century" w:hAnsi="Century" w:cs="Century"/>
          <w:szCs w:val="18"/>
        </w:rPr>
      </w:pPr>
      <w:r w:rsidRPr="00E922F1">
        <w:t xml:space="preserve">Peace R, </w:t>
      </w:r>
      <w:proofErr w:type="spellStart"/>
      <w:r w:rsidRPr="00E922F1">
        <w:t>Kell</w:t>
      </w:r>
      <w:proofErr w:type="spellEnd"/>
      <w:r w:rsidRPr="00E922F1">
        <w:t xml:space="preserve"> S, Pere L, et al. 2002</w:t>
      </w:r>
      <w:r w:rsidRPr="00E922F1">
        <w:rPr>
          <w:i/>
        </w:rPr>
        <w:t>. Mental Health and Independent Housing Needs</w:t>
      </w:r>
      <w:r w:rsidRPr="00E922F1">
        <w:t>. Wellington: Ministry of Social Development.</w:t>
      </w:r>
    </w:p>
    <w:p w:rsidR="00B67876" w:rsidRPr="00E922F1" w:rsidRDefault="00B67876" w:rsidP="00F245F4">
      <w:pPr>
        <w:pStyle w:val="References"/>
        <w:rPr>
          <w:rFonts w:eastAsia="Century" w:hAnsi="Century" w:cs="Century"/>
          <w:szCs w:val="18"/>
        </w:rPr>
      </w:pPr>
      <w:r w:rsidRPr="00E922F1">
        <w:rPr>
          <w:rFonts w:eastAsia="Century" w:hAnsi="Century" w:cs="Century"/>
          <w:szCs w:val="18"/>
        </w:rPr>
        <w:t xml:space="preserve">Schwarz B, </w:t>
      </w:r>
      <w:proofErr w:type="spellStart"/>
      <w:r w:rsidRPr="00E922F1">
        <w:rPr>
          <w:rFonts w:eastAsia="Century" w:hAnsi="Century" w:cs="Century"/>
          <w:szCs w:val="18"/>
        </w:rPr>
        <w:t>Rodiek</w:t>
      </w:r>
      <w:proofErr w:type="spellEnd"/>
      <w:r w:rsidRPr="00E922F1">
        <w:rPr>
          <w:rFonts w:eastAsia="Century" w:hAnsi="Century" w:cs="Century"/>
          <w:szCs w:val="18"/>
        </w:rPr>
        <w:t xml:space="preserve"> S. 2007. Introduction. </w:t>
      </w:r>
      <w:r w:rsidRPr="00E922F1">
        <w:rPr>
          <w:rFonts w:eastAsia="Georgia" w:cs="Georgia"/>
          <w:i/>
          <w:szCs w:val="18"/>
        </w:rPr>
        <w:t xml:space="preserve">Journal of Housing for the Elderly </w:t>
      </w:r>
      <w:r w:rsidRPr="00E922F1">
        <w:rPr>
          <w:rFonts w:eastAsia="Century" w:hAnsi="Century" w:cs="Century"/>
          <w:szCs w:val="18"/>
        </w:rPr>
        <w:t>21(1</w:t>
      </w:r>
      <w:r w:rsidRPr="00E922F1">
        <w:rPr>
          <w:rFonts w:eastAsia="Century" w:hAnsi="Century" w:cs="Century"/>
          <w:szCs w:val="18"/>
        </w:rPr>
        <w:t>–</w:t>
      </w:r>
      <w:r w:rsidRPr="00E922F1">
        <w:rPr>
          <w:rFonts w:eastAsia="Century" w:hAnsi="Century" w:cs="Century"/>
          <w:szCs w:val="18"/>
        </w:rPr>
        <w:t>2): 1</w:t>
      </w:r>
      <w:r w:rsidRPr="00E922F1">
        <w:rPr>
          <w:rFonts w:eastAsia="Century" w:hAnsi="Century" w:cs="Century"/>
          <w:szCs w:val="18"/>
        </w:rPr>
        <w:t>–</w:t>
      </w:r>
      <w:r w:rsidRPr="00E922F1">
        <w:rPr>
          <w:rFonts w:eastAsia="Century" w:hAnsi="Century" w:cs="Century"/>
          <w:szCs w:val="18"/>
        </w:rPr>
        <w:t>11.</w:t>
      </w:r>
    </w:p>
    <w:p w:rsidR="00B67876" w:rsidRPr="00E922F1" w:rsidRDefault="00B67876" w:rsidP="00F245F4">
      <w:pPr>
        <w:pStyle w:val="References"/>
        <w:rPr>
          <w:rFonts w:eastAsia="Century" w:hAnsi="Century" w:cs="Century"/>
          <w:szCs w:val="18"/>
        </w:rPr>
      </w:pPr>
      <w:r w:rsidRPr="00E922F1">
        <w:rPr>
          <w:rFonts w:eastAsia="Century" w:hAnsi="Century" w:cs="Century"/>
          <w:szCs w:val="18"/>
        </w:rPr>
        <w:t xml:space="preserve">Smith R, Fleming R, Chenoweth L, et al. 2012. Validation of the Environmental Audit Tool in both purpose-built and non-purpose-built dementia care settings. </w:t>
      </w:r>
      <w:r w:rsidRPr="00E922F1">
        <w:rPr>
          <w:rFonts w:eastAsia="Georgia" w:cs="Georgia"/>
          <w:i/>
          <w:szCs w:val="18"/>
        </w:rPr>
        <w:t xml:space="preserve">Australasian Journal on Ageing </w:t>
      </w:r>
      <w:r w:rsidRPr="00E922F1">
        <w:rPr>
          <w:rFonts w:eastAsia="Century" w:hAnsi="Century" w:cs="Century"/>
          <w:szCs w:val="18"/>
        </w:rPr>
        <w:t>31(3): 159</w:t>
      </w:r>
      <w:r w:rsidRPr="00E922F1">
        <w:rPr>
          <w:rFonts w:eastAsia="Century" w:hAnsi="Century" w:cs="Century"/>
          <w:szCs w:val="18"/>
        </w:rPr>
        <w:t>–</w:t>
      </w:r>
      <w:r w:rsidRPr="00E922F1">
        <w:rPr>
          <w:rFonts w:eastAsia="Century" w:hAnsi="Century" w:cs="Century"/>
          <w:szCs w:val="18"/>
        </w:rPr>
        <w:t>63.</w:t>
      </w:r>
    </w:p>
    <w:p w:rsidR="00B67876" w:rsidRPr="00E922F1" w:rsidRDefault="00B67876" w:rsidP="00F245F4">
      <w:pPr>
        <w:pStyle w:val="References"/>
        <w:rPr>
          <w:rFonts w:eastAsia="Century" w:hAnsi="Century" w:cs="Century"/>
          <w:szCs w:val="18"/>
        </w:rPr>
      </w:pPr>
      <w:proofErr w:type="spellStart"/>
      <w:r w:rsidRPr="00E922F1">
        <w:rPr>
          <w:rFonts w:eastAsia="Century" w:hAnsi="Century" w:cs="Century"/>
          <w:szCs w:val="18"/>
        </w:rPr>
        <w:t>Topo</w:t>
      </w:r>
      <w:proofErr w:type="spellEnd"/>
      <w:r w:rsidRPr="00E922F1">
        <w:rPr>
          <w:rFonts w:eastAsia="Century" w:hAnsi="Century" w:cs="Century"/>
          <w:szCs w:val="18"/>
        </w:rPr>
        <w:t xml:space="preserve"> P, </w:t>
      </w:r>
      <w:proofErr w:type="spellStart"/>
      <w:r w:rsidRPr="00E922F1">
        <w:rPr>
          <w:rFonts w:eastAsia="Century" w:hAnsi="Century" w:cs="Century"/>
          <w:szCs w:val="18"/>
        </w:rPr>
        <w:t>Kotilainen</w:t>
      </w:r>
      <w:proofErr w:type="spellEnd"/>
      <w:r w:rsidRPr="00E922F1">
        <w:rPr>
          <w:rFonts w:eastAsia="Century" w:hAnsi="Century" w:cs="Century"/>
          <w:szCs w:val="18"/>
        </w:rPr>
        <w:t xml:space="preserve">, </w:t>
      </w:r>
      <w:proofErr w:type="spellStart"/>
      <w:r w:rsidRPr="00E922F1">
        <w:rPr>
          <w:rFonts w:eastAsia="Century" w:hAnsi="Century" w:cs="Century"/>
          <w:szCs w:val="18"/>
        </w:rPr>
        <w:t>Eloniemi-Sulkava</w:t>
      </w:r>
      <w:proofErr w:type="spellEnd"/>
      <w:r w:rsidRPr="00E922F1">
        <w:rPr>
          <w:rFonts w:eastAsia="Century" w:hAnsi="Century" w:cs="Century"/>
          <w:szCs w:val="18"/>
        </w:rPr>
        <w:t xml:space="preserve"> U. 2012. Affordances of the care environment for people with dementia-an assessment study. </w:t>
      </w:r>
      <w:r w:rsidRPr="00E922F1">
        <w:rPr>
          <w:rFonts w:eastAsia="Georgia" w:cs="Georgia"/>
          <w:i/>
          <w:szCs w:val="18"/>
        </w:rPr>
        <w:t xml:space="preserve">HERD </w:t>
      </w:r>
      <w:r w:rsidRPr="00E922F1">
        <w:rPr>
          <w:rFonts w:eastAsia="Century" w:hAnsi="Century" w:cs="Century"/>
          <w:szCs w:val="18"/>
        </w:rPr>
        <w:t>5(4): 118</w:t>
      </w:r>
      <w:r w:rsidRPr="00E922F1">
        <w:rPr>
          <w:rFonts w:eastAsia="Century" w:hAnsi="Century" w:cs="Century"/>
          <w:szCs w:val="18"/>
        </w:rPr>
        <w:t>–</w:t>
      </w:r>
      <w:r w:rsidRPr="00E922F1">
        <w:rPr>
          <w:rFonts w:eastAsia="Century" w:hAnsi="Century" w:cs="Century"/>
          <w:szCs w:val="18"/>
        </w:rPr>
        <w:t>38.</w:t>
      </w:r>
    </w:p>
    <w:p w:rsidR="00B67876" w:rsidRPr="00E922F1" w:rsidRDefault="00B67876" w:rsidP="00F245F4">
      <w:pPr>
        <w:pStyle w:val="References"/>
        <w:rPr>
          <w:rFonts w:eastAsia="Century" w:hAnsi="Century" w:cs="Century"/>
          <w:szCs w:val="18"/>
        </w:rPr>
      </w:pPr>
      <w:r w:rsidRPr="00E922F1">
        <w:rPr>
          <w:rFonts w:eastAsia="Century" w:hAnsi="Century" w:cs="Century"/>
          <w:szCs w:val="18"/>
        </w:rPr>
        <w:t xml:space="preserve">Torrington JM, </w:t>
      </w:r>
      <w:proofErr w:type="spellStart"/>
      <w:r w:rsidRPr="00E922F1">
        <w:rPr>
          <w:rFonts w:eastAsia="Century" w:hAnsi="Century" w:cs="Century"/>
          <w:szCs w:val="18"/>
        </w:rPr>
        <w:t>Tregenza</w:t>
      </w:r>
      <w:proofErr w:type="spellEnd"/>
      <w:r w:rsidRPr="00E922F1">
        <w:rPr>
          <w:rFonts w:eastAsia="Century" w:hAnsi="Century" w:cs="Century"/>
          <w:szCs w:val="18"/>
        </w:rPr>
        <w:t xml:space="preserve"> PR. 2007. Lighting for people with dementia. </w:t>
      </w:r>
      <w:r w:rsidRPr="00E922F1">
        <w:rPr>
          <w:rFonts w:eastAsia="Georgia" w:cs="Georgia"/>
          <w:i/>
          <w:szCs w:val="18"/>
        </w:rPr>
        <w:t xml:space="preserve">Lighting Research and Technology </w:t>
      </w:r>
      <w:r w:rsidRPr="00E922F1">
        <w:rPr>
          <w:rFonts w:eastAsia="Century" w:hAnsi="Century" w:cs="Century"/>
          <w:szCs w:val="18"/>
        </w:rPr>
        <w:t>39(1): 81</w:t>
      </w:r>
      <w:r w:rsidRPr="00E922F1">
        <w:rPr>
          <w:rFonts w:eastAsia="Century" w:hAnsi="Century" w:cs="Century"/>
          <w:szCs w:val="18"/>
        </w:rPr>
        <w:t>–</w:t>
      </w:r>
      <w:r w:rsidRPr="00E922F1">
        <w:rPr>
          <w:rFonts w:eastAsia="Century" w:hAnsi="Century" w:cs="Century"/>
          <w:szCs w:val="18"/>
        </w:rPr>
        <w:t>97.</w:t>
      </w:r>
    </w:p>
    <w:p w:rsidR="00B67876" w:rsidRPr="00E922F1" w:rsidRDefault="00B67876" w:rsidP="00F245F4">
      <w:pPr>
        <w:pStyle w:val="References"/>
        <w:rPr>
          <w:rFonts w:eastAsia="Century" w:hAnsi="Century" w:cs="Century"/>
          <w:szCs w:val="18"/>
        </w:rPr>
      </w:pPr>
      <w:r w:rsidRPr="00E922F1">
        <w:rPr>
          <w:rFonts w:eastAsia="Century" w:hAnsi="Century" w:cs="Century"/>
          <w:szCs w:val="18"/>
        </w:rPr>
        <w:lastRenderedPageBreak/>
        <w:t>Townsend MD, New. 2011. M</w:t>
      </w:r>
      <w:r w:rsidRPr="00E922F1">
        <w:rPr>
          <w:rFonts w:eastAsia="Century" w:hAnsi="Century" w:cs="Century"/>
          <w:szCs w:val="18"/>
        </w:rPr>
        <w:t>ā</w:t>
      </w:r>
      <w:r w:rsidRPr="00E922F1">
        <w:rPr>
          <w:rFonts w:eastAsia="Century" w:hAnsi="Century" w:cs="Century"/>
          <w:szCs w:val="18"/>
        </w:rPr>
        <w:t>ori and dementia: M</w:t>
      </w:r>
      <w:r w:rsidRPr="00E922F1">
        <w:rPr>
          <w:rFonts w:eastAsia="Century" w:hAnsi="Century" w:cs="Century"/>
          <w:szCs w:val="18"/>
        </w:rPr>
        <w:t>ā</w:t>
      </w:r>
      <w:r w:rsidRPr="00E922F1">
        <w:rPr>
          <w:rFonts w:eastAsia="Century" w:hAnsi="Century" w:cs="Century"/>
          <w:szCs w:val="18"/>
        </w:rPr>
        <w:t>ori health professionals</w:t>
      </w:r>
      <w:r w:rsidR="00A67F7D" w:rsidRPr="00E922F1">
        <w:rPr>
          <w:rFonts w:eastAsia="Century" w:hAnsi="Century" w:cs="Century"/>
          <w:szCs w:val="18"/>
        </w:rPr>
        <w:t>’</w:t>
      </w:r>
      <w:r w:rsidRPr="00E922F1">
        <w:rPr>
          <w:rFonts w:eastAsia="Century" w:hAnsi="Century" w:cs="Century"/>
          <w:szCs w:val="18"/>
        </w:rPr>
        <w:t xml:space="preserve"> perceptions of dementia, support offered and suggested improvements. MA thesis, University of Waikato, Hamilton.</w:t>
      </w:r>
    </w:p>
    <w:p w:rsidR="00B67876" w:rsidRPr="00E922F1" w:rsidRDefault="00B67876" w:rsidP="00F245F4">
      <w:pPr>
        <w:pStyle w:val="References"/>
        <w:rPr>
          <w:rFonts w:eastAsia="Century" w:hAnsi="Century" w:cs="Century"/>
          <w:szCs w:val="18"/>
        </w:rPr>
      </w:pPr>
      <w:r w:rsidRPr="00E922F1">
        <w:t>University of Wollongong. 2012. BEAT-D (Built Environment Assessment Tool: Dementia). URL: https://itunes. apple.com/au/app/beat-d-built-environment-assessment/id527112326?mt=8 (accessed 8 March 2016).</w:t>
      </w:r>
    </w:p>
    <w:p w:rsidR="00B67876" w:rsidRPr="00E922F1" w:rsidRDefault="00B67876" w:rsidP="00F245F4">
      <w:pPr>
        <w:pStyle w:val="References"/>
        <w:rPr>
          <w:rFonts w:eastAsia="Century" w:hAnsi="Century" w:cs="Century"/>
          <w:szCs w:val="18"/>
        </w:rPr>
      </w:pPr>
      <w:proofErr w:type="spellStart"/>
      <w:r w:rsidRPr="00E922F1">
        <w:t>Utton</w:t>
      </w:r>
      <w:proofErr w:type="spellEnd"/>
      <w:r w:rsidRPr="00E922F1">
        <w:t xml:space="preserve"> D. 2007. </w:t>
      </w:r>
      <w:r w:rsidRPr="00E922F1">
        <w:rPr>
          <w:i/>
        </w:rPr>
        <w:t>Designing Homes for People with Dementia</w:t>
      </w:r>
      <w:r w:rsidRPr="00E922F1">
        <w:t>. London: Hawker Publications.</w:t>
      </w:r>
    </w:p>
    <w:p w:rsidR="00B67876" w:rsidRPr="00E922F1" w:rsidRDefault="00B67876" w:rsidP="00F245F4">
      <w:pPr>
        <w:pStyle w:val="References"/>
        <w:rPr>
          <w:rFonts w:eastAsia="Century" w:hAnsi="Century" w:cs="Century"/>
          <w:szCs w:val="18"/>
        </w:rPr>
      </w:pPr>
      <w:proofErr w:type="gramStart"/>
      <w:r w:rsidRPr="00E922F1">
        <w:rPr>
          <w:rFonts w:eastAsia="Century" w:hAnsi="Century" w:cs="Century"/>
          <w:szCs w:val="18"/>
        </w:rPr>
        <w:t>van</w:t>
      </w:r>
      <w:proofErr w:type="gramEnd"/>
      <w:r w:rsidRPr="00E922F1">
        <w:rPr>
          <w:rFonts w:eastAsia="Century" w:hAnsi="Century" w:cs="Century"/>
          <w:szCs w:val="18"/>
        </w:rPr>
        <w:t xml:space="preserve"> Hoof J, </w:t>
      </w:r>
      <w:proofErr w:type="spellStart"/>
      <w:r w:rsidRPr="00E922F1">
        <w:rPr>
          <w:rFonts w:eastAsia="Century" w:hAnsi="Century" w:cs="Century"/>
          <w:szCs w:val="18"/>
        </w:rPr>
        <w:t>Kort</w:t>
      </w:r>
      <w:proofErr w:type="spellEnd"/>
      <w:r w:rsidRPr="00E922F1">
        <w:rPr>
          <w:rFonts w:eastAsia="Century" w:hAnsi="Century" w:cs="Century"/>
          <w:szCs w:val="18"/>
        </w:rPr>
        <w:t xml:space="preserve"> HS, van </w:t>
      </w:r>
      <w:proofErr w:type="spellStart"/>
      <w:r w:rsidRPr="00E922F1">
        <w:rPr>
          <w:rFonts w:eastAsia="Century" w:hAnsi="Century" w:cs="Century"/>
          <w:szCs w:val="18"/>
        </w:rPr>
        <w:t>Waarde</w:t>
      </w:r>
      <w:proofErr w:type="spellEnd"/>
      <w:r w:rsidRPr="00E922F1">
        <w:rPr>
          <w:rFonts w:eastAsia="Century" w:hAnsi="Century" w:cs="Century"/>
          <w:szCs w:val="18"/>
        </w:rPr>
        <w:t xml:space="preserve"> people, et al. 2010. Environmental interventions and the design of homes for older adults with dementia: an overview. </w:t>
      </w:r>
      <w:r w:rsidRPr="00E922F1">
        <w:rPr>
          <w:rFonts w:eastAsia="Georgia" w:cs="Georgia"/>
          <w:i/>
          <w:szCs w:val="18"/>
        </w:rPr>
        <w:t xml:space="preserve">American Journal of </w:t>
      </w:r>
      <w:proofErr w:type="gramStart"/>
      <w:r w:rsidRPr="00E922F1">
        <w:rPr>
          <w:rFonts w:eastAsia="Georgia" w:cs="Georgia"/>
          <w:i/>
          <w:szCs w:val="18"/>
        </w:rPr>
        <w:t>Alzheimer</w:t>
      </w:r>
      <w:r w:rsidR="00A67F7D" w:rsidRPr="00E922F1">
        <w:rPr>
          <w:rFonts w:eastAsia="Georgia" w:cs="Georgia"/>
          <w:i/>
          <w:szCs w:val="18"/>
        </w:rPr>
        <w:t>’</w:t>
      </w:r>
      <w:r w:rsidRPr="00E922F1">
        <w:rPr>
          <w:rFonts w:eastAsia="Georgia" w:cs="Georgia"/>
          <w:i/>
          <w:szCs w:val="18"/>
        </w:rPr>
        <w:t>s Disease</w:t>
      </w:r>
      <w:proofErr w:type="gramEnd"/>
      <w:r w:rsidRPr="00E922F1">
        <w:rPr>
          <w:rFonts w:eastAsia="Georgia" w:cs="Georgia"/>
          <w:i/>
          <w:szCs w:val="18"/>
        </w:rPr>
        <w:t xml:space="preserve"> and Other Dementias </w:t>
      </w:r>
      <w:r w:rsidRPr="00E922F1">
        <w:rPr>
          <w:rFonts w:eastAsia="Century" w:hAnsi="Century" w:cs="Century"/>
          <w:szCs w:val="18"/>
        </w:rPr>
        <w:t>25(3): 202</w:t>
      </w:r>
      <w:r w:rsidRPr="00E922F1">
        <w:rPr>
          <w:rFonts w:eastAsia="Century" w:hAnsi="Century" w:cs="Century"/>
          <w:szCs w:val="18"/>
        </w:rPr>
        <w:t>–</w:t>
      </w:r>
      <w:r w:rsidRPr="00E922F1">
        <w:rPr>
          <w:rFonts w:eastAsia="Century" w:hAnsi="Century" w:cs="Century"/>
          <w:szCs w:val="18"/>
        </w:rPr>
        <w:t>32.</w:t>
      </w:r>
    </w:p>
    <w:p w:rsidR="00B67876" w:rsidRPr="00E922F1" w:rsidRDefault="00B67876" w:rsidP="00F245F4">
      <w:pPr>
        <w:pStyle w:val="References"/>
        <w:rPr>
          <w:rFonts w:eastAsia="Century" w:hAnsi="Century" w:cs="Century"/>
          <w:szCs w:val="18"/>
        </w:rPr>
      </w:pPr>
      <w:r w:rsidRPr="00E922F1">
        <w:rPr>
          <w:rFonts w:eastAsia="Century" w:hAnsi="Century" w:cs="Century"/>
          <w:szCs w:val="18"/>
        </w:rPr>
        <w:t xml:space="preserve">Zeisel J, Silverstein NM, Hyde J, et al. 2003. Environmental correlates to </w:t>
      </w:r>
      <w:proofErr w:type="spellStart"/>
      <w:r w:rsidRPr="00E922F1">
        <w:rPr>
          <w:rFonts w:eastAsia="Century" w:hAnsi="Century" w:cs="Century"/>
          <w:szCs w:val="18"/>
        </w:rPr>
        <w:t>behavioral</w:t>
      </w:r>
      <w:proofErr w:type="spellEnd"/>
      <w:r w:rsidRPr="00E922F1">
        <w:rPr>
          <w:rFonts w:eastAsia="Century" w:hAnsi="Century" w:cs="Century"/>
          <w:szCs w:val="18"/>
        </w:rPr>
        <w:t xml:space="preserve"> health outcomes in Alzheimer</w:t>
      </w:r>
      <w:r w:rsidR="00A67F7D" w:rsidRPr="00E922F1">
        <w:rPr>
          <w:rFonts w:eastAsia="Century" w:hAnsi="Century" w:cs="Century"/>
          <w:szCs w:val="18"/>
        </w:rPr>
        <w:t>’</w:t>
      </w:r>
      <w:r w:rsidRPr="00E922F1">
        <w:rPr>
          <w:rFonts w:eastAsia="Century" w:hAnsi="Century" w:cs="Century"/>
          <w:szCs w:val="18"/>
        </w:rPr>
        <w:t xml:space="preserve">s special care units. </w:t>
      </w:r>
      <w:r w:rsidRPr="00E922F1">
        <w:rPr>
          <w:rFonts w:eastAsia="Georgia" w:cs="Georgia"/>
          <w:i/>
          <w:szCs w:val="18"/>
        </w:rPr>
        <w:t xml:space="preserve">The Gerontologist </w:t>
      </w:r>
      <w:r w:rsidRPr="00E922F1">
        <w:rPr>
          <w:rFonts w:eastAsia="Century" w:hAnsi="Century" w:cs="Century"/>
          <w:szCs w:val="18"/>
        </w:rPr>
        <w:t>43(5): 697</w:t>
      </w:r>
      <w:r w:rsidRPr="00E922F1">
        <w:rPr>
          <w:rFonts w:eastAsia="Century" w:hAnsi="Century" w:cs="Century"/>
          <w:szCs w:val="18"/>
        </w:rPr>
        <w:t>–</w:t>
      </w:r>
      <w:r w:rsidRPr="00E922F1">
        <w:rPr>
          <w:rFonts w:eastAsia="Century" w:hAnsi="Century" w:cs="Century"/>
          <w:szCs w:val="18"/>
        </w:rPr>
        <w:t>711.</w:t>
      </w:r>
    </w:p>
    <w:p w:rsidR="00F25970" w:rsidRPr="00E922F1" w:rsidRDefault="00F25970" w:rsidP="00C55BEF"/>
    <w:sectPr w:rsidR="00F25970" w:rsidRPr="00E922F1" w:rsidSect="009D5125">
      <w:headerReference w:type="default" r:id="rId19"/>
      <w:footerReference w:type="default" r:id="rId20"/>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084" w:rsidRDefault="00FB4084">
      <w:pPr>
        <w:spacing w:line="240" w:lineRule="auto"/>
      </w:pPr>
      <w:r>
        <w:separator/>
      </w:r>
    </w:p>
    <w:p w:rsidR="00FB4084" w:rsidRDefault="00FB4084"/>
  </w:endnote>
  <w:endnote w:type="continuationSeparator" w:id="0">
    <w:p w:rsidR="00FB4084" w:rsidRDefault="00FB4084">
      <w:pPr>
        <w:spacing w:line="240" w:lineRule="auto"/>
      </w:pPr>
      <w:r>
        <w:continuationSeparator/>
      </w:r>
    </w:p>
    <w:p w:rsidR="00FB4084" w:rsidRDefault="00FB4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6F" w:rsidRPr="00581136" w:rsidRDefault="005D196F" w:rsidP="00F9366A">
    <w:pPr>
      <w:pStyle w:val="Footer"/>
      <w:pBdr>
        <w:bottom w:val="single" w:sz="4" w:space="1" w:color="auto"/>
      </w:pBdr>
      <w:tabs>
        <w:tab w:val="right" w:pos="8504"/>
      </w:tabs>
      <w:ind w:left="-1559"/>
      <w:rPr>
        <w:b/>
      </w:rPr>
    </w:pPr>
    <w:r w:rsidRPr="00581136">
      <w:rPr>
        <w:b/>
      </w:rPr>
      <w:t>Released 201</w:t>
    </w:r>
    <w:r>
      <w:rPr>
        <w:b/>
      </w:rPr>
      <w:t>6</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6F" w:rsidRDefault="005D196F"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6F" w:rsidRDefault="005D19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6F" w:rsidRPr="00275D08" w:rsidRDefault="005D196F"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FF02FB">
      <w:rPr>
        <w:rStyle w:val="PageNumber"/>
        <w:noProof/>
      </w:rPr>
      <w:t>14</w:t>
    </w:r>
    <w:r w:rsidRPr="00FC46E7">
      <w:rPr>
        <w:rStyle w:val="PageNumber"/>
      </w:rPr>
      <w:fldChar w:fldCharType="end"/>
    </w:r>
    <w:r>
      <w:tab/>
      <w:t>Secure Dementia Care Home Design: Information Resource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6F" w:rsidRDefault="005D196F" w:rsidP="00533B90">
    <w:pPr>
      <w:pStyle w:val="RectoFooter"/>
    </w:pPr>
    <w:r>
      <w:tab/>
      <w:t>Secure Dementia Care Home Design: Information Resource</w:t>
    </w:r>
    <w:r>
      <w:tab/>
    </w:r>
    <w:r>
      <w:rPr>
        <w:rStyle w:val="PageNumber"/>
      </w:rPr>
      <w:fldChar w:fldCharType="begin"/>
    </w:r>
    <w:r>
      <w:rPr>
        <w:rStyle w:val="PageNumber"/>
      </w:rPr>
      <w:instrText xml:space="preserve"> PAGE </w:instrText>
    </w:r>
    <w:r>
      <w:rPr>
        <w:rStyle w:val="PageNumber"/>
      </w:rPr>
      <w:fldChar w:fldCharType="separate"/>
    </w:r>
    <w:r w:rsidR="003621F2">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6F" w:rsidRDefault="005D196F" w:rsidP="009E3C8C">
    <w:pPr>
      <w:pStyle w:val="RectoFooter"/>
    </w:pPr>
    <w:r>
      <w:tab/>
      <w:t>Secure Dementia Care Home Design: Information Resource</w:t>
    </w:r>
    <w:r>
      <w:tab/>
    </w:r>
    <w:r>
      <w:rPr>
        <w:rStyle w:val="PageNumber"/>
      </w:rPr>
      <w:fldChar w:fldCharType="begin"/>
    </w:r>
    <w:r>
      <w:rPr>
        <w:rStyle w:val="PageNumber"/>
      </w:rPr>
      <w:instrText xml:space="preserve"> PAGE </w:instrText>
    </w:r>
    <w:r>
      <w:rPr>
        <w:rStyle w:val="PageNumber"/>
      </w:rPr>
      <w:fldChar w:fldCharType="separate"/>
    </w:r>
    <w:r w:rsidR="00FF02FB">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084" w:rsidRPr="00A26E6B" w:rsidRDefault="00FB4084" w:rsidP="00A26E6B"/>
  </w:footnote>
  <w:footnote w:type="continuationSeparator" w:id="0">
    <w:p w:rsidR="00FB4084" w:rsidRDefault="00FB4084">
      <w:pPr>
        <w:spacing w:line="240" w:lineRule="auto"/>
      </w:pPr>
      <w:r>
        <w:continuationSeparator/>
      </w:r>
    </w:p>
    <w:p w:rsidR="00FB4084" w:rsidRDefault="00FB40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6F" w:rsidRDefault="005D196F" w:rsidP="009216CC">
    <w:pPr>
      <w:pStyle w:val="Header"/>
      <w:ind w:left="-1559"/>
    </w:pPr>
    <w:r>
      <w:rPr>
        <w:noProof/>
        <w:lang w:eastAsia="en-NZ"/>
      </w:rPr>
      <w:drawing>
        <wp:inline distT="0" distB="0" distL="0" distR="0" wp14:anchorId="6A16F4F0" wp14:editId="0DBF89C9">
          <wp:extent cx="6467302" cy="5346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6F" w:rsidRDefault="005D196F"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6F" w:rsidRDefault="005D196F"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6F" w:rsidRDefault="005D19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10AA0B50"/>
    <w:multiLevelType w:val="hybridMultilevel"/>
    <w:tmpl w:val="47107D6A"/>
    <w:lvl w:ilvl="0" w:tplc="B4D24992">
      <w:start w:val="1"/>
      <w:numFmt w:val="bullet"/>
      <w:lvlText w:val="•"/>
      <w:lvlJc w:val="left"/>
      <w:pPr>
        <w:ind w:left="269" w:hanging="171"/>
      </w:pPr>
      <w:rPr>
        <w:rFonts w:ascii="Arial" w:eastAsia="Arial" w:hAnsi="Arial" w:hint="default"/>
        <w:w w:val="142"/>
        <w:sz w:val="19"/>
        <w:szCs w:val="19"/>
      </w:rPr>
    </w:lvl>
    <w:lvl w:ilvl="1" w:tplc="D38A011E">
      <w:start w:val="1"/>
      <w:numFmt w:val="bullet"/>
      <w:lvlText w:val="•"/>
      <w:lvlJc w:val="left"/>
      <w:pPr>
        <w:ind w:left="950" w:hanging="171"/>
      </w:pPr>
      <w:rPr>
        <w:rFonts w:hint="default"/>
      </w:rPr>
    </w:lvl>
    <w:lvl w:ilvl="2" w:tplc="5934A9D2">
      <w:start w:val="1"/>
      <w:numFmt w:val="bullet"/>
      <w:lvlText w:val="•"/>
      <w:lvlJc w:val="left"/>
      <w:pPr>
        <w:ind w:left="1630" w:hanging="171"/>
      </w:pPr>
      <w:rPr>
        <w:rFonts w:hint="default"/>
      </w:rPr>
    </w:lvl>
    <w:lvl w:ilvl="3" w:tplc="4D5E8286">
      <w:start w:val="1"/>
      <w:numFmt w:val="bullet"/>
      <w:lvlText w:val="•"/>
      <w:lvlJc w:val="left"/>
      <w:pPr>
        <w:ind w:left="2311" w:hanging="171"/>
      </w:pPr>
      <w:rPr>
        <w:rFonts w:hint="default"/>
      </w:rPr>
    </w:lvl>
    <w:lvl w:ilvl="4" w:tplc="F2EC064E">
      <w:start w:val="1"/>
      <w:numFmt w:val="bullet"/>
      <w:lvlText w:val="•"/>
      <w:lvlJc w:val="left"/>
      <w:pPr>
        <w:ind w:left="2992" w:hanging="171"/>
      </w:pPr>
      <w:rPr>
        <w:rFonts w:hint="default"/>
      </w:rPr>
    </w:lvl>
    <w:lvl w:ilvl="5" w:tplc="249E3F6E">
      <w:start w:val="1"/>
      <w:numFmt w:val="bullet"/>
      <w:lvlText w:val="•"/>
      <w:lvlJc w:val="left"/>
      <w:pPr>
        <w:ind w:left="3673" w:hanging="171"/>
      </w:pPr>
      <w:rPr>
        <w:rFonts w:hint="default"/>
      </w:rPr>
    </w:lvl>
    <w:lvl w:ilvl="6" w:tplc="DE969E4E">
      <w:start w:val="1"/>
      <w:numFmt w:val="bullet"/>
      <w:lvlText w:val="•"/>
      <w:lvlJc w:val="left"/>
      <w:pPr>
        <w:ind w:left="4354" w:hanging="171"/>
      </w:pPr>
      <w:rPr>
        <w:rFonts w:hint="default"/>
      </w:rPr>
    </w:lvl>
    <w:lvl w:ilvl="7" w:tplc="C2049AA6">
      <w:start w:val="1"/>
      <w:numFmt w:val="bullet"/>
      <w:lvlText w:val="•"/>
      <w:lvlJc w:val="left"/>
      <w:pPr>
        <w:ind w:left="5034" w:hanging="171"/>
      </w:pPr>
      <w:rPr>
        <w:rFonts w:hint="default"/>
      </w:rPr>
    </w:lvl>
    <w:lvl w:ilvl="8" w:tplc="59A6BE2A">
      <w:start w:val="1"/>
      <w:numFmt w:val="bullet"/>
      <w:lvlText w:val="•"/>
      <w:lvlJc w:val="left"/>
      <w:pPr>
        <w:ind w:left="5715" w:hanging="171"/>
      </w:pPr>
      <w:rPr>
        <w:rFonts w:hint="default"/>
      </w:rPr>
    </w:lvl>
  </w:abstractNum>
  <w:abstractNum w:abstractNumId="3">
    <w:nsid w:val="10D038D8"/>
    <w:multiLevelType w:val="hybridMultilevel"/>
    <w:tmpl w:val="C9E03372"/>
    <w:lvl w:ilvl="0" w:tplc="F8C66432">
      <w:start w:val="1"/>
      <w:numFmt w:val="bullet"/>
      <w:lvlText w:val="•"/>
      <w:lvlJc w:val="left"/>
      <w:pPr>
        <w:ind w:left="269" w:hanging="171"/>
      </w:pPr>
      <w:rPr>
        <w:rFonts w:ascii="Arial" w:eastAsia="Arial" w:hAnsi="Arial" w:hint="default"/>
        <w:w w:val="142"/>
        <w:sz w:val="19"/>
        <w:szCs w:val="19"/>
      </w:rPr>
    </w:lvl>
    <w:lvl w:ilvl="1" w:tplc="4D5AD2D0">
      <w:start w:val="1"/>
      <w:numFmt w:val="bullet"/>
      <w:lvlText w:val="•"/>
      <w:lvlJc w:val="left"/>
      <w:pPr>
        <w:ind w:left="863" w:hanging="171"/>
      </w:pPr>
      <w:rPr>
        <w:rFonts w:hint="default"/>
      </w:rPr>
    </w:lvl>
    <w:lvl w:ilvl="2" w:tplc="0C36F23C">
      <w:start w:val="1"/>
      <w:numFmt w:val="bullet"/>
      <w:lvlText w:val="•"/>
      <w:lvlJc w:val="left"/>
      <w:pPr>
        <w:ind w:left="1456" w:hanging="171"/>
      </w:pPr>
      <w:rPr>
        <w:rFonts w:hint="default"/>
      </w:rPr>
    </w:lvl>
    <w:lvl w:ilvl="3" w:tplc="87DEF254">
      <w:start w:val="1"/>
      <w:numFmt w:val="bullet"/>
      <w:lvlText w:val="•"/>
      <w:lvlJc w:val="left"/>
      <w:pPr>
        <w:ind w:left="2050" w:hanging="171"/>
      </w:pPr>
      <w:rPr>
        <w:rFonts w:hint="default"/>
      </w:rPr>
    </w:lvl>
    <w:lvl w:ilvl="4" w:tplc="3E68AC0A">
      <w:start w:val="1"/>
      <w:numFmt w:val="bullet"/>
      <w:lvlText w:val="•"/>
      <w:lvlJc w:val="left"/>
      <w:pPr>
        <w:ind w:left="2644" w:hanging="171"/>
      </w:pPr>
      <w:rPr>
        <w:rFonts w:hint="default"/>
      </w:rPr>
    </w:lvl>
    <w:lvl w:ilvl="5" w:tplc="8CB2EB4E">
      <w:start w:val="1"/>
      <w:numFmt w:val="bullet"/>
      <w:lvlText w:val="•"/>
      <w:lvlJc w:val="left"/>
      <w:pPr>
        <w:ind w:left="3237" w:hanging="171"/>
      </w:pPr>
      <w:rPr>
        <w:rFonts w:hint="default"/>
      </w:rPr>
    </w:lvl>
    <w:lvl w:ilvl="6" w:tplc="B6649734">
      <w:start w:val="1"/>
      <w:numFmt w:val="bullet"/>
      <w:lvlText w:val="•"/>
      <w:lvlJc w:val="left"/>
      <w:pPr>
        <w:ind w:left="3831" w:hanging="171"/>
      </w:pPr>
      <w:rPr>
        <w:rFonts w:hint="default"/>
      </w:rPr>
    </w:lvl>
    <w:lvl w:ilvl="7" w:tplc="254AF190">
      <w:start w:val="1"/>
      <w:numFmt w:val="bullet"/>
      <w:lvlText w:val="•"/>
      <w:lvlJc w:val="left"/>
      <w:pPr>
        <w:ind w:left="4425" w:hanging="171"/>
      </w:pPr>
      <w:rPr>
        <w:rFonts w:hint="default"/>
      </w:rPr>
    </w:lvl>
    <w:lvl w:ilvl="8" w:tplc="BA54DAA2">
      <w:start w:val="1"/>
      <w:numFmt w:val="bullet"/>
      <w:lvlText w:val="•"/>
      <w:lvlJc w:val="left"/>
      <w:pPr>
        <w:ind w:left="5019" w:hanging="171"/>
      </w:pPr>
      <w:rPr>
        <w:rFonts w:hint="default"/>
      </w:rPr>
    </w:lvl>
  </w:abstractNum>
  <w:abstractNum w:abstractNumId="4">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4814391"/>
    <w:multiLevelType w:val="hybridMultilevel"/>
    <w:tmpl w:val="A1C8F286"/>
    <w:lvl w:ilvl="0" w:tplc="9EBE5B36">
      <w:start w:val="1"/>
      <w:numFmt w:val="bullet"/>
      <w:lvlText w:val="•"/>
      <w:lvlJc w:val="left"/>
      <w:pPr>
        <w:ind w:left="170" w:hanging="171"/>
      </w:pPr>
      <w:rPr>
        <w:rFonts w:ascii="Arial" w:eastAsia="Arial" w:hAnsi="Arial" w:hint="default"/>
        <w:w w:val="142"/>
        <w:sz w:val="19"/>
        <w:szCs w:val="19"/>
      </w:rPr>
    </w:lvl>
    <w:lvl w:ilvl="1" w:tplc="953C9CD0">
      <w:start w:val="1"/>
      <w:numFmt w:val="bullet"/>
      <w:lvlText w:val="•"/>
      <w:lvlJc w:val="left"/>
      <w:pPr>
        <w:ind w:left="809" w:hanging="171"/>
      </w:pPr>
      <w:rPr>
        <w:rFonts w:hint="default"/>
      </w:rPr>
    </w:lvl>
    <w:lvl w:ilvl="2" w:tplc="6F1618F0">
      <w:start w:val="1"/>
      <w:numFmt w:val="bullet"/>
      <w:lvlText w:val="•"/>
      <w:lvlJc w:val="left"/>
      <w:pPr>
        <w:ind w:left="1449" w:hanging="171"/>
      </w:pPr>
      <w:rPr>
        <w:rFonts w:hint="default"/>
      </w:rPr>
    </w:lvl>
    <w:lvl w:ilvl="3" w:tplc="22AA3EB4">
      <w:start w:val="1"/>
      <w:numFmt w:val="bullet"/>
      <w:lvlText w:val="•"/>
      <w:lvlJc w:val="left"/>
      <w:pPr>
        <w:ind w:left="2088" w:hanging="171"/>
      </w:pPr>
      <w:rPr>
        <w:rFonts w:hint="default"/>
      </w:rPr>
    </w:lvl>
    <w:lvl w:ilvl="4" w:tplc="E5CEC406">
      <w:start w:val="1"/>
      <w:numFmt w:val="bullet"/>
      <w:lvlText w:val="•"/>
      <w:lvlJc w:val="left"/>
      <w:pPr>
        <w:ind w:left="2727" w:hanging="171"/>
      </w:pPr>
      <w:rPr>
        <w:rFonts w:hint="default"/>
      </w:rPr>
    </w:lvl>
    <w:lvl w:ilvl="5" w:tplc="CABE85B8">
      <w:start w:val="1"/>
      <w:numFmt w:val="bullet"/>
      <w:lvlText w:val="•"/>
      <w:lvlJc w:val="left"/>
      <w:pPr>
        <w:ind w:left="3367" w:hanging="171"/>
      </w:pPr>
      <w:rPr>
        <w:rFonts w:hint="default"/>
      </w:rPr>
    </w:lvl>
    <w:lvl w:ilvl="6" w:tplc="67B0396A">
      <w:start w:val="1"/>
      <w:numFmt w:val="bullet"/>
      <w:lvlText w:val="•"/>
      <w:lvlJc w:val="left"/>
      <w:pPr>
        <w:ind w:left="4006" w:hanging="171"/>
      </w:pPr>
      <w:rPr>
        <w:rFonts w:hint="default"/>
      </w:rPr>
    </w:lvl>
    <w:lvl w:ilvl="7" w:tplc="047A3CF0">
      <w:start w:val="1"/>
      <w:numFmt w:val="bullet"/>
      <w:lvlText w:val="•"/>
      <w:lvlJc w:val="left"/>
      <w:pPr>
        <w:ind w:left="4646" w:hanging="171"/>
      </w:pPr>
      <w:rPr>
        <w:rFonts w:hint="default"/>
      </w:rPr>
    </w:lvl>
    <w:lvl w:ilvl="8" w:tplc="347857EA">
      <w:start w:val="1"/>
      <w:numFmt w:val="bullet"/>
      <w:lvlText w:val="•"/>
      <w:lvlJc w:val="left"/>
      <w:pPr>
        <w:ind w:left="5285" w:hanging="171"/>
      </w:pPr>
      <w:rPr>
        <w:rFonts w:hint="default"/>
      </w:rPr>
    </w:lvl>
  </w:abstractNum>
  <w:abstractNum w:abstractNumId="6">
    <w:nsid w:val="19464AE6"/>
    <w:multiLevelType w:val="hybridMultilevel"/>
    <w:tmpl w:val="6162578A"/>
    <w:lvl w:ilvl="0" w:tplc="CEF62F82">
      <w:start w:val="1"/>
      <w:numFmt w:val="bullet"/>
      <w:lvlText w:val="•"/>
      <w:lvlJc w:val="left"/>
      <w:pPr>
        <w:ind w:left="269" w:hanging="171"/>
      </w:pPr>
      <w:rPr>
        <w:rFonts w:ascii="Arial" w:eastAsia="Arial" w:hAnsi="Arial" w:hint="default"/>
        <w:w w:val="142"/>
        <w:sz w:val="19"/>
        <w:szCs w:val="19"/>
      </w:rPr>
    </w:lvl>
    <w:lvl w:ilvl="1" w:tplc="07D83648">
      <w:start w:val="1"/>
      <w:numFmt w:val="bullet"/>
      <w:lvlText w:val="•"/>
      <w:lvlJc w:val="left"/>
      <w:pPr>
        <w:ind w:left="950" w:hanging="171"/>
      </w:pPr>
      <w:rPr>
        <w:rFonts w:hint="default"/>
      </w:rPr>
    </w:lvl>
    <w:lvl w:ilvl="2" w:tplc="BEE4ACC4">
      <w:start w:val="1"/>
      <w:numFmt w:val="bullet"/>
      <w:lvlText w:val="•"/>
      <w:lvlJc w:val="left"/>
      <w:pPr>
        <w:ind w:left="1630" w:hanging="171"/>
      </w:pPr>
      <w:rPr>
        <w:rFonts w:hint="default"/>
      </w:rPr>
    </w:lvl>
    <w:lvl w:ilvl="3" w:tplc="45CE7364">
      <w:start w:val="1"/>
      <w:numFmt w:val="bullet"/>
      <w:lvlText w:val="•"/>
      <w:lvlJc w:val="left"/>
      <w:pPr>
        <w:ind w:left="2311" w:hanging="171"/>
      </w:pPr>
      <w:rPr>
        <w:rFonts w:hint="default"/>
      </w:rPr>
    </w:lvl>
    <w:lvl w:ilvl="4" w:tplc="4A82F4DA">
      <w:start w:val="1"/>
      <w:numFmt w:val="bullet"/>
      <w:lvlText w:val="•"/>
      <w:lvlJc w:val="left"/>
      <w:pPr>
        <w:ind w:left="2992" w:hanging="171"/>
      </w:pPr>
      <w:rPr>
        <w:rFonts w:hint="default"/>
      </w:rPr>
    </w:lvl>
    <w:lvl w:ilvl="5" w:tplc="04FEFEB4">
      <w:start w:val="1"/>
      <w:numFmt w:val="bullet"/>
      <w:lvlText w:val="•"/>
      <w:lvlJc w:val="left"/>
      <w:pPr>
        <w:ind w:left="3673" w:hanging="171"/>
      </w:pPr>
      <w:rPr>
        <w:rFonts w:hint="default"/>
      </w:rPr>
    </w:lvl>
    <w:lvl w:ilvl="6" w:tplc="C698704A">
      <w:start w:val="1"/>
      <w:numFmt w:val="bullet"/>
      <w:lvlText w:val="•"/>
      <w:lvlJc w:val="left"/>
      <w:pPr>
        <w:ind w:left="4354" w:hanging="171"/>
      </w:pPr>
      <w:rPr>
        <w:rFonts w:hint="default"/>
      </w:rPr>
    </w:lvl>
    <w:lvl w:ilvl="7" w:tplc="5F220848">
      <w:start w:val="1"/>
      <w:numFmt w:val="bullet"/>
      <w:lvlText w:val="•"/>
      <w:lvlJc w:val="left"/>
      <w:pPr>
        <w:ind w:left="5034" w:hanging="171"/>
      </w:pPr>
      <w:rPr>
        <w:rFonts w:hint="default"/>
      </w:rPr>
    </w:lvl>
    <w:lvl w:ilvl="8" w:tplc="EE0827B8">
      <w:start w:val="1"/>
      <w:numFmt w:val="bullet"/>
      <w:lvlText w:val="•"/>
      <w:lvlJc w:val="left"/>
      <w:pPr>
        <w:ind w:left="5715" w:hanging="171"/>
      </w:pPr>
      <w:rPr>
        <w:rFonts w:hint="default"/>
      </w:rPr>
    </w:lvl>
  </w:abstractNum>
  <w:abstractNum w:abstractNumId="7">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1A107FDA"/>
    <w:multiLevelType w:val="hybridMultilevel"/>
    <w:tmpl w:val="6090CF6C"/>
    <w:lvl w:ilvl="0" w:tplc="F2F066AE">
      <w:start w:val="1"/>
      <w:numFmt w:val="bullet"/>
      <w:lvlText w:val="•"/>
      <w:lvlJc w:val="left"/>
      <w:pPr>
        <w:ind w:left="269" w:hanging="171"/>
      </w:pPr>
      <w:rPr>
        <w:rFonts w:ascii="Arial" w:eastAsia="Arial" w:hAnsi="Arial" w:hint="default"/>
        <w:w w:val="142"/>
        <w:sz w:val="19"/>
        <w:szCs w:val="19"/>
      </w:rPr>
    </w:lvl>
    <w:lvl w:ilvl="1" w:tplc="842058BC">
      <w:start w:val="1"/>
      <w:numFmt w:val="bullet"/>
      <w:lvlText w:val="•"/>
      <w:lvlJc w:val="left"/>
      <w:pPr>
        <w:ind w:left="863" w:hanging="171"/>
      </w:pPr>
      <w:rPr>
        <w:rFonts w:hint="default"/>
      </w:rPr>
    </w:lvl>
    <w:lvl w:ilvl="2" w:tplc="99CCABB0">
      <w:start w:val="1"/>
      <w:numFmt w:val="bullet"/>
      <w:lvlText w:val="•"/>
      <w:lvlJc w:val="left"/>
      <w:pPr>
        <w:ind w:left="1456" w:hanging="171"/>
      </w:pPr>
      <w:rPr>
        <w:rFonts w:hint="default"/>
      </w:rPr>
    </w:lvl>
    <w:lvl w:ilvl="3" w:tplc="F9BA0318">
      <w:start w:val="1"/>
      <w:numFmt w:val="bullet"/>
      <w:lvlText w:val="•"/>
      <w:lvlJc w:val="left"/>
      <w:pPr>
        <w:ind w:left="2050" w:hanging="171"/>
      </w:pPr>
      <w:rPr>
        <w:rFonts w:hint="default"/>
      </w:rPr>
    </w:lvl>
    <w:lvl w:ilvl="4" w:tplc="F564B1AE">
      <w:start w:val="1"/>
      <w:numFmt w:val="bullet"/>
      <w:lvlText w:val="•"/>
      <w:lvlJc w:val="left"/>
      <w:pPr>
        <w:ind w:left="2644" w:hanging="171"/>
      </w:pPr>
      <w:rPr>
        <w:rFonts w:hint="default"/>
      </w:rPr>
    </w:lvl>
    <w:lvl w:ilvl="5" w:tplc="D898F84E">
      <w:start w:val="1"/>
      <w:numFmt w:val="bullet"/>
      <w:lvlText w:val="•"/>
      <w:lvlJc w:val="left"/>
      <w:pPr>
        <w:ind w:left="3237" w:hanging="171"/>
      </w:pPr>
      <w:rPr>
        <w:rFonts w:hint="default"/>
      </w:rPr>
    </w:lvl>
    <w:lvl w:ilvl="6" w:tplc="8A369A6C">
      <w:start w:val="1"/>
      <w:numFmt w:val="bullet"/>
      <w:lvlText w:val="•"/>
      <w:lvlJc w:val="left"/>
      <w:pPr>
        <w:ind w:left="3831" w:hanging="171"/>
      </w:pPr>
      <w:rPr>
        <w:rFonts w:hint="default"/>
      </w:rPr>
    </w:lvl>
    <w:lvl w:ilvl="7" w:tplc="9A182622">
      <w:start w:val="1"/>
      <w:numFmt w:val="bullet"/>
      <w:lvlText w:val="•"/>
      <w:lvlJc w:val="left"/>
      <w:pPr>
        <w:ind w:left="4425" w:hanging="171"/>
      </w:pPr>
      <w:rPr>
        <w:rFonts w:hint="default"/>
      </w:rPr>
    </w:lvl>
    <w:lvl w:ilvl="8" w:tplc="5C080CA8">
      <w:start w:val="1"/>
      <w:numFmt w:val="bullet"/>
      <w:lvlText w:val="•"/>
      <w:lvlJc w:val="left"/>
      <w:pPr>
        <w:ind w:left="5019" w:hanging="171"/>
      </w:pPr>
      <w:rPr>
        <w:rFonts w:hint="default"/>
      </w:rPr>
    </w:lvl>
  </w:abstractNum>
  <w:abstractNum w:abstractNumId="9">
    <w:nsid w:val="1E491567"/>
    <w:multiLevelType w:val="hybridMultilevel"/>
    <w:tmpl w:val="7EFC1866"/>
    <w:lvl w:ilvl="0" w:tplc="73B67872">
      <w:start w:val="1"/>
      <w:numFmt w:val="bullet"/>
      <w:lvlText w:val="•"/>
      <w:lvlJc w:val="left"/>
      <w:pPr>
        <w:ind w:left="269" w:hanging="171"/>
      </w:pPr>
      <w:rPr>
        <w:rFonts w:ascii="Arial" w:eastAsia="Arial" w:hAnsi="Arial" w:hint="default"/>
        <w:w w:val="142"/>
        <w:sz w:val="19"/>
        <w:szCs w:val="19"/>
      </w:rPr>
    </w:lvl>
    <w:lvl w:ilvl="1" w:tplc="119AB9C8">
      <w:start w:val="1"/>
      <w:numFmt w:val="bullet"/>
      <w:lvlText w:val="•"/>
      <w:lvlJc w:val="left"/>
      <w:pPr>
        <w:ind w:left="863" w:hanging="171"/>
      </w:pPr>
      <w:rPr>
        <w:rFonts w:hint="default"/>
      </w:rPr>
    </w:lvl>
    <w:lvl w:ilvl="2" w:tplc="DDBE77FC">
      <w:start w:val="1"/>
      <w:numFmt w:val="bullet"/>
      <w:lvlText w:val="•"/>
      <w:lvlJc w:val="left"/>
      <w:pPr>
        <w:ind w:left="1456" w:hanging="171"/>
      </w:pPr>
      <w:rPr>
        <w:rFonts w:hint="default"/>
      </w:rPr>
    </w:lvl>
    <w:lvl w:ilvl="3" w:tplc="7B46CCC6">
      <w:start w:val="1"/>
      <w:numFmt w:val="bullet"/>
      <w:lvlText w:val="•"/>
      <w:lvlJc w:val="left"/>
      <w:pPr>
        <w:ind w:left="2050" w:hanging="171"/>
      </w:pPr>
      <w:rPr>
        <w:rFonts w:hint="default"/>
      </w:rPr>
    </w:lvl>
    <w:lvl w:ilvl="4" w:tplc="82601BE2">
      <w:start w:val="1"/>
      <w:numFmt w:val="bullet"/>
      <w:lvlText w:val="•"/>
      <w:lvlJc w:val="left"/>
      <w:pPr>
        <w:ind w:left="2644" w:hanging="171"/>
      </w:pPr>
      <w:rPr>
        <w:rFonts w:hint="default"/>
      </w:rPr>
    </w:lvl>
    <w:lvl w:ilvl="5" w:tplc="2556D7F6">
      <w:start w:val="1"/>
      <w:numFmt w:val="bullet"/>
      <w:lvlText w:val="•"/>
      <w:lvlJc w:val="left"/>
      <w:pPr>
        <w:ind w:left="3237" w:hanging="171"/>
      </w:pPr>
      <w:rPr>
        <w:rFonts w:hint="default"/>
      </w:rPr>
    </w:lvl>
    <w:lvl w:ilvl="6" w:tplc="93745B80">
      <w:start w:val="1"/>
      <w:numFmt w:val="bullet"/>
      <w:lvlText w:val="•"/>
      <w:lvlJc w:val="left"/>
      <w:pPr>
        <w:ind w:left="3831" w:hanging="171"/>
      </w:pPr>
      <w:rPr>
        <w:rFonts w:hint="default"/>
      </w:rPr>
    </w:lvl>
    <w:lvl w:ilvl="7" w:tplc="C5DAF74E">
      <w:start w:val="1"/>
      <w:numFmt w:val="bullet"/>
      <w:lvlText w:val="•"/>
      <w:lvlJc w:val="left"/>
      <w:pPr>
        <w:ind w:left="4425" w:hanging="171"/>
      </w:pPr>
      <w:rPr>
        <w:rFonts w:hint="default"/>
      </w:rPr>
    </w:lvl>
    <w:lvl w:ilvl="8" w:tplc="FECC7CDC">
      <w:start w:val="1"/>
      <w:numFmt w:val="bullet"/>
      <w:lvlText w:val="•"/>
      <w:lvlJc w:val="left"/>
      <w:pPr>
        <w:ind w:left="5019" w:hanging="171"/>
      </w:pPr>
      <w:rPr>
        <w:rFonts w:hint="default"/>
      </w:rPr>
    </w:lvl>
  </w:abstractNum>
  <w:abstractNum w:abstractNumId="10">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10023D3"/>
    <w:multiLevelType w:val="hybridMultilevel"/>
    <w:tmpl w:val="0EEE050E"/>
    <w:lvl w:ilvl="0" w:tplc="36363076">
      <w:start w:val="1"/>
      <w:numFmt w:val="bullet"/>
      <w:lvlText w:val="•"/>
      <w:lvlJc w:val="left"/>
      <w:pPr>
        <w:ind w:left="269" w:hanging="171"/>
      </w:pPr>
      <w:rPr>
        <w:rFonts w:ascii="Arial" w:eastAsia="Arial" w:hAnsi="Arial" w:hint="default"/>
        <w:w w:val="142"/>
        <w:sz w:val="19"/>
        <w:szCs w:val="19"/>
      </w:rPr>
    </w:lvl>
    <w:lvl w:ilvl="1" w:tplc="83D03B1C">
      <w:start w:val="1"/>
      <w:numFmt w:val="bullet"/>
      <w:lvlText w:val="•"/>
      <w:lvlJc w:val="left"/>
      <w:pPr>
        <w:ind w:left="884" w:hanging="171"/>
      </w:pPr>
      <w:rPr>
        <w:rFonts w:hint="default"/>
      </w:rPr>
    </w:lvl>
    <w:lvl w:ilvl="2" w:tplc="017C3758">
      <w:start w:val="1"/>
      <w:numFmt w:val="bullet"/>
      <w:lvlText w:val="•"/>
      <w:lvlJc w:val="left"/>
      <w:pPr>
        <w:ind w:left="1498" w:hanging="171"/>
      </w:pPr>
      <w:rPr>
        <w:rFonts w:hint="default"/>
      </w:rPr>
    </w:lvl>
    <w:lvl w:ilvl="3" w:tplc="AB5A0BCA">
      <w:start w:val="1"/>
      <w:numFmt w:val="bullet"/>
      <w:lvlText w:val="•"/>
      <w:lvlJc w:val="left"/>
      <w:pPr>
        <w:ind w:left="2113" w:hanging="171"/>
      </w:pPr>
      <w:rPr>
        <w:rFonts w:hint="default"/>
      </w:rPr>
    </w:lvl>
    <w:lvl w:ilvl="4" w:tplc="A7B8E4AA">
      <w:start w:val="1"/>
      <w:numFmt w:val="bullet"/>
      <w:lvlText w:val="•"/>
      <w:lvlJc w:val="left"/>
      <w:pPr>
        <w:ind w:left="2728" w:hanging="171"/>
      </w:pPr>
      <w:rPr>
        <w:rFonts w:hint="default"/>
      </w:rPr>
    </w:lvl>
    <w:lvl w:ilvl="5" w:tplc="CBEA45E6">
      <w:start w:val="1"/>
      <w:numFmt w:val="bullet"/>
      <w:lvlText w:val="•"/>
      <w:lvlJc w:val="left"/>
      <w:pPr>
        <w:ind w:left="3342" w:hanging="171"/>
      </w:pPr>
      <w:rPr>
        <w:rFonts w:hint="default"/>
      </w:rPr>
    </w:lvl>
    <w:lvl w:ilvl="6" w:tplc="E112F904">
      <w:start w:val="1"/>
      <w:numFmt w:val="bullet"/>
      <w:lvlText w:val="•"/>
      <w:lvlJc w:val="left"/>
      <w:pPr>
        <w:ind w:left="3957" w:hanging="171"/>
      </w:pPr>
      <w:rPr>
        <w:rFonts w:hint="default"/>
      </w:rPr>
    </w:lvl>
    <w:lvl w:ilvl="7" w:tplc="AC56F1E4">
      <w:start w:val="1"/>
      <w:numFmt w:val="bullet"/>
      <w:lvlText w:val="•"/>
      <w:lvlJc w:val="left"/>
      <w:pPr>
        <w:ind w:left="4572" w:hanging="171"/>
      </w:pPr>
      <w:rPr>
        <w:rFonts w:hint="default"/>
      </w:rPr>
    </w:lvl>
    <w:lvl w:ilvl="8" w:tplc="6D3AE866">
      <w:start w:val="1"/>
      <w:numFmt w:val="bullet"/>
      <w:lvlText w:val="•"/>
      <w:lvlJc w:val="left"/>
      <w:pPr>
        <w:ind w:left="5187" w:hanging="171"/>
      </w:pPr>
      <w:rPr>
        <w:rFonts w:hint="default"/>
      </w:rPr>
    </w:lvl>
  </w:abstractNum>
  <w:abstractNum w:abstractNumId="12">
    <w:nsid w:val="215F6A68"/>
    <w:multiLevelType w:val="hybridMultilevel"/>
    <w:tmpl w:val="B4C8FB40"/>
    <w:lvl w:ilvl="0" w:tplc="5FB2A456">
      <w:start w:val="1"/>
      <w:numFmt w:val="bullet"/>
      <w:lvlText w:val="•"/>
      <w:lvlJc w:val="left"/>
      <w:pPr>
        <w:ind w:left="269" w:hanging="171"/>
      </w:pPr>
      <w:rPr>
        <w:rFonts w:ascii="Arial" w:eastAsia="Arial" w:hAnsi="Arial" w:hint="default"/>
        <w:w w:val="142"/>
        <w:sz w:val="19"/>
        <w:szCs w:val="19"/>
      </w:rPr>
    </w:lvl>
    <w:lvl w:ilvl="1" w:tplc="0956751E">
      <w:start w:val="1"/>
      <w:numFmt w:val="bullet"/>
      <w:lvlText w:val="•"/>
      <w:lvlJc w:val="left"/>
      <w:pPr>
        <w:ind w:left="950" w:hanging="171"/>
      </w:pPr>
      <w:rPr>
        <w:rFonts w:hint="default"/>
      </w:rPr>
    </w:lvl>
    <w:lvl w:ilvl="2" w:tplc="9FEA5348">
      <w:start w:val="1"/>
      <w:numFmt w:val="bullet"/>
      <w:lvlText w:val="•"/>
      <w:lvlJc w:val="left"/>
      <w:pPr>
        <w:ind w:left="1630" w:hanging="171"/>
      </w:pPr>
      <w:rPr>
        <w:rFonts w:hint="default"/>
      </w:rPr>
    </w:lvl>
    <w:lvl w:ilvl="3" w:tplc="88EEBB22">
      <w:start w:val="1"/>
      <w:numFmt w:val="bullet"/>
      <w:lvlText w:val="•"/>
      <w:lvlJc w:val="left"/>
      <w:pPr>
        <w:ind w:left="2311" w:hanging="171"/>
      </w:pPr>
      <w:rPr>
        <w:rFonts w:hint="default"/>
      </w:rPr>
    </w:lvl>
    <w:lvl w:ilvl="4" w:tplc="8B7A2E3C">
      <w:start w:val="1"/>
      <w:numFmt w:val="bullet"/>
      <w:lvlText w:val="•"/>
      <w:lvlJc w:val="left"/>
      <w:pPr>
        <w:ind w:left="2992" w:hanging="171"/>
      </w:pPr>
      <w:rPr>
        <w:rFonts w:hint="default"/>
      </w:rPr>
    </w:lvl>
    <w:lvl w:ilvl="5" w:tplc="402A06AC">
      <w:start w:val="1"/>
      <w:numFmt w:val="bullet"/>
      <w:lvlText w:val="•"/>
      <w:lvlJc w:val="left"/>
      <w:pPr>
        <w:ind w:left="3673" w:hanging="171"/>
      </w:pPr>
      <w:rPr>
        <w:rFonts w:hint="default"/>
      </w:rPr>
    </w:lvl>
    <w:lvl w:ilvl="6" w:tplc="500C4B34">
      <w:start w:val="1"/>
      <w:numFmt w:val="bullet"/>
      <w:lvlText w:val="•"/>
      <w:lvlJc w:val="left"/>
      <w:pPr>
        <w:ind w:left="4354" w:hanging="171"/>
      </w:pPr>
      <w:rPr>
        <w:rFonts w:hint="default"/>
      </w:rPr>
    </w:lvl>
    <w:lvl w:ilvl="7" w:tplc="7E6C7C3A">
      <w:start w:val="1"/>
      <w:numFmt w:val="bullet"/>
      <w:lvlText w:val="•"/>
      <w:lvlJc w:val="left"/>
      <w:pPr>
        <w:ind w:left="5034" w:hanging="171"/>
      </w:pPr>
      <w:rPr>
        <w:rFonts w:hint="default"/>
      </w:rPr>
    </w:lvl>
    <w:lvl w:ilvl="8" w:tplc="2BE8DCF8">
      <w:start w:val="1"/>
      <w:numFmt w:val="bullet"/>
      <w:lvlText w:val="•"/>
      <w:lvlJc w:val="left"/>
      <w:pPr>
        <w:ind w:left="5715" w:hanging="171"/>
      </w:pPr>
      <w:rPr>
        <w:rFonts w:hint="default"/>
      </w:rPr>
    </w:lvl>
  </w:abstractNum>
  <w:abstractNum w:abstractNumId="13">
    <w:nsid w:val="2AFD6237"/>
    <w:multiLevelType w:val="hybridMultilevel"/>
    <w:tmpl w:val="5A9C8024"/>
    <w:lvl w:ilvl="0" w:tplc="48C2CD4C">
      <w:start w:val="1"/>
      <w:numFmt w:val="bullet"/>
      <w:lvlText w:val="•"/>
      <w:lvlJc w:val="left"/>
      <w:pPr>
        <w:ind w:left="457" w:hanging="284"/>
      </w:pPr>
      <w:rPr>
        <w:rFonts w:ascii="Century" w:eastAsia="Century" w:hAnsi="Century" w:hint="default"/>
        <w:w w:val="58"/>
        <w:sz w:val="20"/>
        <w:szCs w:val="20"/>
      </w:rPr>
    </w:lvl>
    <w:lvl w:ilvl="1" w:tplc="81960124">
      <w:start w:val="1"/>
      <w:numFmt w:val="bullet"/>
      <w:lvlText w:val="•"/>
      <w:lvlJc w:val="left"/>
      <w:pPr>
        <w:ind w:left="1402" w:hanging="284"/>
      </w:pPr>
      <w:rPr>
        <w:rFonts w:hint="default"/>
      </w:rPr>
    </w:lvl>
    <w:lvl w:ilvl="2" w:tplc="368C1AD8">
      <w:start w:val="1"/>
      <w:numFmt w:val="bullet"/>
      <w:lvlText w:val="•"/>
      <w:lvlJc w:val="left"/>
      <w:pPr>
        <w:ind w:left="2346" w:hanging="284"/>
      </w:pPr>
      <w:rPr>
        <w:rFonts w:hint="default"/>
      </w:rPr>
    </w:lvl>
    <w:lvl w:ilvl="3" w:tplc="12DCF488">
      <w:start w:val="1"/>
      <w:numFmt w:val="bullet"/>
      <w:lvlText w:val="•"/>
      <w:lvlJc w:val="left"/>
      <w:pPr>
        <w:ind w:left="3291" w:hanging="284"/>
      </w:pPr>
      <w:rPr>
        <w:rFonts w:hint="default"/>
      </w:rPr>
    </w:lvl>
    <w:lvl w:ilvl="4" w:tplc="97729B62">
      <w:start w:val="1"/>
      <w:numFmt w:val="bullet"/>
      <w:lvlText w:val="•"/>
      <w:lvlJc w:val="left"/>
      <w:pPr>
        <w:ind w:left="4236" w:hanging="284"/>
      </w:pPr>
      <w:rPr>
        <w:rFonts w:hint="default"/>
      </w:rPr>
    </w:lvl>
    <w:lvl w:ilvl="5" w:tplc="673A907C">
      <w:start w:val="1"/>
      <w:numFmt w:val="bullet"/>
      <w:lvlText w:val="•"/>
      <w:lvlJc w:val="left"/>
      <w:pPr>
        <w:ind w:left="5181" w:hanging="284"/>
      </w:pPr>
      <w:rPr>
        <w:rFonts w:hint="default"/>
      </w:rPr>
    </w:lvl>
    <w:lvl w:ilvl="6" w:tplc="80BE7ED0">
      <w:start w:val="1"/>
      <w:numFmt w:val="bullet"/>
      <w:lvlText w:val="•"/>
      <w:lvlJc w:val="left"/>
      <w:pPr>
        <w:ind w:left="6126" w:hanging="284"/>
      </w:pPr>
      <w:rPr>
        <w:rFonts w:hint="default"/>
      </w:rPr>
    </w:lvl>
    <w:lvl w:ilvl="7" w:tplc="6908D9F6">
      <w:start w:val="1"/>
      <w:numFmt w:val="bullet"/>
      <w:lvlText w:val="•"/>
      <w:lvlJc w:val="left"/>
      <w:pPr>
        <w:ind w:left="7071" w:hanging="284"/>
      </w:pPr>
      <w:rPr>
        <w:rFonts w:hint="default"/>
      </w:rPr>
    </w:lvl>
    <w:lvl w:ilvl="8" w:tplc="3EE2B0A2">
      <w:start w:val="1"/>
      <w:numFmt w:val="bullet"/>
      <w:lvlText w:val="•"/>
      <w:lvlJc w:val="left"/>
      <w:pPr>
        <w:ind w:left="8015" w:hanging="284"/>
      </w:pPr>
      <w:rPr>
        <w:rFonts w:hint="default"/>
      </w:rPr>
    </w:lvl>
  </w:abstractNum>
  <w:abstractNum w:abstractNumId="14">
    <w:nsid w:val="2C597B1B"/>
    <w:multiLevelType w:val="hybridMultilevel"/>
    <w:tmpl w:val="F9780BC0"/>
    <w:lvl w:ilvl="0" w:tplc="0CD6ED6A">
      <w:start w:val="1"/>
      <w:numFmt w:val="decimal"/>
      <w:lvlText w:val="%1."/>
      <w:lvlJc w:val="left"/>
      <w:pPr>
        <w:ind w:left="514" w:hanging="341"/>
        <w:jc w:val="left"/>
      </w:pPr>
      <w:rPr>
        <w:rFonts w:ascii="Century" w:eastAsia="Century" w:hAnsi="Century" w:hint="default"/>
        <w:spacing w:val="2"/>
        <w:w w:val="75"/>
        <w:sz w:val="20"/>
        <w:szCs w:val="20"/>
      </w:rPr>
    </w:lvl>
    <w:lvl w:ilvl="1" w:tplc="B54A8704">
      <w:start w:val="1"/>
      <w:numFmt w:val="bullet"/>
      <w:lvlText w:val="–"/>
      <w:lvlJc w:val="left"/>
      <w:pPr>
        <w:ind w:left="740" w:hanging="284"/>
      </w:pPr>
      <w:rPr>
        <w:rFonts w:ascii="Century" w:eastAsia="Century" w:hAnsi="Century" w:hint="default"/>
        <w:w w:val="104"/>
        <w:sz w:val="20"/>
        <w:szCs w:val="20"/>
      </w:rPr>
    </w:lvl>
    <w:lvl w:ilvl="2" w:tplc="2674B5B6">
      <w:start w:val="1"/>
      <w:numFmt w:val="bullet"/>
      <w:lvlText w:val="•"/>
      <w:lvlJc w:val="left"/>
      <w:pPr>
        <w:ind w:left="1761" w:hanging="284"/>
      </w:pPr>
      <w:rPr>
        <w:rFonts w:hint="default"/>
      </w:rPr>
    </w:lvl>
    <w:lvl w:ilvl="3" w:tplc="BC3A7A9E">
      <w:start w:val="1"/>
      <w:numFmt w:val="bullet"/>
      <w:lvlText w:val="•"/>
      <w:lvlJc w:val="left"/>
      <w:pPr>
        <w:ind w:left="2781" w:hanging="284"/>
      </w:pPr>
      <w:rPr>
        <w:rFonts w:hint="default"/>
      </w:rPr>
    </w:lvl>
    <w:lvl w:ilvl="4" w:tplc="8BC80968">
      <w:start w:val="1"/>
      <w:numFmt w:val="bullet"/>
      <w:lvlText w:val="•"/>
      <w:lvlJc w:val="left"/>
      <w:pPr>
        <w:ind w:left="3802" w:hanging="284"/>
      </w:pPr>
      <w:rPr>
        <w:rFonts w:hint="default"/>
      </w:rPr>
    </w:lvl>
    <w:lvl w:ilvl="5" w:tplc="6032C83E">
      <w:start w:val="1"/>
      <w:numFmt w:val="bullet"/>
      <w:lvlText w:val="•"/>
      <w:lvlJc w:val="left"/>
      <w:pPr>
        <w:ind w:left="4822" w:hanging="284"/>
      </w:pPr>
      <w:rPr>
        <w:rFonts w:hint="default"/>
      </w:rPr>
    </w:lvl>
    <w:lvl w:ilvl="6" w:tplc="899A3FB8">
      <w:start w:val="1"/>
      <w:numFmt w:val="bullet"/>
      <w:lvlText w:val="•"/>
      <w:lvlJc w:val="left"/>
      <w:pPr>
        <w:ind w:left="5843" w:hanging="284"/>
      </w:pPr>
      <w:rPr>
        <w:rFonts w:hint="default"/>
      </w:rPr>
    </w:lvl>
    <w:lvl w:ilvl="7" w:tplc="DAF80D42">
      <w:start w:val="1"/>
      <w:numFmt w:val="bullet"/>
      <w:lvlText w:val="•"/>
      <w:lvlJc w:val="left"/>
      <w:pPr>
        <w:ind w:left="6863" w:hanging="284"/>
      </w:pPr>
      <w:rPr>
        <w:rFonts w:hint="default"/>
      </w:rPr>
    </w:lvl>
    <w:lvl w:ilvl="8" w:tplc="0910F5A8">
      <w:start w:val="1"/>
      <w:numFmt w:val="bullet"/>
      <w:lvlText w:val="•"/>
      <w:lvlJc w:val="left"/>
      <w:pPr>
        <w:ind w:left="7884" w:hanging="284"/>
      </w:pPr>
      <w:rPr>
        <w:rFonts w:hint="default"/>
      </w:rPr>
    </w:lvl>
  </w:abstractNum>
  <w:abstractNum w:abstractNumId="15">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0B9416C"/>
    <w:multiLevelType w:val="hybridMultilevel"/>
    <w:tmpl w:val="07C69C74"/>
    <w:lvl w:ilvl="0" w:tplc="78AA791C">
      <w:start w:val="1"/>
      <w:numFmt w:val="bullet"/>
      <w:lvlText w:val="•"/>
      <w:lvlJc w:val="left"/>
      <w:pPr>
        <w:ind w:left="269" w:hanging="171"/>
      </w:pPr>
      <w:rPr>
        <w:rFonts w:ascii="Arial" w:eastAsia="Arial" w:hAnsi="Arial" w:hint="default"/>
        <w:w w:val="142"/>
        <w:sz w:val="19"/>
        <w:szCs w:val="19"/>
      </w:rPr>
    </w:lvl>
    <w:lvl w:ilvl="1" w:tplc="9312C108">
      <w:start w:val="1"/>
      <w:numFmt w:val="bullet"/>
      <w:lvlText w:val="•"/>
      <w:lvlJc w:val="left"/>
      <w:pPr>
        <w:ind w:left="884" w:hanging="171"/>
      </w:pPr>
      <w:rPr>
        <w:rFonts w:hint="default"/>
      </w:rPr>
    </w:lvl>
    <w:lvl w:ilvl="2" w:tplc="E49CFBA8">
      <w:start w:val="1"/>
      <w:numFmt w:val="bullet"/>
      <w:lvlText w:val="•"/>
      <w:lvlJc w:val="left"/>
      <w:pPr>
        <w:ind w:left="1498" w:hanging="171"/>
      </w:pPr>
      <w:rPr>
        <w:rFonts w:hint="default"/>
      </w:rPr>
    </w:lvl>
    <w:lvl w:ilvl="3" w:tplc="FDA0A80E">
      <w:start w:val="1"/>
      <w:numFmt w:val="bullet"/>
      <w:lvlText w:val="•"/>
      <w:lvlJc w:val="left"/>
      <w:pPr>
        <w:ind w:left="2113" w:hanging="171"/>
      </w:pPr>
      <w:rPr>
        <w:rFonts w:hint="default"/>
      </w:rPr>
    </w:lvl>
    <w:lvl w:ilvl="4" w:tplc="B1C0A354">
      <w:start w:val="1"/>
      <w:numFmt w:val="bullet"/>
      <w:lvlText w:val="•"/>
      <w:lvlJc w:val="left"/>
      <w:pPr>
        <w:ind w:left="2728" w:hanging="171"/>
      </w:pPr>
      <w:rPr>
        <w:rFonts w:hint="default"/>
      </w:rPr>
    </w:lvl>
    <w:lvl w:ilvl="5" w:tplc="7D94F2A4">
      <w:start w:val="1"/>
      <w:numFmt w:val="bullet"/>
      <w:lvlText w:val="•"/>
      <w:lvlJc w:val="left"/>
      <w:pPr>
        <w:ind w:left="3342" w:hanging="171"/>
      </w:pPr>
      <w:rPr>
        <w:rFonts w:hint="default"/>
      </w:rPr>
    </w:lvl>
    <w:lvl w:ilvl="6" w:tplc="39F257AE">
      <w:start w:val="1"/>
      <w:numFmt w:val="bullet"/>
      <w:lvlText w:val="•"/>
      <w:lvlJc w:val="left"/>
      <w:pPr>
        <w:ind w:left="3957" w:hanging="171"/>
      </w:pPr>
      <w:rPr>
        <w:rFonts w:hint="default"/>
      </w:rPr>
    </w:lvl>
    <w:lvl w:ilvl="7" w:tplc="307A2F28">
      <w:start w:val="1"/>
      <w:numFmt w:val="bullet"/>
      <w:lvlText w:val="•"/>
      <w:lvlJc w:val="left"/>
      <w:pPr>
        <w:ind w:left="4572" w:hanging="171"/>
      </w:pPr>
      <w:rPr>
        <w:rFonts w:hint="default"/>
      </w:rPr>
    </w:lvl>
    <w:lvl w:ilvl="8" w:tplc="85407500">
      <w:start w:val="1"/>
      <w:numFmt w:val="bullet"/>
      <w:lvlText w:val="•"/>
      <w:lvlJc w:val="left"/>
      <w:pPr>
        <w:ind w:left="5187" w:hanging="171"/>
      </w:pPr>
      <w:rPr>
        <w:rFonts w:hint="default"/>
      </w:rPr>
    </w:lvl>
  </w:abstractNum>
  <w:abstractNum w:abstractNumId="18">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47681FA9"/>
    <w:multiLevelType w:val="hybridMultilevel"/>
    <w:tmpl w:val="9E3E38FC"/>
    <w:lvl w:ilvl="0" w:tplc="A7D8BAC8">
      <w:start w:val="1"/>
      <w:numFmt w:val="bullet"/>
      <w:lvlText w:val="•"/>
      <w:lvlJc w:val="left"/>
      <w:pPr>
        <w:ind w:left="269" w:hanging="171"/>
      </w:pPr>
      <w:rPr>
        <w:rFonts w:ascii="Arial" w:eastAsia="Arial" w:hAnsi="Arial" w:hint="default"/>
        <w:w w:val="142"/>
        <w:sz w:val="19"/>
        <w:szCs w:val="19"/>
      </w:rPr>
    </w:lvl>
    <w:lvl w:ilvl="1" w:tplc="2ED4DE58">
      <w:start w:val="1"/>
      <w:numFmt w:val="bullet"/>
      <w:lvlText w:val="•"/>
      <w:lvlJc w:val="left"/>
      <w:pPr>
        <w:ind w:left="863" w:hanging="171"/>
      </w:pPr>
      <w:rPr>
        <w:rFonts w:hint="default"/>
      </w:rPr>
    </w:lvl>
    <w:lvl w:ilvl="2" w:tplc="6F9AC07A">
      <w:start w:val="1"/>
      <w:numFmt w:val="bullet"/>
      <w:lvlText w:val="•"/>
      <w:lvlJc w:val="left"/>
      <w:pPr>
        <w:ind w:left="1456" w:hanging="171"/>
      </w:pPr>
      <w:rPr>
        <w:rFonts w:hint="default"/>
      </w:rPr>
    </w:lvl>
    <w:lvl w:ilvl="3" w:tplc="BBE82E86">
      <w:start w:val="1"/>
      <w:numFmt w:val="bullet"/>
      <w:lvlText w:val="•"/>
      <w:lvlJc w:val="left"/>
      <w:pPr>
        <w:ind w:left="2050" w:hanging="171"/>
      </w:pPr>
      <w:rPr>
        <w:rFonts w:hint="default"/>
      </w:rPr>
    </w:lvl>
    <w:lvl w:ilvl="4" w:tplc="13A2811E">
      <w:start w:val="1"/>
      <w:numFmt w:val="bullet"/>
      <w:lvlText w:val="•"/>
      <w:lvlJc w:val="left"/>
      <w:pPr>
        <w:ind w:left="2644" w:hanging="171"/>
      </w:pPr>
      <w:rPr>
        <w:rFonts w:hint="default"/>
      </w:rPr>
    </w:lvl>
    <w:lvl w:ilvl="5" w:tplc="DF185726">
      <w:start w:val="1"/>
      <w:numFmt w:val="bullet"/>
      <w:lvlText w:val="•"/>
      <w:lvlJc w:val="left"/>
      <w:pPr>
        <w:ind w:left="3237" w:hanging="171"/>
      </w:pPr>
      <w:rPr>
        <w:rFonts w:hint="default"/>
      </w:rPr>
    </w:lvl>
    <w:lvl w:ilvl="6" w:tplc="D89209E2">
      <w:start w:val="1"/>
      <w:numFmt w:val="bullet"/>
      <w:lvlText w:val="•"/>
      <w:lvlJc w:val="left"/>
      <w:pPr>
        <w:ind w:left="3831" w:hanging="171"/>
      </w:pPr>
      <w:rPr>
        <w:rFonts w:hint="default"/>
      </w:rPr>
    </w:lvl>
    <w:lvl w:ilvl="7" w:tplc="84649220">
      <w:start w:val="1"/>
      <w:numFmt w:val="bullet"/>
      <w:lvlText w:val="•"/>
      <w:lvlJc w:val="left"/>
      <w:pPr>
        <w:ind w:left="4425" w:hanging="171"/>
      </w:pPr>
      <w:rPr>
        <w:rFonts w:hint="default"/>
      </w:rPr>
    </w:lvl>
    <w:lvl w:ilvl="8" w:tplc="4FDAD642">
      <w:start w:val="1"/>
      <w:numFmt w:val="bullet"/>
      <w:lvlText w:val="•"/>
      <w:lvlJc w:val="left"/>
      <w:pPr>
        <w:ind w:left="5019" w:hanging="171"/>
      </w:pPr>
      <w:rPr>
        <w:rFonts w:hint="default"/>
      </w:rPr>
    </w:lvl>
  </w:abstractNum>
  <w:abstractNum w:abstractNumId="20">
    <w:nsid w:val="4DF750B0"/>
    <w:multiLevelType w:val="hybridMultilevel"/>
    <w:tmpl w:val="82DCAA46"/>
    <w:lvl w:ilvl="0" w:tplc="EC7E337E">
      <w:start w:val="1"/>
      <w:numFmt w:val="bullet"/>
      <w:lvlText w:val="•"/>
      <w:lvlJc w:val="left"/>
      <w:pPr>
        <w:ind w:left="269" w:hanging="171"/>
      </w:pPr>
      <w:rPr>
        <w:rFonts w:ascii="Arial" w:eastAsia="Arial" w:hAnsi="Arial" w:hint="default"/>
        <w:w w:val="142"/>
        <w:sz w:val="19"/>
        <w:szCs w:val="19"/>
      </w:rPr>
    </w:lvl>
    <w:lvl w:ilvl="1" w:tplc="F3BAE2BC">
      <w:start w:val="1"/>
      <w:numFmt w:val="bullet"/>
      <w:lvlText w:val="•"/>
      <w:lvlJc w:val="left"/>
      <w:pPr>
        <w:ind w:left="950" w:hanging="171"/>
      </w:pPr>
      <w:rPr>
        <w:rFonts w:hint="default"/>
      </w:rPr>
    </w:lvl>
    <w:lvl w:ilvl="2" w:tplc="F43661FE">
      <w:start w:val="1"/>
      <w:numFmt w:val="bullet"/>
      <w:lvlText w:val="•"/>
      <w:lvlJc w:val="left"/>
      <w:pPr>
        <w:ind w:left="1630" w:hanging="171"/>
      </w:pPr>
      <w:rPr>
        <w:rFonts w:hint="default"/>
      </w:rPr>
    </w:lvl>
    <w:lvl w:ilvl="3" w:tplc="BADC135C">
      <w:start w:val="1"/>
      <w:numFmt w:val="bullet"/>
      <w:lvlText w:val="•"/>
      <w:lvlJc w:val="left"/>
      <w:pPr>
        <w:ind w:left="2311" w:hanging="171"/>
      </w:pPr>
      <w:rPr>
        <w:rFonts w:hint="default"/>
      </w:rPr>
    </w:lvl>
    <w:lvl w:ilvl="4" w:tplc="F75AC756">
      <w:start w:val="1"/>
      <w:numFmt w:val="bullet"/>
      <w:lvlText w:val="•"/>
      <w:lvlJc w:val="left"/>
      <w:pPr>
        <w:ind w:left="2992" w:hanging="171"/>
      </w:pPr>
      <w:rPr>
        <w:rFonts w:hint="default"/>
      </w:rPr>
    </w:lvl>
    <w:lvl w:ilvl="5" w:tplc="B540DDC8">
      <w:start w:val="1"/>
      <w:numFmt w:val="bullet"/>
      <w:lvlText w:val="•"/>
      <w:lvlJc w:val="left"/>
      <w:pPr>
        <w:ind w:left="3673" w:hanging="171"/>
      </w:pPr>
      <w:rPr>
        <w:rFonts w:hint="default"/>
      </w:rPr>
    </w:lvl>
    <w:lvl w:ilvl="6" w:tplc="E492658C">
      <w:start w:val="1"/>
      <w:numFmt w:val="bullet"/>
      <w:lvlText w:val="•"/>
      <w:lvlJc w:val="left"/>
      <w:pPr>
        <w:ind w:left="4354" w:hanging="171"/>
      </w:pPr>
      <w:rPr>
        <w:rFonts w:hint="default"/>
      </w:rPr>
    </w:lvl>
    <w:lvl w:ilvl="7" w:tplc="2A9858FC">
      <w:start w:val="1"/>
      <w:numFmt w:val="bullet"/>
      <w:lvlText w:val="•"/>
      <w:lvlJc w:val="left"/>
      <w:pPr>
        <w:ind w:left="5034" w:hanging="171"/>
      </w:pPr>
      <w:rPr>
        <w:rFonts w:hint="default"/>
      </w:rPr>
    </w:lvl>
    <w:lvl w:ilvl="8" w:tplc="4E3E2420">
      <w:start w:val="1"/>
      <w:numFmt w:val="bullet"/>
      <w:lvlText w:val="•"/>
      <w:lvlJc w:val="left"/>
      <w:pPr>
        <w:ind w:left="5715" w:hanging="171"/>
      </w:pPr>
      <w:rPr>
        <w:rFonts w:hint="default"/>
      </w:rPr>
    </w:lvl>
  </w:abstractNum>
  <w:abstractNum w:abstractNumId="21">
    <w:nsid w:val="4F0526AB"/>
    <w:multiLevelType w:val="hybridMultilevel"/>
    <w:tmpl w:val="2FBCB72C"/>
    <w:lvl w:ilvl="0" w:tplc="878459E6">
      <w:start w:val="1"/>
      <w:numFmt w:val="bullet"/>
      <w:lvlText w:val="•"/>
      <w:lvlJc w:val="left"/>
      <w:pPr>
        <w:ind w:left="269" w:hanging="171"/>
      </w:pPr>
      <w:rPr>
        <w:rFonts w:ascii="Arial" w:eastAsia="Arial" w:hAnsi="Arial" w:hint="default"/>
        <w:w w:val="142"/>
        <w:sz w:val="19"/>
        <w:szCs w:val="19"/>
      </w:rPr>
    </w:lvl>
    <w:lvl w:ilvl="1" w:tplc="4EA6BD3E">
      <w:start w:val="1"/>
      <w:numFmt w:val="bullet"/>
      <w:lvlText w:val="•"/>
      <w:lvlJc w:val="left"/>
      <w:pPr>
        <w:ind w:left="863" w:hanging="171"/>
      </w:pPr>
      <w:rPr>
        <w:rFonts w:hint="default"/>
      </w:rPr>
    </w:lvl>
    <w:lvl w:ilvl="2" w:tplc="96048B00">
      <w:start w:val="1"/>
      <w:numFmt w:val="bullet"/>
      <w:lvlText w:val="•"/>
      <w:lvlJc w:val="left"/>
      <w:pPr>
        <w:ind w:left="1456" w:hanging="171"/>
      </w:pPr>
      <w:rPr>
        <w:rFonts w:hint="default"/>
      </w:rPr>
    </w:lvl>
    <w:lvl w:ilvl="3" w:tplc="F9E0A500">
      <w:start w:val="1"/>
      <w:numFmt w:val="bullet"/>
      <w:lvlText w:val="•"/>
      <w:lvlJc w:val="left"/>
      <w:pPr>
        <w:ind w:left="2050" w:hanging="171"/>
      </w:pPr>
      <w:rPr>
        <w:rFonts w:hint="default"/>
      </w:rPr>
    </w:lvl>
    <w:lvl w:ilvl="4" w:tplc="832254CE">
      <w:start w:val="1"/>
      <w:numFmt w:val="bullet"/>
      <w:lvlText w:val="•"/>
      <w:lvlJc w:val="left"/>
      <w:pPr>
        <w:ind w:left="2644" w:hanging="171"/>
      </w:pPr>
      <w:rPr>
        <w:rFonts w:hint="default"/>
      </w:rPr>
    </w:lvl>
    <w:lvl w:ilvl="5" w:tplc="B6520E52">
      <w:start w:val="1"/>
      <w:numFmt w:val="bullet"/>
      <w:lvlText w:val="•"/>
      <w:lvlJc w:val="left"/>
      <w:pPr>
        <w:ind w:left="3237" w:hanging="171"/>
      </w:pPr>
      <w:rPr>
        <w:rFonts w:hint="default"/>
      </w:rPr>
    </w:lvl>
    <w:lvl w:ilvl="6" w:tplc="D8443A90">
      <w:start w:val="1"/>
      <w:numFmt w:val="bullet"/>
      <w:lvlText w:val="•"/>
      <w:lvlJc w:val="left"/>
      <w:pPr>
        <w:ind w:left="3831" w:hanging="171"/>
      </w:pPr>
      <w:rPr>
        <w:rFonts w:hint="default"/>
      </w:rPr>
    </w:lvl>
    <w:lvl w:ilvl="7" w:tplc="02329A42">
      <w:start w:val="1"/>
      <w:numFmt w:val="bullet"/>
      <w:lvlText w:val="•"/>
      <w:lvlJc w:val="left"/>
      <w:pPr>
        <w:ind w:left="4425" w:hanging="171"/>
      </w:pPr>
      <w:rPr>
        <w:rFonts w:hint="default"/>
      </w:rPr>
    </w:lvl>
    <w:lvl w:ilvl="8" w:tplc="68E454AE">
      <w:start w:val="1"/>
      <w:numFmt w:val="bullet"/>
      <w:lvlText w:val="•"/>
      <w:lvlJc w:val="left"/>
      <w:pPr>
        <w:ind w:left="5019" w:hanging="171"/>
      </w:pPr>
      <w:rPr>
        <w:rFonts w:hint="default"/>
      </w:rPr>
    </w:lvl>
  </w:abstractNum>
  <w:abstractNum w:abstractNumId="22">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62DE27B7"/>
    <w:multiLevelType w:val="hybridMultilevel"/>
    <w:tmpl w:val="9AE000A0"/>
    <w:lvl w:ilvl="0" w:tplc="68588AFA">
      <w:start w:val="1"/>
      <w:numFmt w:val="bullet"/>
      <w:lvlText w:val="•"/>
      <w:lvlJc w:val="left"/>
      <w:pPr>
        <w:ind w:left="269" w:hanging="171"/>
      </w:pPr>
      <w:rPr>
        <w:rFonts w:ascii="Arial" w:eastAsia="Arial" w:hAnsi="Arial" w:hint="default"/>
        <w:w w:val="142"/>
        <w:sz w:val="19"/>
        <w:szCs w:val="19"/>
      </w:rPr>
    </w:lvl>
    <w:lvl w:ilvl="1" w:tplc="0E182E98">
      <w:start w:val="1"/>
      <w:numFmt w:val="bullet"/>
      <w:lvlText w:val="•"/>
      <w:lvlJc w:val="left"/>
      <w:pPr>
        <w:ind w:left="884" w:hanging="171"/>
      </w:pPr>
      <w:rPr>
        <w:rFonts w:hint="default"/>
      </w:rPr>
    </w:lvl>
    <w:lvl w:ilvl="2" w:tplc="D4509AA6">
      <w:start w:val="1"/>
      <w:numFmt w:val="bullet"/>
      <w:lvlText w:val="•"/>
      <w:lvlJc w:val="left"/>
      <w:pPr>
        <w:ind w:left="1498" w:hanging="171"/>
      </w:pPr>
      <w:rPr>
        <w:rFonts w:hint="default"/>
      </w:rPr>
    </w:lvl>
    <w:lvl w:ilvl="3" w:tplc="5E74EC7A">
      <w:start w:val="1"/>
      <w:numFmt w:val="bullet"/>
      <w:lvlText w:val="•"/>
      <w:lvlJc w:val="left"/>
      <w:pPr>
        <w:ind w:left="2113" w:hanging="171"/>
      </w:pPr>
      <w:rPr>
        <w:rFonts w:hint="default"/>
      </w:rPr>
    </w:lvl>
    <w:lvl w:ilvl="4" w:tplc="C7360C34">
      <w:start w:val="1"/>
      <w:numFmt w:val="bullet"/>
      <w:lvlText w:val="•"/>
      <w:lvlJc w:val="left"/>
      <w:pPr>
        <w:ind w:left="2728" w:hanging="171"/>
      </w:pPr>
      <w:rPr>
        <w:rFonts w:hint="default"/>
      </w:rPr>
    </w:lvl>
    <w:lvl w:ilvl="5" w:tplc="A816EACE">
      <w:start w:val="1"/>
      <w:numFmt w:val="bullet"/>
      <w:lvlText w:val="•"/>
      <w:lvlJc w:val="left"/>
      <w:pPr>
        <w:ind w:left="3342" w:hanging="171"/>
      </w:pPr>
      <w:rPr>
        <w:rFonts w:hint="default"/>
      </w:rPr>
    </w:lvl>
    <w:lvl w:ilvl="6" w:tplc="A0A8DCCA">
      <w:start w:val="1"/>
      <w:numFmt w:val="bullet"/>
      <w:lvlText w:val="•"/>
      <w:lvlJc w:val="left"/>
      <w:pPr>
        <w:ind w:left="3957" w:hanging="171"/>
      </w:pPr>
      <w:rPr>
        <w:rFonts w:hint="default"/>
      </w:rPr>
    </w:lvl>
    <w:lvl w:ilvl="7" w:tplc="BDD2D5D8">
      <w:start w:val="1"/>
      <w:numFmt w:val="bullet"/>
      <w:lvlText w:val="•"/>
      <w:lvlJc w:val="left"/>
      <w:pPr>
        <w:ind w:left="4572" w:hanging="171"/>
      </w:pPr>
      <w:rPr>
        <w:rFonts w:hint="default"/>
      </w:rPr>
    </w:lvl>
    <w:lvl w:ilvl="8" w:tplc="3C1C8608">
      <w:start w:val="1"/>
      <w:numFmt w:val="bullet"/>
      <w:lvlText w:val="•"/>
      <w:lvlJc w:val="left"/>
      <w:pPr>
        <w:ind w:left="5187" w:hanging="171"/>
      </w:pPr>
      <w:rPr>
        <w:rFonts w:hint="default"/>
      </w:rPr>
    </w:lvl>
  </w:abstractNum>
  <w:abstractNum w:abstractNumId="24">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5">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26">
    <w:nsid w:val="75E65D30"/>
    <w:multiLevelType w:val="hybridMultilevel"/>
    <w:tmpl w:val="95E8725E"/>
    <w:lvl w:ilvl="0" w:tplc="FFC0069C">
      <w:start w:val="1"/>
      <w:numFmt w:val="decimal"/>
      <w:lvlText w:val="(%1)"/>
      <w:lvlJc w:val="left"/>
      <w:pPr>
        <w:ind w:left="514" w:hanging="341"/>
        <w:jc w:val="left"/>
      </w:pPr>
      <w:rPr>
        <w:rFonts w:ascii="Century" w:eastAsia="Century" w:hAnsi="Century" w:hint="default"/>
        <w:w w:val="89"/>
        <w:sz w:val="20"/>
        <w:szCs w:val="20"/>
      </w:rPr>
    </w:lvl>
    <w:lvl w:ilvl="1" w:tplc="071E6A50">
      <w:start w:val="1"/>
      <w:numFmt w:val="bullet"/>
      <w:lvlText w:val="•"/>
      <w:lvlJc w:val="left"/>
      <w:pPr>
        <w:ind w:left="1455" w:hanging="341"/>
      </w:pPr>
      <w:rPr>
        <w:rFonts w:hint="default"/>
      </w:rPr>
    </w:lvl>
    <w:lvl w:ilvl="2" w:tplc="028E3F10">
      <w:start w:val="1"/>
      <w:numFmt w:val="bullet"/>
      <w:lvlText w:val="•"/>
      <w:lvlJc w:val="left"/>
      <w:pPr>
        <w:ind w:left="2396" w:hanging="341"/>
      </w:pPr>
      <w:rPr>
        <w:rFonts w:hint="default"/>
      </w:rPr>
    </w:lvl>
    <w:lvl w:ilvl="3" w:tplc="9252C546">
      <w:start w:val="1"/>
      <w:numFmt w:val="bullet"/>
      <w:lvlText w:val="•"/>
      <w:lvlJc w:val="left"/>
      <w:pPr>
        <w:ind w:left="3337" w:hanging="341"/>
      </w:pPr>
      <w:rPr>
        <w:rFonts w:hint="default"/>
      </w:rPr>
    </w:lvl>
    <w:lvl w:ilvl="4" w:tplc="CBB22A76">
      <w:start w:val="1"/>
      <w:numFmt w:val="bullet"/>
      <w:lvlText w:val="•"/>
      <w:lvlJc w:val="left"/>
      <w:pPr>
        <w:ind w:left="4278" w:hanging="341"/>
      </w:pPr>
      <w:rPr>
        <w:rFonts w:hint="default"/>
      </w:rPr>
    </w:lvl>
    <w:lvl w:ilvl="5" w:tplc="37AE7D9A">
      <w:start w:val="1"/>
      <w:numFmt w:val="bullet"/>
      <w:lvlText w:val="•"/>
      <w:lvlJc w:val="left"/>
      <w:pPr>
        <w:ind w:left="5219" w:hanging="341"/>
      </w:pPr>
      <w:rPr>
        <w:rFonts w:hint="default"/>
      </w:rPr>
    </w:lvl>
    <w:lvl w:ilvl="6" w:tplc="1666AF56">
      <w:start w:val="1"/>
      <w:numFmt w:val="bullet"/>
      <w:lvlText w:val="•"/>
      <w:lvlJc w:val="left"/>
      <w:pPr>
        <w:ind w:left="6160" w:hanging="341"/>
      </w:pPr>
      <w:rPr>
        <w:rFonts w:hint="default"/>
      </w:rPr>
    </w:lvl>
    <w:lvl w:ilvl="7" w:tplc="29200C28">
      <w:start w:val="1"/>
      <w:numFmt w:val="bullet"/>
      <w:lvlText w:val="•"/>
      <w:lvlJc w:val="left"/>
      <w:pPr>
        <w:ind w:left="7102" w:hanging="341"/>
      </w:pPr>
      <w:rPr>
        <w:rFonts w:hint="default"/>
      </w:rPr>
    </w:lvl>
    <w:lvl w:ilvl="8" w:tplc="BAB8A1B6">
      <w:start w:val="1"/>
      <w:numFmt w:val="bullet"/>
      <w:lvlText w:val="•"/>
      <w:lvlJc w:val="left"/>
      <w:pPr>
        <w:ind w:left="8043" w:hanging="341"/>
      </w:pPr>
      <w:rPr>
        <w:rFonts w:hint="default"/>
      </w:rPr>
    </w:lvl>
  </w:abstractNum>
  <w:abstractNum w:abstractNumId="27">
    <w:nsid w:val="78732DEF"/>
    <w:multiLevelType w:val="hybridMultilevel"/>
    <w:tmpl w:val="EDB27194"/>
    <w:lvl w:ilvl="0" w:tplc="AE9400BA">
      <w:start w:val="1"/>
      <w:numFmt w:val="bullet"/>
      <w:lvlText w:val="•"/>
      <w:lvlJc w:val="left"/>
      <w:pPr>
        <w:ind w:left="269" w:hanging="171"/>
      </w:pPr>
      <w:rPr>
        <w:rFonts w:ascii="Arial" w:eastAsia="Arial" w:hAnsi="Arial" w:hint="default"/>
        <w:w w:val="142"/>
        <w:sz w:val="19"/>
        <w:szCs w:val="19"/>
      </w:rPr>
    </w:lvl>
    <w:lvl w:ilvl="1" w:tplc="4874F16C">
      <w:start w:val="1"/>
      <w:numFmt w:val="bullet"/>
      <w:lvlText w:val="•"/>
      <w:lvlJc w:val="left"/>
      <w:pPr>
        <w:ind w:left="950" w:hanging="171"/>
      </w:pPr>
      <w:rPr>
        <w:rFonts w:hint="default"/>
      </w:rPr>
    </w:lvl>
    <w:lvl w:ilvl="2" w:tplc="5510B146">
      <w:start w:val="1"/>
      <w:numFmt w:val="bullet"/>
      <w:lvlText w:val="•"/>
      <w:lvlJc w:val="left"/>
      <w:pPr>
        <w:ind w:left="1630" w:hanging="171"/>
      </w:pPr>
      <w:rPr>
        <w:rFonts w:hint="default"/>
      </w:rPr>
    </w:lvl>
    <w:lvl w:ilvl="3" w:tplc="7616C77C">
      <w:start w:val="1"/>
      <w:numFmt w:val="bullet"/>
      <w:lvlText w:val="•"/>
      <w:lvlJc w:val="left"/>
      <w:pPr>
        <w:ind w:left="2311" w:hanging="171"/>
      </w:pPr>
      <w:rPr>
        <w:rFonts w:hint="default"/>
      </w:rPr>
    </w:lvl>
    <w:lvl w:ilvl="4" w:tplc="58287DA2">
      <w:start w:val="1"/>
      <w:numFmt w:val="bullet"/>
      <w:lvlText w:val="•"/>
      <w:lvlJc w:val="left"/>
      <w:pPr>
        <w:ind w:left="2992" w:hanging="171"/>
      </w:pPr>
      <w:rPr>
        <w:rFonts w:hint="default"/>
      </w:rPr>
    </w:lvl>
    <w:lvl w:ilvl="5" w:tplc="4468C284">
      <w:start w:val="1"/>
      <w:numFmt w:val="bullet"/>
      <w:lvlText w:val="•"/>
      <w:lvlJc w:val="left"/>
      <w:pPr>
        <w:ind w:left="3673" w:hanging="171"/>
      </w:pPr>
      <w:rPr>
        <w:rFonts w:hint="default"/>
      </w:rPr>
    </w:lvl>
    <w:lvl w:ilvl="6" w:tplc="C15A2BD8">
      <w:start w:val="1"/>
      <w:numFmt w:val="bullet"/>
      <w:lvlText w:val="•"/>
      <w:lvlJc w:val="left"/>
      <w:pPr>
        <w:ind w:left="4354" w:hanging="171"/>
      </w:pPr>
      <w:rPr>
        <w:rFonts w:hint="default"/>
      </w:rPr>
    </w:lvl>
    <w:lvl w:ilvl="7" w:tplc="8A30D54A">
      <w:start w:val="1"/>
      <w:numFmt w:val="bullet"/>
      <w:lvlText w:val="•"/>
      <w:lvlJc w:val="left"/>
      <w:pPr>
        <w:ind w:left="5034" w:hanging="171"/>
      </w:pPr>
      <w:rPr>
        <w:rFonts w:hint="default"/>
      </w:rPr>
    </w:lvl>
    <w:lvl w:ilvl="8" w:tplc="1B340244">
      <w:start w:val="1"/>
      <w:numFmt w:val="bullet"/>
      <w:lvlText w:val="•"/>
      <w:lvlJc w:val="left"/>
      <w:pPr>
        <w:ind w:left="5715" w:hanging="171"/>
      </w:pPr>
      <w:rPr>
        <w:rFonts w:hint="default"/>
      </w:rPr>
    </w:lvl>
  </w:abstractNum>
  <w:abstractNum w:abstractNumId="28">
    <w:nsid w:val="78E543E6"/>
    <w:multiLevelType w:val="hybridMultilevel"/>
    <w:tmpl w:val="451817F2"/>
    <w:lvl w:ilvl="0" w:tplc="FCA292C0">
      <w:start w:val="1"/>
      <w:numFmt w:val="bullet"/>
      <w:lvlText w:val="•"/>
      <w:lvlJc w:val="left"/>
      <w:pPr>
        <w:ind w:left="269" w:hanging="171"/>
      </w:pPr>
      <w:rPr>
        <w:rFonts w:ascii="Arial" w:eastAsia="Arial" w:hAnsi="Arial" w:hint="default"/>
        <w:w w:val="142"/>
        <w:sz w:val="19"/>
        <w:szCs w:val="19"/>
      </w:rPr>
    </w:lvl>
    <w:lvl w:ilvl="1" w:tplc="3EAEFDA6">
      <w:start w:val="1"/>
      <w:numFmt w:val="bullet"/>
      <w:lvlText w:val="–"/>
      <w:lvlJc w:val="left"/>
      <w:pPr>
        <w:ind w:left="439" w:hanging="171"/>
      </w:pPr>
      <w:rPr>
        <w:rFonts w:ascii="Georgia" w:eastAsia="Georgia" w:hAnsi="Georgia" w:hint="default"/>
        <w:sz w:val="19"/>
        <w:szCs w:val="19"/>
      </w:rPr>
    </w:lvl>
    <w:lvl w:ilvl="2" w:tplc="59F8F446">
      <w:start w:val="1"/>
      <w:numFmt w:val="bullet"/>
      <w:lvlText w:val="•"/>
      <w:lvlJc w:val="left"/>
      <w:pPr>
        <w:ind w:left="1080" w:hanging="171"/>
      </w:pPr>
      <w:rPr>
        <w:rFonts w:hint="default"/>
      </w:rPr>
    </w:lvl>
    <w:lvl w:ilvl="3" w:tplc="DA6E68EE">
      <w:start w:val="1"/>
      <w:numFmt w:val="bullet"/>
      <w:lvlText w:val="•"/>
      <w:lvlJc w:val="left"/>
      <w:pPr>
        <w:ind w:left="1721" w:hanging="171"/>
      </w:pPr>
      <w:rPr>
        <w:rFonts w:hint="default"/>
      </w:rPr>
    </w:lvl>
    <w:lvl w:ilvl="4" w:tplc="F13C3220">
      <w:start w:val="1"/>
      <w:numFmt w:val="bullet"/>
      <w:lvlText w:val="•"/>
      <w:lvlJc w:val="left"/>
      <w:pPr>
        <w:ind w:left="2361" w:hanging="171"/>
      </w:pPr>
      <w:rPr>
        <w:rFonts w:hint="default"/>
      </w:rPr>
    </w:lvl>
    <w:lvl w:ilvl="5" w:tplc="6D7EF698">
      <w:start w:val="1"/>
      <w:numFmt w:val="bullet"/>
      <w:lvlText w:val="•"/>
      <w:lvlJc w:val="left"/>
      <w:pPr>
        <w:ind w:left="3002" w:hanging="171"/>
      </w:pPr>
      <w:rPr>
        <w:rFonts w:hint="default"/>
      </w:rPr>
    </w:lvl>
    <w:lvl w:ilvl="6" w:tplc="B0ECD2D8">
      <w:start w:val="1"/>
      <w:numFmt w:val="bullet"/>
      <w:lvlText w:val="•"/>
      <w:lvlJc w:val="left"/>
      <w:pPr>
        <w:ind w:left="3643" w:hanging="171"/>
      </w:pPr>
      <w:rPr>
        <w:rFonts w:hint="default"/>
      </w:rPr>
    </w:lvl>
    <w:lvl w:ilvl="7" w:tplc="46860816">
      <w:start w:val="1"/>
      <w:numFmt w:val="bullet"/>
      <w:lvlText w:val="•"/>
      <w:lvlJc w:val="left"/>
      <w:pPr>
        <w:ind w:left="4284" w:hanging="171"/>
      </w:pPr>
      <w:rPr>
        <w:rFonts w:hint="default"/>
      </w:rPr>
    </w:lvl>
    <w:lvl w:ilvl="8" w:tplc="728AB55C">
      <w:start w:val="1"/>
      <w:numFmt w:val="bullet"/>
      <w:lvlText w:val="•"/>
      <w:lvlJc w:val="left"/>
      <w:pPr>
        <w:ind w:left="4925" w:hanging="171"/>
      </w:pPr>
      <w:rPr>
        <w:rFonts w:hint="default"/>
      </w:rPr>
    </w:lvl>
  </w:abstractNum>
  <w:abstractNum w:abstractNumId="29">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30">
    <w:nsid w:val="7CAC21A6"/>
    <w:multiLevelType w:val="hybridMultilevel"/>
    <w:tmpl w:val="119E2CD6"/>
    <w:lvl w:ilvl="0" w:tplc="70943DCA">
      <w:start w:val="1"/>
      <w:numFmt w:val="bullet"/>
      <w:lvlText w:val="•"/>
      <w:lvlJc w:val="left"/>
      <w:pPr>
        <w:ind w:left="269" w:hanging="171"/>
      </w:pPr>
      <w:rPr>
        <w:rFonts w:ascii="Arial" w:eastAsia="Arial" w:hAnsi="Arial" w:hint="default"/>
        <w:w w:val="142"/>
        <w:sz w:val="19"/>
        <w:szCs w:val="19"/>
      </w:rPr>
    </w:lvl>
    <w:lvl w:ilvl="1" w:tplc="E744B51E">
      <w:start w:val="1"/>
      <w:numFmt w:val="bullet"/>
      <w:lvlText w:val="•"/>
      <w:lvlJc w:val="left"/>
      <w:pPr>
        <w:ind w:left="884" w:hanging="171"/>
      </w:pPr>
      <w:rPr>
        <w:rFonts w:hint="default"/>
      </w:rPr>
    </w:lvl>
    <w:lvl w:ilvl="2" w:tplc="EE7E0E68">
      <w:start w:val="1"/>
      <w:numFmt w:val="bullet"/>
      <w:lvlText w:val="•"/>
      <w:lvlJc w:val="left"/>
      <w:pPr>
        <w:ind w:left="1498" w:hanging="171"/>
      </w:pPr>
      <w:rPr>
        <w:rFonts w:hint="default"/>
      </w:rPr>
    </w:lvl>
    <w:lvl w:ilvl="3" w:tplc="F0E4F6A2">
      <w:start w:val="1"/>
      <w:numFmt w:val="bullet"/>
      <w:lvlText w:val="•"/>
      <w:lvlJc w:val="left"/>
      <w:pPr>
        <w:ind w:left="2113" w:hanging="171"/>
      </w:pPr>
      <w:rPr>
        <w:rFonts w:hint="default"/>
      </w:rPr>
    </w:lvl>
    <w:lvl w:ilvl="4" w:tplc="5C70CFF0">
      <w:start w:val="1"/>
      <w:numFmt w:val="bullet"/>
      <w:lvlText w:val="•"/>
      <w:lvlJc w:val="left"/>
      <w:pPr>
        <w:ind w:left="2728" w:hanging="171"/>
      </w:pPr>
      <w:rPr>
        <w:rFonts w:hint="default"/>
      </w:rPr>
    </w:lvl>
    <w:lvl w:ilvl="5" w:tplc="BBAE8C5C">
      <w:start w:val="1"/>
      <w:numFmt w:val="bullet"/>
      <w:lvlText w:val="•"/>
      <w:lvlJc w:val="left"/>
      <w:pPr>
        <w:ind w:left="3342" w:hanging="171"/>
      </w:pPr>
      <w:rPr>
        <w:rFonts w:hint="default"/>
      </w:rPr>
    </w:lvl>
    <w:lvl w:ilvl="6" w:tplc="0DB099F8">
      <w:start w:val="1"/>
      <w:numFmt w:val="bullet"/>
      <w:lvlText w:val="•"/>
      <w:lvlJc w:val="left"/>
      <w:pPr>
        <w:ind w:left="3957" w:hanging="171"/>
      </w:pPr>
      <w:rPr>
        <w:rFonts w:hint="default"/>
      </w:rPr>
    </w:lvl>
    <w:lvl w:ilvl="7" w:tplc="29D8BF2C">
      <w:start w:val="1"/>
      <w:numFmt w:val="bullet"/>
      <w:lvlText w:val="•"/>
      <w:lvlJc w:val="left"/>
      <w:pPr>
        <w:ind w:left="4572" w:hanging="171"/>
      </w:pPr>
      <w:rPr>
        <w:rFonts w:hint="default"/>
      </w:rPr>
    </w:lvl>
    <w:lvl w:ilvl="8" w:tplc="B2B42A68">
      <w:start w:val="1"/>
      <w:numFmt w:val="bullet"/>
      <w:lvlText w:val="•"/>
      <w:lvlJc w:val="left"/>
      <w:pPr>
        <w:ind w:left="5187" w:hanging="171"/>
      </w:pPr>
      <w:rPr>
        <w:rFonts w:hint="default"/>
      </w:rPr>
    </w:lvl>
  </w:abstractNum>
  <w:num w:numId="1">
    <w:abstractNumId w:val="29"/>
  </w:num>
  <w:num w:numId="2">
    <w:abstractNumId w:val="24"/>
  </w:num>
  <w:num w:numId="3">
    <w:abstractNumId w:val="15"/>
  </w:num>
  <w:num w:numId="4">
    <w:abstractNumId w:val="16"/>
  </w:num>
  <w:num w:numId="5">
    <w:abstractNumId w:val="1"/>
  </w:num>
  <w:num w:numId="6">
    <w:abstractNumId w:val="22"/>
  </w:num>
  <w:num w:numId="7">
    <w:abstractNumId w:val="7"/>
  </w:num>
  <w:num w:numId="8">
    <w:abstractNumId w:val="25"/>
  </w:num>
  <w:num w:numId="9">
    <w:abstractNumId w:val="4"/>
  </w:num>
  <w:num w:numId="10">
    <w:abstractNumId w:val="10"/>
  </w:num>
  <w:num w:numId="11">
    <w:abstractNumId w:val="18"/>
  </w:num>
  <w:num w:numId="12">
    <w:abstractNumId w:val="0"/>
  </w:num>
  <w:num w:numId="13">
    <w:abstractNumId w:val="21"/>
  </w:num>
  <w:num w:numId="14">
    <w:abstractNumId w:val="3"/>
  </w:num>
  <w:num w:numId="15">
    <w:abstractNumId w:val="28"/>
  </w:num>
  <w:num w:numId="16">
    <w:abstractNumId w:val="9"/>
  </w:num>
  <w:num w:numId="17">
    <w:abstractNumId w:val="19"/>
  </w:num>
  <w:num w:numId="18">
    <w:abstractNumId w:val="8"/>
  </w:num>
  <w:num w:numId="19">
    <w:abstractNumId w:val="23"/>
  </w:num>
  <w:num w:numId="20">
    <w:abstractNumId w:val="17"/>
  </w:num>
  <w:num w:numId="21">
    <w:abstractNumId w:val="30"/>
  </w:num>
  <w:num w:numId="22">
    <w:abstractNumId w:val="11"/>
  </w:num>
  <w:num w:numId="23">
    <w:abstractNumId w:val="5"/>
  </w:num>
  <w:num w:numId="24">
    <w:abstractNumId w:val="6"/>
  </w:num>
  <w:num w:numId="25">
    <w:abstractNumId w:val="2"/>
  </w:num>
  <w:num w:numId="26">
    <w:abstractNumId w:val="27"/>
  </w:num>
  <w:num w:numId="27">
    <w:abstractNumId w:val="12"/>
  </w:num>
  <w:num w:numId="28">
    <w:abstractNumId w:val="20"/>
  </w:num>
  <w:num w:numId="29">
    <w:abstractNumId w:val="14"/>
  </w:num>
  <w:num w:numId="30">
    <w:abstractNumId w:val="26"/>
  </w:num>
  <w:num w:numId="3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30B26"/>
    <w:rsid w:val="00035257"/>
    <w:rsid w:val="0006228D"/>
    <w:rsid w:val="00072BD6"/>
    <w:rsid w:val="00075B78"/>
    <w:rsid w:val="00082CD6"/>
    <w:rsid w:val="00085AFE"/>
    <w:rsid w:val="000B0730"/>
    <w:rsid w:val="000F2AE2"/>
    <w:rsid w:val="00102063"/>
    <w:rsid w:val="0010541C"/>
    <w:rsid w:val="00106F93"/>
    <w:rsid w:val="00111D50"/>
    <w:rsid w:val="00113B8E"/>
    <w:rsid w:val="001342C7"/>
    <w:rsid w:val="0013585C"/>
    <w:rsid w:val="00142954"/>
    <w:rsid w:val="001460E0"/>
    <w:rsid w:val="00147F71"/>
    <w:rsid w:val="00150A6E"/>
    <w:rsid w:val="0016468A"/>
    <w:rsid w:val="001A5CF5"/>
    <w:rsid w:val="001B39D2"/>
    <w:rsid w:val="001B4BF8"/>
    <w:rsid w:val="001C4326"/>
    <w:rsid w:val="001D3541"/>
    <w:rsid w:val="001F45A7"/>
    <w:rsid w:val="00201A01"/>
    <w:rsid w:val="002104D3"/>
    <w:rsid w:val="00213A33"/>
    <w:rsid w:val="0021763B"/>
    <w:rsid w:val="00246DB1"/>
    <w:rsid w:val="002476B5"/>
    <w:rsid w:val="00253ECF"/>
    <w:rsid w:val="002546A1"/>
    <w:rsid w:val="00275D08"/>
    <w:rsid w:val="002858E3"/>
    <w:rsid w:val="0029190A"/>
    <w:rsid w:val="00292C5A"/>
    <w:rsid w:val="00295241"/>
    <w:rsid w:val="002B047D"/>
    <w:rsid w:val="002B732B"/>
    <w:rsid w:val="002C2219"/>
    <w:rsid w:val="002D0DF2"/>
    <w:rsid w:val="002D23BD"/>
    <w:rsid w:val="002E0B47"/>
    <w:rsid w:val="002F7213"/>
    <w:rsid w:val="0030382F"/>
    <w:rsid w:val="0030408D"/>
    <w:rsid w:val="003060E4"/>
    <w:rsid w:val="003160E7"/>
    <w:rsid w:val="0031739E"/>
    <w:rsid w:val="003325AB"/>
    <w:rsid w:val="0033412B"/>
    <w:rsid w:val="00343365"/>
    <w:rsid w:val="00353501"/>
    <w:rsid w:val="003606F8"/>
    <w:rsid w:val="003621F2"/>
    <w:rsid w:val="003648EF"/>
    <w:rsid w:val="003673E6"/>
    <w:rsid w:val="00377264"/>
    <w:rsid w:val="003A26A5"/>
    <w:rsid w:val="003A3761"/>
    <w:rsid w:val="003A5FEA"/>
    <w:rsid w:val="003B1D10"/>
    <w:rsid w:val="003C76D4"/>
    <w:rsid w:val="003D2CC5"/>
    <w:rsid w:val="003E3A3F"/>
    <w:rsid w:val="003E7C46"/>
    <w:rsid w:val="003F52A7"/>
    <w:rsid w:val="0040240C"/>
    <w:rsid w:val="00413021"/>
    <w:rsid w:val="00440BE0"/>
    <w:rsid w:val="00442C1C"/>
    <w:rsid w:val="0044584B"/>
    <w:rsid w:val="00447CB7"/>
    <w:rsid w:val="00460826"/>
    <w:rsid w:val="00460EA7"/>
    <w:rsid w:val="0046195B"/>
    <w:rsid w:val="0046596D"/>
    <w:rsid w:val="00487C04"/>
    <w:rsid w:val="004907E1"/>
    <w:rsid w:val="004A035B"/>
    <w:rsid w:val="004A38D7"/>
    <w:rsid w:val="004A778C"/>
    <w:rsid w:val="004C2E6A"/>
    <w:rsid w:val="004C461E"/>
    <w:rsid w:val="004C64B8"/>
    <w:rsid w:val="004D2A2D"/>
    <w:rsid w:val="004D6689"/>
    <w:rsid w:val="004E1D1D"/>
    <w:rsid w:val="004E7AC8"/>
    <w:rsid w:val="004F0C94"/>
    <w:rsid w:val="005019AE"/>
    <w:rsid w:val="00503749"/>
    <w:rsid w:val="00504CF4"/>
    <w:rsid w:val="0050635B"/>
    <w:rsid w:val="0053199F"/>
    <w:rsid w:val="00533B90"/>
    <w:rsid w:val="005410F8"/>
    <w:rsid w:val="005448EC"/>
    <w:rsid w:val="00545963"/>
    <w:rsid w:val="00550256"/>
    <w:rsid w:val="00553958"/>
    <w:rsid w:val="0055763D"/>
    <w:rsid w:val="005621F2"/>
    <w:rsid w:val="00567B58"/>
    <w:rsid w:val="005763E0"/>
    <w:rsid w:val="00581136"/>
    <w:rsid w:val="005A27CA"/>
    <w:rsid w:val="005A43BD"/>
    <w:rsid w:val="005D196F"/>
    <w:rsid w:val="005E226E"/>
    <w:rsid w:val="005E2636"/>
    <w:rsid w:val="006015D7"/>
    <w:rsid w:val="00601B21"/>
    <w:rsid w:val="006041F0"/>
    <w:rsid w:val="00626CF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F1B67"/>
    <w:rsid w:val="0070091D"/>
    <w:rsid w:val="00702854"/>
    <w:rsid w:val="0071741C"/>
    <w:rsid w:val="00742B90"/>
    <w:rsid w:val="0074434D"/>
    <w:rsid w:val="00745AC4"/>
    <w:rsid w:val="00771B1E"/>
    <w:rsid w:val="00773C95"/>
    <w:rsid w:val="0078171E"/>
    <w:rsid w:val="00795B34"/>
    <w:rsid w:val="007B1770"/>
    <w:rsid w:val="007B4D3E"/>
    <w:rsid w:val="007B7C70"/>
    <w:rsid w:val="007D028F"/>
    <w:rsid w:val="007D2151"/>
    <w:rsid w:val="007D42CC"/>
    <w:rsid w:val="007D5DE4"/>
    <w:rsid w:val="007E0777"/>
    <w:rsid w:val="007E1341"/>
    <w:rsid w:val="007E1B41"/>
    <w:rsid w:val="007E30B9"/>
    <w:rsid w:val="007E74F1"/>
    <w:rsid w:val="007F0F0C"/>
    <w:rsid w:val="007F1288"/>
    <w:rsid w:val="007F7990"/>
    <w:rsid w:val="00800A8A"/>
    <w:rsid w:val="0080155C"/>
    <w:rsid w:val="008052E1"/>
    <w:rsid w:val="00822F2C"/>
    <w:rsid w:val="008305E8"/>
    <w:rsid w:val="00860826"/>
    <w:rsid w:val="00860E21"/>
    <w:rsid w:val="00863117"/>
    <w:rsid w:val="0086388B"/>
    <w:rsid w:val="008642E5"/>
    <w:rsid w:val="00872D93"/>
    <w:rsid w:val="00880470"/>
    <w:rsid w:val="00880D94"/>
    <w:rsid w:val="008924DE"/>
    <w:rsid w:val="008A3755"/>
    <w:rsid w:val="008B264F"/>
    <w:rsid w:val="008B6F83"/>
    <w:rsid w:val="008B7FD8"/>
    <w:rsid w:val="008C2973"/>
    <w:rsid w:val="008C6324"/>
    <w:rsid w:val="008C64C4"/>
    <w:rsid w:val="008D74D5"/>
    <w:rsid w:val="008F29BE"/>
    <w:rsid w:val="008F4AE5"/>
    <w:rsid w:val="008F51EB"/>
    <w:rsid w:val="00900197"/>
    <w:rsid w:val="00902F55"/>
    <w:rsid w:val="0090582B"/>
    <w:rsid w:val="009060C0"/>
    <w:rsid w:val="009133F5"/>
    <w:rsid w:val="00920A27"/>
    <w:rsid w:val="00921216"/>
    <w:rsid w:val="009216CC"/>
    <w:rsid w:val="00932D69"/>
    <w:rsid w:val="00944647"/>
    <w:rsid w:val="00977B8A"/>
    <w:rsid w:val="00982971"/>
    <w:rsid w:val="009845AD"/>
    <w:rsid w:val="00995BA0"/>
    <w:rsid w:val="009A418B"/>
    <w:rsid w:val="009A4473"/>
    <w:rsid w:val="009C151C"/>
    <w:rsid w:val="009D5125"/>
    <w:rsid w:val="009D60B8"/>
    <w:rsid w:val="009D7D4B"/>
    <w:rsid w:val="009E36ED"/>
    <w:rsid w:val="009E3C8C"/>
    <w:rsid w:val="009E6B77"/>
    <w:rsid w:val="009F460A"/>
    <w:rsid w:val="00A043FB"/>
    <w:rsid w:val="00A05C0C"/>
    <w:rsid w:val="00A0729C"/>
    <w:rsid w:val="00A07779"/>
    <w:rsid w:val="00A20B2E"/>
    <w:rsid w:val="00A25069"/>
    <w:rsid w:val="00A26E6B"/>
    <w:rsid w:val="00A3068F"/>
    <w:rsid w:val="00A3145B"/>
    <w:rsid w:val="00A339D0"/>
    <w:rsid w:val="00A41002"/>
    <w:rsid w:val="00A4201A"/>
    <w:rsid w:val="00A553CE"/>
    <w:rsid w:val="00A5677A"/>
    <w:rsid w:val="00A6490D"/>
    <w:rsid w:val="00A67F7D"/>
    <w:rsid w:val="00A80363"/>
    <w:rsid w:val="00A9169D"/>
    <w:rsid w:val="00AA240C"/>
    <w:rsid w:val="00AA45D0"/>
    <w:rsid w:val="00AC101C"/>
    <w:rsid w:val="00AD4CF1"/>
    <w:rsid w:val="00AD5988"/>
    <w:rsid w:val="00AF7800"/>
    <w:rsid w:val="00B072E0"/>
    <w:rsid w:val="00B253F6"/>
    <w:rsid w:val="00B305DB"/>
    <w:rsid w:val="00B332F8"/>
    <w:rsid w:val="00B3492B"/>
    <w:rsid w:val="00B4646F"/>
    <w:rsid w:val="00B55C7D"/>
    <w:rsid w:val="00B63038"/>
    <w:rsid w:val="00B64BD8"/>
    <w:rsid w:val="00B67876"/>
    <w:rsid w:val="00B701D1"/>
    <w:rsid w:val="00B73AF2"/>
    <w:rsid w:val="00B7551A"/>
    <w:rsid w:val="00BB2CBB"/>
    <w:rsid w:val="00BC59F1"/>
    <w:rsid w:val="00BF3DE1"/>
    <w:rsid w:val="00BF4843"/>
    <w:rsid w:val="00BF5205"/>
    <w:rsid w:val="00C12508"/>
    <w:rsid w:val="00C45AA2"/>
    <w:rsid w:val="00C55BEF"/>
    <w:rsid w:val="00C66296"/>
    <w:rsid w:val="00C77282"/>
    <w:rsid w:val="00C84DE5"/>
    <w:rsid w:val="00C86248"/>
    <w:rsid w:val="00CA4C33"/>
    <w:rsid w:val="00CA6F4A"/>
    <w:rsid w:val="00CD2119"/>
    <w:rsid w:val="00CD237A"/>
    <w:rsid w:val="00CD36AC"/>
    <w:rsid w:val="00CE13A3"/>
    <w:rsid w:val="00CF1747"/>
    <w:rsid w:val="00D23323"/>
    <w:rsid w:val="00D2392A"/>
    <w:rsid w:val="00D25FFE"/>
    <w:rsid w:val="00D4476F"/>
    <w:rsid w:val="00D54D50"/>
    <w:rsid w:val="00D66797"/>
    <w:rsid w:val="00D7087C"/>
    <w:rsid w:val="00D70C3C"/>
    <w:rsid w:val="00D72BE5"/>
    <w:rsid w:val="00D77E4A"/>
    <w:rsid w:val="00D82F26"/>
    <w:rsid w:val="00D863D0"/>
    <w:rsid w:val="00D87C87"/>
    <w:rsid w:val="00D90E07"/>
    <w:rsid w:val="00DB39CF"/>
    <w:rsid w:val="00DD0BCD"/>
    <w:rsid w:val="00DD447A"/>
    <w:rsid w:val="00DE3B20"/>
    <w:rsid w:val="00DE6C94"/>
    <w:rsid w:val="00DE6FD7"/>
    <w:rsid w:val="00E23271"/>
    <w:rsid w:val="00E24F80"/>
    <w:rsid w:val="00E259F3"/>
    <w:rsid w:val="00E33238"/>
    <w:rsid w:val="00E4486C"/>
    <w:rsid w:val="00E460B6"/>
    <w:rsid w:val="00E501BD"/>
    <w:rsid w:val="00E511D5"/>
    <w:rsid w:val="00E60249"/>
    <w:rsid w:val="00E65269"/>
    <w:rsid w:val="00E76D66"/>
    <w:rsid w:val="00E922F1"/>
    <w:rsid w:val="00EA796A"/>
    <w:rsid w:val="00EB1856"/>
    <w:rsid w:val="00EC50CE"/>
    <w:rsid w:val="00EC5B34"/>
    <w:rsid w:val="00EE2D5C"/>
    <w:rsid w:val="00EE4ADE"/>
    <w:rsid w:val="00EE5CB7"/>
    <w:rsid w:val="00F024FE"/>
    <w:rsid w:val="00F05AD4"/>
    <w:rsid w:val="00F245F4"/>
    <w:rsid w:val="00F25970"/>
    <w:rsid w:val="00F5180D"/>
    <w:rsid w:val="00F67496"/>
    <w:rsid w:val="00F801BA"/>
    <w:rsid w:val="00F9366A"/>
    <w:rsid w:val="00F946C9"/>
    <w:rsid w:val="00FA74EE"/>
    <w:rsid w:val="00FB4084"/>
    <w:rsid w:val="00FC3711"/>
    <w:rsid w:val="00FC46E7"/>
    <w:rsid w:val="00FC5D25"/>
    <w:rsid w:val="00FD0D7E"/>
    <w:rsid w:val="00FE6E13"/>
    <w:rsid w:val="00FF02FB"/>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EAAFB90-9ADC-423E-981B-C73A2730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1"/>
    <w:qFormat/>
    <w:rsid w:val="00035257"/>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1"/>
    <w:qFormat/>
    <w:rsid w:val="00D2392A"/>
    <w:pPr>
      <w:keepNext/>
      <w:spacing w:before="120" w:after="120"/>
      <w:outlineLvl w:val="1"/>
    </w:pPr>
    <w:rPr>
      <w:b/>
      <w:sz w:val="40"/>
    </w:rPr>
  </w:style>
  <w:style w:type="paragraph" w:styleId="Heading3">
    <w:name w:val="heading 3"/>
    <w:basedOn w:val="Normal"/>
    <w:next w:val="Normal"/>
    <w:link w:val="Heading3Char"/>
    <w:uiPriority w:val="1"/>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1"/>
    <w:qFormat/>
    <w:rsid w:val="0006228D"/>
    <w:pPr>
      <w:tabs>
        <w:tab w:val="right" w:pos="9356"/>
      </w:tabs>
      <w:spacing w:before="300"/>
      <w:ind w:right="567"/>
    </w:pPr>
    <w:rPr>
      <w:b/>
    </w:rPr>
  </w:style>
  <w:style w:type="paragraph" w:styleId="TOC2">
    <w:name w:val="toc 2"/>
    <w:basedOn w:val="Normal"/>
    <w:next w:val="Normal"/>
    <w:uiPriority w:val="1"/>
    <w:qFormat/>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035257"/>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7AA90-5CCC-4F5C-9078-D39DA24C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9</TotalTime>
  <Pages>18</Pages>
  <Words>4203</Words>
  <Characters>24436</Characters>
  <Application>Microsoft Office Word</Application>
  <DocSecurity>0</DocSecurity>
  <Lines>596</Lines>
  <Paragraphs>353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Secure Dementia Care Home Design Information Resource Summary</dc:title>
  <dc:creator>Ministry of Health</dc:creator>
  <cp:lastModifiedBy>Jane Adam</cp:lastModifiedBy>
  <cp:revision>3</cp:revision>
  <cp:lastPrinted>2015-11-17T05:02:00Z</cp:lastPrinted>
  <dcterms:created xsi:type="dcterms:W3CDTF">2016-08-23T21:09:00Z</dcterms:created>
  <dcterms:modified xsi:type="dcterms:W3CDTF">2016-08-23T21:18:00Z</dcterms:modified>
</cp:coreProperties>
</file>