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32B7A" w14:textId="1CE26F75" w:rsidR="005B50D8" w:rsidRPr="00103FC9" w:rsidRDefault="00103FC9" w:rsidP="00103FC9">
      <w:pPr>
        <w:spacing w:before="720" w:after="1800"/>
        <w:jc w:val="center"/>
        <w:rPr>
          <w:sz w:val="48"/>
          <w:szCs w:val="48"/>
        </w:rPr>
      </w:pPr>
      <w:r w:rsidRPr="00103FC9">
        <w:rPr>
          <w:sz w:val="48"/>
          <w:szCs w:val="48"/>
        </w:rPr>
        <w:t>Research Report</w:t>
      </w:r>
    </w:p>
    <w:p w14:paraId="3557C3B5" w14:textId="77777777" w:rsidR="00BE5C5B" w:rsidRPr="00103FC9" w:rsidRDefault="00BE5C5B" w:rsidP="00103FC9">
      <w:pPr>
        <w:spacing w:before="5400"/>
        <w:jc w:val="center"/>
        <w:rPr>
          <w:b/>
          <w:sz w:val="64"/>
          <w:szCs w:val="64"/>
        </w:rPr>
      </w:pPr>
      <w:r w:rsidRPr="00103FC9">
        <w:rPr>
          <w:b/>
          <w:sz w:val="64"/>
          <w:szCs w:val="64"/>
        </w:rPr>
        <w:t>The New Zealand</w:t>
      </w:r>
      <w:r w:rsidR="00CF2D46" w:rsidRPr="00103FC9">
        <w:rPr>
          <w:b/>
          <w:sz w:val="64"/>
          <w:szCs w:val="64"/>
        </w:rPr>
        <w:br/>
      </w:r>
      <w:r w:rsidRPr="00103FC9">
        <w:rPr>
          <w:b/>
          <w:sz w:val="64"/>
          <w:szCs w:val="64"/>
        </w:rPr>
        <w:t>Drug Harm Index 2016</w:t>
      </w:r>
    </w:p>
    <w:p w14:paraId="00B9B04D" w14:textId="77777777" w:rsidR="00BE5C5B" w:rsidRDefault="00BE5C5B" w:rsidP="00865C2B">
      <w:pPr>
        <w:spacing w:before="0"/>
      </w:pPr>
    </w:p>
    <w:p w14:paraId="6EAD31B7" w14:textId="77777777" w:rsidR="00142954" w:rsidRPr="00142954" w:rsidRDefault="00142954" w:rsidP="00142954">
      <w:pPr>
        <w:sectPr w:rsidR="00142954" w:rsidRPr="00142954" w:rsidSect="00B53C9A">
          <w:headerReference w:type="default" r:id="rId8"/>
          <w:pgSz w:w="11907" w:h="16834" w:code="9"/>
          <w:pgMar w:top="1701" w:right="1134" w:bottom="340" w:left="1134" w:header="142" w:footer="142" w:gutter="0"/>
          <w:cols w:space="720"/>
        </w:sectPr>
      </w:pPr>
    </w:p>
    <w:p w14:paraId="05593F15" w14:textId="77777777" w:rsidR="005D1E96" w:rsidRPr="00930A88" w:rsidRDefault="005D1E96" w:rsidP="005D1E96">
      <w:pPr>
        <w:pStyle w:val="Heading3"/>
      </w:pPr>
      <w:r w:rsidRPr="00930A88">
        <w:lastRenderedPageBreak/>
        <w:t>Acknowledgements</w:t>
      </w:r>
    </w:p>
    <w:p w14:paraId="4BD5C28C" w14:textId="77777777" w:rsidR="005D1E96" w:rsidRPr="00930A88" w:rsidRDefault="005D1E96" w:rsidP="005D1E96">
      <w:r w:rsidRPr="00930A88">
        <w:t xml:space="preserve">Many thanks to </w:t>
      </w:r>
      <w:r>
        <w:t xml:space="preserve">Peter </w:t>
      </w:r>
      <w:proofErr w:type="spellStart"/>
      <w:r>
        <w:t>Kennerley</w:t>
      </w:r>
      <w:proofErr w:type="spellEnd"/>
      <w:r>
        <w:t>, Simon Harding, John O</w:t>
      </w:r>
      <w:r w:rsidR="00990768">
        <w:t>’</w:t>
      </w:r>
      <w:r>
        <w:t xml:space="preserve">Keeffe and Helen </w:t>
      </w:r>
      <w:proofErr w:type="spellStart"/>
      <w:r>
        <w:t>Pickmere</w:t>
      </w:r>
      <w:proofErr w:type="spellEnd"/>
      <w:r>
        <w:t xml:space="preserve"> </w:t>
      </w:r>
      <w:r w:rsidRPr="00930A88">
        <w:t>for their support and guidance</w:t>
      </w:r>
      <w:r>
        <w:t>,</w:t>
      </w:r>
      <w:r w:rsidRPr="00930A88">
        <w:t xml:space="preserve"> and to </w:t>
      </w:r>
      <w:r>
        <w:t>Martin Woodbridge, Matt Cronin and Carolyn Read</w:t>
      </w:r>
      <w:r w:rsidRPr="00930A88">
        <w:t xml:space="preserve"> for their insights and </w:t>
      </w:r>
      <w:r>
        <w:t>technical assistance</w:t>
      </w:r>
      <w:r w:rsidRPr="00930A88">
        <w:t xml:space="preserve">. Thanks also </w:t>
      </w:r>
      <w:r>
        <w:t xml:space="preserve">to </w:t>
      </w:r>
      <w:r w:rsidRPr="00930A88">
        <w:t>the Australian Federal Police for permission to use material previously developed on their behalf.</w:t>
      </w:r>
    </w:p>
    <w:p w14:paraId="62955E5B" w14:textId="77777777" w:rsidR="005D1E96" w:rsidRPr="00930A88" w:rsidRDefault="005D1E96" w:rsidP="005D1E96">
      <w:pPr>
        <w:pStyle w:val="Heading3"/>
        <w:spacing w:before="840"/>
      </w:pPr>
      <w:r w:rsidRPr="00930A88">
        <w:t>Author</w:t>
      </w:r>
    </w:p>
    <w:p w14:paraId="1751BFAC" w14:textId="5FB86112" w:rsidR="005D1E96" w:rsidRPr="00930A88" w:rsidRDefault="005D1E96" w:rsidP="005D1E96">
      <w:pPr>
        <w:spacing w:after="960"/>
      </w:pPr>
      <w:r w:rsidRPr="00930A88">
        <w:t>Dr Michael McFadden</w:t>
      </w:r>
      <w:r w:rsidRPr="00930A88">
        <w:br/>
        <w:t>Director McFadden Consultancy</w:t>
      </w:r>
      <w:r w:rsidRPr="00930A88">
        <w:br/>
      </w:r>
    </w:p>
    <w:p w14:paraId="3632F191" w14:textId="40B12FDA" w:rsidR="00A80363" w:rsidRPr="00442C1C" w:rsidRDefault="00A80363">
      <w:pPr>
        <w:pStyle w:val="Imprint"/>
      </w:pPr>
      <w:r>
        <w:t xml:space="preserve">Citation: </w:t>
      </w:r>
      <w:r w:rsidR="00F14F38" w:rsidRPr="00930A88">
        <w:t>McFadden Consultancy</w:t>
      </w:r>
      <w:r w:rsidR="00442C1C">
        <w:t xml:space="preserve">. </w:t>
      </w:r>
      <w:r w:rsidR="00EB6AE2">
        <w:t>2016</w:t>
      </w:r>
      <w:r w:rsidR="00442C1C">
        <w:t xml:space="preserve">. </w:t>
      </w:r>
      <w:r w:rsidR="00BE5C5B">
        <w:rPr>
          <w:i/>
        </w:rPr>
        <w:t>Research Report: The New Zealand Drug Harm Index 2016</w:t>
      </w:r>
      <w:r w:rsidR="004D2E6E">
        <w:t xml:space="preserve"> (2nd </w:t>
      </w:r>
      <w:proofErr w:type="spellStart"/>
      <w:r w:rsidR="004D2E6E">
        <w:t>edn</w:t>
      </w:r>
      <w:proofErr w:type="spellEnd"/>
      <w:r w:rsidR="004D2E6E">
        <w:t>).</w:t>
      </w:r>
      <w:r w:rsidR="00442C1C">
        <w:t xml:space="preserve"> Wellington: Ministry of Health.</w:t>
      </w:r>
    </w:p>
    <w:p w14:paraId="5B6A1779" w14:textId="6BF1B82D" w:rsidR="00C86248" w:rsidRDefault="004D2E6E">
      <w:pPr>
        <w:pStyle w:val="Imprint"/>
      </w:pPr>
      <w:r>
        <w:t>First p</w:t>
      </w:r>
      <w:r w:rsidR="00C86248">
        <w:t xml:space="preserve">ublished in </w:t>
      </w:r>
      <w:r w:rsidR="00AE5A19">
        <w:t>April</w:t>
      </w:r>
      <w:r w:rsidR="00DA22AA">
        <w:t xml:space="preserve"> 2016</w:t>
      </w:r>
      <w:r>
        <w:t>, 2nd edition July 2016</w:t>
      </w:r>
      <w:r w:rsidR="005019AE">
        <w:br/>
      </w:r>
      <w:r w:rsidR="00C86248">
        <w:t>by the</w:t>
      </w:r>
      <w:r w:rsidR="00442C1C">
        <w:t xml:space="preserve"> </w:t>
      </w:r>
      <w:r w:rsidR="00C86248">
        <w:t>Ministry of Health</w:t>
      </w:r>
      <w:r w:rsidR="00C86248">
        <w:br/>
        <w:t>PO Box 5013, Wellington</w:t>
      </w:r>
      <w:r w:rsidR="00A80363">
        <w:t xml:space="preserve"> 6145</w:t>
      </w:r>
      <w:r w:rsidR="00C86248">
        <w:t>, New Zealand</w:t>
      </w:r>
    </w:p>
    <w:p w14:paraId="101367F5" w14:textId="1D0DF37E" w:rsidR="00082CD6" w:rsidRPr="009C0F2D" w:rsidRDefault="00D863D0" w:rsidP="00082CD6">
      <w:pPr>
        <w:pStyle w:val="Imprint"/>
      </w:pPr>
      <w:r>
        <w:t>ISBN</w:t>
      </w:r>
      <w:r w:rsidR="00442C1C">
        <w:t xml:space="preserve">: </w:t>
      </w:r>
      <w:r w:rsidR="00F14F38">
        <w:t>978-0-947491-76-5</w:t>
      </w:r>
      <w:r w:rsidR="00442C1C">
        <w:t xml:space="preserve"> </w:t>
      </w:r>
      <w:r>
        <w:t>(</w:t>
      </w:r>
      <w:r w:rsidR="00442C1C">
        <w:t>online</w:t>
      </w:r>
      <w:proofErr w:type="gramStart"/>
      <w:r>
        <w:t>)</w:t>
      </w:r>
      <w:proofErr w:type="gramEnd"/>
      <w:r w:rsidR="00082CD6">
        <w:br/>
      </w:r>
      <w:r w:rsidR="00082CD6" w:rsidRPr="009C0F2D">
        <w:t xml:space="preserve">HP </w:t>
      </w:r>
      <w:r w:rsidR="00F14F38">
        <w:t>6371</w:t>
      </w:r>
    </w:p>
    <w:p w14:paraId="5387E42A" w14:textId="11DCB456" w:rsidR="00C86248" w:rsidRDefault="00C86248">
      <w:pPr>
        <w:pStyle w:val="Imprint"/>
      </w:pPr>
      <w:r>
        <w:t xml:space="preserve">This document is available </w:t>
      </w:r>
      <w:r w:rsidR="0071741C">
        <w:t xml:space="preserve">at </w:t>
      </w:r>
      <w:r>
        <w:t>h</w:t>
      </w:r>
      <w:r w:rsidR="00A80363">
        <w:t>ealth</w:t>
      </w:r>
      <w:r>
        <w:t>.govt.nz</w:t>
      </w:r>
    </w:p>
    <w:p w14:paraId="1F490803" w14:textId="3F70CF39" w:rsidR="00C86248" w:rsidRDefault="00C86248">
      <w:pPr>
        <w:jc w:val="center"/>
      </w:pPr>
    </w:p>
    <w:p w14:paraId="556AE6BE" w14:textId="77777777" w:rsidR="00C86248" w:rsidRDefault="00C86248">
      <w:pPr>
        <w:jc w:val="center"/>
        <w:sectPr w:rsidR="00C86248" w:rsidSect="0009005F">
          <w:footerReference w:type="even" r:id="rId9"/>
          <w:footerReference w:type="default" r:id="rId10"/>
          <w:pgSz w:w="11907" w:h="16834" w:code="9"/>
          <w:pgMar w:top="1701" w:right="1418" w:bottom="1418" w:left="1418" w:header="425" w:footer="425" w:gutter="0"/>
          <w:cols w:space="720"/>
          <w:vAlign w:val="bottom"/>
        </w:sectPr>
      </w:pPr>
    </w:p>
    <w:p w14:paraId="0122F971" w14:textId="77777777" w:rsidR="00C86248" w:rsidRDefault="00C86248">
      <w:pPr>
        <w:pStyle w:val="IntroHead"/>
      </w:pPr>
      <w:bookmarkStart w:id="0" w:name="_Toc405792991"/>
      <w:bookmarkStart w:id="1" w:name="_Toc405793224"/>
      <w:r>
        <w:lastRenderedPageBreak/>
        <w:t>Contents</w:t>
      </w:r>
      <w:bookmarkEnd w:id="0"/>
      <w:bookmarkEnd w:id="1"/>
    </w:p>
    <w:p w14:paraId="35C8258A" w14:textId="77777777" w:rsidR="00A5723A" w:rsidRDefault="00C86248">
      <w:pPr>
        <w:pStyle w:val="TOC1"/>
        <w:rPr>
          <w:rFonts w:eastAsiaTheme="minorEastAsia" w:cstheme="minorBidi"/>
          <w:b w:val="0"/>
          <w:noProof/>
          <w:szCs w:val="22"/>
          <w:lang w:eastAsia="en-NZ"/>
        </w:rPr>
      </w:pPr>
      <w:r>
        <w:rPr>
          <w:b w:val="0"/>
        </w:rPr>
        <w:fldChar w:fldCharType="begin"/>
      </w:r>
      <w:r>
        <w:instrText xml:space="preserve"> TOC \o "1-2" </w:instrText>
      </w:r>
      <w:r>
        <w:rPr>
          <w:b w:val="0"/>
        </w:rPr>
        <w:fldChar w:fldCharType="separate"/>
      </w:r>
      <w:r w:rsidR="00A5723A">
        <w:rPr>
          <w:noProof/>
        </w:rPr>
        <w:t>Project summary</w:t>
      </w:r>
      <w:r w:rsidR="00A5723A">
        <w:rPr>
          <w:noProof/>
        </w:rPr>
        <w:tab/>
      </w:r>
      <w:r w:rsidR="00A5723A">
        <w:rPr>
          <w:noProof/>
        </w:rPr>
        <w:fldChar w:fldCharType="begin"/>
      </w:r>
      <w:r w:rsidR="00A5723A">
        <w:rPr>
          <w:noProof/>
        </w:rPr>
        <w:instrText xml:space="preserve"> PAGEREF _Toc444941776 \h </w:instrText>
      </w:r>
      <w:r w:rsidR="00A5723A">
        <w:rPr>
          <w:noProof/>
        </w:rPr>
      </w:r>
      <w:r w:rsidR="00A5723A">
        <w:rPr>
          <w:noProof/>
        </w:rPr>
        <w:fldChar w:fldCharType="separate"/>
      </w:r>
      <w:r w:rsidR="00B8567E">
        <w:rPr>
          <w:noProof/>
        </w:rPr>
        <w:t>1</w:t>
      </w:r>
      <w:r w:rsidR="00A5723A">
        <w:rPr>
          <w:noProof/>
        </w:rPr>
        <w:fldChar w:fldCharType="end"/>
      </w:r>
    </w:p>
    <w:p w14:paraId="5A54EF88" w14:textId="77777777" w:rsidR="00A5723A" w:rsidRDefault="00A5723A">
      <w:pPr>
        <w:pStyle w:val="TOC1"/>
        <w:rPr>
          <w:rFonts w:eastAsiaTheme="minorEastAsia" w:cstheme="minorBidi"/>
          <w:b w:val="0"/>
          <w:noProof/>
          <w:szCs w:val="22"/>
          <w:lang w:eastAsia="en-NZ"/>
        </w:rPr>
      </w:pPr>
      <w:r>
        <w:rPr>
          <w:noProof/>
        </w:rPr>
        <w:t>Introduction</w:t>
      </w:r>
      <w:r>
        <w:rPr>
          <w:noProof/>
        </w:rPr>
        <w:tab/>
      </w:r>
      <w:r>
        <w:rPr>
          <w:noProof/>
        </w:rPr>
        <w:fldChar w:fldCharType="begin"/>
      </w:r>
      <w:r>
        <w:rPr>
          <w:noProof/>
        </w:rPr>
        <w:instrText xml:space="preserve"> PAGEREF _Toc444941777 \h </w:instrText>
      </w:r>
      <w:r>
        <w:rPr>
          <w:noProof/>
        </w:rPr>
      </w:r>
      <w:r>
        <w:rPr>
          <w:noProof/>
        </w:rPr>
        <w:fldChar w:fldCharType="separate"/>
      </w:r>
      <w:r w:rsidR="00B8567E">
        <w:rPr>
          <w:noProof/>
        </w:rPr>
        <w:t>2</w:t>
      </w:r>
      <w:r>
        <w:rPr>
          <w:noProof/>
        </w:rPr>
        <w:fldChar w:fldCharType="end"/>
      </w:r>
    </w:p>
    <w:p w14:paraId="077615E4" w14:textId="77777777" w:rsidR="00A5723A" w:rsidRDefault="00A5723A">
      <w:pPr>
        <w:pStyle w:val="TOC2"/>
        <w:rPr>
          <w:rFonts w:eastAsiaTheme="minorEastAsia" w:cstheme="minorBidi"/>
          <w:noProof/>
          <w:szCs w:val="22"/>
          <w:lang w:eastAsia="en-NZ"/>
        </w:rPr>
      </w:pPr>
      <w:r>
        <w:rPr>
          <w:noProof/>
        </w:rPr>
        <w:t>Research scope</w:t>
      </w:r>
      <w:r>
        <w:rPr>
          <w:noProof/>
        </w:rPr>
        <w:tab/>
      </w:r>
      <w:r>
        <w:rPr>
          <w:noProof/>
        </w:rPr>
        <w:fldChar w:fldCharType="begin"/>
      </w:r>
      <w:r>
        <w:rPr>
          <w:noProof/>
        </w:rPr>
        <w:instrText xml:space="preserve"> PAGEREF _Toc444941778 \h </w:instrText>
      </w:r>
      <w:r>
        <w:rPr>
          <w:noProof/>
        </w:rPr>
      </w:r>
      <w:r>
        <w:rPr>
          <w:noProof/>
        </w:rPr>
        <w:fldChar w:fldCharType="separate"/>
      </w:r>
      <w:r w:rsidR="00B8567E">
        <w:rPr>
          <w:noProof/>
        </w:rPr>
        <w:t>2</w:t>
      </w:r>
      <w:r>
        <w:rPr>
          <w:noProof/>
        </w:rPr>
        <w:fldChar w:fldCharType="end"/>
      </w:r>
    </w:p>
    <w:p w14:paraId="58328B5E" w14:textId="77777777" w:rsidR="00A5723A" w:rsidRDefault="00A5723A">
      <w:pPr>
        <w:pStyle w:val="TOC2"/>
        <w:rPr>
          <w:rFonts w:eastAsiaTheme="minorEastAsia" w:cstheme="minorBidi"/>
          <w:noProof/>
          <w:szCs w:val="22"/>
          <w:lang w:eastAsia="en-NZ"/>
        </w:rPr>
      </w:pPr>
      <w:r>
        <w:rPr>
          <w:noProof/>
        </w:rPr>
        <w:t>Report structure</w:t>
      </w:r>
      <w:r>
        <w:rPr>
          <w:noProof/>
        </w:rPr>
        <w:tab/>
      </w:r>
      <w:r>
        <w:rPr>
          <w:noProof/>
        </w:rPr>
        <w:fldChar w:fldCharType="begin"/>
      </w:r>
      <w:r>
        <w:rPr>
          <w:noProof/>
        </w:rPr>
        <w:instrText xml:space="preserve"> PAGEREF _Toc444941779 \h </w:instrText>
      </w:r>
      <w:r>
        <w:rPr>
          <w:noProof/>
        </w:rPr>
      </w:r>
      <w:r>
        <w:rPr>
          <w:noProof/>
        </w:rPr>
        <w:fldChar w:fldCharType="separate"/>
      </w:r>
      <w:r w:rsidR="00B8567E">
        <w:rPr>
          <w:noProof/>
        </w:rPr>
        <w:t>3</w:t>
      </w:r>
      <w:r>
        <w:rPr>
          <w:noProof/>
        </w:rPr>
        <w:fldChar w:fldCharType="end"/>
      </w:r>
    </w:p>
    <w:p w14:paraId="26197030" w14:textId="77777777" w:rsidR="00A5723A" w:rsidRDefault="00A5723A">
      <w:pPr>
        <w:pStyle w:val="TOC1"/>
        <w:rPr>
          <w:rFonts w:eastAsiaTheme="minorEastAsia" w:cstheme="minorBidi"/>
          <w:b w:val="0"/>
          <w:noProof/>
          <w:szCs w:val="22"/>
          <w:lang w:eastAsia="en-NZ"/>
        </w:rPr>
      </w:pPr>
      <w:r>
        <w:rPr>
          <w:noProof/>
        </w:rPr>
        <w:t>Background</w:t>
      </w:r>
      <w:r>
        <w:rPr>
          <w:noProof/>
        </w:rPr>
        <w:tab/>
      </w:r>
      <w:r>
        <w:rPr>
          <w:noProof/>
        </w:rPr>
        <w:fldChar w:fldCharType="begin"/>
      </w:r>
      <w:r>
        <w:rPr>
          <w:noProof/>
        </w:rPr>
        <w:instrText xml:space="preserve"> PAGEREF _Toc444941780 \h </w:instrText>
      </w:r>
      <w:r>
        <w:rPr>
          <w:noProof/>
        </w:rPr>
      </w:r>
      <w:r>
        <w:rPr>
          <w:noProof/>
        </w:rPr>
        <w:fldChar w:fldCharType="separate"/>
      </w:r>
      <w:r w:rsidR="00B8567E">
        <w:rPr>
          <w:noProof/>
        </w:rPr>
        <w:t>5</w:t>
      </w:r>
      <w:r>
        <w:rPr>
          <w:noProof/>
        </w:rPr>
        <w:fldChar w:fldCharType="end"/>
      </w:r>
    </w:p>
    <w:p w14:paraId="38F1AF83" w14:textId="77777777" w:rsidR="00A5723A" w:rsidRDefault="00A5723A">
      <w:pPr>
        <w:pStyle w:val="TOC2"/>
        <w:rPr>
          <w:rFonts w:eastAsiaTheme="minorEastAsia" w:cstheme="minorBidi"/>
          <w:noProof/>
          <w:szCs w:val="22"/>
          <w:lang w:eastAsia="en-NZ"/>
        </w:rPr>
      </w:pPr>
      <w:r>
        <w:rPr>
          <w:noProof/>
        </w:rPr>
        <w:t>A brief history</w:t>
      </w:r>
      <w:r>
        <w:rPr>
          <w:noProof/>
        </w:rPr>
        <w:tab/>
      </w:r>
      <w:r>
        <w:rPr>
          <w:noProof/>
        </w:rPr>
        <w:fldChar w:fldCharType="begin"/>
      </w:r>
      <w:r>
        <w:rPr>
          <w:noProof/>
        </w:rPr>
        <w:instrText xml:space="preserve"> PAGEREF _Toc444941781 \h </w:instrText>
      </w:r>
      <w:r>
        <w:rPr>
          <w:noProof/>
        </w:rPr>
      </w:r>
      <w:r>
        <w:rPr>
          <w:noProof/>
        </w:rPr>
        <w:fldChar w:fldCharType="separate"/>
      </w:r>
      <w:r w:rsidR="00B8567E">
        <w:rPr>
          <w:noProof/>
        </w:rPr>
        <w:t>5</w:t>
      </w:r>
      <w:r>
        <w:rPr>
          <w:noProof/>
        </w:rPr>
        <w:fldChar w:fldCharType="end"/>
      </w:r>
    </w:p>
    <w:p w14:paraId="2AE718C5" w14:textId="77777777" w:rsidR="00A5723A" w:rsidRDefault="00A5723A">
      <w:pPr>
        <w:pStyle w:val="TOC2"/>
        <w:rPr>
          <w:rFonts w:eastAsiaTheme="minorEastAsia" w:cstheme="minorBidi"/>
          <w:noProof/>
          <w:szCs w:val="22"/>
          <w:lang w:eastAsia="en-NZ"/>
        </w:rPr>
      </w:pPr>
      <w:r>
        <w:rPr>
          <w:noProof/>
        </w:rPr>
        <w:t>Literature review post-2008</w:t>
      </w:r>
      <w:r>
        <w:rPr>
          <w:noProof/>
        </w:rPr>
        <w:tab/>
      </w:r>
      <w:r>
        <w:rPr>
          <w:noProof/>
        </w:rPr>
        <w:fldChar w:fldCharType="begin"/>
      </w:r>
      <w:r>
        <w:rPr>
          <w:noProof/>
        </w:rPr>
        <w:instrText xml:space="preserve"> PAGEREF _Toc444941782 \h </w:instrText>
      </w:r>
      <w:r>
        <w:rPr>
          <w:noProof/>
        </w:rPr>
      </w:r>
      <w:r>
        <w:rPr>
          <w:noProof/>
        </w:rPr>
        <w:fldChar w:fldCharType="separate"/>
      </w:r>
      <w:r w:rsidR="00B8567E">
        <w:rPr>
          <w:noProof/>
        </w:rPr>
        <w:t>6</w:t>
      </w:r>
      <w:r>
        <w:rPr>
          <w:noProof/>
        </w:rPr>
        <w:fldChar w:fldCharType="end"/>
      </w:r>
    </w:p>
    <w:p w14:paraId="7EAE11C8" w14:textId="77777777" w:rsidR="00A5723A" w:rsidRDefault="00A5723A">
      <w:pPr>
        <w:pStyle w:val="TOC2"/>
        <w:rPr>
          <w:rFonts w:eastAsiaTheme="minorEastAsia" w:cstheme="minorBidi"/>
          <w:noProof/>
          <w:szCs w:val="22"/>
          <w:lang w:eastAsia="en-NZ"/>
        </w:rPr>
      </w:pPr>
      <w:r>
        <w:rPr>
          <w:noProof/>
        </w:rPr>
        <w:t>Implications for study</w:t>
      </w:r>
      <w:r>
        <w:rPr>
          <w:noProof/>
        </w:rPr>
        <w:tab/>
      </w:r>
      <w:r>
        <w:rPr>
          <w:noProof/>
        </w:rPr>
        <w:fldChar w:fldCharType="begin"/>
      </w:r>
      <w:r>
        <w:rPr>
          <w:noProof/>
        </w:rPr>
        <w:instrText xml:space="preserve"> PAGEREF _Toc444941783 \h </w:instrText>
      </w:r>
      <w:r>
        <w:rPr>
          <w:noProof/>
        </w:rPr>
      </w:r>
      <w:r>
        <w:rPr>
          <w:noProof/>
        </w:rPr>
        <w:fldChar w:fldCharType="separate"/>
      </w:r>
      <w:r w:rsidR="00B8567E">
        <w:rPr>
          <w:noProof/>
        </w:rPr>
        <w:t>9</w:t>
      </w:r>
      <w:r>
        <w:rPr>
          <w:noProof/>
        </w:rPr>
        <w:fldChar w:fldCharType="end"/>
      </w:r>
    </w:p>
    <w:p w14:paraId="76ED2C26" w14:textId="77777777" w:rsidR="00A5723A" w:rsidRDefault="00A5723A">
      <w:pPr>
        <w:pStyle w:val="TOC1"/>
        <w:rPr>
          <w:rFonts w:eastAsiaTheme="minorEastAsia" w:cstheme="minorBidi"/>
          <w:b w:val="0"/>
          <w:noProof/>
          <w:szCs w:val="22"/>
          <w:lang w:eastAsia="en-NZ"/>
        </w:rPr>
      </w:pPr>
      <w:r>
        <w:rPr>
          <w:noProof/>
        </w:rPr>
        <w:t>METHOD</w:t>
      </w:r>
      <w:r>
        <w:rPr>
          <w:noProof/>
        </w:rPr>
        <w:tab/>
      </w:r>
      <w:r>
        <w:rPr>
          <w:noProof/>
        </w:rPr>
        <w:fldChar w:fldCharType="begin"/>
      </w:r>
      <w:r>
        <w:rPr>
          <w:noProof/>
        </w:rPr>
        <w:instrText xml:space="preserve"> PAGEREF _Toc444941784 \h </w:instrText>
      </w:r>
      <w:r>
        <w:rPr>
          <w:noProof/>
        </w:rPr>
      </w:r>
      <w:r>
        <w:rPr>
          <w:noProof/>
        </w:rPr>
        <w:fldChar w:fldCharType="separate"/>
      </w:r>
      <w:r w:rsidR="00B8567E">
        <w:rPr>
          <w:noProof/>
        </w:rPr>
        <w:t>11</w:t>
      </w:r>
      <w:r>
        <w:rPr>
          <w:noProof/>
        </w:rPr>
        <w:fldChar w:fldCharType="end"/>
      </w:r>
    </w:p>
    <w:p w14:paraId="03C3AFCF" w14:textId="77777777" w:rsidR="00A5723A" w:rsidRDefault="00A5723A">
      <w:pPr>
        <w:pStyle w:val="TOC2"/>
        <w:rPr>
          <w:rFonts w:eastAsiaTheme="minorEastAsia" w:cstheme="minorBidi"/>
          <w:noProof/>
          <w:szCs w:val="22"/>
          <w:lang w:eastAsia="en-NZ"/>
        </w:rPr>
      </w:pPr>
      <w:r>
        <w:rPr>
          <w:noProof/>
        </w:rPr>
        <w:t>Conceptual framework</w:t>
      </w:r>
      <w:r>
        <w:rPr>
          <w:noProof/>
        </w:rPr>
        <w:tab/>
      </w:r>
      <w:r>
        <w:rPr>
          <w:noProof/>
        </w:rPr>
        <w:fldChar w:fldCharType="begin"/>
      </w:r>
      <w:r>
        <w:rPr>
          <w:noProof/>
        </w:rPr>
        <w:instrText xml:space="preserve"> PAGEREF _Toc444941785 \h </w:instrText>
      </w:r>
      <w:r>
        <w:rPr>
          <w:noProof/>
        </w:rPr>
      </w:r>
      <w:r>
        <w:rPr>
          <w:noProof/>
        </w:rPr>
        <w:fldChar w:fldCharType="separate"/>
      </w:r>
      <w:r w:rsidR="00B8567E">
        <w:rPr>
          <w:noProof/>
        </w:rPr>
        <w:t>11</w:t>
      </w:r>
      <w:r>
        <w:rPr>
          <w:noProof/>
        </w:rPr>
        <w:fldChar w:fldCharType="end"/>
      </w:r>
    </w:p>
    <w:p w14:paraId="053C5160" w14:textId="77777777" w:rsidR="00A5723A" w:rsidRDefault="00A5723A">
      <w:pPr>
        <w:pStyle w:val="TOC2"/>
        <w:rPr>
          <w:rFonts w:eastAsiaTheme="minorEastAsia" w:cstheme="minorBidi"/>
          <w:noProof/>
          <w:szCs w:val="22"/>
          <w:lang w:eastAsia="en-NZ"/>
        </w:rPr>
      </w:pPr>
      <w:r>
        <w:rPr>
          <w:noProof/>
        </w:rPr>
        <w:t>Expert opinion survey</w:t>
      </w:r>
      <w:r>
        <w:rPr>
          <w:noProof/>
        </w:rPr>
        <w:tab/>
      </w:r>
      <w:r>
        <w:rPr>
          <w:noProof/>
        </w:rPr>
        <w:fldChar w:fldCharType="begin"/>
      </w:r>
      <w:r>
        <w:rPr>
          <w:noProof/>
        </w:rPr>
        <w:instrText xml:space="preserve"> PAGEREF _Toc444941786 \h </w:instrText>
      </w:r>
      <w:r>
        <w:rPr>
          <w:noProof/>
        </w:rPr>
      </w:r>
      <w:r>
        <w:rPr>
          <w:noProof/>
        </w:rPr>
        <w:fldChar w:fldCharType="separate"/>
      </w:r>
      <w:r w:rsidR="00B8567E">
        <w:rPr>
          <w:noProof/>
        </w:rPr>
        <w:t>12</w:t>
      </w:r>
      <w:r>
        <w:rPr>
          <w:noProof/>
        </w:rPr>
        <w:fldChar w:fldCharType="end"/>
      </w:r>
    </w:p>
    <w:p w14:paraId="760A73B0" w14:textId="77777777" w:rsidR="00A5723A" w:rsidRDefault="00A5723A">
      <w:pPr>
        <w:pStyle w:val="TOC2"/>
        <w:rPr>
          <w:rFonts w:eastAsiaTheme="minorEastAsia" w:cstheme="minorBidi"/>
          <w:noProof/>
          <w:szCs w:val="22"/>
          <w:lang w:eastAsia="en-NZ"/>
        </w:rPr>
      </w:pPr>
      <w:r>
        <w:rPr>
          <w:noProof/>
        </w:rPr>
        <w:t>Prevalence versus incidence</w:t>
      </w:r>
      <w:r>
        <w:rPr>
          <w:noProof/>
        </w:rPr>
        <w:tab/>
      </w:r>
      <w:r>
        <w:rPr>
          <w:noProof/>
        </w:rPr>
        <w:fldChar w:fldCharType="begin"/>
      </w:r>
      <w:r>
        <w:rPr>
          <w:noProof/>
        </w:rPr>
        <w:instrText xml:space="preserve"> PAGEREF _Toc444941787 \h </w:instrText>
      </w:r>
      <w:r>
        <w:rPr>
          <w:noProof/>
        </w:rPr>
      </w:r>
      <w:r>
        <w:rPr>
          <w:noProof/>
        </w:rPr>
        <w:fldChar w:fldCharType="separate"/>
      </w:r>
      <w:r w:rsidR="00B8567E">
        <w:rPr>
          <w:noProof/>
        </w:rPr>
        <w:t>14</w:t>
      </w:r>
      <w:r>
        <w:rPr>
          <w:noProof/>
        </w:rPr>
        <w:fldChar w:fldCharType="end"/>
      </w:r>
    </w:p>
    <w:p w14:paraId="0A052066" w14:textId="77777777" w:rsidR="00A5723A" w:rsidRDefault="00A5723A">
      <w:pPr>
        <w:pStyle w:val="TOC2"/>
        <w:rPr>
          <w:rFonts w:eastAsiaTheme="minorEastAsia" w:cstheme="minorBidi"/>
          <w:noProof/>
          <w:szCs w:val="22"/>
          <w:lang w:eastAsia="en-NZ"/>
        </w:rPr>
      </w:pPr>
      <w:r>
        <w:rPr>
          <w:noProof/>
        </w:rPr>
        <w:t>Polydrug users</w:t>
      </w:r>
      <w:r>
        <w:rPr>
          <w:noProof/>
        </w:rPr>
        <w:tab/>
      </w:r>
      <w:r>
        <w:rPr>
          <w:noProof/>
        </w:rPr>
        <w:fldChar w:fldCharType="begin"/>
      </w:r>
      <w:r>
        <w:rPr>
          <w:noProof/>
        </w:rPr>
        <w:instrText xml:space="preserve"> PAGEREF _Toc444941788 \h </w:instrText>
      </w:r>
      <w:r>
        <w:rPr>
          <w:noProof/>
        </w:rPr>
      </w:r>
      <w:r>
        <w:rPr>
          <w:noProof/>
        </w:rPr>
        <w:fldChar w:fldCharType="separate"/>
      </w:r>
      <w:r w:rsidR="00B8567E">
        <w:rPr>
          <w:noProof/>
        </w:rPr>
        <w:t>15</w:t>
      </w:r>
      <w:r>
        <w:rPr>
          <w:noProof/>
        </w:rPr>
        <w:fldChar w:fldCharType="end"/>
      </w:r>
    </w:p>
    <w:p w14:paraId="01B8AD78" w14:textId="77777777" w:rsidR="00A5723A" w:rsidRDefault="00A5723A">
      <w:pPr>
        <w:pStyle w:val="TOC2"/>
        <w:rPr>
          <w:rFonts w:eastAsiaTheme="minorEastAsia" w:cstheme="minorBidi"/>
          <w:noProof/>
          <w:szCs w:val="22"/>
          <w:lang w:eastAsia="en-NZ"/>
        </w:rPr>
      </w:pPr>
      <w:r>
        <w:rPr>
          <w:noProof/>
        </w:rPr>
        <w:t>Closing comment on method</w:t>
      </w:r>
      <w:r>
        <w:rPr>
          <w:noProof/>
        </w:rPr>
        <w:tab/>
      </w:r>
      <w:r>
        <w:rPr>
          <w:noProof/>
        </w:rPr>
        <w:fldChar w:fldCharType="begin"/>
      </w:r>
      <w:r>
        <w:rPr>
          <w:noProof/>
        </w:rPr>
        <w:instrText xml:space="preserve"> PAGEREF _Toc444941789 \h </w:instrText>
      </w:r>
      <w:r>
        <w:rPr>
          <w:noProof/>
        </w:rPr>
      </w:r>
      <w:r>
        <w:rPr>
          <w:noProof/>
        </w:rPr>
        <w:fldChar w:fldCharType="separate"/>
      </w:r>
      <w:r w:rsidR="00B8567E">
        <w:rPr>
          <w:noProof/>
        </w:rPr>
        <w:t>15</w:t>
      </w:r>
      <w:r>
        <w:rPr>
          <w:noProof/>
        </w:rPr>
        <w:fldChar w:fldCharType="end"/>
      </w:r>
    </w:p>
    <w:p w14:paraId="24E381DA" w14:textId="77777777" w:rsidR="00A5723A" w:rsidRDefault="00A5723A">
      <w:pPr>
        <w:pStyle w:val="TOC1"/>
        <w:rPr>
          <w:rFonts w:eastAsiaTheme="minorEastAsia" w:cstheme="minorBidi"/>
          <w:b w:val="0"/>
          <w:noProof/>
          <w:szCs w:val="22"/>
          <w:lang w:eastAsia="en-NZ"/>
        </w:rPr>
      </w:pPr>
      <w:r>
        <w:rPr>
          <w:noProof/>
        </w:rPr>
        <w:t>Drug use</w:t>
      </w:r>
      <w:r>
        <w:rPr>
          <w:noProof/>
        </w:rPr>
        <w:tab/>
      </w:r>
      <w:r>
        <w:rPr>
          <w:noProof/>
        </w:rPr>
        <w:fldChar w:fldCharType="begin"/>
      </w:r>
      <w:r>
        <w:rPr>
          <w:noProof/>
        </w:rPr>
        <w:instrText xml:space="preserve"> PAGEREF _Toc444941790 \h </w:instrText>
      </w:r>
      <w:r>
        <w:rPr>
          <w:noProof/>
        </w:rPr>
      </w:r>
      <w:r>
        <w:rPr>
          <w:noProof/>
        </w:rPr>
        <w:fldChar w:fldCharType="separate"/>
      </w:r>
      <w:r w:rsidR="00B8567E">
        <w:rPr>
          <w:noProof/>
        </w:rPr>
        <w:t>16</w:t>
      </w:r>
      <w:r>
        <w:rPr>
          <w:noProof/>
        </w:rPr>
        <w:fldChar w:fldCharType="end"/>
      </w:r>
    </w:p>
    <w:p w14:paraId="46F956F2" w14:textId="77777777" w:rsidR="00A5723A" w:rsidRDefault="00A5723A">
      <w:pPr>
        <w:pStyle w:val="TOC2"/>
        <w:rPr>
          <w:rFonts w:eastAsiaTheme="minorEastAsia" w:cstheme="minorBidi"/>
          <w:noProof/>
          <w:szCs w:val="22"/>
          <w:lang w:eastAsia="en-NZ"/>
        </w:rPr>
      </w:pPr>
      <w:r>
        <w:rPr>
          <w:noProof/>
          <w:lang w:eastAsia="en-AU"/>
        </w:rPr>
        <w:t>Prevalence of drug use</w:t>
      </w:r>
      <w:r>
        <w:rPr>
          <w:noProof/>
        </w:rPr>
        <w:tab/>
      </w:r>
      <w:r>
        <w:rPr>
          <w:noProof/>
        </w:rPr>
        <w:fldChar w:fldCharType="begin"/>
      </w:r>
      <w:r>
        <w:rPr>
          <w:noProof/>
        </w:rPr>
        <w:instrText xml:space="preserve"> PAGEREF _Toc444941791 \h </w:instrText>
      </w:r>
      <w:r>
        <w:rPr>
          <w:noProof/>
        </w:rPr>
      </w:r>
      <w:r>
        <w:rPr>
          <w:noProof/>
        </w:rPr>
        <w:fldChar w:fldCharType="separate"/>
      </w:r>
      <w:r w:rsidR="00B8567E">
        <w:rPr>
          <w:noProof/>
        </w:rPr>
        <w:t>16</w:t>
      </w:r>
      <w:r>
        <w:rPr>
          <w:noProof/>
        </w:rPr>
        <w:fldChar w:fldCharType="end"/>
      </w:r>
    </w:p>
    <w:p w14:paraId="66896F15" w14:textId="77777777" w:rsidR="00A5723A" w:rsidRDefault="00A5723A">
      <w:pPr>
        <w:pStyle w:val="TOC2"/>
        <w:rPr>
          <w:rFonts w:eastAsiaTheme="minorEastAsia" w:cstheme="minorBidi"/>
          <w:noProof/>
          <w:szCs w:val="22"/>
          <w:lang w:eastAsia="en-NZ"/>
        </w:rPr>
      </w:pPr>
      <w:r>
        <w:rPr>
          <w:noProof/>
          <w:lang w:eastAsia="en-AU"/>
        </w:rPr>
        <w:t>Illicit drug consumption in New Zealand</w:t>
      </w:r>
      <w:r>
        <w:rPr>
          <w:noProof/>
        </w:rPr>
        <w:tab/>
      </w:r>
      <w:r>
        <w:rPr>
          <w:noProof/>
        </w:rPr>
        <w:fldChar w:fldCharType="begin"/>
      </w:r>
      <w:r>
        <w:rPr>
          <w:noProof/>
        </w:rPr>
        <w:instrText xml:space="preserve"> PAGEREF _Toc444941792 \h </w:instrText>
      </w:r>
      <w:r>
        <w:rPr>
          <w:noProof/>
        </w:rPr>
      </w:r>
      <w:r>
        <w:rPr>
          <w:noProof/>
        </w:rPr>
        <w:fldChar w:fldCharType="separate"/>
      </w:r>
      <w:r w:rsidR="00B8567E">
        <w:rPr>
          <w:noProof/>
        </w:rPr>
        <w:t>18</w:t>
      </w:r>
      <w:r>
        <w:rPr>
          <w:noProof/>
        </w:rPr>
        <w:fldChar w:fldCharType="end"/>
      </w:r>
    </w:p>
    <w:p w14:paraId="41776B6B" w14:textId="77777777" w:rsidR="00A5723A" w:rsidRDefault="00A5723A">
      <w:pPr>
        <w:pStyle w:val="TOC1"/>
        <w:rPr>
          <w:rFonts w:eastAsiaTheme="minorEastAsia" w:cstheme="minorBidi"/>
          <w:b w:val="0"/>
          <w:noProof/>
          <w:szCs w:val="22"/>
          <w:lang w:eastAsia="en-NZ"/>
        </w:rPr>
      </w:pPr>
      <w:r>
        <w:rPr>
          <w:noProof/>
          <w:lang w:eastAsia="en-AU"/>
        </w:rPr>
        <w:t>Drug harm calculations</w:t>
      </w:r>
      <w:r>
        <w:rPr>
          <w:noProof/>
        </w:rPr>
        <w:tab/>
      </w:r>
      <w:r>
        <w:rPr>
          <w:noProof/>
        </w:rPr>
        <w:fldChar w:fldCharType="begin"/>
      </w:r>
      <w:r>
        <w:rPr>
          <w:noProof/>
        </w:rPr>
        <w:instrText xml:space="preserve"> PAGEREF _Toc444941793 \h </w:instrText>
      </w:r>
      <w:r>
        <w:rPr>
          <w:noProof/>
        </w:rPr>
      </w:r>
      <w:r>
        <w:rPr>
          <w:noProof/>
        </w:rPr>
        <w:fldChar w:fldCharType="separate"/>
      </w:r>
      <w:r w:rsidR="00B8567E">
        <w:rPr>
          <w:noProof/>
        </w:rPr>
        <w:t>20</w:t>
      </w:r>
      <w:r>
        <w:rPr>
          <w:noProof/>
        </w:rPr>
        <w:fldChar w:fldCharType="end"/>
      </w:r>
    </w:p>
    <w:p w14:paraId="1D60CC34" w14:textId="77777777" w:rsidR="00A5723A" w:rsidRDefault="00A5723A">
      <w:pPr>
        <w:pStyle w:val="TOC2"/>
        <w:rPr>
          <w:rFonts w:eastAsiaTheme="minorEastAsia" w:cstheme="minorBidi"/>
          <w:noProof/>
          <w:szCs w:val="22"/>
          <w:lang w:eastAsia="en-NZ"/>
        </w:rPr>
      </w:pPr>
      <w:r>
        <w:rPr>
          <w:noProof/>
          <w:lang w:eastAsia="en-AU"/>
        </w:rPr>
        <w:t>Personal harms</w:t>
      </w:r>
      <w:r>
        <w:rPr>
          <w:noProof/>
        </w:rPr>
        <w:tab/>
      </w:r>
      <w:r>
        <w:rPr>
          <w:noProof/>
        </w:rPr>
        <w:fldChar w:fldCharType="begin"/>
      </w:r>
      <w:r>
        <w:rPr>
          <w:noProof/>
        </w:rPr>
        <w:instrText xml:space="preserve"> PAGEREF _Toc444941794 \h </w:instrText>
      </w:r>
      <w:r>
        <w:rPr>
          <w:noProof/>
        </w:rPr>
      </w:r>
      <w:r>
        <w:rPr>
          <w:noProof/>
        </w:rPr>
        <w:fldChar w:fldCharType="separate"/>
      </w:r>
      <w:r w:rsidR="00B8567E">
        <w:rPr>
          <w:noProof/>
        </w:rPr>
        <w:t>20</w:t>
      </w:r>
      <w:r>
        <w:rPr>
          <w:noProof/>
        </w:rPr>
        <w:fldChar w:fldCharType="end"/>
      </w:r>
    </w:p>
    <w:p w14:paraId="2586A2AF" w14:textId="77777777" w:rsidR="00A5723A" w:rsidRDefault="00A5723A">
      <w:pPr>
        <w:pStyle w:val="TOC2"/>
        <w:rPr>
          <w:rFonts w:eastAsiaTheme="minorEastAsia" w:cstheme="minorBidi"/>
          <w:noProof/>
          <w:szCs w:val="22"/>
          <w:lang w:eastAsia="en-NZ"/>
        </w:rPr>
      </w:pPr>
      <w:r>
        <w:rPr>
          <w:noProof/>
          <w:lang w:eastAsia="en-AU"/>
        </w:rPr>
        <w:t>Community harms</w:t>
      </w:r>
      <w:r>
        <w:rPr>
          <w:noProof/>
        </w:rPr>
        <w:tab/>
      </w:r>
      <w:r>
        <w:rPr>
          <w:noProof/>
        </w:rPr>
        <w:fldChar w:fldCharType="begin"/>
      </w:r>
      <w:r>
        <w:rPr>
          <w:noProof/>
        </w:rPr>
        <w:instrText xml:space="preserve"> PAGEREF _Toc444941795 \h </w:instrText>
      </w:r>
      <w:r>
        <w:rPr>
          <w:noProof/>
        </w:rPr>
      </w:r>
      <w:r>
        <w:rPr>
          <w:noProof/>
        </w:rPr>
        <w:fldChar w:fldCharType="separate"/>
      </w:r>
      <w:r w:rsidR="00B8567E">
        <w:rPr>
          <w:noProof/>
        </w:rPr>
        <w:t>22</w:t>
      </w:r>
      <w:r>
        <w:rPr>
          <w:noProof/>
        </w:rPr>
        <w:fldChar w:fldCharType="end"/>
      </w:r>
    </w:p>
    <w:p w14:paraId="391BEB77" w14:textId="77777777" w:rsidR="00A5723A" w:rsidRDefault="00A5723A">
      <w:pPr>
        <w:pStyle w:val="TOC2"/>
        <w:rPr>
          <w:rFonts w:eastAsiaTheme="minorEastAsia" w:cstheme="minorBidi"/>
          <w:noProof/>
          <w:szCs w:val="22"/>
          <w:lang w:eastAsia="en-NZ"/>
        </w:rPr>
      </w:pPr>
      <w:r>
        <w:rPr>
          <w:noProof/>
          <w:lang w:eastAsia="en-AU"/>
        </w:rPr>
        <w:t>Cost of interventions</w:t>
      </w:r>
      <w:r>
        <w:rPr>
          <w:noProof/>
        </w:rPr>
        <w:tab/>
      </w:r>
      <w:r>
        <w:rPr>
          <w:noProof/>
        </w:rPr>
        <w:fldChar w:fldCharType="begin"/>
      </w:r>
      <w:r>
        <w:rPr>
          <w:noProof/>
        </w:rPr>
        <w:instrText xml:space="preserve"> PAGEREF _Toc444941796 \h </w:instrText>
      </w:r>
      <w:r>
        <w:rPr>
          <w:noProof/>
        </w:rPr>
      </w:r>
      <w:r>
        <w:rPr>
          <w:noProof/>
        </w:rPr>
        <w:fldChar w:fldCharType="separate"/>
      </w:r>
      <w:r w:rsidR="00B8567E">
        <w:rPr>
          <w:noProof/>
        </w:rPr>
        <w:t>29</w:t>
      </w:r>
      <w:r>
        <w:rPr>
          <w:noProof/>
        </w:rPr>
        <w:fldChar w:fldCharType="end"/>
      </w:r>
    </w:p>
    <w:p w14:paraId="7F25108A" w14:textId="77777777" w:rsidR="00A5723A" w:rsidRDefault="00A5723A">
      <w:pPr>
        <w:pStyle w:val="TOC2"/>
        <w:rPr>
          <w:rFonts w:eastAsiaTheme="minorEastAsia" w:cstheme="minorBidi"/>
          <w:noProof/>
          <w:szCs w:val="22"/>
          <w:lang w:eastAsia="en-NZ"/>
        </w:rPr>
      </w:pPr>
      <w:r>
        <w:rPr>
          <w:noProof/>
        </w:rPr>
        <w:t>Expert evaluation</w:t>
      </w:r>
      <w:r>
        <w:rPr>
          <w:noProof/>
        </w:rPr>
        <w:tab/>
      </w:r>
      <w:r>
        <w:rPr>
          <w:noProof/>
        </w:rPr>
        <w:fldChar w:fldCharType="begin"/>
      </w:r>
      <w:r>
        <w:rPr>
          <w:noProof/>
        </w:rPr>
        <w:instrText xml:space="preserve"> PAGEREF _Toc444941797 \h </w:instrText>
      </w:r>
      <w:r>
        <w:rPr>
          <w:noProof/>
        </w:rPr>
      </w:r>
      <w:r>
        <w:rPr>
          <w:noProof/>
        </w:rPr>
        <w:fldChar w:fldCharType="separate"/>
      </w:r>
      <w:r w:rsidR="00B8567E">
        <w:rPr>
          <w:noProof/>
        </w:rPr>
        <w:t>31</w:t>
      </w:r>
      <w:r>
        <w:rPr>
          <w:noProof/>
        </w:rPr>
        <w:fldChar w:fldCharType="end"/>
      </w:r>
    </w:p>
    <w:p w14:paraId="4BF875F1" w14:textId="77777777" w:rsidR="00A5723A" w:rsidRDefault="00A5723A">
      <w:pPr>
        <w:pStyle w:val="TOC1"/>
        <w:rPr>
          <w:rFonts w:eastAsiaTheme="minorEastAsia" w:cstheme="minorBidi"/>
          <w:b w:val="0"/>
          <w:noProof/>
          <w:szCs w:val="22"/>
          <w:lang w:eastAsia="en-NZ"/>
        </w:rPr>
      </w:pPr>
      <w:r>
        <w:rPr>
          <w:noProof/>
          <w:lang w:eastAsia="en-AU"/>
        </w:rPr>
        <w:t>Main results</w:t>
      </w:r>
      <w:r>
        <w:rPr>
          <w:noProof/>
        </w:rPr>
        <w:tab/>
      </w:r>
      <w:r>
        <w:rPr>
          <w:noProof/>
        </w:rPr>
        <w:fldChar w:fldCharType="begin"/>
      </w:r>
      <w:r>
        <w:rPr>
          <w:noProof/>
        </w:rPr>
        <w:instrText xml:space="preserve"> PAGEREF _Toc444941798 \h </w:instrText>
      </w:r>
      <w:r>
        <w:rPr>
          <w:noProof/>
        </w:rPr>
      </w:r>
      <w:r>
        <w:rPr>
          <w:noProof/>
        </w:rPr>
        <w:fldChar w:fldCharType="separate"/>
      </w:r>
      <w:r w:rsidR="00B8567E">
        <w:rPr>
          <w:noProof/>
        </w:rPr>
        <w:t>34</w:t>
      </w:r>
      <w:r>
        <w:rPr>
          <w:noProof/>
        </w:rPr>
        <w:fldChar w:fldCharType="end"/>
      </w:r>
    </w:p>
    <w:p w14:paraId="15D1897A" w14:textId="77777777" w:rsidR="00A5723A" w:rsidRDefault="00A5723A">
      <w:pPr>
        <w:pStyle w:val="TOC1"/>
        <w:rPr>
          <w:rFonts w:eastAsiaTheme="minorEastAsia" w:cstheme="minorBidi"/>
          <w:b w:val="0"/>
          <w:noProof/>
          <w:szCs w:val="22"/>
          <w:lang w:eastAsia="en-NZ"/>
        </w:rPr>
      </w:pPr>
      <w:r>
        <w:rPr>
          <w:noProof/>
        </w:rPr>
        <w:t>Future directions</w:t>
      </w:r>
      <w:r>
        <w:rPr>
          <w:noProof/>
        </w:rPr>
        <w:tab/>
      </w:r>
      <w:r>
        <w:rPr>
          <w:noProof/>
        </w:rPr>
        <w:fldChar w:fldCharType="begin"/>
      </w:r>
      <w:r>
        <w:rPr>
          <w:noProof/>
        </w:rPr>
        <w:instrText xml:space="preserve"> PAGEREF _Toc444941799 \h </w:instrText>
      </w:r>
      <w:r>
        <w:rPr>
          <w:noProof/>
        </w:rPr>
      </w:r>
      <w:r>
        <w:rPr>
          <w:noProof/>
        </w:rPr>
        <w:fldChar w:fldCharType="separate"/>
      </w:r>
      <w:r w:rsidR="00B8567E">
        <w:rPr>
          <w:noProof/>
        </w:rPr>
        <w:t>35</w:t>
      </w:r>
      <w:r>
        <w:rPr>
          <w:noProof/>
        </w:rPr>
        <w:fldChar w:fldCharType="end"/>
      </w:r>
    </w:p>
    <w:p w14:paraId="2293C884" w14:textId="77777777" w:rsidR="00A5723A" w:rsidRDefault="00A5723A">
      <w:pPr>
        <w:pStyle w:val="TOC1"/>
        <w:rPr>
          <w:rFonts w:eastAsiaTheme="minorEastAsia" w:cstheme="minorBidi"/>
          <w:b w:val="0"/>
          <w:noProof/>
          <w:szCs w:val="22"/>
          <w:lang w:eastAsia="en-NZ"/>
        </w:rPr>
      </w:pPr>
      <w:r>
        <w:rPr>
          <w:noProof/>
        </w:rPr>
        <w:t>Practical applications</w:t>
      </w:r>
      <w:r>
        <w:rPr>
          <w:noProof/>
        </w:rPr>
        <w:tab/>
      </w:r>
      <w:r>
        <w:rPr>
          <w:noProof/>
        </w:rPr>
        <w:fldChar w:fldCharType="begin"/>
      </w:r>
      <w:r>
        <w:rPr>
          <w:noProof/>
        </w:rPr>
        <w:instrText xml:space="preserve"> PAGEREF _Toc444941800 \h </w:instrText>
      </w:r>
      <w:r>
        <w:rPr>
          <w:noProof/>
        </w:rPr>
      </w:r>
      <w:r>
        <w:rPr>
          <w:noProof/>
        </w:rPr>
        <w:fldChar w:fldCharType="separate"/>
      </w:r>
      <w:r w:rsidR="00B8567E">
        <w:rPr>
          <w:noProof/>
        </w:rPr>
        <w:t>37</w:t>
      </w:r>
      <w:r>
        <w:rPr>
          <w:noProof/>
        </w:rPr>
        <w:fldChar w:fldCharType="end"/>
      </w:r>
    </w:p>
    <w:p w14:paraId="1A803677" w14:textId="77777777" w:rsidR="00A5723A" w:rsidRDefault="00A5723A">
      <w:pPr>
        <w:pStyle w:val="TOC1"/>
        <w:rPr>
          <w:rFonts w:eastAsiaTheme="minorEastAsia" w:cstheme="minorBidi"/>
          <w:b w:val="0"/>
          <w:noProof/>
          <w:szCs w:val="22"/>
          <w:lang w:eastAsia="en-NZ"/>
        </w:rPr>
      </w:pPr>
      <w:r>
        <w:rPr>
          <w:noProof/>
          <w:lang w:eastAsia="en-AU"/>
        </w:rPr>
        <w:t>Recommendations</w:t>
      </w:r>
      <w:r>
        <w:rPr>
          <w:noProof/>
        </w:rPr>
        <w:tab/>
      </w:r>
      <w:r>
        <w:rPr>
          <w:noProof/>
        </w:rPr>
        <w:fldChar w:fldCharType="begin"/>
      </w:r>
      <w:r>
        <w:rPr>
          <w:noProof/>
        </w:rPr>
        <w:instrText xml:space="preserve"> PAGEREF _Toc444941801 \h </w:instrText>
      </w:r>
      <w:r>
        <w:rPr>
          <w:noProof/>
        </w:rPr>
      </w:r>
      <w:r>
        <w:rPr>
          <w:noProof/>
        </w:rPr>
        <w:fldChar w:fldCharType="separate"/>
      </w:r>
      <w:r w:rsidR="00B8567E">
        <w:rPr>
          <w:noProof/>
        </w:rPr>
        <w:t>38</w:t>
      </w:r>
      <w:r>
        <w:rPr>
          <w:noProof/>
        </w:rPr>
        <w:fldChar w:fldCharType="end"/>
      </w:r>
    </w:p>
    <w:p w14:paraId="43B623C9" w14:textId="77777777" w:rsidR="00A5723A" w:rsidRDefault="00A5723A">
      <w:pPr>
        <w:pStyle w:val="TOC1"/>
        <w:rPr>
          <w:rFonts w:eastAsiaTheme="minorEastAsia" w:cstheme="minorBidi"/>
          <w:b w:val="0"/>
          <w:noProof/>
          <w:szCs w:val="22"/>
          <w:lang w:eastAsia="en-NZ"/>
        </w:rPr>
      </w:pPr>
      <w:r>
        <w:rPr>
          <w:noProof/>
        </w:rPr>
        <w:t>References</w:t>
      </w:r>
      <w:r>
        <w:rPr>
          <w:noProof/>
        </w:rPr>
        <w:tab/>
      </w:r>
      <w:r>
        <w:rPr>
          <w:noProof/>
        </w:rPr>
        <w:fldChar w:fldCharType="begin"/>
      </w:r>
      <w:r>
        <w:rPr>
          <w:noProof/>
        </w:rPr>
        <w:instrText xml:space="preserve"> PAGEREF _Toc444941802 \h </w:instrText>
      </w:r>
      <w:r>
        <w:rPr>
          <w:noProof/>
        </w:rPr>
      </w:r>
      <w:r>
        <w:rPr>
          <w:noProof/>
        </w:rPr>
        <w:fldChar w:fldCharType="separate"/>
      </w:r>
      <w:r w:rsidR="00B8567E">
        <w:rPr>
          <w:noProof/>
        </w:rPr>
        <w:t>39</w:t>
      </w:r>
      <w:r>
        <w:rPr>
          <w:noProof/>
        </w:rPr>
        <w:fldChar w:fldCharType="end"/>
      </w:r>
    </w:p>
    <w:p w14:paraId="3D87A478" w14:textId="77777777" w:rsidR="00A5723A" w:rsidRDefault="00A5723A">
      <w:pPr>
        <w:pStyle w:val="TOC1"/>
        <w:rPr>
          <w:noProof/>
        </w:rPr>
      </w:pPr>
      <w:r>
        <w:rPr>
          <w:noProof/>
        </w:rPr>
        <w:t>Attachments</w:t>
      </w:r>
    </w:p>
    <w:p w14:paraId="17BD7041" w14:textId="77777777" w:rsidR="00A5723A" w:rsidRDefault="00A5723A" w:rsidP="00A5723A">
      <w:pPr>
        <w:pStyle w:val="TOC2"/>
        <w:rPr>
          <w:rFonts w:eastAsiaTheme="minorEastAsia" w:cstheme="minorBidi"/>
          <w:b/>
          <w:noProof/>
          <w:szCs w:val="22"/>
          <w:lang w:eastAsia="en-NZ"/>
        </w:rPr>
      </w:pPr>
      <w:r>
        <w:rPr>
          <w:noProof/>
        </w:rPr>
        <w:t xml:space="preserve">Attachment A: </w:t>
      </w:r>
      <w:r>
        <w:rPr>
          <w:noProof/>
          <w:lang w:eastAsia="en-AU"/>
        </w:rPr>
        <w:t>Calculation of prevalence of drug use</w:t>
      </w:r>
      <w:r>
        <w:rPr>
          <w:noProof/>
        </w:rPr>
        <w:tab/>
      </w:r>
      <w:r>
        <w:rPr>
          <w:noProof/>
        </w:rPr>
        <w:fldChar w:fldCharType="begin"/>
      </w:r>
      <w:r>
        <w:rPr>
          <w:noProof/>
        </w:rPr>
        <w:instrText xml:space="preserve"> PAGEREF _Toc444941803 \h </w:instrText>
      </w:r>
      <w:r>
        <w:rPr>
          <w:noProof/>
        </w:rPr>
      </w:r>
      <w:r>
        <w:rPr>
          <w:noProof/>
        </w:rPr>
        <w:fldChar w:fldCharType="separate"/>
      </w:r>
      <w:r w:rsidR="00B8567E">
        <w:rPr>
          <w:noProof/>
        </w:rPr>
        <w:t>42</w:t>
      </w:r>
      <w:r>
        <w:rPr>
          <w:noProof/>
        </w:rPr>
        <w:fldChar w:fldCharType="end"/>
      </w:r>
    </w:p>
    <w:p w14:paraId="59882D3A" w14:textId="77777777" w:rsidR="00A5723A" w:rsidRDefault="00A5723A" w:rsidP="00A5723A">
      <w:pPr>
        <w:pStyle w:val="TOC2"/>
        <w:rPr>
          <w:rFonts w:eastAsiaTheme="minorEastAsia" w:cstheme="minorBidi"/>
          <w:noProof/>
          <w:szCs w:val="22"/>
          <w:lang w:eastAsia="en-NZ"/>
        </w:rPr>
      </w:pPr>
      <w:r>
        <w:rPr>
          <w:noProof/>
        </w:rPr>
        <w:t xml:space="preserve">Attachment B: </w:t>
      </w:r>
      <w:r>
        <w:rPr>
          <w:noProof/>
          <w:lang w:eastAsia="en-AU"/>
        </w:rPr>
        <w:t>Calculation of drug harms</w:t>
      </w:r>
      <w:r>
        <w:rPr>
          <w:noProof/>
        </w:rPr>
        <w:tab/>
      </w:r>
      <w:r>
        <w:rPr>
          <w:noProof/>
        </w:rPr>
        <w:fldChar w:fldCharType="begin"/>
      </w:r>
      <w:r>
        <w:rPr>
          <w:noProof/>
        </w:rPr>
        <w:instrText xml:space="preserve"> PAGEREF _Toc444941808 \h </w:instrText>
      </w:r>
      <w:r>
        <w:rPr>
          <w:noProof/>
        </w:rPr>
      </w:r>
      <w:r>
        <w:rPr>
          <w:noProof/>
        </w:rPr>
        <w:fldChar w:fldCharType="separate"/>
      </w:r>
      <w:r w:rsidR="00B8567E">
        <w:rPr>
          <w:noProof/>
        </w:rPr>
        <w:t>45</w:t>
      </w:r>
      <w:r>
        <w:rPr>
          <w:noProof/>
        </w:rPr>
        <w:fldChar w:fldCharType="end"/>
      </w:r>
    </w:p>
    <w:p w14:paraId="583BEC13" w14:textId="77777777" w:rsidR="00C86248" w:rsidRDefault="00C86248" w:rsidP="00A5723A">
      <w:r>
        <w:fldChar w:fldCharType="end"/>
      </w:r>
    </w:p>
    <w:p w14:paraId="0DDC8539" w14:textId="77777777" w:rsidR="00A5723A" w:rsidRDefault="00A5723A" w:rsidP="00A5723A">
      <w:pPr>
        <w:pStyle w:val="TOC1"/>
      </w:pPr>
      <w:r>
        <w:t>List of tables</w:t>
      </w:r>
    </w:p>
    <w:p w14:paraId="5FEF99E5" w14:textId="77777777" w:rsidR="00A5723A" w:rsidRDefault="00A5723A">
      <w:pPr>
        <w:pStyle w:val="TOC3"/>
        <w:rPr>
          <w:rFonts w:eastAsiaTheme="minorEastAsia" w:cstheme="minorBidi"/>
          <w:noProof/>
          <w:szCs w:val="22"/>
          <w:lang w:eastAsia="en-NZ"/>
        </w:rPr>
      </w:pPr>
      <w:r>
        <w:fldChar w:fldCharType="begin"/>
      </w:r>
      <w:r>
        <w:instrText xml:space="preserve"> TOC \t "Table,3" </w:instrText>
      </w:r>
      <w:r>
        <w:fldChar w:fldCharType="separate"/>
      </w:r>
      <w:r>
        <w:rPr>
          <w:noProof/>
        </w:rPr>
        <w:t>Table 1.</w:t>
      </w:r>
      <w:r>
        <w:rPr>
          <w:noProof/>
        </w:rPr>
        <w:tab/>
        <w:t>Illicit drug groups and corresponding drug types</w:t>
      </w:r>
      <w:r>
        <w:rPr>
          <w:noProof/>
        </w:rPr>
        <w:tab/>
      </w:r>
      <w:r>
        <w:rPr>
          <w:noProof/>
        </w:rPr>
        <w:fldChar w:fldCharType="begin"/>
      </w:r>
      <w:r>
        <w:rPr>
          <w:noProof/>
        </w:rPr>
        <w:instrText xml:space="preserve"> PAGEREF _Toc444941842 \h </w:instrText>
      </w:r>
      <w:r>
        <w:rPr>
          <w:noProof/>
        </w:rPr>
      </w:r>
      <w:r>
        <w:rPr>
          <w:noProof/>
        </w:rPr>
        <w:fldChar w:fldCharType="separate"/>
      </w:r>
      <w:r w:rsidR="00B8567E">
        <w:rPr>
          <w:noProof/>
        </w:rPr>
        <w:t>16</w:t>
      </w:r>
      <w:r>
        <w:rPr>
          <w:noProof/>
        </w:rPr>
        <w:fldChar w:fldCharType="end"/>
      </w:r>
    </w:p>
    <w:p w14:paraId="05EFDD42" w14:textId="77777777" w:rsidR="00A5723A" w:rsidRDefault="00A5723A">
      <w:pPr>
        <w:pStyle w:val="TOC3"/>
        <w:rPr>
          <w:rFonts w:eastAsiaTheme="minorEastAsia" w:cstheme="minorBidi"/>
          <w:noProof/>
          <w:szCs w:val="22"/>
          <w:lang w:eastAsia="en-NZ"/>
        </w:rPr>
      </w:pPr>
      <w:r>
        <w:rPr>
          <w:noProof/>
        </w:rPr>
        <w:t>Table 2.</w:t>
      </w:r>
      <w:r>
        <w:rPr>
          <w:noProof/>
        </w:rPr>
        <w:tab/>
      </w:r>
      <w:r>
        <w:rPr>
          <w:noProof/>
          <w:lang w:eastAsia="en-AU"/>
        </w:rPr>
        <w:t>Estimated population by drug group, adjusted for polydrug use</w:t>
      </w:r>
      <w:r>
        <w:rPr>
          <w:noProof/>
        </w:rPr>
        <w:tab/>
      </w:r>
      <w:r>
        <w:rPr>
          <w:noProof/>
        </w:rPr>
        <w:fldChar w:fldCharType="begin"/>
      </w:r>
      <w:r>
        <w:rPr>
          <w:noProof/>
        </w:rPr>
        <w:instrText xml:space="preserve"> PAGEREF _Toc444941843 \h </w:instrText>
      </w:r>
      <w:r>
        <w:rPr>
          <w:noProof/>
        </w:rPr>
      </w:r>
      <w:r>
        <w:rPr>
          <w:noProof/>
        </w:rPr>
        <w:fldChar w:fldCharType="separate"/>
      </w:r>
      <w:r w:rsidR="00B8567E">
        <w:rPr>
          <w:noProof/>
        </w:rPr>
        <w:t>17</w:t>
      </w:r>
      <w:r>
        <w:rPr>
          <w:noProof/>
        </w:rPr>
        <w:fldChar w:fldCharType="end"/>
      </w:r>
    </w:p>
    <w:p w14:paraId="5E07D224" w14:textId="77777777" w:rsidR="00A5723A" w:rsidRDefault="00A5723A">
      <w:pPr>
        <w:pStyle w:val="TOC3"/>
        <w:rPr>
          <w:rFonts w:eastAsiaTheme="minorEastAsia" w:cstheme="minorBidi"/>
          <w:noProof/>
          <w:szCs w:val="22"/>
          <w:lang w:eastAsia="en-NZ"/>
        </w:rPr>
      </w:pPr>
      <w:r>
        <w:rPr>
          <w:noProof/>
        </w:rPr>
        <w:t>Table 3.</w:t>
      </w:r>
      <w:r>
        <w:rPr>
          <w:noProof/>
        </w:rPr>
        <w:tab/>
        <w:t>Drug group, user type and total amount consumed</w:t>
      </w:r>
      <w:r>
        <w:rPr>
          <w:noProof/>
        </w:rPr>
        <w:tab/>
      </w:r>
      <w:r>
        <w:rPr>
          <w:noProof/>
        </w:rPr>
        <w:fldChar w:fldCharType="begin"/>
      </w:r>
      <w:r>
        <w:rPr>
          <w:noProof/>
        </w:rPr>
        <w:instrText xml:space="preserve"> PAGEREF _Toc444941844 \h </w:instrText>
      </w:r>
      <w:r>
        <w:rPr>
          <w:noProof/>
        </w:rPr>
      </w:r>
      <w:r>
        <w:rPr>
          <w:noProof/>
        </w:rPr>
        <w:fldChar w:fldCharType="separate"/>
      </w:r>
      <w:r w:rsidR="00B8567E">
        <w:rPr>
          <w:noProof/>
        </w:rPr>
        <w:t>18</w:t>
      </w:r>
      <w:r>
        <w:rPr>
          <w:noProof/>
        </w:rPr>
        <w:fldChar w:fldCharType="end"/>
      </w:r>
    </w:p>
    <w:p w14:paraId="6D158C83" w14:textId="77777777" w:rsidR="00A5723A" w:rsidRDefault="00A5723A">
      <w:pPr>
        <w:pStyle w:val="TOC3"/>
        <w:rPr>
          <w:rFonts w:eastAsiaTheme="minorEastAsia" w:cstheme="minorBidi"/>
          <w:noProof/>
          <w:szCs w:val="22"/>
          <w:lang w:eastAsia="en-NZ"/>
        </w:rPr>
      </w:pPr>
      <w:r>
        <w:rPr>
          <w:noProof/>
        </w:rPr>
        <w:t>Table 4.</w:t>
      </w:r>
      <w:r>
        <w:rPr>
          <w:noProof/>
        </w:rPr>
        <w:tab/>
        <w:t>Drug group and amount consumed per user</w:t>
      </w:r>
      <w:r>
        <w:rPr>
          <w:noProof/>
        </w:rPr>
        <w:tab/>
      </w:r>
      <w:r>
        <w:rPr>
          <w:noProof/>
        </w:rPr>
        <w:fldChar w:fldCharType="begin"/>
      </w:r>
      <w:r>
        <w:rPr>
          <w:noProof/>
        </w:rPr>
        <w:instrText xml:space="preserve"> PAGEREF _Toc444941845 \h </w:instrText>
      </w:r>
      <w:r>
        <w:rPr>
          <w:noProof/>
        </w:rPr>
      </w:r>
      <w:r>
        <w:rPr>
          <w:noProof/>
        </w:rPr>
        <w:fldChar w:fldCharType="separate"/>
      </w:r>
      <w:r w:rsidR="00B8567E">
        <w:rPr>
          <w:noProof/>
        </w:rPr>
        <w:t>19</w:t>
      </w:r>
      <w:r>
        <w:rPr>
          <w:noProof/>
        </w:rPr>
        <w:fldChar w:fldCharType="end"/>
      </w:r>
    </w:p>
    <w:p w14:paraId="6EBC6AD5" w14:textId="77777777" w:rsidR="00A5723A" w:rsidRDefault="00A5723A">
      <w:pPr>
        <w:pStyle w:val="TOC3"/>
        <w:rPr>
          <w:rFonts w:eastAsiaTheme="minorEastAsia" w:cstheme="minorBidi"/>
          <w:noProof/>
          <w:szCs w:val="22"/>
          <w:lang w:eastAsia="en-NZ"/>
        </w:rPr>
      </w:pPr>
      <w:r>
        <w:rPr>
          <w:noProof/>
          <w:lang w:eastAsia="en-AU"/>
        </w:rPr>
        <w:t>Table 5.</w:t>
      </w:r>
      <w:r>
        <w:rPr>
          <w:noProof/>
          <w:lang w:eastAsia="en-AU"/>
        </w:rPr>
        <w:tab/>
        <w:t>Estimated proportion of disability costs by scope and location</w:t>
      </w:r>
      <w:r>
        <w:rPr>
          <w:noProof/>
        </w:rPr>
        <w:tab/>
      </w:r>
      <w:r>
        <w:rPr>
          <w:noProof/>
        </w:rPr>
        <w:fldChar w:fldCharType="begin"/>
      </w:r>
      <w:r>
        <w:rPr>
          <w:noProof/>
        </w:rPr>
        <w:instrText xml:space="preserve"> PAGEREF _Toc444941846 \h </w:instrText>
      </w:r>
      <w:r>
        <w:rPr>
          <w:noProof/>
        </w:rPr>
      </w:r>
      <w:r>
        <w:rPr>
          <w:noProof/>
        </w:rPr>
        <w:fldChar w:fldCharType="separate"/>
      </w:r>
      <w:r w:rsidR="00B8567E">
        <w:rPr>
          <w:noProof/>
        </w:rPr>
        <w:t>21</w:t>
      </w:r>
      <w:r>
        <w:rPr>
          <w:noProof/>
        </w:rPr>
        <w:fldChar w:fldCharType="end"/>
      </w:r>
    </w:p>
    <w:p w14:paraId="4D5B6749" w14:textId="77777777" w:rsidR="00A5723A" w:rsidRDefault="00A5723A">
      <w:pPr>
        <w:pStyle w:val="TOC3"/>
        <w:rPr>
          <w:rFonts w:eastAsiaTheme="minorEastAsia" w:cstheme="minorBidi"/>
          <w:noProof/>
          <w:szCs w:val="22"/>
          <w:lang w:eastAsia="en-NZ"/>
        </w:rPr>
      </w:pPr>
      <w:r>
        <w:rPr>
          <w:noProof/>
          <w:lang w:eastAsia="en-AU"/>
        </w:rPr>
        <w:t>Table 6.</w:t>
      </w:r>
      <w:r>
        <w:rPr>
          <w:noProof/>
          <w:lang w:eastAsia="en-AU"/>
        </w:rPr>
        <w:tab/>
        <w:t>Personal harms by drug group</w:t>
      </w:r>
      <w:r>
        <w:rPr>
          <w:noProof/>
        </w:rPr>
        <w:tab/>
      </w:r>
      <w:r>
        <w:rPr>
          <w:noProof/>
        </w:rPr>
        <w:fldChar w:fldCharType="begin"/>
      </w:r>
      <w:r>
        <w:rPr>
          <w:noProof/>
        </w:rPr>
        <w:instrText xml:space="preserve"> PAGEREF _Toc444941847 \h </w:instrText>
      </w:r>
      <w:r>
        <w:rPr>
          <w:noProof/>
        </w:rPr>
      </w:r>
      <w:r>
        <w:rPr>
          <w:noProof/>
        </w:rPr>
        <w:fldChar w:fldCharType="separate"/>
      </w:r>
      <w:r w:rsidR="00B8567E">
        <w:rPr>
          <w:noProof/>
        </w:rPr>
        <w:t>21</w:t>
      </w:r>
      <w:r>
        <w:rPr>
          <w:noProof/>
        </w:rPr>
        <w:fldChar w:fldCharType="end"/>
      </w:r>
    </w:p>
    <w:p w14:paraId="469649BD" w14:textId="77777777" w:rsidR="00A5723A" w:rsidRDefault="00A5723A">
      <w:pPr>
        <w:pStyle w:val="TOC3"/>
        <w:rPr>
          <w:rFonts w:eastAsiaTheme="minorEastAsia" w:cstheme="minorBidi"/>
          <w:noProof/>
          <w:szCs w:val="22"/>
          <w:lang w:eastAsia="en-NZ"/>
        </w:rPr>
      </w:pPr>
      <w:r>
        <w:rPr>
          <w:noProof/>
          <w:lang w:eastAsia="en-AU"/>
        </w:rPr>
        <w:t>Table 7.</w:t>
      </w:r>
      <w:r>
        <w:rPr>
          <w:noProof/>
          <w:lang w:eastAsia="en-AU"/>
        </w:rPr>
        <w:tab/>
        <w:t>Estimated harm to family and friends by drug group</w:t>
      </w:r>
      <w:r>
        <w:rPr>
          <w:noProof/>
        </w:rPr>
        <w:tab/>
      </w:r>
      <w:r>
        <w:rPr>
          <w:noProof/>
        </w:rPr>
        <w:fldChar w:fldCharType="begin"/>
      </w:r>
      <w:r>
        <w:rPr>
          <w:noProof/>
        </w:rPr>
        <w:instrText xml:space="preserve"> PAGEREF _Toc444941848 \h </w:instrText>
      </w:r>
      <w:r>
        <w:rPr>
          <w:noProof/>
        </w:rPr>
      </w:r>
      <w:r>
        <w:rPr>
          <w:noProof/>
        </w:rPr>
        <w:fldChar w:fldCharType="separate"/>
      </w:r>
      <w:r w:rsidR="00B8567E">
        <w:rPr>
          <w:noProof/>
        </w:rPr>
        <w:t>23</w:t>
      </w:r>
      <w:r>
        <w:rPr>
          <w:noProof/>
        </w:rPr>
        <w:fldChar w:fldCharType="end"/>
      </w:r>
    </w:p>
    <w:p w14:paraId="0E97B8EC" w14:textId="77777777" w:rsidR="00A5723A" w:rsidRDefault="00A5723A">
      <w:pPr>
        <w:pStyle w:val="TOC3"/>
        <w:rPr>
          <w:rFonts w:eastAsiaTheme="minorEastAsia" w:cstheme="minorBidi"/>
          <w:noProof/>
          <w:szCs w:val="22"/>
          <w:lang w:eastAsia="en-NZ"/>
        </w:rPr>
      </w:pPr>
      <w:r>
        <w:rPr>
          <w:noProof/>
          <w:lang w:eastAsia="en-AU"/>
        </w:rPr>
        <w:t>Table 8.</w:t>
      </w:r>
      <w:r>
        <w:rPr>
          <w:noProof/>
          <w:lang w:eastAsia="en-AU"/>
        </w:rPr>
        <w:tab/>
        <w:t>Estimated cost to the community of drug-related acquisitive crime</w:t>
      </w:r>
      <w:r>
        <w:rPr>
          <w:noProof/>
        </w:rPr>
        <w:tab/>
      </w:r>
      <w:r>
        <w:rPr>
          <w:noProof/>
        </w:rPr>
        <w:fldChar w:fldCharType="begin"/>
      </w:r>
      <w:r>
        <w:rPr>
          <w:noProof/>
        </w:rPr>
        <w:instrText xml:space="preserve"> PAGEREF _Toc444941849 \h </w:instrText>
      </w:r>
      <w:r>
        <w:rPr>
          <w:noProof/>
        </w:rPr>
      </w:r>
      <w:r>
        <w:rPr>
          <w:noProof/>
        </w:rPr>
        <w:fldChar w:fldCharType="separate"/>
      </w:r>
      <w:r w:rsidR="00B8567E">
        <w:rPr>
          <w:noProof/>
        </w:rPr>
        <w:t>25</w:t>
      </w:r>
      <w:r>
        <w:rPr>
          <w:noProof/>
        </w:rPr>
        <w:fldChar w:fldCharType="end"/>
      </w:r>
    </w:p>
    <w:p w14:paraId="6D9DE05E" w14:textId="77777777" w:rsidR="00A5723A" w:rsidRDefault="00A5723A">
      <w:pPr>
        <w:pStyle w:val="TOC3"/>
        <w:rPr>
          <w:rFonts w:eastAsiaTheme="minorEastAsia" w:cstheme="minorBidi"/>
          <w:noProof/>
          <w:szCs w:val="22"/>
          <w:lang w:eastAsia="en-NZ"/>
        </w:rPr>
      </w:pPr>
      <w:r>
        <w:rPr>
          <w:noProof/>
          <w:lang w:eastAsia="en-AU"/>
        </w:rPr>
        <w:t>Table 9.</w:t>
      </w:r>
      <w:r>
        <w:rPr>
          <w:noProof/>
          <w:lang w:eastAsia="en-AU"/>
        </w:rPr>
        <w:tab/>
        <w:t>Reinvestment in organised crime by drug group and user type</w:t>
      </w:r>
      <w:r>
        <w:rPr>
          <w:noProof/>
        </w:rPr>
        <w:tab/>
      </w:r>
      <w:r>
        <w:rPr>
          <w:noProof/>
        </w:rPr>
        <w:fldChar w:fldCharType="begin"/>
      </w:r>
      <w:r>
        <w:rPr>
          <w:noProof/>
        </w:rPr>
        <w:instrText xml:space="preserve"> PAGEREF _Toc444941850 \h </w:instrText>
      </w:r>
      <w:r>
        <w:rPr>
          <w:noProof/>
        </w:rPr>
      </w:r>
      <w:r>
        <w:rPr>
          <w:noProof/>
        </w:rPr>
        <w:fldChar w:fldCharType="separate"/>
      </w:r>
      <w:r w:rsidR="00B8567E">
        <w:rPr>
          <w:noProof/>
        </w:rPr>
        <w:t>26</w:t>
      </w:r>
      <w:r>
        <w:rPr>
          <w:noProof/>
        </w:rPr>
        <w:fldChar w:fldCharType="end"/>
      </w:r>
    </w:p>
    <w:p w14:paraId="5CB55D8C" w14:textId="77777777" w:rsidR="00A5723A" w:rsidRDefault="00A5723A">
      <w:pPr>
        <w:pStyle w:val="TOC3"/>
        <w:rPr>
          <w:rFonts w:eastAsiaTheme="minorEastAsia" w:cstheme="minorBidi"/>
          <w:noProof/>
          <w:szCs w:val="22"/>
          <w:lang w:eastAsia="en-NZ"/>
        </w:rPr>
      </w:pPr>
      <w:r>
        <w:rPr>
          <w:noProof/>
          <w:lang w:eastAsia="en-AU"/>
        </w:rPr>
        <w:t>Table 10.</w:t>
      </w:r>
      <w:r>
        <w:rPr>
          <w:noProof/>
          <w:lang w:eastAsia="en-AU"/>
        </w:rPr>
        <w:tab/>
        <w:t>Reinvestment in organised crime per user</w:t>
      </w:r>
      <w:r>
        <w:rPr>
          <w:noProof/>
        </w:rPr>
        <w:tab/>
      </w:r>
      <w:r>
        <w:rPr>
          <w:noProof/>
        </w:rPr>
        <w:fldChar w:fldCharType="begin"/>
      </w:r>
      <w:r>
        <w:rPr>
          <w:noProof/>
        </w:rPr>
        <w:instrText xml:space="preserve"> PAGEREF _Toc444941851 \h </w:instrText>
      </w:r>
      <w:r>
        <w:rPr>
          <w:noProof/>
        </w:rPr>
      </w:r>
      <w:r>
        <w:rPr>
          <w:noProof/>
        </w:rPr>
        <w:fldChar w:fldCharType="separate"/>
      </w:r>
      <w:r w:rsidR="00B8567E">
        <w:rPr>
          <w:noProof/>
        </w:rPr>
        <w:t>27</w:t>
      </w:r>
      <w:r>
        <w:rPr>
          <w:noProof/>
        </w:rPr>
        <w:fldChar w:fldCharType="end"/>
      </w:r>
    </w:p>
    <w:p w14:paraId="34D2B72D" w14:textId="77777777" w:rsidR="00A5723A" w:rsidRDefault="00A5723A">
      <w:pPr>
        <w:pStyle w:val="TOC3"/>
        <w:rPr>
          <w:rFonts w:eastAsiaTheme="minorEastAsia" w:cstheme="minorBidi"/>
          <w:noProof/>
          <w:szCs w:val="22"/>
          <w:lang w:eastAsia="en-NZ"/>
        </w:rPr>
      </w:pPr>
      <w:r>
        <w:rPr>
          <w:noProof/>
          <w:lang w:eastAsia="en-AU"/>
        </w:rPr>
        <w:t>Table 11.</w:t>
      </w:r>
      <w:r>
        <w:rPr>
          <w:noProof/>
          <w:lang w:eastAsia="en-AU"/>
        </w:rPr>
        <w:tab/>
        <w:t>Tax avoided by organised crime by tax type and source of income</w:t>
      </w:r>
      <w:r>
        <w:rPr>
          <w:noProof/>
        </w:rPr>
        <w:tab/>
      </w:r>
      <w:r>
        <w:rPr>
          <w:noProof/>
        </w:rPr>
        <w:fldChar w:fldCharType="begin"/>
      </w:r>
      <w:r>
        <w:rPr>
          <w:noProof/>
        </w:rPr>
        <w:instrText xml:space="preserve"> PAGEREF _Toc444941852 \h </w:instrText>
      </w:r>
      <w:r>
        <w:rPr>
          <w:noProof/>
        </w:rPr>
      </w:r>
      <w:r>
        <w:rPr>
          <w:noProof/>
        </w:rPr>
        <w:fldChar w:fldCharType="separate"/>
      </w:r>
      <w:r w:rsidR="00B8567E">
        <w:rPr>
          <w:noProof/>
        </w:rPr>
        <w:t>28</w:t>
      </w:r>
      <w:r>
        <w:rPr>
          <w:noProof/>
        </w:rPr>
        <w:fldChar w:fldCharType="end"/>
      </w:r>
    </w:p>
    <w:p w14:paraId="12CA01BB" w14:textId="77777777" w:rsidR="00A5723A" w:rsidRDefault="00A5723A">
      <w:pPr>
        <w:pStyle w:val="TOC3"/>
        <w:rPr>
          <w:rFonts w:eastAsiaTheme="minorEastAsia" w:cstheme="minorBidi"/>
          <w:noProof/>
          <w:szCs w:val="22"/>
          <w:lang w:eastAsia="en-NZ"/>
        </w:rPr>
      </w:pPr>
      <w:r>
        <w:rPr>
          <w:noProof/>
          <w:lang w:eastAsia="en-AU"/>
        </w:rPr>
        <w:t>Table 12.</w:t>
      </w:r>
      <w:r>
        <w:rPr>
          <w:noProof/>
          <w:lang w:eastAsia="en-AU"/>
        </w:rPr>
        <w:tab/>
        <w:t>Summary of specific community harms by drug group ($ million)</w:t>
      </w:r>
      <w:r>
        <w:rPr>
          <w:noProof/>
        </w:rPr>
        <w:tab/>
      </w:r>
      <w:r>
        <w:rPr>
          <w:noProof/>
        </w:rPr>
        <w:fldChar w:fldCharType="begin"/>
      </w:r>
      <w:r>
        <w:rPr>
          <w:noProof/>
        </w:rPr>
        <w:instrText xml:space="preserve"> PAGEREF _Toc444941853 \h </w:instrText>
      </w:r>
      <w:r>
        <w:rPr>
          <w:noProof/>
        </w:rPr>
      </w:r>
      <w:r>
        <w:rPr>
          <w:noProof/>
        </w:rPr>
        <w:fldChar w:fldCharType="separate"/>
      </w:r>
      <w:r w:rsidR="00B8567E">
        <w:rPr>
          <w:noProof/>
        </w:rPr>
        <w:t>29</w:t>
      </w:r>
      <w:r>
        <w:rPr>
          <w:noProof/>
        </w:rPr>
        <w:fldChar w:fldCharType="end"/>
      </w:r>
    </w:p>
    <w:p w14:paraId="6AB1283D" w14:textId="77777777" w:rsidR="00A5723A" w:rsidRDefault="00A5723A">
      <w:pPr>
        <w:pStyle w:val="TOC3"/>
        <w:rPr>
          <w:rFonts w:eastAsiaTheme="minorEastAsia" w:cstheme="minorBidi"/>
          <w:noProof/>
          <w:szCs w:val="22"/>
          <w:lang w:eastAsia="en-NZ"/>
        </w:rPr>
      </w:pPr>
      <w:r>
        <w:rPr>
          <w:noProof/>
          <w:lang w:eastAsia="en-AU"/>
        </w:rPr>
        <w:t>Table 13.</w:t>
      </w:r>
      <w:r>
        <w:rPr>
          <w:noProof/>
          <w:lang w:eastAsia="en-AU"/>
        </w:rPr>
        <w:tab/>
        <w:t>Cost of intervention by drug group and intervention type ($ million)</w:t>
      </w:r>
      <w:r>
        <w:rPr>
          <w:noProof/>
        </w:rPr>
        <w:tab/>
      </w:r>
      <w:r>
        <w:rPr>
          <w:noProof/>
        </w:rPr>
        <w:fldChar w:fldCharType="begin"/>
      </w:r>
      <w:r>
        <w:rPr>
          <w:noProof/>
        </w:rPr>
        <w:instrText xml:space="preserve"> PAGEREF _Toc444941854 \h </w:instrText>
      </w:r>
      <w:r>
        <w:rPr>
          <w:noProof/>
        </w:rPr>
      </w:r>
      <w:r>
        <w:rPr>
          <w:noProof/>
        </w:rPr>
        <w:fldChar w:fldCharType="separate"/>
      </w:r>
      <w:r w:rsidR="00B8567E">
        <w:rPr>
          <w:noProof/>
        </w:rPr>
        <w:t>30</w:t>
      </w:r>
      <w:r>
        <w:rPr>
          <w:noProof/>
        </w:rPr>
        <w:fldChar w:fldCharType="end"/>
      </w:r>
    </w:p>
    <w:p w14:paraId="2961AD0A" w14:textId="77777777" w:rsidR="00A5723A" w:rsidRDefault="00A5723A">
      <w:pPr>
        <w:pStyle w:val="TOC3"/>
        <w:rPr>
          <w:rFonts w:eastAsiaTheme="minorEastAsia" w:cstheme="minorBidi"/>
          <w:noProof/>
          <w:szCs w:val="22"/>
          <w:lang w:eastAsia="en-NZ"/>
        </w:rPr>
      </w:pPr>
      <w:r>
        <w:rPr>
          <w:noProof/>
        </w:rPr>
        <w:t>Table 14.</w:t>
      </w:r>
      <w:r>
        <w:rPr>
          <w:noProof/>
        </w:rPr>
        <w:tab/>
        <w:t>Estimated social cost and total harm per annum by drug user and specific drug type</w:t>
      </w:r>
      <w:r>
        <w:rPr>
          <w:noProof/>
        </w:rPr>
        <w:tab/>
      </w:r>
      <w:r>
        <w:rPr>
          <w:noProof/>
        </w:rPr>
        <w:fldChar w:fldCharType="begin"/>
      </w:r>
      <w:r>
        <w:rPr>
          <w:noProof/>
        </w:rPr>
        <w:instrText xml:space="preserve"> PAGEREF _Toc444941855 \h </w:instrText>
      </w:r>
      <w:r>
        <w:rPr>
          <w:noProof/>
        </w:rPr>
      </w:r>
      <w:r>
        <w:rPr>
          <w:noProof/>
        </w:rPr>
        <w:fldChar w:fldCharType="separate"/>
      </w:r>
      <w:r w:rsidR="00B8567E">
        <w:rPr>
          <w:noProof/>
        </w:rPr>
        <w:t>33</w:t>
      </w:r>
      <w:r>
        <w:rPr>
          <w:noProof/>
        </w:rPr>
        <w:fldChar w:fldCharType="end"/>
      </w:r>
    </w:p>
    <w:p w14:paraId="23381C4C" w14:textId="77777777" w:rsidR="00A5723A" w:rsidRDefault="00A5723A">
      <w:pPr>
        <w:pStyle w:val="TOC3"/>
        <w:rPr>
          <w:rFonts w:eastAsiaTheme="minorEastAsia" w:cstheme="minorBidi"/>
          <w:noProof/>
          <w:szCs w:val="22"/>
          <w:lang w:eastAsia="en-NZ"/>
        </w:rPr>
      </w:pPr>
      <w:r>
        <w:rPr>
          <w:noProof/>
          <w:lang w:eastAsia="en-AU"/>
        </w:rPr>
        <w:t>Table 15.</w:t>
      </w:r>
      <w:r>
        <w:rPr>
          <w:noProof/>
          <w:lang w:eastAsia="en-AU"/>
        </w:rPr>
        <w:tab/>
        <w:t>Summary of social costs, by drug group ($ million)</w:t>
      </w:r>
      <w:r>
        <w:rPr>
          <w:noProof/>
        </w:rPr>
        <w:tab/>
      </w:r>
      <w:r>
        <w:rPr>
          <w:noProof/>
        </w:rPr>
        <w:fldChar w:fldCharType="begin"/>
      </w:r>
      <w:r>
        <w:rPr>
          <w:noProof/>
        </w:rPr>
        <w:instrText xml:space="preserve"> PAGEREF _Toc444941856 \h </w:instrText>
      </w:r>
      <w:r>
        <w:rPr>
          <w:noProof/>
        </w:rPr>
      </w:r>
      <w:r>
        <w:rPr>
          <w:noProof/>
        </w:rPr>
        <w:fldChar w:fldCharType="separate"/>
      </w:r>
      <w:r w:rsidR="00B8567E">
        <w:rPr>
          <w:noProof/>
        </w:rPr>
        <w:t>34</w:t>
      </w:r>
      <w:r>
        <w:rPr>
          <w:noProof/>
        </w:rPr>
        <w:fldChar w:fldCharType="end"/>
      </w:r>
    </w:p>
    <w:p w14:paraId="3AA243E9" w14:textId="77777777" w:rsidR="00A5723A" w:rsidRDefault="00A5723A">
      <w:pPr>
        <w:pStyle w:val="TOC3"/>
        <w:rPr>
          <w:rFonts w:eastAsiaTheme="minorEastAsia" w:cstheme="minorBidi"/>
          <w:noProof/>
          <w:szCs w:val="22"/>
          <w:lang w:eastAsia="en-NZ"/>
        </w:rPr>
      </w:pPr>
      <w:r>
        <w:rPr>
          <w:noProof/>
          <w:lang w:eastAsia="en-AU"/>
        </w:rPr>
        <w:t>Table 16.</w:t>
      </w:r>
      <w:r>
        <w:rPr>
          <w:noProof/>
          <w:lang w:eastAsia="en-AU"/>
        </w:rPr>
        <w:tab/>
        <w:t>Summary of social costs per kilogram of illicit drug by drug group</w:t>
      </w:r>
      <w:r>
        <w:rPr>
          <w:noProof/>
        </w:rPr>
        <w:tab/>
      </w:r>
      <w:r>
        <w:rPr>
          <w:noProof/>
        </w:rPr>
        <w:fldChar w:fldCharType="begin"/>
      </w:r>
      <w:r>
        <w:rPr>
          <w:noProof/>
        </w:rPr>
        <w:instrText xml:space="preserve"> PAGEREF _Toc444941857 \h </w:instrText>
      </w:r>
      <w:r>
        <w:rPr>
          <w:noProof/>
        </w:rPr>
      </w:r>
      <w:r>
        <w:rPr>
          <w:noProof/>
        </w:rPr>
        <w:fldChar w:fldCharType="separate"/>
      </w:r>
      <w:r w:rsidR="00B8567E">
        <w:rPr>
          <w:noProof/>
        </w:rPr>
        <w:t>34</w:t>
      </w:r>
      <w:r>
        <w:rPr>
          <w:noProof/>
        </w:rPr>
        <w:fldChar w:fldCharType="end"/>
      </w:r>
    </w:p>
    <w:p w14:paraId="7E14133D" w14:textId="77777777" w:rsidR="00A5723A" w:rsidRDefault="00A5723A">
      <w:pPr>
        <w:pStyle w:val="TOC3"/>
        <w:rPr>
          <w:rFonts w:eastAsiaTheme="minorEastAsia" w:cstheme="minorBidi"/>
          <w:noProof/>
          <w:szCs w:val="22"/>
          <w:lang w:eastAsia="en-NZ"/>
        </w:rPr>
      </w:pPr>
      <w:r>
        <w:rPr>
          <w:noProof/>
          <w:lang w:eastAsia="en-AU"/>
        </w:rPr>
        <w:t>Table 17.</w:t>
      </w:r>
      <w:r>
        <w:rPr>
          <w:noProof/>
          <w:lang w:eastAsia="en-AU"/>
        </w:rPr>
        <w:tab/>
        <w:t>Summary of social costs by user type</w:t>
      </w:r>
      <w:r>
        <w:rPr>
          <w:noProof/>
        </w:rPr>
        <w:tab/>
      </w:r>
      <w:r>
        <w:rPr>
          <w:noProof/>
        </w:rPr>
        <w:fldChar w:fldCharType="begin"/>
      </w:r>
      <w:r>
        <w:rPr>
          <w:noProof/>
        </w:rPr>
        <w:instrText xml:space="preserve"> PAGEREF _Toc444941858 \h </w:instrText>
      </w:r>
      <w:r>
        <w:rPr>
          <w:noProof/>
        </w:rPr>
      </w:r>
      <w:r>
        <w:rPr>
          <w:noProof/>
        </w:rPr>
        <w:fldChar w:fldCharType="separate"/>
      </w:r>
      <w:r w:rsidR="00B8567E">
        <w:rPr>
          <w:noProof/>
        </w:rPr>
        <w:t>34</w:t>
      </w:r>
      <w:r>
        <w:rPr>
          <w:noProof/>
        </w:rPr>
        <w:fldChar w:fldCharType="end"/>
      </w:r>
    </w:p>
    <w:p w14:paraId="633303F1" w14:textId="77777777" w:rsidR="00A5723A" w:rsidRDefault="00A5723A" w:rsidP="00A5723A">
      <w:r>
        <w:fldChar w:fldCharType="end"/>
      </w:r>
    </w:p>
    <w:p w14:paraId="372B2D43" w14:textId="77777777" w:rsidR="00A5723A" w:rsidRDefault="00A5723A" w:rsidP="00A5723A">
      <w:pPr>
        <w:pStyle w:val="TOC1"/>
      </w:pPr>
      <w:r>
        <w:t>List of figures</w:t>
      </w:r>
    </w:p>
    <w:p w14:paraId="0E742EB9" w14:textId="77777777" w:rsidR="00A5723A" w:rsidRDefault="00A5723A">
      <w:pPr>
        <w:pStyle w:val="TOC3"/>
        <w:rPr>
          <w:rFonts w:eastAsiaTheme="minorEastAsia" w:cstheme="minorBidi"/>
          <w:noProof/>
          <w:szCs w:val="22"/>
          <w:lang w:eastAsia="en-NZ"/>
        </w:rPr>
      </w:pPr>
      <w:r>
        <w:fldChar w:fldCharType="begin"/>
      </w:r>
      <w:r>
        <w:instrText xml:space="preserve"> TOC \t "Figure,3" </w:instrText>
      </w:r>
      <w:r>
        <w:fldChar w:fldCharType="separate"/>
      </w:r>
      <w:r>
        <w:rPr>
          <w:noProof/>
        </w:rPr>
        <w:t>Figure 1.</w:t>
      </w:r>
      <w:r>
        <w:rPr>
          <w:noProof/>
        </w:rPr>
        <w:tab/>
        <w:t>Extract from expert panel questionnaire on illicit drug harm</w:t>
      </w:r>
      <w:r>
        <w:rPr>
          <w:noProof/>
        </w:rPr>
        <w:tab/>
      </w:r>
      <w:r>
        <w:rPr>
          <w:noProof/>
        </w:rPr>
        <w:fldChar w:fldCharType="begin"/>
      </w:r>
      <w:r>
        <w:rPr>
          <w:noProof/>
        </w:rPr>
        <w:instrText xml:space="preserve"> PAGEREF _Toc444941875 \h </w:instrText>
      </w:r>
      <w:r>
        <w:rPr>
          <w:noProof/>
        </w:rPr>
      </w:r>
      <w:r>
        <w:rPr>
          <w:noProof/>
        </w:rPr>
        <w:fldChar w:fldCharType="separate"/>
      </w:r>
      <w:r w:rsidR="00B8567E">
        <w:rPr>
          <w:noProof/>
        </w:rPr>
        <w:t>13</w:t>
      </w:r>
      <w:r>
        <w:rPr>
          <w:noProof/>
        </w:rPr>
        <w:fldChar w:fldCharType="end"/>
      </w:r>
    </w:p>
    <w:p w14:paraId="1A311858" w14:textId="77777777" w:rsidR="00A5723A" w:rsidRDefault="00A5723A">
      <w:pPr>
        <w:pStyle w:val="TOC3"/>
        <w:rPr>
          <w:rFonts w:eastAsiaTheme="minorEastAsia" w:cstheme="minorBidi"/>
          <w:noProof/>
          <w:szCs w:val="22"/>
          <w:lang w:eastAsia="en-NZ"/>
        </w:rPr>
      </w:pPr>
      <w:r>
        <w:rPr>
          <w:noProof/>
        </w:rPr>
        <w:t>Figure 2.</w:t>
      </w:r>
      <w:r>
        <w:rPr>
          <w:noProof/>
        </w:rPr>
        <w:tab/>
        <w:t>Expert rankings of personal and community harms for dependent users</w:t>
      </w:r>
      <w:r>
        <w:rPr>
          <w:noProof/>
        </w:rPr>
        <w:tab/>
      </w:r>
      <w:r>
        <w:rPr>
          <w:noProof/>
        </w:rPr>
        <w:fldChar w:fldCharType="begin"/>
      </w:r>
      <w:r>
        <w:rPr>
          <w:noProof/>
        </w:rPr>
        <w:instrText xml:space="preserve"> PAGEREF _Toc444941876 \h </w:instrText>
      </w:r>
      <w:r>
        <w:rPr>
          <w:noProof/>
        </w:rPr>
      </w:r>
      <w:r>
        <w:rPr>
          <w:noProof/>
        </w:rPr>
        <w:fldChar w:fldCharType="separate"/>
      </w:r>
      <w:r w:rsidR="00B8567E">
        <w:rPr>
          <w:noProof/>
        </w:rPr>
        <w:t>32</w:t>
      </w:r>
      <w:r>
        <w:rPr>
          <w:noProof/>
        </w:rPr>
        <w:fldChar w:fldCharType="end"/>
      </w:r>
    </w:p>
    <w:p w14:paraId="687FB717" w14:textId="77777777" w:rsidR="00A5723A" w:rsidRDefault="00A5723A">
      <w:pPr>
        <w:pStyle w:val="TOC3"/>
        <w:rPr>
          <w:rFonts w:eastAsiaTheme="minorEastAsia" w:cstheme="minorBidi"/>
          <w:noProof/>
          <w:szCs w:val="22"/>
          <w:lang w:eastAsia="en-NZ"/>
        </w:rPr>
      </w:pPr>
      <w:r>
        <w:rPr>
          <w:noProof/>
        </w:rPr>
        <w:t>Figure 3.</w:t>
      </w:r>
      <w:r>
        <w:rPr>
          <w:noProof/>
        </w:rPr>
        <w:tab/>
        <w:t>Expert rankings of personal and community harms for casual users</w:t>
      </w:r>
      <w:r>
        <w:rPr>
          <w:noProof/>
        </w:rPr>
        <w:tab/>
      </w:r>
      <w:r>
        <w:rPr>
          <w:noProof/>
        </w:rPr>
        <w:fldChar w:fldCharType="begin"/>
      </w:r>
      <w:r>
        <w:rPr>
          <w:noProof/>
        </w:rPr>
        <w:instrText xml:space="preserve"> PAGEREF _Toc444941877 \h </w:instrText>
      </w:r>
      <w:r>
        <w:rPr>
          <w:noProof/>
        </w:rPr>
      </w:r>
      <w:r>
        <w:rPr>
          <w:noProof/>
        </w:rPr>
        <w:fldChar w:fldCharType="separate"/>
      </w:r>
      <w:r w:rsidR="00B8567E">
        <w:rPr>
          <w:noProof/>
        </w:rPr>
        <w:t>32</w:t>
      </w:r>
      <w:r>
        <w:rPr>
          <w:noProof/>
        </w:rPr>
        <w:fldChar w:fldCharType="end"/>
      </w:r>
    </w:p>
    <w:p w14:paraId="069FE65E" w14:textId="77777777" w:rsidR="00A5723A" w:rsidRDefault="00A5723A" w:rsidP="00A5723A">
      <w:r>
        <w:fldChar w:fldCharType="end"/>
      </w:r>
    </w:p>
    <w:p w14:paraId="3F556509" w14:textId="77777777" w:rsidR="0062203C" w:rsidRDefault="0062203C" w:rsidP="00223B2E">
      <w:pPr>
        <w:pStyle w:val="Heading2"/>
      </w:pPr>
      <w:r>
        <w:t>Abbreviations</w:t>
      </w:r>
    </w:p>
    <w:p w14:paraId="4A11EFA6" w14:textId="77777777" w:rsidR="0062203C" w:rsidRDefault="0062203C" w:rsidP="0062203C">
      <w:pPr>
        <w:ind w:left="1134" w:hanging="1134"/>
      </w:pPr>
      <w:r>
        <w:t>ATS</w:t>
      </w:r>
      <w:r>
        <w:tab/>
        <w:t>amphetamine-type stimulant</w:t>
      </w:r>
    </w:p>
    <w:p w14:paraId="2D2383EE" w14:textId="77777777" w:rsidR="0062203C" w:rsidRDefault="0062203C" w:rsidP="0062203C">
      <w:pPr>
        <w:spacing w:before="120"/>
        <w:ind w:left="1134" w:hanging="1134"/>
      </w:pPr>
      <w:r>
        <w:t>GHB</w:t>
      </w:r>
      <w:r>
        <w:tab/>
        <w:t xml:space="preserve">gamma </w:t>
      </w:r>
      <w:proofErr w:type="spellStart"/>
      <w:r>
        <w:t>hydroxybutyrate</w:t>
      </w:r>
      <w:proofErr w:type="spellEnd"/>
    </w:p>
    <w:p w14:paraId="46890605" w14:textId="77777777" w:rsidR="0062203C" w:rsidRDefault="0062203C" w:rsidP="0062203C">
      <w:pPr>
        <w:spacing w:before="120"/>
        <w:ind w:left="1134" w:hanging="1134"/>
      </w:pPr>
      <w:r>
        <w:t>MDMA</w:t>
      </w:r>
      <w:r>
        <w:tab/>
        <w:t>3</w:t>
      </w:r>
      <w:proofErr w:type="gramStart"/>
      <w:r>
        <w:t>,4</w:t>
      </w:r>
      <w:proofErr w:type="gramEnd"/>
      <w:r>
        <w:t>-methylenedioxy-methamphetamine</w:t>
      </w:r>
    </w:p>
    <w:p w14:paraId="11B8CF60" w14:textId="77777777" w:rsidR="0062203C" w:rsidRPr="0062203C" w:rsidRDefault="0062203C" w:rsidP="0062203C">
      <w:pPr>
        <w:spacing w:before="120"/>
        <w:ind w:left="1134" w:hanging="1134"/>
      </w:pPr>
      <w:proofErr w:type="spellStart"/>
      <w:r>
        <w:t>NBOMe</w:t>
      </w:r>
      <w:proofErr w:type="spellEnd"/>
      <w:r>
        <w:tab/>
        <w:t>N–</w:t>
      </w:r>
      <w:proofErr w:type="spellStart"/>
      <w:r>
        <w:t>methoxybenzyl</w:t>
      </w:r>
      <w:proofErr w:type="spellEnd"/>
      <w:r>
        <w:t>, a series of synthetic drugs with hallucinogenic effects</w:t>
      </w:r>
    </w:p>
    <w:p w14:paraId="79F85C61" w14:textId="77777777" w:rsidR="00A5723A" w:rsidRDefault="00A5723A" w:rsidP="002507C5"/>
    <w:p w14:paraId="47FCF285" w14:textId="77777777" w:rsidR="00C86248" w:rsidRDefault="00C86248">
      <w:pPr>
        <w:sectPr w:rsidR="00C86248" w:rsidSect="00177412">
          <w:headerReference w:type="even" r:id="rId11"/>
          <w:headerReference w:type="default" r:id="rId12"/>
          <w:footerReference w:type="even" r:id="rId13"/>
          <w:footerReference w:type="default" r:id="rId14"/>
          <w:pgSz w:w="11907" w:h="16840" w:code="9"/>
          <w:pgMar w:top="1418" w:right="1418" w:bottom="1134" w:left="1418" w:header="425" w:footer="425" w:gutter="0"/>
          <w:pgNumType w:fmt="lowerRoman"/>
          <w:cols w:space="720"/>
        </w:sectPr>
      </w:pPr>
    </w:p>
    <w:p w14:paraId="4DF0A6C4" w14:textId="77777777" w:rsidR="00AC5F01" w:rsidRDefault="00BE5C5B" w:rsidP="00AC5F01">
      <w:pPr>
        <w:pStyle w:val="Heading1"/>
      </w:pPr>
      <w:bookmarkStart w:id="2" w:name="_Toc444941776"/>
      <w:r>
        <w:t xml:space="preserve">Project </w:t>
      </w:r>
      <w:r w:rsidR="00935BD9">
        <w:t>s</w:t>
      </w:r>
      <w:r>
        <w:t>ummary</w:t>
      </w:r>
      <w:bookmarkEnd w:id="2"/>
    </w:p>
    <w:tbl>
      <w:tblPr>
        <w:tblStyle w:val="TableGrid"/>
        <w:tblW w:w="0" w:type="auto"/>
        <w:tblInd w:w="108" w:type="dxa"/>
        <w:tblLayout w:type="fixed"/>
        <w:tblLook w:val="04A0" w:firstRow="1" w:lastRow="0" w:firstColumn="1" w:lastColumn="0" w:noHBand="0" w:noVBand="1"/>
      </w:tblPr>
      <w:tblGrid>
        <w:gridCol w:w="1152"/>
        <w:gridCol w:w="7920"/>
      </w:tblGrid>
      <w:tr w:rsidR="00CF2D46" w:rsidRPr="00930A88" w14:paraId="0A7E8A43" w14:textId="77777777" w:rsidTr="00D67D3B">
        <w:trPr>
          <w:cantSplit/>
        </w:trPr>
        <w:tc>
          <w:tcPr>
            <w:tcW w:w="1152" w:type="dxa"/>
          </w:tcPr>
          <w:p w14:paraId="243A8DDD" w14:textId="77777777" w:rsidR="00D67D3B" w:rsidRDefault="00CF2D46" w:rsidP="00D67D3B">
            <w:pPr>
              <w:pStyle w:val="TableText"/>
            </w:pPr>
            <w:r>
              <w:t>Project:</w:t>
            </w:r>
          </w:p>
          <w:p w14:paraId="756116E5" w14:textId="77777777" w:rsidR="00CF2D46" w:rsidRPr="00930A88" w:rsidRDefault="00CF2D46" w:rsidP="00D67D3B">
            <w:pPr>
              <w:pStyle w:val="TableText"/>
            </w:pPr>
            <w:r w:rsidRPr="00930A88">
              <w:t>Author</w:t>
            </w:r>
            <w:r>
              <w:t>:</w:t>
            </w:r>
          </w:p>
        </w:tc>
        <w:tc>
          <w:tcPr>
            <w:tcW w:w="7920" w:type="dxa"/>
          </w:tcPr>
          <w:p w14:paraId="28B85790" w14:textId="77777777" w:rsidR="00D67D3B" w:rsidRDefault="00CF2D46" w:rsidP="00D67D3B">
            <w:pPr>
              <w:pStyle w:val="TableText"/>
            </w:pPr>
            <w:r w:rsidRPr="00930A88">
              <w:t xml:space="preserve">Development of a </w:t>
            </w:r>
            <w:r>
              <w:t xml:space="preserve">revised </w:t>
            </w:r>
            <w:r w:rsidRPr="00930A88">
              <w:t>Drug Harm Index</w:t>
            </w:r>
          </w:p>
          <w:p w14:paraId="4303F944" w14:textId="77777777" w:rsidR="00CF2D46" w:rsidRPr="00930A88" w:rsidRDefault="00CF2D46" w:rsidP="00D67D3B">
            <w:pPr>
              <w:pStyle w:val="TableText"/>
            </w:pPr>
            <w:r w:rsidRPr="00930A88">
              <w:t>Dr Michael McFadden, Director McFadden Consultancy</w:t>
            </w:r>
          </w:p>
        </w:tc>
      </w:tr>
      <w:tr w:rsidR="00CF2D46" w:rsidRPr="00930A88" w14:paraId="597C1E4F" w14:textId="77777777" w:rsidTr="00D67D3B">
        <w:trPr>
          <w:cantSplit/>
        </w:trPr>
        <w:tc>
          <w:tcPr>
            <w:tcW w:w="1152" w:type="dxa"/>
          </w:tcPr>
          <w:p w14:paraId="338AD6AD" w14:textId="77777777" w:rsidR="00CF2D46" w:rsidRPr="00930A88" w:rsidRDefault="00CF2D46" w:rsidP="00D67D3B">
            <w:pPr>
              <w:pStyle w:val="TableText"/>
            </w:pPr>
            <w:r w:rsidRPr="00930A88">
              <w:t>Aim</w:t>
            </w:r>
          </w:p>
        </w:tc>
        <w:tc>
          <w:tcPr>
            <w:tcW w:w="7920" w:type="dxa"/>
          </w:tcPr>
          <w:p w14:paraId="705A765F" w14:textId="77777777" w:rsidR="00CF2D46" w:rsidRPr="00930A88" w:rsidRDefault="00CF2D46" w:rsidP="00D67D3B">
            <w:pPr>
              <w:pStyle w:val="TableText"/>
            </w:pPr>
            <w:r w:rsidRPr="00930A88">
              <w:t>The new Drug Harm Index provide</w:t>
            </w:r>
            <w:r>
              <w:t>s</w:t>
            </w:r>
            <w:r w:rsidRPr="00930A88">
              <w:t xml:space="preserve"> a comprehensive evaluation of the costs of harmful illicit drug use, focusing on the social cost of use </w:t>
            </w:r>
            <w:r>
              <w:t>by</w:t>
            </w:r>
            <w:r w:rsidRPr="00930A88">
              <w:t xml:space="preserve"> drug type.</w:t>
            </w:r>
            <w:r>
              <w:t xml:space="preserve"> Estimates of total harm, harm per kilogram of drug consumed and harm per user are included. Illicit drugs include legal drugs diverted to the illicit drug market and exclude alcohol and tobacco.</w:t>
            </w:r>
          </w:p>
        </w:tc>
      </w:tr>
      <w:tr w:rsidR="00CF2D46" w:rsidRPr="00930A88" w14:paraId="2FE32CCD" w14:textId="77777777" w:rsidTr="00D67D3B">
        <w:trPr>
          <w:cantSplit/>
        </w:trPr>
        <w:tc>
          <w:tcPr>
            <w:tcW w:w="1152" w:type="dxa"/>
            <w:tcBorders>
              <w:bottom w:val="single" w:sz="4" w:space="0" w:color="auto"/>
            </w:tcBorders>
          </w:tcPr>
          <w:p w14:paraId="09A3AA06" w14:textId="77777777" w:rsidR="00CF2D46" w:rsidRPr="00930A88" w:rsidRDefault="00CF2D46" w:rsidP="00D67D3B">
            <w:pPr>
              <w:pStyle w:val="TableText"/>
            </w:pPr>
            <w:r w:rsidRPr="00930A88">
              <w:t>Method</w:t>
            </w:r>
          </w:p>
        </w:tc>
        <w:tc>
          <w:tcPr>
            <w:tcW w:w="7920" w:type="dxa"/>
            <w:tcBorders>
              <w:bottom w:val="single" w:sz="4" w:space="0" w:color="auto"/>
            </w:tcBorders>
          </w:tcPr>
          <w:p w14:paraId="66BE5C2E" w14:textId="77777777" w:rsidR="00CF2D46" w:rsidRPr="00930A88" w:rsidRDefault="00CF2D46" w:rsidP="00D67D3B">
            <w:pPr>
              <w:pStyle w:val="TableText"/>
            </w:pPr>
            <w:r w:rsidRPr="00930A88">
              <w:t>The method involved identifying the number of drug user</w:t>
            </w:r>
            <w:r>
              <w:t>s</w:t>
            </w:r>
            <w:r w:rsidRPr="00930A88">
              <w:t xml:space="preserve"> and the extent of drug use by category of drug. Where hard data existed (e.g. drug-related deaths, treatment sessions, crime statistics), the estimated harm was calculated for given drug types. In the absence of hard data, expert opinion </w:t>
            </w:r>
            <w:r>
              <w:t>(</w:t>
            </w:r>
            <w:r w:rsidRPr="00930A88">
              <w:t>following a method developed</w:t>
            </w:r>
            <w:r>
              <w:t xml:space="preserve"> by</w:t>
            </w:r>
            <w:r w:rsidRPr="00930A88">
              <w:t xml:space="preserve"> Nutt et al</w:t>
            </w:r>
            <w:r>
              <w:t>,</w:t>
            </w:r>
            <w:r w:rsidRPr="00930A88">
              <w:t xml:space="preserve"> 2010) was used to</w:t>
            </w:r>
            <w:r>
              <w:t xml:space="preserve"> provide a basis for the future</w:t>
            </w:r>
            <w:r w:rsidRPr="00930A88">
              <w:t xml:space="preserve"> estimate </w:t>
            </w:r>
            <w:r>
              <w:t xml:space="preserve">of </w:t>
            </w:r>
            <w:r w:rsidRPr="00930A88">
              <w:t>the dollar harms for drugs.</w:t>
            </w:r>
            <w:r>
              <w:t xml:space="preserve"> Unlike previous drug harm indexes, the social cost of harm associated with drug use (personal harm and community harm) was separated from the costs associated with attempts to address the issue (intervention costs). Cost estimates included explicitly for the first time include harm to family and friends of drug users, funding of other criminal activities and reduction in taxation revenue.</w:t>
            </w:r>
          </w:p>
        </w:tc>
      </w:tr>
      <w:tr w:rsidR="00CF2D46" w:rsidRPr="00930A88" w14:paraId="32BAFED5" w14:textId="77777777" w:rsidTr="00D67D3B">
        <w:trPr>
          <w:cantSplit/>
        </w:trPr>
        <w:tc>
          <w:tcPr>
            <w:tcW w:w="1152" w:type="dxa"/>
            <w:tcBorders>
              <w:top w:val="single" w:sz="4" w:space="0" w:color="auto"/>
              <w:left w:val="single" w:sz="4" w:space="0" w:color="auto"/>
              <w:bottom w:val="single" w:sz="4" w:space="0" w:color="auto"/>
              <w:right w:val="single" w:sz="4" w:space="0" w:color="auto"/>
            </w:tcBorders>
          </w:tcPr>
          <w:p w14:paraId="393A7104" w14:textId="77777777" w:rsidR="00CF2D46" w:rsidRPr="00930A88" w:rsidRDefault="00CF2D46" w:rsidP="00D67D3B">
            <w:pPr>
              <w:pStyle w:val="TableText"/>
            </w:pPr>
            <w:r w:rsidRPr="00930A88">
              <w:t>Results</w:t>
            </w:r>
          </w:p>
        </w:tc>
        <w:tc>
          <w:tcPr>
            <w:tcW w:w="7920" w:type="dxa"/>
            <w:tcBorders>
              <w:top w:val="single" w:sz="4" w:space="0" w:color="auto"/>
              <w:left w:val="single" w:sz="4" w:space="0" w:color="auto"/>
              <w:bottom w:val="single" w:sz="4" w:space="0" w:color="auto"/>
              <w:right w:val="single" w:sz="4" w:space="0" w:color="auto"/>
            </w:tcBorders>
          </w:tcPr>
          <w:p w14:paraId="120E774E" w14:textId="77777777" w:rsidR="00D67D3B" w:rsidRDefault="00CF2D46" w:rsidP="00D67D3B">
            <w:pPr>
              <w:pStyle w:val="TableText"/>
            </w:pPr>
            <w:r w:rsidRPr="004F1FED">
              <w:t>The estimated social cost of drug</w:t>
            </w:r>
            <w:r>
              <w:t>-</w:t>
            </w:r>
            <w:r w:rsidRPr="004F1FED">
              <w:t>related harms and intervention costs in 2014</w:t>
            </w:r>
            <w:r>
              <w:t>/</w:t>
            </w:r>
            <w:r w:rsidRPr="004F1FED">
              <w:t>15 was $1.</w:t>
            </w:r>
            <w:r>
              <w:t>8</w:t>
            </w:r>
            <w:r w:rsidRPr="004F1FED">
              <w:t xml:space="preserve"> billion. </w:t>
            </w:r>
            <w:r>
              <w:t>Details are given below.</w:t>
            </w:r>
          </w:p>
          <w:tbl>
            <w:tblPr>
              <w:tblStyle w:val="TableGrid"/>
              <w:tblW w:w="769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4A0" w:firstRow="1" w:lastRow="0" w:firstColumn="1" w:lastColumn="0" w:noHBand="0" w:noVBand="1"/>
            </w:tblPr>
            <w:tblGrid>
              <w:gridCol w:w="1523"/>
              <w:gridCol w:w="1181"/>
              <w:gridCol w:w="1340"/>
              <w:gridCol w:w="1241"/>
              <w:gridCol w:w="1247"/>
              <w:gridCol w:w="1165"/>
            </w:tblGrid>
            <w:tr w:rsidR="007741BE" w:rsidRPr="00463D96" w14:paraId="47DEC9C9" w14:textId="77777777" w:rsidTr="00FE026C">
              <w:trPr>
                <w:cantSplit/>
              </w:trPr>
              <w:tc>
                <w:tcPr>
                  <w:tcW w:w="1523" w:type="dxa"/>
                </w:tcPr>
                <w:p w14:paraId="50039E70" w14:textId="77777777" w:rsidR="007741BE" w:rsidRPr="00D67D3B" w:rsidRDefault="007741BE" w:rsidP="00177412">
                  <w:pPr>
                    <w:pStyle w:val="TableText"/>
                    <w:rPr>
                      <w:b/>
                      <w:sz w:val="20"/>
                    </w:rPr>
                  </w:pPr>
                  <w:r w:rsidRPr="00D67D3B">
                    <w:rPr>
                      <w:b/>
                      <w:sz w:val="20"/>
                    </w:rPr>
                    <w:t>Drug group</w:t>
                  </w:r>
                </w:p>
              </w:tc>
              <w:tc>
                <w:tcPr>
                  <w:tcW w:w="1181" w:type="dxa"/>
                </w:tcPr>
                <w:p w14:paraId="35E203E2" w14:textId="77777777" w:rsidR="007741BE" w:rsidRPr="00D67D3B" w:rsidRDefault="007741BE" w:rsidP="00463D96">
                  <w:pPr>
                    <w:pStyle w:val="TableText"/>
                    <w:jc w:val="center"/>
                    <w:rPr>
                      <w:b/>
                      <w:sz w:val="20"/>
                    </w:rPr>
                  </w:pPr>
                  <w:r w:rsidRPr="00D67D3B">
                    <w:rPr>
                      <w:b/>
                      <w:sz w:val="20"/>
                    </w:rPr>
                    <w:t>Personal harm $(m)</w:t>
                  </w:r>
                </w:p>
              </w:tc>
              <w:tc>
                <w:tcPr>
                  <w:tcW w:w="1340" w:type="dxa"/>
                </w:tcPr>
                <w:p w14:paraId="3ABBBCBC" w14:textId="77777777" w:rsidR="007741BE" w:rsidRPr="00D67D3B" w:rsidRDefault="007741BE" w:rsidP="00463D96">
                  <w:pPr>
                    <w:pStyle w:val="TableText"/>
                    <w:jc w:val="center"/>
                    <w:rPr>
                      <w:b/>
                      <w:sz w:val="20"/>
                    </w:rPr>
                  </w:pPr>
                  <w:r w:rsidRPr="00D67D3B">
                    <w:rPr>
                      <w:b/>
                      <w:sz w:val="20"/>
                    </w:rPr>
                    <w:t>Community harm $(m)</w:t>
                  </w:r>
                </w:p>
              </w:tc>
              <w:tc>
                <w:tcPr>
                  <w:tcW w:w="1241" w:type="dxa"/>
                </w:tcPr>
                <w:p w14:paraId="4F4444A6" w14:textId="77777777" w:rsidR="007741BE" w:rsidRPr="00D67D3B" w:rsidRDefault="007741BE" w:rsidP="00463D96">
                  <w:pPr>
                    <w:pStyle w:val="TableText"/>
                    <w:jc w:val="center"/>
                    <w:rPr>
                      <w:b/>
                      <w:sz w:val="20"/>
                    </w:rPr>
                  </w:pPr>
                  <w:r w:rsidRPr="00D67D3B">
                    <w:rPr>
                      <w:b/>
                      <w:sz w:val="20"/>
                    </w:rPr>
                    <w:t>Total harm $(m)</w:t>
                  </w:r>
                </w:p>
              </w:tc>
              <w:tc>
                <w:tcPr>
                  <w:tcW w:w="1247" w:type="dxa"/>
                </w:tcPr>
                <w:p w14:paraId="090A71AB" w14:textId="77777777" w:rsidR="007741BE" w:rsidRPr="00D67D3B" w:rsidRDefault="007741BE" w:rsidP="00463D96">
                  <w:pPr>
                    <w:pStyle w:val="TableText"/>
                    <w:jc w:val="center"/>
                    <w:rPr>
                      <w:b/>
                      <w:sz w:val="20"/>
                    </w:rPr>
                  </w:pPr>
                  <w:r w:rsidRPr="00D67D3B">
                    <w:rPr>
                      <w:b/>
                      <w:sz w:val="20"/>
                    </w:rPr>
                    <w:t>Intervention cost $(m)</w:t>
                  </w:r>
                </w:p>
              </w:tc>
              <w:tc>
                <w:tcPr>
                  <w:tcW w:w="1165" w:type="dxa"/>
                </w:tcPr>
                <w:p w14:paraId="70B76D08" w14:textId="77777777" w:rsidR="007741BE" w:rsidRPr="00D67D3B" w:rsidRDefault="007741BE" w:rsidP="00463D96">
                  <w:pPr>
                    <w:pStyle w:val="TableText"/>
                    <w:jc w:val="center"/>
                    <w:rPr>
                      <w:b/>
                      <w:sz w:val="20"/>
                    </w:rPr>
                  </w:pPr>
                  <w:r w:rsidRPr="00D67D3B">
                    <w:rPr>
                      <w:b/>
                      <w:sz w:val="20"/>
                    </w:rPr>
                    <w:t>Total social cost $(m)</w:t>
                  </w:r>
                </w:p>
              </w:tc>
            </w:tr>
            <w:tr w:rsidR="007741BE" w:rsidRPr="00463D96" w14:paraId="734D9F15" w14:textId="77777777" w:rsidTr="00FE026C">
              <w:trPr>
                <w:cantSplit/>
              </w:trPr>
              <w:tc>
                <w:tcPr>
                  <w:tcW w:w="1523" w:type="dxa"/>
                  <w:shd w:val="clear" w:color="auto" w:fill="D9D9D9" w:themeFill="background1" w:themeFillShade="D9"/>
                </w:tcPr>
                <w:p w14:paraId="48F003DA" w14:textId="77777777" w:rsidR="007741BE" w:rsidRPr="00D67D3B" w:rsidRDefault="007741BE" w:rsidP="00463D96">
                  <w:pPr>
                    <w:pStyle w:val="TableText"/>
                    <w:rPr>
                      <w:sz w:val="20"/>
                    </w:rPr>
                  </w:pPr>
                  <w:r w:rsidRPr="00D67D3B">
                    <w:rPr>
                      <w:sz w:val="20"/>
                    </w:rPr>
                    <w:t>Amphetamine-type stimulants</w:t>
                  </w:r>
                </w:p>
              </w:tc>
              <w:tc>
                <w:tcPr>
                  <w:tcW w:w="1181" w:type="dxa"/>
                  <w:shd w:val="clear" w:color="auto" w:fill="D9D9D9" w:themeFill="background1" w:themeFillShade="D9"/>
                </w:tcPr>
                <w:p w14:paraId="3AD0A840" w14:textId="77777777" w:rsidR="007741BE" w:rsidRPr="00D67D3B" w:rsidRDefault="007741BE" w:rsidP="00463D96">
                  <w:pPr>
                    <w:pStyle w:val="TableText"/>
                    <w:tabs>
                      <w:tab w:val="decimal" w:pos="557"/>
                    </w:tabs>
                    <w:rPr>
                      <w:sz w:val="20"/>
                    </w:rPr>
                  </w:pPr>
                  <w:r w:rsidRPr="00D67D3B">
                    <w:rPr>
                      <w:sz w:val="20"/>
                    </w:rPr>
                    <w:t>256.4</w:t>
                  </w:r>
                </w:p>
              </w:tc>
              <w:tc>
                <w:tcPr>
                  <w:tcW w:w="1340" w:type="dxa"/>
                  <w:shd w:val="clear" w:color="auto" w:fill="D9D9D9" w:themeFill="background1" w:themeFillShade="D9"/>
                </w:tcPr>
                <w:p w14:paraId="71D361DC" w14:textId="77777777" w:rsidR="007741BE" w:rsidRPr="00D67D3B" w:rsidRDefault="007741BE" w:rsidP="00463D96">
                  <w:pPr>
                    <w:pStyle w:val="TableText"/>
                    <w:tabs>
                      <w:tab w:val="decimal" w:pos="557"/>
                    </w:tabs>
                    <w:rPr>
                      <w:sz w:val="20"/>
                    </w:rPr>
                  </w:pPr>
                  <w:r w:rsidRPr="00D67D3B">
                    <w:rPr>
                      <w:sz w:val="20"/>
                      <w:lang w:eastAsia="en-AU"/>
                    </w:rPr>
                    <w:t>91.4</w:t>
                  </w:r>
                </w:p>
              </w:tc>
              <w:tc>
                <w:tcPr>
                  <w:tcW w:w="1241" w:type="dxa"/>
                  <w:shd w:val="clear" w:color="auto" w:fill="D9D9D9" w:themeFill="background1" w:themeFillShade="D9"/>
                </w:tcPr>
                <w:p w14:paraId="555E211E" w14:textId="77777777" w:rsidR="007741BE" w:rsidRPr="00D67D3B" w:rsidRDefault="007741BE" w:rsidP="00463D96">
                  <w:pPr>
                    <w:pStyle w:val="TableText"/>
                    <w:tabs>
                      <w:tab w:val="decimal" w:pos="557"/>
                    </w:tabs>
                    <w:rPr>
                      <w:sz w:val="20"/>
                    </w:rPr>
                  </w:pPr>
                  <w:r w:rsidRPr="00D67D3B">
                    <w:rPr>
                      <w:sz w:val="20"/>
                    </w:rPr>
                    <w:t>347.8</w:t>
                  </w:r>
                </w:p>
              </w:tc>
              <w:tc>
                <w:tcPr>
                  <w:tcW w:w="1247" w:type="dxa"/>
                  <w:shd w:val="clear" w:color="auto" w:fill="D9D9D9" w:themeFill="background1" w:themeFillShade="D9"/>
                </w:tcPr>
                <w:p w14:paraId="172960D4" w14:textId="77777777" w:rsidR="007741BE" w:rsidRPr="00D67D3B" w:rsidRDefault="007741BE" w:rsidP="00463D96">
                  <w:pPr>
                    <w:pStyle w:val="TableText"/>
                    <w:tabs>
                      <w:tab w:val="decimal" w:pos="557"/>
                    </w:tabs>
                    <w:rPr>
                      <w:sz w:val="20"/>
                    </w:rPr>
                  </w:pPr>
                  <w:r w:rsidRPr="00D67D3B">
                    <w:rPr>
                      <w:sz w:val="20"/>
                    </w:rPr>
                    <w:t>16.4</w:t>
                  </w:r>
                </w:p>
              </w:tc>
              <w:tc>
                <w:tcPr>
                  <w:tcW w:w="1165" w:type="dxa"/>
                  <w:shd w:val="clear" w:color="auto" w:fill="D9D9D9" w:themeFill="background1" w:themeFillShade="D9"/>
                </w:tcPr>
                <w:p w14:paraId="29747232" w14:textId="77777777" w:rsidR="007741BE" w:rsidRPr="00D67D3B" w:rsidRDefault="007741BE" w:rsidP="00463D96">
                  <w:pPr>
                    <w:pStyle w:val="TableText"/>
                    <w:tabs>
                      <w:tab w:val="decimal" w:pos="557"/>
                    </w:tabs>
                    <w:rPr>
                      <w:sz w:val="20"/>
                    </w:rPr>
                  </w:pPr>
                  <w:r w:rsidRPr="00D67D3B">
                    <w:rPr>
                      <w:sz w:val="20"/>
                      <w:lang w:eastAsia="en-AU"/>
                    </w:rPr>
                    <w:t>364.2</w:t>
                  </w:r>
                </w:p>
              </w:tc>
            </w:tr>
            <w:tr w:rsidR="007741BE" w:rsidRPr="00463D96" w14:paraId="5526A052" w14:textId="77777777" w:rsidTr="00FE026C">
              <w:trPr>
                <w:cantSplit/>
              </w:trPr>
              <w:tc>
                <w:tcPr>
                  <w:tcW w:w="1523" w:type="dxa"/>
                </w:tcPr>
                <w:p w14:paraId="03DCEE4E" w14:textId="77777777" w:rsidR="007741BE" w:rsidRPr="00D67D3B" w:rsidRDefault="007741BE" w:rsidP="00463D96">
                  <w:pPr>
                    <w:pStyle w:val="TableText"/>
                    <w:rPr>
                      <w:sz w:val="20"/>
                    </w:rPr>
                  </w:pPr>
                  <w:r w:rsidRPr="00D67D3B">
                    <w:rPr>
                      <w:sz w:val="20"/>
                    </w:rPr>
                    <w:t>Cannabinoids</w:t>
                  </w:r>
                </w:p>
              </w:tc>
              <w:tc>
                <w:tcPr>
                  <w:tcW w:w="1181" w:type="dxa"/>
                </w:tcPr>
                <w:p w14:paraId="4DAEDB9C" w14:textId="77777777" w:rsidR="007741BE" w:rsidRPr="00D67D3B" w:rsidRDefault="007741BE" w:rsidP="00463D96">
                  <w:pPr>
                    <w:pStyle w:val="TableText"/>
                    <w:tabs>
                      <w:tab w:val="decimal" w:pos="557"/>
                    </w:tabs>
                    <w:rPr>
                      <w:sz w:val="20"/>
                    </w:rPr>
                  </w:pPr>
                  <w:r w:rsidRPr="00D67D3B">
                    <w:rPr>
                      <w:sz w:val="20"/>
                    </w:rPr>
                    <w:t>256.4</w:t>
                  </w:r>
                </w:p>
              </w:tc>
              <w:tc>
                <w:tcPr>
                  <w:tcW w:w="1340" w:type="dxa"/>
                </w:tcPr>
                <w:p w14:paraId="482BCF21" w14:textId="77777777" w:rsidR="007741BE" w:rsidRPr="00D67D3B" w:rsidRDefault="007741BE" w:rsidP="00463D96">
                  <w:pPr>
                    <w:pStyle w:val="TableText"/>
                    <w:tabs>
                      <w:tab w:val="decimal" w:pos="557"/>
                    </w:tabs>
                    <w:rPr>
                      <w:sz w:val="20"/>
                    </w:rPr>
                  </w:pPr>
                  <w:r w:rsidRPr="00D67D3B">
                    <w:rPr>
                      <w:sz w:val="20"/>
                      <w:lang w:eastAsia="en-AU"/>
                    </w:rPr>
                    <w:t>720.3</w:t>
                  </w:r>
                </w:p>
              </w:tc>
              <w:tc>
                <w:tcPr>
                  <w:tcW w:w="1241" w:type="dxa"/>
                </w:tcPr>
                <w:p w14:paraId="53B60E90" w14:textId="77777777" w:rsidR="007741BE" w:rsidRPr="00D67D3B" w:rsidRDefault="007741BE" w:rsidP="00463D96">
                  <w:pPr>
                    <w:pStyle w:val="TableText"/>
                    <w:tabs>
                      <w:tab w:val="decimal" w:pos="557"/>
                    </w:tabs>
                    <w:rPr>
                      <w:sz w:val="20"/>
                    </w:rPr>
                  </w:pPr>
                  <w:r w:rsidRPr="00D67D3B">
                    <w:rPr>
                      <w:sz w:val="20"/>
                    </w:rPr>
                    <w:t>976.7</w:t>
                  </w:r>
                </w:p>
              </w:tc>
              <w:tc>
                <w:tcPr>
                  <w:tcW w:w="1247" w:type="dxa"/>
                  <w:shd w:val="clear" w:color="auto" w:fill="auto"/>
                </w:tcPr>
                <w:p w14:paraId="0A598188" w14:textId="77777777" w:rsidR="007741BE" w:rsidRPr="00D67D3B" w:rsidRDefault="007741BE" w:rsidP="00463D96">
                  <w:pPr>
                    <w:pStyle w:val="TableText"/>
                    <w:tabs>
                      <w:tab w:val="decimal" w:pos="557"/>
                    </w:tabs>
                    <w:rPr>
                      <w:sz w:val="20"/>
                    </w:rPr>
                  </w:pPr>
                  <w:r w:rsidRPr="00D67D3B">
                    <w:rPr>
                      <w:sz w:val="20"/>
                    </w:rPr>
                    <w:t>305.9</w:t>
                  </w:r>
                </w:p>
              </w:tc>
              <w:tc>
                <w:tcPr>
                  <w:tcW w:w="1165" w:type="dxa"/>
                  <w:shd w:val="clear" w:color="auto" w:fill="auto"/>
                </w:tcPr>
                <w:p w14:paraId="26CB025E" w14:textId="77777777" w:rsidR="007741BE" w:rsidRPr="00D67D3B" w:rsidRDefault="007741BE" w:rsidP="00463D96">
                  <w:pPr>
                    <w:pStyle w:val="TableText"/>
                    <w:tabs>
                      <w:tab w:val="decimal" w:pos="557"/>
                    </w:tabs>
                    <w:rPr>
                      <w:sz w:val="20"/>
                    </w:rPr>
                  </w:pPr>
                  <w:r w:rsidRPr="00D67D3B">
                    <w:rPr>
                      <w:sz w:val="20"/>
                      <w:lang w:eastAsia="en-AU"/>
                    </w:rPr>
                    <w:t>1,282.6</w:t>
                  </w:r>
                </w:p>
              </w:tc>
            </w:tr>
            <w:tr w:rsidR="007741BE" w:rsidRPr="00463D96" w14:paraId="7BE9D793" w14:textId="77777777" w:rsidTr="00FE026C">
              <w:trPr>
                <w:cantSplit/>
              </w:trPr>
              <w:tc>
                <w:tcPr>
                  <w:tcW w:w="1523" w:type="dxa"/>
                  <w:shd w:val="clear" w:color="auto" w:fill="D9D9D9" w:themeFill="background1" w:themeFillShade="D9"/>
                </w:tcPr>
                <w:p w14:paraId="45E15144" w14:textId="0C2AB8AF" w:rsidR="007741BE" w:rsidRPr="00D67D3B" w:rsidRDefault="007741BE" w:rsidP="00463D96">
                  <w:pPr>
                    <w:pStyle w:val="TableText"/>
                    <w:rPr>
                      <w:sz w:val="20"/>
                    </w:rPr>
                  </w:pPr>
                  <w:r w:rsidRPr="00D67D3B">
                    <w:rPr>
                      <w:sz w:val="20"/>
                    </w:rPr>
                    <w:t>Hallucinogenic and psychedelic drugs</w:t>
                  </w:r>
                </w:p>
              </w:tc>
              <w:tc>
                <w:tcPr>
                  <w:tcW w:w="1181" w:type="dxa"/>
                  <w:shd w:val="clear" w:color="auto" w:fill="D9D9D9" w:themeFill="background1" w:themeFillShade="D9"/>
                </w:tcPr>
                <w:p w14:paraId="6FF7719F" w14:textId="77777777" w:rsidR="007741BE" w:rsidRPr="00D67D3B" w:rsidRDefault="007741BE" w:rsidP="00463D96">
                  <w:pPr>
                    <w:pStyle w:val="TableText"/>
                    <w:tabs>
                      <w:tab w:val="decimal" w:pos="557"/>
                    </w:tabs>
                    <w:rPr>
                      <w:sz w:val="20"/>
                    </w:rPr>
                  </w:pPr>
                  <w:r w:rsidRPr="00D67D3B">
                    <w:rPr>
                      <w:sz w:val="20"/>
                    </w:rPr>
                    <w:t>8.0</w:t>
                  </w:r>
                </w:p>
              </w:tc>
              <w:tc>
                <w:tcPr>
                  <w:tcW w:w="1340" w:type="dxa"/>
                  <w:shd w:val="clear" w:color="auto" w:fill="D9D9D9" w:themeFill="background1" w:themeFillShade="D9"/>
                </w:tcPr>
                <w:p w14:paraId="02CECB64" w14:textId="77777777" w:rsidR="007741BE" w:rsidRPr="00D67D3B" w:rsidRDefault="007741BE" w:rsidP="00463D96">
                  <w:pPr>
                    <w:pStyle w:val="TableText"/>
                    <w:tabs>
                      <w:tab w:val="decimal" w:pos="557"/>
                    </w:tabs>
                    <w:rPr>
                      <w:sz w:val="20"/>
                    </w:rPr>
                  </w:pPr>
                  <w:r w:rsidRPr="00D67D3B">
                    <w:rPr>
                      <w:sz w:val="20"/>
                      <w:lang w:eastAsia="en-AU"/>
                    </w:rPr>
                    <w:t>9.0</w:t>
                  </w:r>
                </w:p>
              </w:tc>
              <w:tc>
                <w:tcPr>
                  <w:tcW w:w="1241" w:type="dxa"/>
                  <w:shd w:val="clear" w:color="auto" w:fill="D9D9D9" w:themeFill="background1" w:themeFillShade="D9"/>
                </w:tcPr>
                <w:p w14:paraId="525D5AB9" w14:textId="77777777" w:rsidR="007741BE" w:rsidRPr="00D67D3B" w:rsidRDefault="007741BE" w:rsidP="00463D96">
                  <w:pPr>
                    <w:pStyle w:val="TableText"/>
                    <w:tabs>
                      <w:tab w:val="decimal" w:pos="557"/>
                    </w:tabs>
                    <w:rPr>
                      <w:sz w:val="20"/>
                    </w:rPr>
                  </w:pPr>
                  <w:r w:rsidRPr="00D67D3B">
                    <w:rPr>
                      <w:sz w:val="20"/>
                    </w:rPr>
                    <w:t>17.0</w:t>
                  </w:r>
                </w:p>
              </w:tc>
              <w:tc>
                <w:tcPr>
                  <w:tcW w:w="1247" w:type="dxa"/>
                  <w:shd w:val="clear" w:color="auto" w:fill="D9D9D9" w:themeFill="background1" w:themeFillShade="D9"/>
                </w:tcPr>
                <w:p w14:paraId="626E492B" w14:textId="77777777" w:rsidR="007741BE" w:rsidRPr="00D67D3B" w:rsidRDefault="007741BE" w:rsidP="00463D96">
                  <w:pPr>
                    <w:pStyle w:val="TableText"/>
                    <w:tabs>
                      <w:tab w:val="decimal" w:pos="557"/>
                    </w:tabs>
                    <w:rPr>
                      <w:sz w:val="20"/>
                    </w:rPr>
                  </w:pPr>
                  <w:r w:rsidRPr="00D67D3B">
                    <w:rPr>
                      <w:sz w:val="20"/>
                    </w:rPr>
                    <w:t>5.3</w:t>
                  </w:r>
                </w:p>
              </w:tc>
              <w:tc>
                <w:tcPr>
                  <w:tcW w:w="1165" w:type="dxa"/>
                  <w:shd w:val="clear" w:color="auto" w:fill="D9D9D9" w:themeFill="background1" w:themeFillShade="D9"/>
                </w:tcPr>
                <w:p w14:paraId="3BF9DEEC" w14:textId="77777777" w:rsidR="007741BE" w:rsidRPr="00D67D3B" w:rsidRDefault="007741BE" w:rsidP="00463D96">
                  <w:pPr>
                    <w:pStyle w:val="TableText"/>
                    <w:tabs>
                      <w:tab w:val="decimal" w:pos="557"/>
                    </w:tabs>
                    <w:rPr>
                      <w:sz w:val="20"/>
                    </w:rPr>
                  </w:pPr>
                  <w:r w:rsidRPr="00D67D3B">
                    <w:rPr>
                      <w:sz w:val="20"/>
                      <w:lang w:eastAsia="en-AU"/>
                    </w:rPr>
                    <w:t>22.3</w:t>
                  </w:r>
                </w:p>
              </w:tc>
            </w:tr>
            <w:tr w:rsidR="007741BE" w:rsidRPr="00463D96" w14:paraId="5E5A0FBB" w14:textId="77777777" w:rsidTr="00FE026C">
              <w:trPr>
                <w:cantSplit/>
              </w:trPr>
              <w:tc>
                <w:tcPr>
                  <w:tcW w:w="1523" w:type="dxa"/>
                </w:tcPr>
                <w:p w14:paraId="55002C6B" w14:textId="5DFBC86C" w:rsidR="007741BE" w:rsidRPr="00D67D3B" w:rsidRDefault="007741BE">
                  <w:pPr>
                    <w:pStyle w:val="TableText"/>
                    <w:rPr>
                      <w:sz w:val="20"/>
                    </w:rPr>
                  </w:pPr>
                  <w:r w:rsidRPr="00D67D3B">
                    <w:rPr>
                      <w:sz w:val="20"/>
                    </w:rPr>
                    <w:t>Opioid and sedative drugs</w:t>
                  </w:r>
                </w:p>
              </w:tc>
              <w:tc>
                <w:tcPr>
                  <w:tcW w:w="1181" w:type="dxa"/>
                </w:tcPr>
                <w:p w14:paraId="02B4F531" w14:textId="77777777" w:rsidR="007741BE" w:rsidRPr="00D67D3B" w:rsidRDefault="007741BE" w:rsidP="00463D96">
                  <w:pPr>
                    <w:pStyle w:val="TableText"/>
                    <w:tabs>
                      <w:tab w:val="decimal" w:pos="557"/>
                    </w:tabs>
                    <w:rPr>
                      <w:sz w:val="20"/>
                    </w:rPr>
                  </w:pPr>
                  <w:r w:rsidRPr="00D67D3B">
                    <w:rPr>
                      <w:sz w:val="20"/>
                    </w:rPr>
                    <w:t>80.1</w:t>
                  </w:r>
                </w:p>
              </w:tc>
              <w:tc>
                <w:tcPr>
                  <w:tcW w:w="1340" w:type="dxa"/>
                </w:tcPr>
                <w:p w14:paraId="732F16FD" w14:textId="77777777" w:rsidR="007741BE" w:rsidRPr="00D67D3B" w:rsidRDefault="007741BE" w:rsidP="00463D96">
                  <w:pPr>
                    <w:pStyle w:val="TableText"/>
                    <w:tabs>
                      <w:tab w:val="decimal" w:pos="557"/>
                    </w:tabs>
                    <w:rPr>
                      <w:sz w:val="20"/>
                    </w:rPr>
                  </w:pPr>
                  <w:r w:rsidRPr="00D67D3B">
                    <w:rPr>
                      <w:sz w:val="20"/>
                      <w:lang w:eastAsia="en-AU"/>
                    </w:rPr>
                    <w:t>72.0</w:t>
                  </w:r>
                </w:p>
              </w:tc>
              <w:tc>
                <w:tcPr>
                  <w:tcW w:w="1241" w:type="dxa"/>
                </w:tcPr>
                <w:p w14:paraId="7091DEF9" w14:textId="77777777" w:rsidR="007741BE" w:rsidRPr="00D67D3B" w:rsidRDefault="007741BE" w:rsidP="00463D96">
                  <w:pPr>
                    <w:pStyle w:val="TableText"/>
                    <w:tabs>
                      <w:tab w:val="decimal" w:pos="557"/>
                    </w:tabs>
                    <w:rPr>
                      <w:sz w:val="20"/>
                    </w:rPr>
                  </w:pPr>
                  <w:r w:rsidRPr="00D67D3B">
                    <w:rPr>
                      <w:sz w:val="20"/>
                    </w:rPr>
                    <w:t>152.1</w:t>
                  </w:r>
                </w:p>
              </w:tc>
              <w:tc>
                <w:tcPr>
                  <w:tcW w:w="1247" w:type="dxa"/>
                  <w:shd w:val="clear" w:color="auto" w:fill="auto"/>
                </w:tcPr>
                <w:p w14:paraId="2723D8FD" w14:textId="77777777" w:rsidR="007741BE" w:rsidRPr="00D67D3B" w:rsidRDefault="007741BE" w:rsidP="00463D96">
                  <w:pPr>
                    <w:pStyle w:val="TableText"/>
                    <w:tabs>
                      <w:tab w:val="decimal" w:pos="557"/>
                    </w:tabs>
                    <w:rPr>
                      <w:sz w:val="20"/>
                    </w:rPr>
                  </w:pPr>
                  <w:r w:rsidRPr="00D67D3B">
                    <w:rPr>
                      <w:sz w:val="20"/>
                    </w:rPr>
                    <w:t>23.8</w:t>
                  </w:r>
                </w:p>
              </w:tc>
              <w:tc>
                <w:tcPr>
                  <w:tcW w:w="1165" w:type="dxa"/>
                  <w:shd w:val="clear" w:color="auto" w:fill="auto"/>
                </w:tcPr>
                <w:p w14:paraId="2548365B" w14:textId="77777777" w:rsidR="007741BE" w:rsidRPr="00D67D3B" w:rsidRDefault="007741BE" w:rsidP="00463D96">
                  <w:pPr>
                    <w:pStyle w:val="TableText"/>
                    <w:tabs>
                      <w:tab w:val="decimal" w:pos="557"/>
                    </w:tabs>
                    <w:rPr>
                      <w:sz w:val="20"/>
                    </w:rPr>
                  </w:pPr>
                  <w:r w:rsidRPr="00D67D3B">
                    <w:rPr>
                      <w:sz w:val="20"/>
                      <w:lang w:eastAsia="en-AU"/>
                    </w:rPr>
                    <w:t>175.9</w:t>
                  </w:r>
                </w:p>
              </w:tc>
            </w:tr>
            <w:tr w:rsidR="007741BE" w:rsidRPr="00463D96" w14:paraId="7E8496AC" w14:textId="77777777" w:rsidTr="00FE026C">
              <w:trPr>
                <w:cantSplit/>
              </w:trPr>
              <w:tc>
                <w:tcPr>
                  <w:tcW w:w="1523" w:type="dxa"/>
                  <w:shd w:val="clear" w:color="auto" w:fill="D9D9D9" w:themeFill="background1" w:themeFillShade="D9"/>
                </w:tcPr>
                <w:p w14:paraId="401A6E7F" w14:textId="77777777" w:rsidR="007741BE" w:rsidRPr="00463D96" w:rsidRDefault="007741BE" w:rsidP="00463D96">
                  <w:pPr>
                    <w:pStyle w:val="TableText"/>
                    <w:rPr>
                      <w:b/>
                      <w:sz w:val="20"/>
                    </w:rPr>
                  </w:pPr>
                  <w:r w:rsidRPr="00463D96">
                    <w:rPr>
                      <w:b/>
                      <w:sz w:val="20"/>
                    </w:rPr>
                    <w:t>Total</w:t>
                  </w:r>
                </w:p>
              </w:tc>
              <w:tc>
                <w:tcPr>
                  <w:tcW w:w="1181" w:type="dxa"/>
                  <w:shd w:val="clear" w:color="auto" w:fill="D9D9D9" w:themeFill="background1" w:themeFillShade="D9"/>
                </w:tcPr>
                <w:p w14:paraId="510DD7C0" w14:textId="77777777" w:rsidR="007741BE" w:rsidRPr="00463D96" w:rsidRDefault="007741BE" w:rsidP="00463D96">
                  <w:pPr>
                    <w:pStyle w:val="TableText"/>
                    <w:tabs>
                      <w:tab w:val="decimal" w:pos="557"/>
                    </w:tabs>
                    <w:rPr>
                      <w:b/>
                      <w:sz w:val="20"/>
                    </w:rPr>
                  </w:pPr>
                  <w:r w:rsidRPr="00463D96">
                    <w:rPr>
                      <w:b/>
                      <w:sz w:val="20"/>
                    </w:rPr>
                    <w:t>601.0</w:t>
                  </w:r>
                </w:p>
              </w:tc>
              <w:tc>
                <w:tcPr>
                  <w:tcW w:w="1340" w:type="dxa"/>
                  <w:shd w:val="clear" w:color="auto" w:fill="D9D9D9" w:themeFill="background1" w:themeFillShade="D9"/>
                </w:tcPr>
                <w:p w14:paraId="1B1AC3E2" w14:textId="77777777" w:rsidR="007741BE" w:rsidRPr="00463D96" w:rsidRDefault="007741BE" w:rsidP="00463D96">
                  <w:pPr>
                    <w:pStyle w:val="TableText"/>
                    <w:tabs>
                      <w:tab w:val="decimal" w:pos="557"/>
                    </w:tabs>
                    <w:rPr>
                      <w:b/>
                      <w:sz w:val="20"/>
                    </w:rPr>
                  </w:pPr>
                  <w:r w:rsidRPr="00463D96">
                    <w:rPr>
                      <w:b/>
                      <w:sz w:val="20"/>
                      <w:lang w:eastAsia="en-AU"/>
                    </w:rPr>
                    <w:t>892.7</w:t>
                  </w:r>
                </w:p>
              </w:tc>
              <w:tc>
                <w:tcPr>
                  <w:tcW w:w="1241" w:type="dxa"/>
                  <w:shd w:val="clear" w:color="auto" w:fill="D9D9D9" w:themeFill="background1" w:themeFillShade="D9"/>
                </w:tcPr>
                <w:p w14:paraId="6CD9747D" w14:textId="77777777" w:rsidR="007741BE" w:rsidRPr="00463D96" w:rsidRDefault="007741BE" w:rsidP="00463D96">
                  <w:pPr>
                    <w:pStyle w:val="TableText"/>
                    <w:tabs>
                      <w:tab w:val="decimal" w:pos="557"/>
                    </w:tabs>
                    <w:rPr>
                      <w:b/>
                      <w:sz w:val="20"/>
                    </w:rPr>
                  </w:pPr>
                  <w:r w:rsidRPr="00463D96">
                    <w:rPr>
                      <w:b/>
                      <w:sz w:val="20"/>
                    </w:rPr>
                    <w:t>1,493.7</w:t>
                  </w:r>
                </w:p>
              </w:tc>
              <w:tc>
                <w:tcPr>
                  <w:tcW w:w="1247" w:type="dxa"/>
                  <w:shd w:val="clear" w:color="auto" w:fill="D9D9D9" w:themeFill="background1" w:themeFillShade="D9"/>
                </w:tcPr>
                <w:p w14:paraId="6D56D2DF" w14:textId="77777777" w:rsidR="007741BE" w:rsidRPr="00463D96" w:rsidRDefault="007741BE" w:rsidP="00463D96">
                  <w:pPr>
                    <w:pStyle w:val="TableText"/>
                    <w:tabs>
                      <w:tab w:val="decimal" w:pos="557"/>
                    </w:tabs>
                    <w:rPr>
                      <w:b/>
                      <w:sz w:val="20"/>
                    </w:rPr>
                  </w:pPr>
                  <w:r w:rsidRPr="00463D96">
                    <w:rPr>
                      <w:b/>
                      <w:sz w:val="20"/>
                    </w:rPr>
                    <w:t>351.4</w:t>
                  </w:r>
                </w:p>
              </w:tc>
              <w:tc>
                <w:tcPr>
                  <w:tcW w:w="1165" w:type="dxa"/>
                  <w:shd w:val="clear" w:color="auto" w:fill="D9D9D9" w:themeFill="background1" w:themeFillShade="D9"/>
                </w:tcPr>
                <w:p w14:paraId="36E4B1C5" w14:textId="77777777" w:rsidR="007741BE" w:rsidRPr="00463D96" w:rsidRDefault="007741BE" w:rsidP="00463D96">
                  <w:pPr>
                    <w:pStyle w:val="TableText"/>
                    <w:tabs>
                      <w:tab w:val="decimal" w:pos="557"/>
                    </w:tabs>
                    <w:rPr>
                      <w:b/>
                      <w:sz w:val="20"/>
                    </w:rPr>
                  </w:pPr>
                  <w:r w:rsidRPr="00463D96">
                    <w:rPr>
                      <w:b/>
                      <w:sz w:val="20"/>
                      <w:lang w:eastAsia="en-AU"/>
                    </w:rPr>
                    <w:t>1,845.0</w:t>
                  </w:r>
                </w:p>
              </w:tc>
            </w:tr>
          </w:tbl>
          <w:p w14:paraId="3F9548F5" w14:textId="77777777" w:rsidR="007741BE" w:rsidRPr="00463D96" w:rsidRDefault="007741BE" w:rsidP="00463D96">
            <w:pPr>
              <w:pStyle w:val="TableText"/>
              <w:spacing w:before="0" w:after="0"/>
              <w:rPr>
                <w:sz w:val="2"/>
                <w:szCs w:val="2"/>
              </w:rPr>
            </w:pPr>
          </w:p>
          <w:p w14:paraId="5D1CBE3C" w14:textId="77777777" w:rsidR="00463D96" w:rsidRPr="00112190" w:rsidRDefault="00463D96" w:rsidP="00463D96">
            <w:pPr>
              <w:pStyle w:val="TableText"/>
              <w:spacing w:before="0" w:after="0"/>
              <w:rPr>
                <w:sz w:val="6"/>
                <w:szCs w:val="6"/>
              </w:rPr>
            </w:pPr>
          </w:p>
        </w:tc>
      </w:tr>
      <w:tr w:rsidR="00CF2D46" w:rsidRPr="00930A88" w14:paraId="5762B19C" w14:textId="77777777" w:rsidTr="00D67D3B">
        <w:trPr>
          <w:cantSplit/>
        </w:trPr>
        <w:tc>
          <w:tcPr>
            <w:tcW w:w="1152" w:type="dxa"/>
            <w:tcBorders>
              <w:top w:val="single" w:sz="4" w:space="0" w:color="auto"/>
            </w:tcBorders>
          </w:tcPr>
          <w:p w14:paraId="4ACEEE98" w14:textId="77777777" w:rsidR="00CF2D46" w:rsidRPr="00930A88" w:rsidRDefault="00CF2D46" w:rsidP="00D67D3B">
            <w:pPr>
              <w:pStyle w:val="TableText"/>
            </w:pPr>
            <w:r w:rsidRPr="00930A88">
              <w:t>Discussion</w:t>
            </w:r>
          </w:p>
        </w:tc>
        <w:tc>
          <w:tcPr>
            <w:tcW w:w="7920" w:type="dxa"/>
            <w:tcBorders>
              <w:top w:val="single" w:sz="4" w:space="0" w:color="auto"/>
            </w:tcBorders>
          </w:tcPr>
          <w:p w14:paraId="7FA4266A" w14:textId="77777777" w:rsidR="00CF2D46" w:rsidRPr="00930A88" w:rsidRDefault="00CF2D46" w:rsidP="00D67D3B">
            <w:pPr>
              <w:pStyle w:val="TableText"/>
            </w:pPr>
            <w:r w:rsidRPr="00930A88">
              <w:t xml:space="preserve">The new Drug Harm Index is a conservative measure of the harms associated with the use of illicit drugs in New Zealand. The Index </w:t>
            </w:r>
            <w:r>
              <w:t>can</w:t>
            </w:r>
            <w:r w:rsidRPr="00930A88">
              <w:t xml:space="preserve"> be extended to </w:t>
            </w:r>
            <w:r>
              <w:t xml:space="preserve">accommodate </w:t>
            </w:r>
            <w:r w:rsidRPr="00930A88">
              <w:t xml:space="preserve">new </w:t>
            </w:r>
            <w:r>
              <w:t>and</w:t>
            </w:r>
            <w:r w:rsidRPr="00930A88">
              <w:t xml:space="preserve"> emerging drug</w:t>
            </w:r>
            <w:r>
              <w:t>s</w:t>
            </w:r>
            <w:r w:rsidRPr="00930A88">
              <w:t xml:space="preserve"> into the Index in the future. This method will also extend the useful life of the proposed Drug Harm Index.</w:t>
            </w:r>
            <w:r>
              <w:t xml:space="preserve"> It provides new insights into who actually suffers from the burden imposed by illicit drug use.</w:t>
            </w:r>
          </w:p>
        </w:tc>
      </w:tr>
    </w:tbl>
    <w:p w14:paraId="00448651" w14:textId="77777777" w:rsidR="00D67D3B" w:rsidRDefault="00D67D3B" w:rsidP="00745A87"/>
    <w:p w14:paraId="5FE18054" w14:textId="77777777" w:rsidR="00CF2D46" w:rsidRPr="00930A88" w:rsidRDefault="00CF2D46" w:rsidP="00745A87">
      <w:pPr>
        <w:pStyle w:val="Heading1"/>
      </w:pPr>
      <w:r w:rsidRPr="00930A88">
        <w:br w:type="page"/>
      </w:r>
      <w:bookmarkStart w:id="3" w:name="_Toc444941777"/>
      <w:r w:rsidRPr="00930A88">
        <w:t>I</w:t>
      </w:r>
      <w:r w:rsidR="00745A87">
        <w:t>ntroduction</w:t>
      </w:r>
      <w:bookmarkEnd w:id="3"/>
    </w:p>
    <w:p w14:paraId="69050B7A" w14:textId="77777777" w:rsidR="00CF2D46" w:rsidRPr="00930A88" w:rsidRDefault="00CF2D46" w:rsidP="00745A87">
      <w:r w:rsidRPr="00930A88">
        <w:t>The first published Drug Harm Index (DHI) was developed by the Australian Federal Police</w:t>
      </w:r>
      <w:r>
        <w:t xml:space="preserve"> during 2001</w:t>
      </w:r>
      <w:r w:rsidRPr="00930A88">
        <w:t xml:space="preserve"> in response to the Australian Government</w:t>
      </w:r>
      <w:r w:rsidR="00990768">
        <w:t>’</w:t>
      </w:r>
      <w:r w:rsidRPr="00930A88">
        <w:t>s interest in the social impact of its policies to curb the abuse of illicit drugs (McFadden et al, 2002) and subsequently revised in 2003, 2006 and 200</w:t>
      </w:r>
      <w:r>
        <w:t>8</w:t>
      </w:r>
      <w:r w:rsidRPr="00930A88">
        <w:t xml:space="preserve"> (</w:t>
      </w:r>
      <w:proofErr w:type="spellStart"/>
      <w:r w:rsidRPr="00930A88">
        <w:t>Attewell</w:t>
      </w:r>
      <w:proofErr w:type="spellEnd"/>
      <w:r w:rsidRPr="00930A88">
        <w:t xml:space="preserve"> &amp; McFadden, 200</w:t>
      </w:r>
      <w:r>
        <w:t>8</w:t>
      </w:r>
      <w:r w:rsidRPr="00930A88">
        <w:t>). It was followed by other DHIs, including Great Britain in 2005, the United Nations Office on Drugs and Crime (UNODC) in 2005 and New Zealand in 2008 (MacDonald et</w:t>
      </w:r>
      <w:r w:rsidR="00745A87">
        <w:t> </w:t>
      </w:r>
      <w:r w:rsidRPr="00930A88">
        <w:t>al, 2006; UNOD</w:t>
      </w:r>
      <w:r>
        <w:t>C</w:t>
      </w:r>
      <w:r w:rsidRPr="00930A88">
        <w:t>, 2005; Slack et al, 2008).</w:t>
      </w:r>
    </w:p>
    <w:p w14:paraId="0196444E" w14:textId="77777777" w:rsidR="00CF2D46" w:rsidRDefault="00CF2D46" w:rsidP="00745A87">
      <w:r w:rsidRPr="00930A88">
        <w:t xml:space="preserve">As in Australia, the main impetus for the development of a DHI elsewhere was an interest in measuring the impact of </w:t>
      </w:r>
      <w:r>
        <w:t>government</w:t>
      </w:r>
      <w:r w:rsidRPr="00930A88">
        <w:t xml:space="preserve"> policy in relation to illicit drugs. The success or otherwise of </w:t>
      </w:r>
      <w:r>
        <w:t xml:space="preserve">a </w:t>
      </w:r>
      <w:r w:rsidRPr="00930A88">
        <w:t xml:space="preserve">DHI in accomplishing this goal is heavily dependent on the ability to specify in detail what is expected from its </w:t>
      </w:r>
      <w:r w:rsidRPr="00DC2C03">
        <w:t>application. In New Zealand this important step was completed in 2008</w:t>
      </w:r>
      <w:r>
        <w:t>,</w:t>
      </w:r>
      <w:r w:rsidRPr="00DC2C03">
        <w:t xml:space="preserve"> and in the current project </w:t>
      </w:r>
      <w:r>
        <w:t xml:space="preserve">it is </w:t>
      </w:r>
      <w:r w:rsidRPr="00DC2C03">
        <w:t>subject to further revision. The following section provides more detail o</w:t>
      </w:r>
      <w:r>
        <w:t>n</w:t>
      </w:r>
      <w:r w:rsidRPr="00DC2C03">
        <w:t xml:space="preserve"> what is expected of a DHI in the New Zealand context.</w:t>
      </w:r>
    </w:p>
    <w:p w14:paraId="7CC716E9" w14:textId="77777777" w:rsidR="00CF2D46" w:rsidRPr="00930A88" w:rsidRDefault="00CF2D46" w:rsidP="00745A87">
      <w:pPr>
        <w:pStyle w:val="Heading2"/>
      </w:pPr>
      <w:bookmarkStart w:id="4" w:name="_Toc444941778"/>
      <w:r w:rsidRPr="00930A88">
        <w:t>Research scope</w:t>
      </w:r>
      <w:bookmarkEnd w:id="4"/>
    </w:p>
    <w:p w14:paraId="7CC6D9C9" w14:textId="77777777" w:rsidR="00CF2D46" w:rsidRPr="00930A88" w:rsidRDefault="00CF2D46" w:rsidP="00CF2D46">
      <w:pPr>
        <w:spacing w:line="276" w:lineRule="auto"/>
      </w:pPr>
      <w:r w:rsidRPr="00930A88">
        <w:t xml:space="preserve">The scope of the task </w:t>
      </w:r>
      <w:r>
        <w:t>was</w:t>
      </w:r>
      <w:r w:rsidRPr="00930A88">
        <w:t xml:space="preserve"> defined in the Request for Proposal issued </w:t>
      </w:r>
      <w:r>
        <w:t xml:space="preserve">by the Ministry of Health </w:t>
      </w:r>
      <w:r w:rsidRPr="00930A88">
        <w:t>on 29</w:t>
      </w:r>
      <w:r w:rsidR="00D05B3E">
        <w:t> </w:t>
      </w:r>
      <w:r w:rsidRPr="00930A88">
        <w:t>May 2015. An excerpt is provided here to clarify the purpose of the project.</w:t>
      </w:r>
    </w:p>
    <w:p w14:paraId="739DE409" w14:textId="77777777" w:rsidR="00990768" w:rsidRDefault="00CF2D46" w:rsidP="00D05B3E">
      <w:pPr>
        <w:pStyle w:val="Quote"/>
        <w:rPr>
          <w:i w:val="0"/>
        </w:rPr>
      </w:pPr>
      <w:r w:rsidRPr="00930A88">
        <w:t>The Ministry of Health</w:t>
      </w:r>
      <w:r w:rsidRPr="00930A88">
        <w:rPr>
          <w:b/>
          <w:bCs/>
        </w:rPr>
        <w:t xml:space="preserve"> </w:t>
      </w:r>
      <w:r w:rsidRPr="00930A88">
        <w:t>is seeking Proposals from organisations with the skills and expertise necessary to develop an updated Drug Harm Index that builds on previous work in 2008. The new Drug Harm Index will provide a comprehensive evaluation of the costs of harmful illicit drug use, focusing on the social cost of use per drug type. This is subject to the agreement of parameters and methodology for developing a new updated Drug Harm Index. As well as the drug types considered in the previous Index, this Index will consider NBOMEs and other unapproved psychoactive substances, reflecting the ever changing drug scene in New Zealand. As part of this work, we require Respondents to:</w:t>
      </w:r>
    </w:p>
    <w:p w14:paraId="0B421C64" w14:textId="77777777" w:rsidR="00990768" w:rsidRDefault="00CF2D46" w:rsidP="000779D5">
      <w:pPr>
        <w:pStyle w:val="Quote"/>
        <w:numPr>
          <w:ilvl w:val="0"/>
          <w:numId w:val="6"/>
        </w:numPr>
        <w:spacing w:before="60"/>
        <w:ind w:left="851" w:hanging="284"/>
        <w:rPr>
          <w:i w:val="0"/>
        </w:rPr>
      </w:pPr>
      <w:r w:rsidRPr="00930A88">
        <w:t>Develop and agree a methodology for a new Drug Harm Index</w:t>
      </w:r>
    </w:p>
    <w:p w14:paraId="0247EA32" w14:textId="77777777" w:rsidR="00990768" w:rsidRDefault="00CF2D46" w:rsidP="000779D5">
      <w:pPr>
        <w:pStyle w:val="Quote"/>
        <w:numPr>
          <w:ilvl w:val="0"/>
          <w:numId w:val="6"/>
        </w:numPr>
        <w:spacing w:before="60"/>
        <w:ind w:left="851" w:hanging="284"/>
        <w:rPr>
          <w:i w:val="0"/>
        </w:rPr>
      </w:pPr>
      <w:r w:rsidRPr="00930A88">
        <w:t>Develop a new Drug Harm Index</w:t>
      </w:r>
    </w:p>
    <w:p w14:paraId="1BF026AE" w14:textId="77777777" w:rsidR="00990768" w:rsidRDefault="00CF2D46" w:rsidP="000779D5">
      <w:pPr>
        <w:pStyle w:val="Quote"/>
        <w:numPr>
          <w:ilvl w:val="0"/>
          <w:numId w:val="6"/>
        </w:numPr>
        <w:spacing w:before="60"/>
        <w:ind w:left="851" w:hanging="284"/>
        <w:rPr>
          <w:i w:val="0"/>
        </w:rPr>
      </w:pPr>
      <w:r w:rsidRPr="00930A88">
        <w:t>Provide other relevant advice, including how the Drug Harm Index can be maintained</w:t>
      </w:r>
      <w:r>
        <w:t>.</w:t>
      </w:r>
    </w:p>
    <w:p w14:paraId="6708A2A0" w14:textId="77777777" w:rsidR="00CF2D46" w:rsidRPr="00AB5DB3" w:rsidRDefault="00CF2D46" w:rsidP="00D05B3E">
      <w:pPr>
        <w:pStyle w:val="Quote"/>
      </w:pPr>
      <w:r w:rsidRPr="00930A88">
        <w:t>Development of a new Drug Harm Index and the associated report should assist agencies assess the costs and benefits of their current interventions; assist agencies evaluate how effective they have been in achieving the aims of the National Alcohol and Other Drug Policy; alert policy makers to the cost of harms associated with new drugs that have been introduced or are becoming more prevalent; help guide future enforcement activities and harm reduction strategies; and to inform future advice about how best to manage a reduction in harm caused by illicit drugs.</w:t>
      </w:r>
      <w:r w:rsidRPr="00AB5DB3">
        <w:rPr>
          <w:rStyle w:val="FootnoteReference"/>
        </w:rPr>
        <w:footnoteReference w:id="1"/>
      </w:r>
    </w:p>
    <w:p w14:paraId="5153B48F" w14:textId="77777777" w:rsidR="00990768" w:rsidRDefault="00CF2D46" w:rsidP="00D05B3E">
      <w:r w:rsidRPr="009F14D7">
        <w:t>The project is a collaborative one</w:t>
      </w:r>
      <w:r>
        <w:t>,</w:t>
      </w:r>
      <w:r w:rsidRPr="009F14D7">
        <w:t xml:space="preserve"> with the active involvement of a number of </w:t>
      </w:r>
      <w:r>
        <w:t>government</w:t>
      </w:r>
      <w:r w:rsidRPr="009F14D7">
        <w:t xml:space="preserve"> and non-</w:t>
      </w:r>
      <w:r>
        <w:t>government</w:t>
      </w:r>
      <w:r w:rsidRPr="009F14D7">
        <w:t xml:space="preserve"> agencies. The project relies on work that </w:t>
      </w:r>
      <w:r>
        <w:t xml:space="preserve">has </w:t>
      </w:r>
      <w:r w:rsidRPr="009F14D7">
        <w:t>gone before</w:t>
      </w:r>
      <w:r>
        <w:t>,</w:t>
      </w:r>
      <w:r w:rsidRPr="009F14D7">
        <w:t xml:space="preserve"> including research by Slack and others on behalf of the New Zealand Police (Slack et al, 2008)</w:t>
      </w:r>
      <w:r>
        <w:t>,</w:t>
      </w:r>
      <w:r w:rsidRPr="009F14D7">
        <w:t xml:space="preserve"> </w:t>
      </w:r>
      <w:r>
        <w:t xml:space="preserve">the </w:t>
      </w:r>
      <w:r w:rsidRPr="009F14D7">
        <w:t>original research by the Australian Federal Police (</w:t>
      </w:r>
      <w:proofErr w:type="spellStart"/>
      <w:r w:rsidRPr="009F14D7">
        <w:t>Attewell</w:t>
      </w:r>
      <w:proofErr w:type="spellEnd"/>
      <w:r w:rsidRPr="009F14D7">
        <w:t xml:space="preserve"> &amp; McFadden, 2008)</w:t>
      </w:r>
      <w:r>
        <w:t>, Moore</w:t>
      </w:r>
      <w:r w:rsidR="00990768">
        <w:t>’</w:t>
      </w:r>
      <w:r>
        <w:t>s estimates of harms per kilogram of drug consumed (Moore, 2007), and the expert panel survey of drug harms (Nutt et al, 2010)</w:t>
      </w:r>
      <w:r w:rsidRPr="009F14D7">
        <w:t>. The current study was constructed on the foundations laid by these earlier works.</w:t>
      </w:r>
    </w:p>
    <w:p w14:paraId="1342A306" w14:textId="77777777" w:rsidR="00CF2D46" w:rsidRPr="009F14D7" w:rsidRDefault="00CF2D46" w:rsidP="00177412">
      <w:r w:rsidRPr="009F14D7">
        <w:t xml:space="preserve">There are core components of the DHI </w:t>
      </w:r>
      <w:r>
        <w:t>that</w:t>
      </w:r>
      <w:r w:rsidRPr="009F14D7">
        <w:t xml:space="preserve"> have remained the same through </w:t>
      </w:r>
      <w:r>
        <w:t xml:space="preserve">the </w:t>
      </w:r>
      <w:r w:rsidRPr="009F14D7">
        <w:t>various versions:</w:t>
      </w:r>
    </w:p>
    <w:p w14:paraId="7E74E52F" w14:textId="77777777" w:rsidR="00CF2D46" w:rsidRPr="009F14D7" w:rsidRDefault="00CF2D46" w:rsidP="00177412">
      <w:pPr>
        <w:pStyle w:val="Bullet"/>
      </w:pPr>
      <w:r>
        <w:t>t</w:t>
      </w:r>
      <w:r w:rsidRPr="009F14D7">
        <w:t>he identification of drugs of interest</w:t>
      </w:r>
      <w:r>
        <w:t xml:space="preserve"> − these include all illicit drugs and legal drugs diverted to the illicit market (alcohol and tobacco are excluded)</w:t>
      </w:r>
    </w:p>
    <w:p w14:paraId="65892B44" w14:textId="77777777" w:rsidR="00CF2D46" w:rsidRPr="009F14D7" w:rsidRDefault="00CF2D46" w:rsidP="00177412">
      <w:pPr>
        <w:pStyle w:val="Bullet"/>
      </w:pPr>
      <w:r>
        <w:t>a</w:t>
      </w:r>
      <w:r w:rsidRPr="009F14D7">
        <w:t>n estimate of the total harm to the community caused by illicit drugs</w:t>
      </w:r>
      <w:r>
        <w:t xml:space="preserve">, </w:t>
      </w:r>
      <w:r w:rsidRPr="009F14D7">
        <w:t xml:space="preserve">expressed in </w:t>
      </w:r>
      <w:r>
        <w:t>dollar</w:t>
      </w:r>
      <w:r w:rsidRPr="009F14D7">
        <w:t xml:space="preserve"> terms</w:t>
      </w:r>
      <w:r>
        <w:t xml:space="preserve"> (all dollars are New Zealand dollars unless otherwise stated)</w:t>
      </w:r>
    </w:p>
    <w:p w14:paraId="5A4DBED2" w14:textId="77777777" w:rsidR="00CF2D46" w:rsidRPr="009F14D7" w:rsidRDefault="00CF2D46" w:rsidP="00177412">
      <w:pPr>
        <w:pStyle w:val="Bullet"/>
      </w:pPr>
      <w:r>
        <w:t>a</w:t>
      </w:r>
      <w:r w:rsidRPr="009F14D7">
        <w:t xml:space="preserve"> method for distributing these costs against drugs of interest</w:t>
      </w:r>
    </w:p>
    <w:p w14:paraId="739E6670" w14:textId="77777777" w:rsidR="00CF2D46" w:rsidRDefault="00CF2D46" w:rsidP="00177412">
      <w:pPr>
        <w:pStyle w:val="Bullet"/>
      </w:pPr>
      <w:r>
        <w:t>a</w:t>
      </w:r>
      <w:r w:rsidRPr="009F14D7">
        <w:t>n estimate of consumption for each drug of interest</w:t>
      </w:r>
    </w:p>
    <w:p w14:paraId="1ECCC2F6" w14:textId="77777777" w:rsidR="00CF2D46" w:rsidRPr="009F14D7" w:rsidRDefault="00CF2D46" w:rsidP="00177412">
      <w:pPr>
        <w:pStyle w:val="Bullet"/>
      </w:pPr>
      <w:r>
        <w:t>calculation of total dollar harm for each drug of interest</w:t>
      </w:r>
    </w:p>
    <w:p w14:paraId="30601CFA" w14:textId="77777777" w:rsidR="00CF2D46" w:rsidRDefault="00CF2D46" w:rsidP="00177412">
      <w:pPr>
        <w:pStyle w:val="Bullet"/>
      </w:pPr>
      <w:proofErr w:type="gramStart"/>
      <w:r>
        <w:t>t</w:t>
      </w:r>
      <w:r w:rsidRPr="009F14D7">
        <w:t>he</w:t>
      </w:r>
      <w:proofErr w:type="gramEnd"/>
      <w:r w:rsidRPr="009F14D7">
        <w:t xml:space="preserve"> calculation of an average </w:t>
      </w:r>
      <w:r>
        <w:t>dollar</w:t>
      </w:r>
      <w:r w:rsidRPr="009F14D7">
        <w:t xml:space="preserve"> harm per kilogram of specific drug consumed.</w:t>
      </w:r>
    </w:p>
    <w:p w14:paraId="724472D7" w14:textId="77777777" w:rsidR="00CF2D46" w:rsidRPr="00F91AAA" w:rsidRDefault="00CF2D46" w:rsidP="00177412">
      <w:r>
        <w:t>In addition, the original New Zealand DHI has an estimate of dollar harm per drug user.</w:t>
      </w:r>
    </w:p>
    <w:p w14:paraId="46F6A202" w14:textId="77777777" w:rsidR="00CF2D46" w:rsidRPr="009F14D7" w:rsidRDefault="00CF2D46" w:rsidP="00177412">
      <w:r w:rsidRPr="009F14D7">
        <w:t xml:space="preserve">The first task of the current project was to update existing estimates. </w:t>
      </w:r>
      <w:r>
        <w:t>The s</w:t>
      </w:r>
      <w:r w:rsidRPr="009F14D7">
        <w:t xml:space="preserve">econd task </w:t>
      </w:r>
      <w:r>
        <w:t>was</w:t>
      </w:r>
      <w:r w:rsidRPr="009F14D7">
        <w:t xml:space="preserve"> to </w:t>
      </w:r>
      <w:r>
        <w:t xml:space="preserve">calculate </w:t>
      </w:r>
      <w:r w:rsidRPr="009F14D7">
        <w:t>estimates of harm for new and emerging drugs. The latter is a major issue for maintaining the relevance of the DHI. The issue is not dissimilar from the problem of dealing with existing drugs whose harms are not well known</w:t>
      </w:r>
      <w:r>
        <w:t>,</w:t>
      </w:r>
      <w:r w:rsidRPr="009F14D7">
        <w:t xml:space="preserve"> and the solution, as indicated later,</w:t>
      </w:r>
      <w:r>
        <w:t xml:space="preserve"> is</w:t>
      </w:r>
      <w:r w:rsidRPr="009F14D7">
        <w:t xml:space="preserve"> the same.</w:t>
      </w:r>
    </w:p>
    <w:p w14:paraId="7EB202F6" w14:textId="77777777" w:rsidR="00CF2D46" w:rsidRPr="00930A88" w:rsidRDefault="00CF2D46" w:rsidP="00177412">
      <w:pPr>
        <w:pStyle w:val="Heading2"/>
      </w:pPr>
      <w:bookmarkStart w:id="5" w:name="_Toc444941779"/>
      <w:r w:rsidRPr="00930A88">
        <w:t>Report structure</w:t>
      </w:r>
      <w:bookmarkEnd w:id="5"/>
    </w:p>
    <w:p w14:paraId="0E288836" w14:textId="77777777" w:rsidR="00CF2D46" w:rsidRPr="00930A88" w:rsidRDefault="00CF2D46" w:rsidP="00177412">
      <w:r>
        <w:t>There are differences in the content and method employed in this version compared with the original version of the New Zealand DHI.</w:t>
      </w:r>
      <w:r w:rsidRPr="00930A88">
        <w:t xml:space="preserve"> The current report adopts a different methodology, introduces some innovative techniques and varies from the approach adopted in the earlier report</w:t>
      </w:r>
      <w:r>
        <w:t>,</w:t>
      </w:r>
      <w:r w:rsidRPr="00930A88">
        <w:t xml:space="preserve"> where t</w:t>
      </w:r>
      <w:r>
        <w:t>his</w:t>
      </w:r>
      <w:r w:rsidRPr="00930A88">
        <w:t xml:space="preserve"> was deemed appropriate. The emphasis was </w:t>
      </w:r>
      <w:r>
        <w:t xml:space="preserve">on </w:t>
      </w:r>
      <w:r w:rsidRPr="00930A88">
        <w:t xml:space="preserve">building on the earlier report rather than replacing </w:t>
      </w:r>
      <w:r>
        <w:t xml:space="preserve">it </w:t>
      </w:r>
      <w:r w:rsidRPr="00930A88">
        <w:t>or copying its approach.</w:t>
      </w:r>
      <w:r>
        <w:t xml:space="preserve"> Nevertheless, in order to assist the reader in cross-referencing the two studies, this </w:t>
      </w:r>
      <w:r w:rsidRPr="00930A88">
        <w:t>report has been structured</w:t>
      </w:r>
      <w:r>
        <w:t xml:space="preserve"> as far as possible to reflect the structure of </w:t>
      </w:r>
      <w:r w:rsidRPr="00930A88">
        <w:t>the earlier DHI report (Slack et al, 2008).</w:t>
      </w:r>
    </w:p>
    <w:p w14:paraId="43FE485F" w14:textId="77777777" w:rsidR="00990768" w:rsidRDefault="00CF2D46" w:rsidP="00177412">
      <w:r>
        <w:t xml:space="preserve">Following this introduction, </w:t>
      </w:r>
      <w:r w:rsidRPr="00930A88">
        <w:t>the report review</w:t>
      </w:r>
      <w:r>
        <w:t>s</w:t>
      </w:r>
      <w:r w:rsidRPr="00930A88">
        <w:t xml:space="preserve"> existing knowledge and its implications for th</w:t>
      </w:r>
      <w:r>
        <w:t>e</w:t>
      </w:r>
      <w:r w:rsidRPr="00930A88">
        <w:t xml:space="preserve"> project</w:t>
      </w:r>
      <w:r>
        <w:t>,</w:t>
      </w:r>
      <w:r w:rsidRPr="00930A88">
        <w:t xml:space="preserve"> before outlining </w:t>
      </w:r>
      <w:r>
        <w:t>the</w:t>
      </w:r>
      <w:r w:rsidRPr="00930A88">
        <w:t xml:space="preserve"> method in detail. This is followed by an overview of drug use in New Zealand. Next</w:t>
      </w:r>
      <w:r>
        <w:t xml:space="preserve"> comes</w:t>
      </w:r>
      <w:r w:rsidRPr="00930A88">
        <w:t xml:space="preserve"> </w:t>
      </w:r>
      <w:r>
        <w:t>a</w:t>
      </w:r>
      <w:r w:rsidRPr="00930A88">
        <w:t xml:space="preserve"> section on drug harm calculation</w:t>
      </w:r>
      <w:r>
        <w:t>, which</w:t>
      </w:r>
      <w:r w:rsidRPr="00930A88">
        <w:t xml:space="preserve"> is the backbone of the report </w:t>
      </w:r>
      <w:r>
        <w:t>and has</w:t>
      </w:r>
      <w:r w:rsidRPr="00930A88">
        <w:t xml:space="preserve"> a matching degree of detail. The results and recommendation</w:t>
      </w:r>
      <w:r>
        <w:t>s</w:t>
      </w:r>
      <w:r w:rsidRPr="00930A88">
        <w:t xml:space="preserve"> sections describe the output of the calculation and their implications. </w:t>
      </w:r>
      <w:r>
        <w:t>Separate sections are devoted to the practical application of the new DHI and a consideration of potential future directions for the maintenance and application of the DHI.</w:t>
      </w:r>
    </w:p>
    <w:p w14:paraId="0D2B4CAA" w14:textId="77777777" w:rsidR="00CF2D46" w:rsidRDefault="00CF2D46" w:rsidP="00177412">
      <w:r>
        <w:t xml:space="preserve">There are two technical attachments to the report. These are included for individuals with both the interest and skills to follow the logic of the processes involved in compiling the New Zealand DHI 2016. </w:t>
      </w:r>
      <w:r w:rsidRPr="00C86F52">
        <w:t>Attachment</w:t>
      </w:r>
      <w:r>
        <w:t xml:space="preserve"> A provides details of the methods used to estimate the extent of drug consumption, and Attachment B has a similar level of detail in relation to the calculation of harm. These calculations are necessarily complex, and further information or explanation can be obtained by contacting the author.</w:t>
      </w:r>
    </w:p>
    <w:p w14:paraId="5128DBAA" w14:textId="77777777" w:rsidR="00CF2D46" w:rsidRPr="00930A88" w:rsidRDefault="00CF2D46" w:rsidP="00177412">
      <w:pPr>
        <w:keepLines/>
      </w:pPr>
      <w:r>
        <w:t>The report also includes a number of observations arising from the development of the DHI. These are items of interest related to the purpose of the paper but not essential to understanding its main theme. The reader may safely ignore these inserts, which are clearly labelled. For some, these will provide greater insight into the workings and implications of the new DHI.</w:t>
      </w:r>
    </w:p>
    <w:p w14:paraId="277FF4A8" w14:textId="77777777" w:rsidR="00990768" w:rsidRDefault="00CF2D46" w:rsidP="00177412">
      <w:r w:rsidRPr="00CB69E8">
        <w:t xml:space="preserve">It should be noted that the development of a DHI involves the specification of a complex model with numerous assumptions. It is preferable that all such assumptions </w:t>
      </w:r>
      <w:r>
        <w:t>be made</w:t>
      </w:r>
      <w:r w:rsidRPr="00CB69E8">
        <w:t xml:space="preserve"> explicit</w:t>
      </w:r>
      <w:r>
        <w:t>,</w:t>
      </w:r>
      <w:r w:rsidRPr="00CB69E8">
        <w:t xml:space="preserve"> but in practice this is not always the case. Typically, researchers will describe the assumptions underlying their model; they are less likely to describe the assumptions underlying estimates imported from other sources.</w:t>
      </w:r>
    </w:p>
    <w:p w14:paraId="72D99A15" w14:textId="77777777" w:rsidR="00CF2D46" w:rsidRDefault="00CF2D46" w:rsidP="00177412">
      <w:r>
        <w:t xml:space="preserve">Due to their complexity models are not really </w:t>
      </w:r>
      <w:r w:rsidR="00990768">
        <w:t>‘</w:t>
      </w:r>
      <w:r>
        <w:t>right</w:t>
      </w:r>
      <w:r w:rsidR="00990768">
        <w:t>’</w:t>
      </w:r>
      <w:r>
        <w:t xml:space="preserve"> or </w:t>
      </w:r>
      <w:r w:rsidR="00990768">
        <w:t>‘</w:t>
      </w:r>
      <w:r>
        <w:t>wrong</w:t>
      </w:r>
      <w:r w:rsidR="00990768">
        <w:t>’</w:t>
      </w:r>
      <w:r>
        <w:t>. Rather their validity is assessed by how well they fit the world they are attempting to describe. The critical aspect of any model is to be sufficiently transparent to permit an independent evaluation of its worth. In keeping with this approach, the current report was subject to independent professional review.</w:t>
      </w:r>
    </w:p>
    <w:p w14:paraId="20F91BA8" w14:textId="77777777" w:rsidR="00CF2D46" w:rsidRDefault="00CF2D46" w:rsidP="00CF2D46">
      <w:r>
        <w:br w:type="page"/>
      </w:r>
    </w:p>
    <w:p w14:paraId="0FA6B19C" w14:textId="77777777" w:rsidR="00CF2D46" w:rsidRPr="00930A88" w:rsidRDefault="00CF2D46" w:rsidP="00177412">
      <w:pPr>
        <w:pStyle w:val="Heading1"/>
      </w:pPr>
      <w:bookmarkStart w:id="6" w:name="_Toc444941780"/>
      <w:r w:rsidRPr="00930A88">
        <w:t>B</w:t>
      </w:r>
      <w:r w:rsidR="00177412">
        <w:t>ackground</w:t>
      </w:r>
      <w:bookmarkEnd w:id="6"/>
    </w:p>
    <w:p w14:paraId="08F85C48" w14:textId="77777777" w:rsidR="00990768" w:rsidRDefault="00CF2D46" w:rsidP="00177412">
      <w:r w:rsidRPr="00930A88">
        <w:t xml:space="preserve">This section provides a brief history of DHIs developed in New Zealand and elsewhere. The following summary is based largely on that </w:t>
      </w:r>
      <w:r>
        <w:t xml:space="preserve">produced </w:t>
      </w:r>
      <w:r w:rsidRPr="00930A88">
        <w:t xml:space="preserve">by </w:t>
      </w:r>
      <w:proofErr w:type="spellStart"/>
      <w:r w:rsidRPr="00930A88">
        <w:t>Attewell</w:t>
      </w:r>
      <w:proofErr w:type="spellEnd"/>
      <w:r w:rsidRPr="00930A88">
        <w:t xml:space="preserve"> and McFadden (200</w:t>
      </w:r>
      <w:r>
        <w:t>8</w:t>
      </w:r>
      <w:r w:rsidRPr="00930A88">
        <w:t>). In fact, 200</w:t>
      </w:r>
      <w:r>
        <w:t>8</w:t>
      </w:r>
      <w:r w:rsidRPr="00930A88">
        <w:t xml:space="preserve"> marks a watershed year in relation </w:t>
      </w:r>
      <w:r>
        <w:t>to the development of DHIs. Six</w:t>
      </w:r>
      <w:r w:rsidRPr="00930A88">
        <w:t xml:space="preserve"> separate DHIs were </w:t>
      </w:r>
      <w:r>
        <w:t>developed in the years 2001−2008</w:t>
      </w:r>
      <w:r w:rsidRPr="00930A88">
        <w:t xml:space="preserve"> and none since. </w:t>
      </w:r>
      <w:r>
        <w:t>The summary</w:t>
      </w:r>
      <w:r w:rsidRPr="00930A88">
        <w:t xml:space="preserve"> is followed by a literature review of relevant</w:t>
      </w:r>
      <w:r>
        <w:t>,</w:t>
      </w:r>
      <w:r w:rsidRPr="00930A88">
        <w:t xml:space="preserve"> though sparse</w:t>
      </w:r>
      <w:r>
        <w:t>,</w:t>
      </w:r>
      <w:r w:rsidRPr="00930A88">
        <w:t xml:space="preserve"> post</w:t>
      </w:r>
      <w:r>
        <w:t>-</w:t>
      </w:r>
      <w:r w:rsidRPr="00930A88">
        <w:t>200</w:t>
      </w:r>
      <w:r>
        <w:t>8</w:t>
      </w:r>
      <w:r w:rsidRPr="00930A88">
        <w:t xml:space="preserve"> publications.</w:t>
      </w:r>
    </w:p>
    <w:p w14:paraId="3AF8E8E2" w14:textId="77777777" w:rsidR="00CF2D46" w:rsidRPr="006D2A40" w:rsidRDefault="00CF2D46" w:rsidP="00177412">
      <w:pPr>
        <w:pStyle w:val="Heading2"/>
      </w:pPr>
      <w:bookmarkStart w:id="7" w:name="_Toc444941781"/>
      <w:r>
        <w:t>A b</w:t>
      </w:r>
      <w:r w:rsidRPr="006D2A40">
        <w:t>rief history</w:t>
      </w:r>
      <w:bookmarkEnd w:id="7"/>
    </w:p>
    <w:p w14:paraId="7A0AFED0" w14:textId="77777777" w:rsidR="00CF2D46" w:rsidRPr="00930A88" w:rsidRDefault="00CF2D46" w:rsidP="00177412">
      <w:r w:rsidRPr="00930A88">
        <w:t xml:space="preserve">As indicated earlier, the first published </w:t>
      </w:r>
      <w:r>
        <w:t>DHI</w:t>
      </w:r>
      <w:r w:rsidRPr="00930A88">
        <w:t xml:space="preserve"> was developed for the Australian Federal Police in 2001. At that time the development of an index was in response to two quite separate issues</w:t>
      </w:r>
      <w:r>
        <w:t>.</w:t>
      </w:r>
    </w:p>
    <w:p w14:paraId="12DE742A" w14:textId="77777777" w:rsidR="00CF2D46" w:rsidRPr="00930A88" w:rsidRDefault="00CF2D46" w:rsidP="00177412">
      <w:pPr>
        <w:pStyle w:val="Bullet"/>
      </w:pPr>
      <w:r w:rsidRPr="00930A88">
        <w:t>Law enforcement had long struggled with the reporting and interpretation of illicit drug seizures. There were</w:t>
      </w:r>
      <w:r>
        <w:t>,</w:t>
      </w:r>
      <w:r w:rsidRPr="00930A88">
        <w:t xml:space="preserve"> and still are</w:t>
      </w:r>
      <w:r>
        <w:t>,</w:t>
      </w:r>
      <w:r w:rsidRPr="00930A88">
        <w:t xml:space="preserve"> two options for most agencies. Reporting the number and weight of seizures by drug type provides an accurate picture of what has occurred</w:t>
      </w:r>
      <w:r>
        <w:t>,</w:t>
      </w:r>
      <w:r w:rsidRPr="00930A88">
        <w:t xml:space="preserve"> but it is difficult to interpret</w:t>
      </w:r>
      <w:r>
        <w:t xml:space="preserve"> in terms of general trends</w:t>
      </w:r>
      <w:r w:rsidRPr="00930A88">
        <w:t>. A decrease in seizures of one drug type might be counterbalanced by an increase for another drug type. The alternative is simply to report the aggregate number and weight for all seizures across all drug types. This has the benefit of being a single number</w:t>
      </w:r>
      <w:r>
        <w:t>,</w:t>
      </w:r>
      <w:r w:rsidRPr="00930A88">
        <w:t xml:space="preserve"> but it is remarkably coarse.</w:t>
      </w:r>
    </w:p>
    <w:p w14:paraId="7B1B39CF" w14:textId="77777777" w:rsidR="00CF2D46" w:rsidRPr="00930A88" w:rsidRDefault="00CF2D46" w:rsidP="00177412">
      <w:pPr>
        <w:pStyle w:val="Bullet"/>
      </w:pPr>
      <w:r w:rsidRPr="00930A88">
        <w:t>The Australian Government had introduced an output</w:t>
      </w:r>
      <w:r>
        <w:t>−</w:t>
      </w:r>
      <w:r w:rsidRPr="00930A88">
        <w:t xml:space="preserve">outcome reporting regime for Commonwealth </w:t>
      </w:r>
      <w:r>
        <w:t>d</w:t>
      </w:r>
      <w:r w:rsidRPr="00930A88">
        <w:t>epartments to increase departmental accountability and shift agenc</w:t>
      </w:r>
      <w:r>
        <w:t>ies</w:t>
      </w:r>
      <w:r w:rsidR="00990768">
        <w:t>’</w:t>
      </w:r>
      <w:r w:rsidRPr="00930A88">
        <w:t xml:space="preserve"> perspective from an emphasis on properly acquitting </w:t>
      </w:r>
      <w:r>
        <w:t xml:space="preserve">the </w:t>
      </w:r>
      <w:r w:rsidRPr="00930A88">
        <w:t>funds provided to an emphasis on the social impacts of government program</w:t>
      </w:r>
      <w:r>
        <w:t>me</w:t>
      </w:r>
      <w:r w:rsidRPr="00930A88">
        <w:t>s.</w:t>
      </w:r>
    </w:p>
    <w:p w14:paraId="5E85B023" w14:textId="77777777" w:rsidR="00CF2D46" w:rsidRPr="00930A88" w:rsidRDefault="00CF2D46" w:rsidP="00177412">
      <w:r w:rsidRPr="00930A88">
        <w:t>Nearly all public sector agencies struggle with measuring the social impact of their program</w:t>
      </w:r>
      <w:r>
        <w:t>me</w:t>
      </w:r>
      <w:r w:rsidRPr="00930A88">
        <w:t>s. This is hardly surprising given that government program</w:t>
      </w:r>
      <w:r>
        <w:t>me</w:t>
      </w:r>
      <w:r w:rsidRPr="00930A88">
        <w:t>s operate in complex environments</w:t>
      </w:r>
      <w:r>
        <w:t>,</w:t>
      </w:r>
      <w:r w:rsidRPr="00930A88">
        <w:t xml:space="preserve"> with many other players, forces and environmental factors involved. The original D</w:t>
      </w:r>
      <w:r>
        <w:t>HI</w:t>
      </w:r>
      <w:r w:rsidRPr="00930A88">
        <w:t xml:space="preserve"> provided law enforcement with a way of reporting its drug seizure activity in a single meaningful number that also represented the dollar value of its social impact to the community. In 2007 the Victorian Police began develop</w:t>
      </w:r>
      <w:r>
        <w:t>ing</w:t>
      </w:r>
      <w:r w:rsidRPr="00930A88">
        <w:t xml:space="preserve"> </w:t>
      </w:r>
      <w:r>
        <w:t>a</w:t>
      </w:r>
      <w:r w:rsidRPr="00930A88">
        <w:t xml:space="preserve"> </w:t>
      </w:r>
      <w:r>
        <w:t>DHI,</w:t>
      </w:r>
      <w:r w:rsidRPr="00930A88">
        <w:t xml:space="preserve"> and one year later the New Zealand Police introduced </w:t>
      </w:r>
      <w:r>
        <w:t>its</w:t>
      </w:r>
      <w:r w:rsidRPr="00930A88">
        <w:t xml:space="preserve"> own version (Willis et al, 2010; Slack et al, 2008).</w:t>
      </w:r>
    </w:p>
    <w:p w14:paraId="49C304F5" w14:textId="77777777" w:rsidR="00CF2D46" w:rsidRPr="00930A88" w:rsidRDefault="00CF2D46" w:rsidP="00177412">
      <w:r w:rsidRPr="00930A88">
        <w:t>Although the D</w:t>
      </w:r>
      <w:r>
        <w:t>HI</w:t>
      </w:r>
      <w:r w:rsidRPr="00930A88">
        <w:t xml:space="preserve"> was originally developed in a law enforcement context, its wider applicability was soon recognised</w:t>
      </w:r>
      <w:r>
        <w:t xml:space="preserve"> in</w:t>
      </w:r>
      <w:r w:rsidRPr="00930A88">
        <w:t xml:space="preserve"> that a single index would be of value in tracking the total harm caused </w:t>
      </w:r>
      <w:r>
        <w:t xml:space="preserve">by </w:t>
      </w:r>
      <w:r w:rsidRPr="00930A88">
        <w:t>illicit drugs. This approach involves a weighted aggregate of key harm measures such as mortality, morbidity</w:t>
      </w:r>
      <w:r>
        <w:t xml:space="preserve"> and</w:t>
      </w:r>
      <w:r w:rsidRPr="00930A88">
        <w:t xml:space="preserve"> drug</w:t>
      </w:r>
      <w:r>
        <w:t>-</w:t>
      </w:r>
      <w:r w:rsidRPr="00930A88">
        <w:t>related crime. It was this latter</w:t>
      </w:r>
      <w:r>
        <w:t xml:space="preserve"> </w:t>
      </w:r>
      <w:r w:rsidRPr="00930A88">
        <w:t>application</w:t>
      </w:r>
      <w:r>
        <w:t xml:space="preserve"> that</w:t>
      </w:r>
      <w:r w:rsidRPr="00930A88">
        <w:t xml:space="preserve"> led to the development of the Home Office Drug Harm Index in the United Kingdom in 2004 (MacDonald et al, 2006). A similar approach was adopted by the UNODC in developing its Illicit Drug Index in 2005 to provide a single measure of harm across regions and countries</w:t>
      </w:r>
      <w:r>
        <w:t>,</w:t>
      </w:r>
      <w:r w:rsidRPr="00930A88">
        <w:t xml:space="preserve"> and across </w:t>
      </w:r>
      <w:r w:rsidRPr="00CE01F0">
        <w:t>time (UNODC, 2005</w:t>
      </w:r>
      <w:r w:rsidRPr="00930A88">
        <w:t xml:space="preserve">, 2006). An excerpt from </w:t>
      </w:r>
      <w:proofErr w:type="spellStart"/>
      <w:r w:rsidRPr="00930A88">
        <w:t>Attewell</w:t>
      </w:r>
      <w:proofErr w:type="spellEnd"/>
      <w:r w:rsidRPr="00930A88">
        <w:t xml:space="preserve"> and </w:t>
      </w:r>
      <w:r>
        <w:t>McFadden (2008)</w:t>
      </w:r>
      <w:r w:rsidRPr="00930A88">
        <w:t xml:space="preserve"> provides a summary of the similarities and differences between the various measures</w:t>
      </w:r>
      <w:r>
        <w:t>:</w:t>
      </w:r>
    </w:p>
    <w:p w14:paraId="59A20777" w14:textId="77777777" w:rsidR="00CF2D46" w:rsidRPr="00930A88" w:rsidRDefault="00CF2D46" w:rsidP="00177412">
      <w:pPr>
        <w:pStyle w:val="Quote"/>
      </w:pPr>
      <w:r w:rsidRPr="00930A88">
        <w:t xml:space="preserve">All are used as summary measurements to compare policy outcomes either internally or externally. However, there are differences in approach and method. The United Kingdom index concentrates on a set of measurable indicators that are related to the social harms caused by drugs. The index for the base year (1988) was set at 100, and subsequent levels of harm were plotted against that point. Thus, it is a relative rather than an absolute measure of harm. The AFP and New Zealand indices share the same methodology, the only difference being that AFP had an independent estimate of the economic cost of drug use in the community, whereas the New Zealand study developed its own measurements. Both forms of measurement provide absolute estimates of the level of harm in economic terms, and both are used by their respective law enforcement agencies to report performance. There are differences: the bottom-up approach used in New Zealand resolved the issue of double-counting harm by counting </w:t>
      </w:r>
      <w:proofErr w:type="spellStart"/>
      <w:r w:rsidRPr="00930A88">
        <w:t>polydrug</w:t>
      </w:r>
      <w:proofErr w:type="spellEnd"/>
      <w:r w:rsidRPr="00930A88">
        <w:t xml:space="preserve"> users in each of the relevant drug categories. The top-down approach used in Australia avoided this problem by segmenting harm at the aggregate level. The issue remains important if harm at the drug-user level is of interest. </w:t>
      </w:r>
      <w:r w:rsidRPr="0070370E">
        <w:t>(p. 42)</w:t>
      </w:r>
    </w:p>
    <w:p w14:paraId="38053F9D" w14:textId="77777777" w:rsidR="00990768" w:rsidRDefault="00CF2D46" w:rsidP="00177412">
      <w:r w:rsidRPr="00930A88">
        <w:t>Of the various DHIs developed between 2001 and 200</w:t>
      </w:r>
      <w:r>
        <w:t>8, only two remain in use,</w:t>
      </w:r>
      <w:r w:rsidRPr="00930A88">
        <w:t xml:space="preserve"> the New Zealand DHI and the </w:t>
      </w:r>
      <w:r>
        <w:t>Australian</w:t>
      </w:r>
      <w:r w:rsidRPr="00930A88">
        <w:t xml:space="preserve"> DHI. </w:t>
      </w:r>
      <w:r>
        <w:t>I have</w:t>
      </w:r>
      <w:r w:rsidRPr="00930A88">
        <w:t xml:space="preserve"> been unable to locate any public explanation of the fate of the UK and UNODC </w:t>
      </w:r>
      <w:r w:rsidRPr="00CB69E8">
        <w:t xml:space="preserve">DHIs. Personal communication with the Home Office and the UNODC remains unanswered after </w:t>
      </w:r>
      <w:r>
        <w:t>several months and repeated requests.</w:t>
      </w:r>
      <w:r w:rsidRPr="00CB69E8">
        <w:t xml:space="preserve"> From the p</w:t>
      </w:r>
      <w:r>
        <w:t xml:space="preserve">ublished material it appears </w:t>
      </w:r>
      <w:r w:rsidRPr="00CB69E8">
        <w:t xml:space="preserve">that neither DHI was in use three years </w:t>
      </w:r>
      <w:r w:rsidRPr="00CE01F0">
        <w:t xml:space="preserve">after </w:t>
      </w:r>
      <w:r>
        <w:t>its</w:t>
      </w:r>
      <w:r w:rsidRPr="00CE01F0">
        <w:t xml:space="preserve"> inception.</w:t>
      </w:r>
    </w:p>
    <w:p w14:paraId="3C664CA4" w14:textId="77777777" w:rsidR="00CF2D46" w:rsidRPr="00930A88" w:rsidRDefault="00CF2D46" w:rsidP="00177412">
      <w:r>
        <w:t>It should be noted that th</w:t>
      </w:r>
      <w:r w:rsidRPr="00930A88">
        <w:t>e Victorian Police version was always an internal measure and not subject to public scrutiny.</w:t>
      </w:r>
      <w:r w:rsidR="00990768">
        <w:t xml:space="preserve"> </w:t>
      </w:r>
      <w:r w:rsidRPr="00930A88">
        <w:t>The reasons for the survival of the two law enforcement</w:t>
      </w:r>
      <w:r>
        <w:t>-</w:t>
      </w:r>
      <w:r w:rsidRPr="00930A88">
        <w:t xml:space="preserve">sponsored DHIs </w:t>
      </w:r>
      <w:r>
        <w:t>is</w:t>
      </w:r>
      <w:r w:rsidRPr="00930A88">
        <w:t xml:space="preserve"> not altogether clear. </w:t>
      </w:r>
      <w:r>
        <w:t>Possibly</w:t>
      </w:r>
      <w:r w:rsidRPr="00930A88">
        <w:t xml:space="preserve"> the ability of the respective DHIs to provide feedback in an organisational environment</w:t>
      </w:r>
      <w:r>
        <w:t xml:space="preserve"> that is</w:t>
      </w:r>
      <w:r w:rsidRPr="00930A88">
        <w:t xml:space="preserve"> conducive to feedback may be one factor. It should also be noted that these DHIs report results in dollar</w:t>
      </w:r>
      <w:r>
        <w:t xml:space="preserve"> values,</w:t>
      </w:r>
      <w:r w:rsidRPr="00930A88">
        <w:t xml:space="preserve"> which assists interpretation by the general public and professional community alike. In short, </w:t>
      </w:r>
      <w:r>
        <w:t>they have</w:t>
      </w:r>
      <w:r w:rsidRPr="00930A88">
        <w:t xml:space="preserve"> a clear message.</w:t>
      </w:r>
    </w:p>
    <w:p w14:paraId="3B970AEB" w14:textId="77777777" w:rsidR="00CF2D46" w:rsidRPr="00930A88" w:rsidRDefault="00CF2D46" w:rsidP="00177412">
      <w:pPr>
        <w:pStyle w:val="Heading2"/>
      </w:pPr>
      <w:bookmarkStart w:id="8" w:name="_Toc444941782"/>
      <w:r w:rsidRPr="00930A88">
        <w:t>Literature review post</w:t>
      </w:r>
      <w:r>
        <w:t>-</w:t>
      </w:r>
      <w:r w:rsidRPr="00930A88">
        <w:t>200</w:t>
      </w:r>
      <w:r>
        <w:t>8</w:t>
      </w:r>
      <w:bookmarkEnd w:id="8"/>
    </w:p>
    <w:p w14:paraId="2C8A9CF5" w14:textId="77777777" w:rsidR="00CF2D46" w:rsidRPr="00930A88" w:rsidRDefault="00CF2D46" w:rsidP="00177412">
      <w:r w:rsidRPr="00930A88">
        <w:t>The literature review post</w:t>
      </w:r>
      <w:r>
        <w:t>-</w:t>
      </w:r>
      <w:r w:rsidRPr="00930A88">
        <w:t>200</w:t>
      </w:r>
      <w:r>
        <w:t>8</w:t>
      </w:r>
      <w:r w:rsidRPr="00930A88">
        <w:t xml:space="preserve"> was conducted using Google, Google Scholar and university library research engines using the key words </w:t>
      </w:r>
      <w:r w:rsidR="00990768">
        <w:t>‘</w:t>
      </w:r>
      <w:r w:rsidRPr="00930A88">
        <w:t>drug harm index</w:t>
      </w:r>
      <w:r w:rsidR="00990768">
        <w:t>’</w:t>
      </w:r>
      <w:r w:rsidRPr="00930A88">
        <w:t>. The following reports were identified as potentially relevant</w:t>
      </w:r>
      <w:r>
        <w:t>:</w:t>
      </w:r>
    </w:p>
    <w:p w14:paraId="5CB436B3" w14:textId="77777777" w:rsidR="00CF2D46" w:rsidRPr="00930A88" w:rsidRDefault="00CF2D46" w:rsidP="00177412">
      <w:pPr>
        <w:pStyle w:val="References"/>
      </w:pPr>
      <w:proofErr w:type="spellStart"/>
      <w:r w:rsidRPr="00930A88">
        <w:t>Greenfied</w:t>
      </w:r>
      <w:proofErr w:type="spellEnd"/>
      <w:r w:rsidRPr="00930A88">
        <w:t xml:space="preserve"> V &amp; Paoli L (2010). </w:t>
      </w:r>
      <w:r w:rsidRPr="00177412">
        <w:rPr>
          <w:i/>
        </w:rPr>
        <w:t>If supply-oriented drug policy is broken, can harm reduction help fix it? Melding disciplines and methods to advance international drug control policy</w:t>
      </w:r>
      <w:r w:rsidRPr="00930A88">
        <w:t>, United St</w:t>
      </w:r>
      <w:r>
        <w:t>ates Naval Academy, Department o</w:t>
      </w:r>
      <w:r w:rsidRPr="00930A88">
        <w:t>f Economics, Working Paper 2010</w:t>
      </w:r>
      <w:r w:rsidR="00177412">
        <w:t>–</w:t>
      </w:r>
      <w:r w:rsidRPr="00930A88">
        <w:t>30.</w:t>
      </w:r>
    </w:p>
    <w:p w14:paraId="08A346C0" w14:textId="77777777" w:rsidR="00CF2D46" w:rsidRPr="00930A88" w:rsidRDefault="00CF2D46" w:rsidP="00177412">
      <w:pPr>
        <w:pStyle w:val="References"/>
      </w:pPr>
      <w:proofErr w:type="spellStart"/>
      <w:r w:rsidRPr="00930A88">
        <w:t>Melberg</w:t>
      </w:r>
      <w:proofErr w:type="spellEnd"/>
      <w:r w:rsidRPr="00930A88">
        <w:t xml:space="preserve"> H, </w:t>
      </w:r>
      <w:proofErr w:type="spellStart"/>
      <w:r w:rsidRPr="00930A88">
        <w:t>Hakkarainen</w:t>
      </w:r>
      <w:proofErr w:type="spellEnd"/>
      <w:r w:rsidRPr="00930A88">
        <w:t xml:space="preserve"> P, </w:t>
      </w:r>
      <w:proofErr w:type="spellStart"/>
      <w:r w:rsidRPr="00930A88">
        <w:t>Houborg</w:t>
      </w:r>
      <w:proofErr w:type="spellEnd"/>
      <w:r w:rsidRPr="00930A88">
        <w:t xml:space="preserve"> E, </w:t>
      </w:r>
      <w:proofErr w:type="spellStart"/>
      <w:r w:rsidRPr="00930A88">
        <w:t>Jääskeläinen</w:t>
      </w:r>
      <w:proofErr w:type="spellEnd"/>
      <w:r w:rsidRPr="00930A88">
        <w:t xml:space="preserve"> M, </w:t>
      </w:r>
      <w:proofErr w:type="spellStart"/>
      <w:r w:rsidRPr="00930A88">
        <w:t>Skretting</w:t>
      </w:r>
      <w:proofErr w:type="spellEnd"/>
      <w:r w:rsidRPr="00930A88">
        <w:t xml:space="preserve"> A, </w:t>
      </w:r>
      <w:proofErr w:type="spellStart"/>
      <w:r w:rsidRPr="00930A88">
        <w:t>Ramstedt</w:t>
      </w:r>
      <w:proofErr w:type="spellEnd"/>
      <w:r w:rsidRPr="00930A88">
        <w:t xml:space="preserve"> M &amp; </w:t>
      </w:r>
      <w:proofErr w:type="spellStart"/>
      <w:r w:rsidRPr="00930A88">
        <w:t>Rosenqvist</w:t>
      </w:r>
      <w:proofErr w:type="spellEnd"/>
      <w:r w:rsidRPr="00930A88">
        <w:t xml:space="preserve"> P (2011). Measuring the harm of illicit drug use on friends and family, </w:t>
      </w:r>
      <w:r w:rsidRPr="00177412">
        <w:rPr>
          <w:i/>
        </w:rPr>
        <w:t>Nordic Studies on Alcohol and Drugs</w:t>
      </w:r>
      <w:r w:rsidRPr="00930A88">
        <w:t>, 28, 2, 105–121.</w:t>
      </w:r>
    </w:p>
    <w:p w14:paraId="7ADDDF6E" w14:textId="77777777" w:rsidR="00CF2D46" w:rsidRPr="00930A88" w:rsidRDefault="00CF2D46" w:rsidP="00177412">
      <w:pPr>
        <w:pStyle w:val="References"/>
      </w:pPr>
      <w:r w:rsidRPr="00930A88">
        <w:t xml:space="preserve">Morgan C, </w:t>
      </w:r>
      <w:proofErr w:type="spellStart"/>
      <w:r w:rsidRPr="00930A88">
        <w:t>Muetzelfeldt</w:t>
      </w:r>
      <w:proofErr w:type="spellEnd"/>
      <w:r w:rsidRPr="00930A88">
        <w:t xml:space="preserve"> L, </w:t>
      </w:r>
      <w:proofErr w:type="spellStart"/>
      <w:r w:rsidRPr="00930A88">
        <w:t>Muetzelfeldt</w:t>
      </w:r>
      <w:proofErr w:type="spellEnd"/>
      <w:r w:rsidRPr="00930A88">
        <w:t xml:space="preserve"> M, Nutt D &amp; Curran H (2010). Harms associated with psychoactive substances: findings of the UK National Drug Survey</w:t>
      </w:r>
      <w:r>
        <w:t xml:space="preserve">, </w:t>
      </w:r>
      <w:r w:rsidRPr="00177412">
        <w:rPr>
          <w:i/>
        </w:rPr>
        <w:t>Journal of Psychopharmacology</w:t>
      </w:r>
      <w:r w:rsidRPr="006B0598">
        <w:t>,</w:t>
      </w:r>
      <w:r w:rsidRPr="00930A88">
        <w:t xml:space="preserve"> 24, 2, 147</w:t>
      </w:r>
      <w:r w:rsidR="00177412">
        <w:t>–</w:t>
      </w:r>
      <w:r w:rsidRPr="00930A88">
        <w:t>153.</w:t>
      </w:r>
    </w:p>
    <w:p w14:paraId="2CD17B32" w14:textId="77777777" w:rsidR="00CF2D46" w:rsidRPr="00930A88" w:rsidRDefault="00CF2D46" w:rsidP="00177412">
      <w:pPr>
        <w:pStyle w:val="References"/>
      </w:pPr>
      <w:r w:rsidRPr="00930A88">
        <w:t xml:space="preserve">Nutt D, King L and Phillips L (2010). Development of a rational scale to assess the harm of drugs of potential misuse, </w:t>
      </w:r>
      <w:r w:rsidRPr="00177412">
        <w:rPr>
          <w:i/>
        </w:rPr>
        <w:t>The Lancet</w:t>
      </w:r>
      <w:r w:rsidRPr="00930A88">
        <w:t>, 369, 9566, 1047</w:t>
      </w:r>
      <w:r w:rsidR="00177412">
        <w:t>–</w:t>
      </w:r>
      <w:r w:rsidRPr="00930A88">
        <w:t>1053.</w:t>
      </w:r>
    </w:p>
    <w:p w14:paraId="7B6FE6EE" w14:textId="77777777" w:rsidR="00CF2D46" w:rsidRPr="00930A88" w:rsidRDefault="00CF2D46" w:rsidP="00177412">
      <w:pPr>
        <w:pStyle w:val="References"/>
      </w:pPr>
      <w:r w:rsidRPr="00930A88">
        <w:t xml:space="preserve">Pedersen W &amp; Von </w:t>
      </w:r>
      <w:proofErr w:type="spellStart"/>
      <w:r w:rsidRPr="00930A88">
        <w:t>Soest</w:t>
      </w:r>
      <w:proofErr w:type="spellEnd"/>
      <w:r w:rsidRPr="00930A88">
        <w:t xml:space="preserve"> T (2015). Which substance is most dangerous? Perceived harm ratings among students in urban and rural Norway, </w:t>
      </w:r>
      <w:r w:rsidRPr="00177412">
        <w:rPr>
          <w:i/>
        </w:rPr>
        <w:t>Scandinavian Journal of Public Health</w:t>
      </w:r>
      <w:r w:rsidRPr="00930A88">
        <w:t>, 43</w:t>
      </w:r>
      <w:proofErr w:type="gramStart"/>
      <w:r w:rsidRPr="00930A88">
        <w:t>,</w:t>
      </w:r>
      <w:proofErr w:type="gramEnd"/>
      <w:r w:rsidR="00CC64C6">
        <w:br/>
      </w:r>
      <w:r w:rsidRPr="00930A88">
        <w:t>385</w:t>
      </w:r>
      <w:r w:rsidR="00177412">
        <w:t>–</w:t>
      </w:r>
      <w:r w:rsidRPr="00930A88">
        <w:t>392</w:t>
      </w:r>
      <w:r>
        <w:t>.</w:t>
      </w:r>
    </w:p>
    <w:p w14:paraId="0EFB3A64" w14:textId="77777777" w:rsidR="00CF2D46" w:rsidRPr="00930A88" w:rsidRDefault="00CF2D46" w:rsidP="00177412">
      <w:pPr>
        <w:pStyle w:val="References"/>
      </w:pPr>
      <w:r w:rsidRPr="00930A88">
        <w:t xml:space="preserve">Reuter P (2009). Ten years after the United Nations General Assembly Special Session (UNGASS): assessing drug problems, policies and reform proposals, </w:t>
      </w:r>
      <w:r w:rsidRPr="00177412">
        <w:rPr>
          <w:i/>
        </w:rPr>
        <w:t>Addiction</w:t>
      </w:r>
      <w:r w:rsidRPr="00930A88">
        <w:t>, 104:</w:t>
      </w:r>
      <w:r w:rsidR="00CC64C6">
        <w:t xml:space="preserve"> </w:t>
      </w:r>
      <w:r w:rsidRPr="00930A88">
        <w:t>510–517.</w:t>
      </w:r>
    </w:p>
    <w:p w14:paraId="56FBC09B" w14:textId="77777777" w:rsidR="00CF2D46" w:rsidRPr="00930A88" w:rsidRDefault="00CF2D46" w:rsidP="00177412">
      <w:pPr>
        <w:pStyle w:val="References"/>
      </w:pPr>
      <w:r w:rsidRPr="00930A88">
        <w:t>Ritter A (2009), Methods for comparing drug policies</w:t>
      </w:r>
      <w:r w:rsidR="00177412">
        <w:t xml:space="preserve"> – </w:t>
      </w:r>
      <w:r w:rsidRPr="00930A88">
        <w:t xml:space="preserve">the utility of composite Drug Harm Indexes, </w:t>
      </w:r>
      <w:r w:rsidRPr="00177412">
        <w:rPr>
          <w:i/>
        </w:rPr>
        <w:t>International Journal of Drug Policy</w:t>
      </w:r>
      <w:r w:rsidRPr="00930A88">
        <w:t>, 20, 6, 475</w:t>
      </w:r>
      <w:r w:rsidR="00177412">
        <w:t>–</w:t>
      </w:r>
      <w:r w:rsidRPr="00930A88">
        <w:t>479.</w:t>
      </w:r>
    </w:p>
    <w:p w14:paraId="1318CF94" w14:textId="77777777" w:rsidR="00CF2D46" w:rsidRPr="00930A88" w:rsidRDefault="00CF2D46" w:rsidP="00177412">
      <w:pPr>
        <w:pStyle w:val="References"/>
      </w:pPr>
      <w:proofErr w:type="gramStart"/>
      <w:r w:rsidRPr="00930A88">
        <w:t>van</w:t>
      </w:r>
      <w:proofErr w:type="gramEnd"/>
      <w:r w:rsidRPr="00930A88">
        <w:t xml:space="preserve"> Amsterdam J, </w:t>
      </w:r>
      <w:proofErr w:type="spellStart"/>
      <w:r w:rsidRPr="00930A88">
        <w:t>Opperhuizen</w:t>
      </w:r>
      <w:proofErr w:type="spellEnd"/>
      <w:r w:rsidRPr="00930A88">
        <w:t xml:space="preserve"> A, </w:t>
      </w:r>
      <w:proofErr w:type="spellStart"/>
      <w:r w:rsidRPr="00930A88">
        <w:t>Koeter</w:t>
      </w:r>
      <w:proofErr w:type="spellEnd"/>
      <w:r w:rsidRPr="00930A88">
        <w:t xml:space="preserve"> M &amp; van den Brink W (2010). Ranking the harm of alcohol, tobacco and illicit drugs for the individual and the population</w:t>
      </w:r>
      <w:r>
        <w:t xml:space="preserve">, </w:t>
      </w:r>
      <w:r w:rsidRPr="00177412">
        <w:rPr>
          <w:i/>
        </w:rPr>
        <w:t>European Addiction Research</w:t>
      </w:r>
      <w:r w:rsidRPr="00930A88">
        <w:t>, 16, 4, 202</w:t>
      </w:r>
      <w:r w:rsidR="00177412">
        <w:t>–</w:t>
      </w:r>
      <w:r w:rsidRPr="00930A88">
        <w:t>207.</w:t>
      </w:r>
    </w:p>
    <w:p w14:paraId="39E02F5E" w14:textId="77777777" w:rsidR="00CF2D46" w:rsidRPr="00930A88" w:rsidRDefault="00CF2D46" w:rsidP="00177412">
      <w:r w:rsidRPr="00930A88">
        <w:t>There are</w:t>
      </w:r>
      <w:bookmarkStart w:id="9" w:name="_GoBack"/>
      <w:bookmarkEnd w:id="9"/>
      <w:r w:rsidRPr="00930A88">
        <w:t xml:space="preserve"> two str</w:t>
      </w:r>
      <w:r>
        <w:t>ands in the literature post-2008</w:t>
      </w:r>
      <w:r w:rsidRPr="00930A88">
        <w:t xml:space="preserve">. The first relates to critiques of existing DHIs. In general, most commentators were sympathetic to the aims of developing </w:t>
      </w:r>
      <w:r>
        <w:t>a</w:t>
      </w:r>
      <w:r w:rsidRPr="00930A88">
        <w:t xml:space="preserve"> DHI (Greenfield &amp; Paoli</w:t>
      </w:r>
      <w:r>
        <w:t>,</w:t>
      </w:r>
      <w:r w:rsidRPr="00930A88">
        <w:t xml:space="preserve"> 2010; Nutt el al, 2010; Ritter, 2009). In this they were consistent with a 2006 review conducted by the Beckley Foundation (Roberts et al, 2006). The notion of a single measure of drug harm that can </w:t>
      </w:r>
      <w:r>
        <w:t xml:space="preserve">be </w:t>
      </w:r>
      <w:r w:rsidRPr="00930A88">
        <w:t>used to measure the benefits of illicit drug policy and practice is highly appealing. Most realised the problems that beset the measurement of any behaviour that is illegal. Reuter (2009) was more sceptical</w:t>
      </w:r>
      <w:r>
        <w:t>,</w:t>
      </w:r>
      <w:r w:rsidRPr="00930A88">
        <w:t xml:space="preserve"> suggesting that any single measure of drug-associated harms was unlikely to capture the complexity of the environment within which drug markets operate.</w:t>
      </w:r>
    </w:p>
    <w:p w14:paraId="6885F161" w14:textId="77777777" w:rsidR="00990768" w:rsidRDefault="00CF2D46" w:rsidP="00177412">
      <w:r w:rsidRPr="00930A88">
        <w:t>The second strand relates to an innovative approach to measuring harm. Nutt et al (2010) pr</w:t>
      </w:r>
      <w:r>
        <w:t>op</w:t>
      </w:r>
      <w:r w:rsidRPr="00930A88">
        <w:t>osed the use of expert opinion to develop a scale of drug harm. They note</w:t>
      </w:r>
      <w:r>
        <w:t>d</w:t>
      </w:r>
      <w:r w:rsidRPr="00930A88">
        <w:t xml:space="preserve"> that drug abuse is a major health issue and that drugs are regulated by a classificatory system in the UK that purported</w:t>
      </w:r>
      <w:r>
        <w:t>ly</w:t>
      </w:r>
      <w:r w:rsidRPr="00930A88">
        <w:t xml:space="preserve"> reflects their relative</w:t>
      </w:r>
      <w:r>
        <w:t xml:space="preserve"> harm,</w:t>
      </w:r>
      <w:r w:rsidRPr="00930A88">
        <w:t xml:space="preserve"> </w:t>
      </w:r>
      <w:r>
        <w:t>but</w:t>
      </w:r>
      <w:r w:rsidRPr="00930A88">
        <w:t xml:space="preserve"> </w:t>
      </w:r>
      <w:r>
        <w:t xml:space="preserve">that </w:t>
      </w:r>
      <w:r w:rsidRPr="00930A88">
        <w:t>the basis for the classification is not transparent. They developed a classification system based on rankings provided by experts in the field. The ranking covered both legal and illegal drugs.</w:t>
      </w:r>
    </w:p>
    <w:p w14:paraId="7589F3F8" w14:textId="77777777" w:rsidR="00CF2D46" w:rsidRDefault="00CF2D46" w:rsidP="00177412">
      <w:r w:rsidRPr="00930A88">
        <w:t xml:space="preserve">Despite the </w:t>
      </w:r>
      <w:r>
        <w:t xml:space="preserve">fact </w:t>
      </w:r>
      <w:r w:rsidRPr="00930A88">
        <w:t>that their interest was in creating a rational and defensible classificatory system for illicit drugs, it was immediately apparent that this approach had application to the development of DHIs. In fact, the 200</w:t>
      </w:r>
      <w:r>
        <w:t>8</w:t>
      </w:r>
      <w:r w:rsidRPr="00930A88">
        <w:t xml:space="preserve"> revision of the </w:t>
      </w:r>
      <w:r>
        <w:t>Australian</w:t>
      </w:r>
      <w:r w:rsidRPr="00930A88">
        <w:t xml:space="preserve"> DHI incorporated this approach into its methodology by transferring the UK rankings to the Australian context (</w:t>
      </w:r>
      <w:proofErr w:type="spellStart"/>
      <w:r w:rsidRPr="00930A88">
        <w:t>Attewell</w:t>
      </w:r>
      <w:proofErr w:type="spellEnd"/>
      <w:r w:rsidRPr="00930A88">
        <w:t xml:space="preserve"> &amp; McFadden, 200</w:t>
      </w:r>
      <w:r>
        <w:t>8</w:t>
      </w:r>
      <w:r w:rsidRPr="00930A88">
        <w:t xml:space="preserve">) using an earlier version of the paper reported in </w:t>
      </w:r>
      <w:r w:rsidRPr="00A366F2">
        <w:rPr>
          <w:i/>
        </w:rPr>
        <w:t>The Lancet</w:t>
      </w:r>
      <w:r w:rsidRPr="00930A88">
        <w:t xml:space="preserve"> (Nutt el al, 2010).</w:t>
      </w:r>
      <w:r>
        <w:t xml:space="preserve"> </w:t>
      </w:r>
      <w:r w:rsidRPr="00930A88">
        <w:t>The work by Nutt</w:t>
      </w:r>
      <w:r>
        <w:t xml:space="preserve"> et al</w:t>
      </w:r>
      <w:r w:rsidRPr="00930A88">
        <w:t xml:space="preserve"> was also impressive because it provided the results in a way that could be readily understood and </w:t>
      </w:r>
      <w:r w:rsidRPr="00162D0A">
        <w:t xml:space="preserve">conveyed. See </w:t>
      </w:r>
      <w:r>
        <w:t>Inse</w:t>
      </w:r>
      <w:r w:rsidR="006677AC">
        <w:t>r</w:t>
      </w:r>
      <w:r>
        <w:t>t</w:t>
      </w:r>
      <w:r w:rsidRPr="00162D0A">
        <w:t xml:space="preserve"> 1 on the following page, an excerpt from </w:t>
      </w:r>
      <w:r w:rsidRPr="00162D0A">
        <w:rPr>
          <w:i/>
        </w:rPr>
        <w:t>The Economist</w:t>
      </w:r>
      <w:r w:rsidRPr="00162D0A">
        <w:t xml:space="preserve"> of 2 November 2010 (</w:t>
      </w:r>
      <w:r w:rsidRPr="00162D0A">
        <w:rPr>
          <w:i/>
        </w:rPr>
        <w:t>The Economist</w:t>
      </w:r>
      <w:r w:rsidRPr="00162D0A">
        <w:t>, 2010).</w:t>
      </w:r>
    </w:p>
    <w:p w14:paraId="48617A36" w14:textId="77777777" w:rsidR="00CF2D46" w:rsidRDefault="00CF2D46" w:rsidP="00177412">
      <w:r>
        <w:t>This</w:t>
      </w:r>
      <w:r w:rsidRPr="00930A88">
        <w:t xml:space="preserve"> seminal work provided the impetus for a number of papers relating to perceived level of harm</w:t>
      </w:r>
      <w:r>
        <w:t>,</w:t>
      </w:r>
      <w:r w:rsidRPr="00930A88">
        <w:t xml:space="preserve"> </w:t>
      </w:r>
      <w:r>
        <w:t xml:space="preserve">as estimated </w:t>
      </w:r>
      <w:r w:rsidRPr="00930A88">
        <w:t>by users or the general public rat</w:t>
      </w:r>
      <w:r>
        <w:t>her than by expert groups (</w:t>
      </w:r>
      <w:proofErr w:type="spellStart"/>
      <w:r>
        <w:t>Melbe</w:t>
      </w:r>
      <w:r w:rsidRPr="00930A88">
        <w:t>rg</w:t>
      </w:r>
      <w:proofErr w:type="spellEnd"/>
      <w:r w:rsidRPr="00930A88">
        <w:t xml:space="preserve"> et al, 2011; Morgan et al, 2010; Pedersen &amp; Von </w:t>
      </w:r>
      <w:proofErr w:type="spellStart"/>
      <w:r w:rsidRPr="00930A88">
        <w:t>Soest</w:t>
      </w:r>
      <w:proofErr w:type="spellEnd"/>
      <w:r w:rsidRPr="00930A88">
        <w:t>, 2015; van Amsterdam et al, 2010). Morgan et al conducted a survey of 1,501 drug users in the UK</w:t>
      </w:r>
      <w:r>
        <w:t xml:space="preserve"> and</w:t>
      </w:r>
      <w:r w:rsidRPr="00930A88">
        <w:t xml:space="preserve"> found a high correlation between the rankings provided by users and those provided by the experts of the Nutt et al </w:t>
      </w:r>
      <w:r>
        <w:t xml:space="preserve">(2010) </w:t>
      </w:r>
      <w:r w:rsidRPr="00930A88">
        <w:t xml:space="preserve">study. </w:t>
      </w:r>
      <w:r>
        <w:t>In general, there is considerable consensus between experts, users and independent assessments (such as the various DHIs) on the relative harm associated with traditional drug types, which provides a strong underpinning for further work in the area. The question is not about which drugs cause harm but rather how we can quantify in economic terms our existing consensus on the relative harm created by illicit drugs.</w:t>
      </w:r>
    </w:p>
    <w:p w14:paraId="5E9A530A" w14:textId="77777777" w:rsidR="00990768" w:rsidRDefault="00CF2D46" w:rsidP="00177412">
      <w:r>
        <w:t xml:space="preserve">In an important extension of the survey technique to measure harm, </w:t>
      </w:r>
      <w:proofErr w:type="spellStart"/>
      <w:r>
        <w:t>Melbe</w:t>
      </w:r>
      <w:r w:rsidRPr="00930A88">
        <w:t>rg</w:t>
      </w:r>
      <w:proofErr w:type="spellEnd"/>
      <w:r w:rsidRPr="00930A88">
        <w:t xml:space="preserve"> et al </w:t>
      </w:r>
      <w:r>
        <w:t xml:space="preserve">(2011) included a willingness-to-pay question into a survey of drug harm. Willingness-to-pay, as the phrase implies, is a technique to measure how much a community is willing to pay to achieve a given outcome. </w:t>
      </w:r>
      <w:proofErr w:type="spellStart"/>
      <w:r>
        <w:t>Melberg</w:t>
      </w:r>
      <w:proofErr w:type="spellEnd"/>
      <w:r>
        <w:t xml:space="preserve"> et al found that one in fourteen members of the public knew socially or were related to a drug user (i.e. family and friends). Family and friends of drug users indicated they would be willing to spend between 500 and 13,000 euros to treat the drug user.</w:t>
      </w:r>
    </w:p>
    <w:p w14:paraId="61709646" w14:textId="77777777" w:rsidR="00CF2D46" w:rsidRDefault="00CF2D46" w:rsidP="00177412">
      <w:r>
        <w:t xml:space="preserve">The other highly relevant aspect of the </w:t>
      </w:r>
      <w:proofErr w:type="spellStart"/>
      <w:r>
        <w:t>Melberg</w:t>
      </w:r>
      <w:proofErr w:type="spellEnd"/>
      <w:r>
        <w:t xml:space="preserve"> et al study is that it draws attention to a type of harm not included in previous DHIs, namely the harm to family and friends. The inclusion of this harm was an innovative feature of the current study. The </w:t>
      </w:r>
      <w:proofErr w:type="spellStart"/>
      <w:r>
        <w:t>Melberg</w:t>
      </w:r>
      <w:proofErr w:type="spellEnd"/>
      <w:r>
        <w:t xml:space="preserve"> et al study and its implications will be discussed in greater detail later.</w:t>
      </w:r>
    </w:p>
    <w:p w14:paraId="3741EDFF" w14:textId="77777777" w:rsidR="00CF2D46" w:rsidRPr="00177412" w:rsidRDefault="00CF2D46" w:rsidP="00177412">
      <w:pPr>
        <w:pStyle w:val="Box"/>
        <w:rPr>
          <w:b/>
        </w:rPr>
      </w:pPr>
      <w:r w:rsidRPr="00177412">
        <w:rPr>
          <w:b/>
        </w:rPr>
        <w:t>INSERT 1.</w:t>
      </w:r>
    </w:p>
    <w:p w14:paraId="77541F0F" w14:textId="77777777" w:rsidR="00CF2D46" w:rsidRPr="008A22DA" w:rsidRDefault="00CF2D46" w:rsidP="008A22DA">
      <w:pPr>
        <w:pStyle w:val="BoxHeading"/>
        <w:rPr>
          <w:lang w:val="en"/>
        </w:rPr>
      </w:pPr>
      <w:r w:rsidRPr="008A22DA">
        <w:rPr>
          <w:b w:val="0"/>
          <w:lang w:val="en"/>
        </w:rPr>
        <w:t>Nov 2nd 2010, 12:30 by The Economist online</w:t>
      </w:r>
      <w:r w:rsidR="008A22DA" w:rsidRPr="008A22DA">
        <w:rPr>
          <w:lang w:val="en"/>
        </w:rPr>
        <w:br/>
      </w:r>
      <w:proofErr w:type="gramStart"/>
      <w:r w:rsidRPr="008A22DA">
        <w:rPr>
          <w:lang w:val="en"/>
        </w:rPr>
        <w:t>A</w:t>
      </w:r>
      <w:proofErr w:type="gramEnd"/>
      <w:r w:rsidRPr="008A22DA">
        <w:rPr>
          <w:lang w:val="en"/>
        </w:rPr>
        <w:t xml:space="preserve"> new study suggests alcohol is more harmful than heroin or crack</w:t>
      </w:r>
    </w:p>
    <w:p w14:paraId="713870F7" w14:textId="77777777" w:rsidR="00CF2D46" w:rsidRDefault="00CF2D46" w:rsidP="00177412">
      <w:pPr>
        <w:pStyle w:val="Box"/>
        <w:rPr>
          <w:lang w:val="en"/>
        </w:rPr>
      </w:pPr>
      <w:r w:rsidRPr="00930A88">
        <w:rPr>
          <w:lang w:val="en"/>
        </w:rPr>
        <w:t>M</w:t>
      </w:r>
      <w:r>
        <w:rPr>
          <w:lang w:val="en"/>
        </w:rPr>
        <w:t>ost</w:t>
      </w:r>
      <w:r w:rsidRPr="00930A88">
        <w:rPr>
          <w:lang w:val="en"/>
        </w:rPr>
        <w:t xml:space="preserve"> people would agree that some drugs are worse than others: heroin is probably considered to be more dangerous than marijuana, for instance. Because governments formulate criminal and social policies based upon classifications of harm, a new </w:t>
      </w:r>
      <w:hyperlink r:id="rId15" w:tgtFrame="_blank" w:history="1">
        <w:r w:rsidRPr="00930A88">
          <w:rPr>
            <w:u w:val="single"/>
            <w:lang w:val="en"/>
          </w:rPr>
          <w:t>study</w:t>
        </w:r>
      </w:hyperlink>
      <w:r w:rsidRPr="00930A88">
        <w:rPr>
          <w:lang w:val="en"/>
        </w:rPr>
        <w:t xml:space="preserve"> published by the Lancet on November 1st makes interesting reading. Researchers led by Professor David Nutt, a former chief drugs adviser to the British government, asked drug-harm experts to rank 20 drugs (legal and illegal) on 16 measures of harm to the user and to wider society, such as damage to health, drug dependency, economic costs and crime. Alcohol is the most harmful drug in Britain, scoring 72 out of a possible 100, far more damaging than heroin (55) or crack cocaine (54). It is the most harmful to others by a wide margin, and is ranked fourth behind heroin, crack, and methamphetamine (crystal meth) for harm to the individual.</w:t>
      </w:r>
    </w:p>
    <w:p w14:paraId="1D52B0F0" w14:textId="77777777" w:rsidR="00CF2D46" w:rsidRPr="00930A88" w:rsidRDefault="00177412" w:rsidP="00177412">
      <w:pPr>
        <w:pStyle w:val="Box"/>
        <w:rPr>
          <w:lang w:val="en"/>
        </w:rPr>
      </w:pPr>
      <w:r>
        <w:rPr>
          <w:noProof/>
          <w:lang w:eastAsia="en-NZ"/>
        </w:rPr>
        <w:drawing>
          <wp:inline distT="0" distB="0" distL="0" distR="0" wp14:anchorId="687069C7" wp14:editId="3B96D9D3">
            <wp:extent cx="4725035" cy="38227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25035" cy="3822700"/>
                    </a:xfrm>
                    <a:prstGeom prst="rect">
                      <a:avLst/>
                    </a:prstGeom>
                    <a:noFill/>
                  </pic:spPr>
                </pic:pic>
              </a:graphicData>
            </a:graphic>
          </wp:inline>
        </w:drawing>
      </w:r>
    </w:p>
    <w:p w14:paraId="085AAEBF" w14:textId="77777777" w:rsidR="00CF2D46" w:rsidRPr="00930A88" w:rsidRDefault="00CF2D46" w:rsidP="008A22DA">
      <w:pPr>
        <w:pStyle w:val="Heading2"/>
      </w:pPr>
      <w:bookmarkStart w:id="10" w:name="_Toc444941783"/>
      <w:r w:rsidRPr="00930A88">
        <w:t>Implications for study</w:t>
      </w:r>
      <w:bookmarkEnd w:id="10"/>
    </w:p>
    <w:p w14:paraId="19EE9AC6" w14:textId="77777777" w:rsidR="00CF2D46" w:rsidRPr="00930A88" w:rsidRDefault="00CF2D46" w:rsidP="008A22DA">
      <w:pPr>
        <w:keepLines/>
      </w:pPr>
      <w:r>
        <w:t>S</w:t>
      </w:r>
      <w:r w:rsidRPr="00930A88">
        <w:t xml:space="preserve">everal issues </w:t>
      </w:r>
      <w:r>
        <w:t>arose</w:t>
      </w:r>
      <w:r w:rsidRPr="00930A88">
        <w:t xml:space="preserve"> from the literature review. The first </w:t>
      </w:r>
      <w:r>
        <w:t>is</w:t>
      </w:r>
      <w:r w:rsidRPr="00930A88">
        <w:t xml:space="preserve"> the importance of knowing the question </w:t>
      </w:r>
      <w:r>
        <w:t>one is attempting</w:t>
      </w:r>
      <w:r w:rsidRPr="00930A88">
        <w:t xml:space="preserve"> to answer.</w:t>
      </w:r>
      <w:r w:rsidR="00990768">
        <w:t xml:space="preserve"> </w:t>
      </w:r>
      <w:r w:rsidRPr="00930A88">
        <w:t>There are two broad streams in the experience with DHIs to date. Some parties</w:t>
      </w:r>
      <w:r>
        <w:t xml:space="preserve"> (including </w:t>
      </w:r>
      <w:r w:rsidRPr="00930A88">
        <w:t>the UK and the UNODC</w:t>
      </w:r>
      <w:r>
        <w:t>)</w:t>
      </w:r>
      <w:r w:rsidRPr="00930A88">
        <w:t xml:space="preserve"> are primarily interested in mapping the total harm attributable to illicit drug use across both time and place. Other parties, primarily law enforcement, are more interested in assessing the value of their </w:t>
      </w:r>
      <w:r>
        <w:t>interven</w:t>
      </w:r>
      <w:r w:rsidRPr="00930A88">
        <w:t>tion</w:t>
      </w:r>
      <w:r>
        <w:t xml:space="preserve"> to curbing the social harms associated with the use of illegal drugs.</w:t>
      </w:r>
      <w:r w:rsidRPr="00930A88">
        <w:t xml:space="preserve"> In terms of what is counted in the measurement of harm, one aim (impact of intervention) is a subset of the other (total harm attributable to drugs).</w:t>
      </w:r>
    </w:p>
    <w:p w14:paraId="71B4590C" w14:textId="77777777" w:rsidR="00CF2D46" w:rsidRPr="00930A88" w:rsidRDefault="00CF2D46" w:rsidP="008A22DA">
      <w:r w:rsidRPr="00930A88">
        <w:t xml:space="preserve">For our purposes, the total cost of illicit drug use can be considered </w:t>
      </w:r>
      <w:r>
        <w:t>to</w:t>
      </w:r>
      <w:r w:rsidRPr="00930A88">
        <w:t xml:space="preserve"> hav</w:t>
      </w:r>
      <w:r>
        <w:t>e</w:t>
      </w:r>
      <w:r w:rsidRPr="00930A88">
        <w:t xml:space="preserve"> three components:</w:t>
      </w:r>
    </w:p>
    <w:p w14:paraId="2EC90743" w14:textId="77777777" w:rsidR="00CF2D46" w:rsidRPr="00930A88" w:rsidRDefault="008A22DA" w:rsidP="008A22DA">
      <w:pPr>
        <w:spacing w:before="120"/>
        <w:ind w:left="850" w:hanging="425"/>
      </w:pPr>
      <w:r>
        <w:t>A.</w:t>
      </w:r>
      <w:r>
        <w:tab/>
      </w:r>
      <w:r w:rsidR="00CF2D46">
        <w:t>t</w:t>
      </w:r>
      <w:r w:rsidR="00CF2D46" w:rsidRPr="00930A88">
        <w:t xml:space="preserve">he cost of personal harm </w:t>
      </w:r>
      <w:r w:rsidR="00CF2D46">
        <w:t>(</w:t>
      </w:r>
      <w:r w:rsidR="00CF2D46" w:rsidRPr="00930A88">
        <w:t>i.e. the harms that descend upon an individual as a consequence of their drug use</w:t>
      </w:r>
      <w:r w:rsidR="00CF2D46">
        <w:t>), which</w:t>
      </w:r>
      <w:r w:rsidR="00CF2D46" w:rsidRPr="00930A88">
        <w:t xml:space="preserve"> will comprise physical health, psychological wellbeing and personal wealth</w:t>
      </w:r>
    </w:p>
    <w:p w14:paraId="71287060" w14:textId="77777777" w:rsidR="00CF2D46" w:rsidRPr="00930A88" w:rsidRDefault="008A22DA" w:rsidP="008A22DA">
      <w:pPr>
        <w:spacing w:before="120"/>
        <w:ind w:left="850" w:hanging="425"/>
      </w:pPr>
      <w:r>
        <w:t>B.</w:t>
      </w:r>
      <w:r>
        <w:tab/>
      </w:r>
      <w:r w:rsidR="00CF2D46">
        <w:t>t</w:t>
      </w:r>
      <w:r w:rsidR="00CF2D46" w:rsidRPr="00930A88">
        <w:t xml:space="preserve">he cost of community harm </w:t>
      </w:r>
      <w:r w:rsidR="00CF2D46">
        <w:t>(</w:t>
      </w:r>
      <w:r w:rsidR="00CF2D46" w:rsidRPr="00930A88">
        <w:t>i.e. the cost of crime attributable to drug use, injury to others, the various harms to family and friends and a reduced tax base</w:t>
      </w:r>
      <w:r w:rsidR="00CF2D46">
        <w:t>)</w:t>
      </w:r>
    </w:p>
    <w:p w14:paraId="376C0750" w14:textId="77777777" w:rsidR="00CF2D46" w:rsidRPr="00930A88" w:rsidRDefault="008A22DA" w:rsidP="008A22DA">
      <w:pPr>
        <w:spacing w:before="120"/>
        <w:ind w:left="850" w:hanging="425"/>
      </w:pPr>
      <w:r>
        <w:t>C.</w:t>
      </w:r>
      <w:r>
        <w:tab/>
      </w:r>
      <w:r w:rsidR="00CF2D46">
        <w:t>t</w:t>
      </w:r>
      <w:r w:rsidR="00CF2D46" w:rsidRPr="00930A88">
        <w:t>he cost of intervention</w:t>
      </w:r>
      <w:r w:rsidR="00CF2D46">
        <w:t xml:space="preserve"> −</w:t>
      </w:r>
      <w:r w:rsidR="00CF2D46" w:rsidRPr="00930A88">
        <w:t xml:space="preserve"> </w:t>
      </w:r>
      <w:r w:rsidR="00CF2D46">
        <w:t>i</w:t>
      </w:r>
      <w:r w:rsidR="00CF2D46" w:rsidRPr="00930A88">
        <w:t>nterventions occur as a result of attempts to address the harms associated with illicit drug use and include health, education and law enforcement.</w:t>
      </w:r>
    </w:p>
    <w:p w14:paraId="46616C64" w14:textId="77777777" w:rsidR="00CF2D46" w:rsidRPr="00FF7560" w:rsidRDefault="00CF2D46" w:rsidP="008A22DA">
      <w:r w:rsidRPr="00FF7560">
        <w:t>The total harm attributable to illicit drug use is the sum of two components:</w:t>
      </w:r>
    </w:p>
    <w:p w14:paraId="22881A7C" w14:textId="77777777" w:rsidR="00CF2D46" w:rsidRPr="00FF7560" w:rsidRDefault="00CF2D46" w:rsidP="008A22DA">
      <w:pPr>
        <w:spacing w:before="120"/>
        <w:ind w:left="567"/>
      </w:pPr>
      <w:r w:rsidRPr="00FF7560">
        <w:t>Total Harm</w:t>
      </w:r>
      <w:r>
        <w:t xml:space="preserve"> Cost</w:t>
      </w:r>
      <w:r w:rsidRPr="00FF7560">
        <w:t xml:space="preserve"> = A + B</w:t>
      </w:r>
    </w:p>
    <w:p w14:paraId="5A6CDEF0" w14:textId="77777777" w:rsidR="00CF2D46" w:rsidRPr="00FF7560" w:rsidRDefault="00CF2D46" w:rsidP="008A22DA">
      <w:r w:rsidRPr="00FF7560">
        <w:t>As noted</w:t>
      </w:r>
      <w:r>
        <w:t>,</w:t>
      </w:r>
      <w:r w:rsidRPr="00FF7560">
        <w:t xml:space="preserve"> interv</w:t>
      </w:r>
      <w:r>
        <w:t xml:space="preserve">entions are an attempt to address the harm associated with illicit drugs, not a harm </w:t>
      </w:r>
      <w:r w:rsidRPr="001946E4">
        <w:rPr>
          <w:i/>
        </w:rPr>
        <w:t>per se</w:t>
      </w:r>
      <w:r>
        <w:t>. Nevertheless, the community incurs a social cost in providing funds for these interventions, and the opportunity to devote these funds to other worthwhile purposes is lost. Thus, the total social cost of illicit drugs can be described as</w:t>
      </w:r>
      <w:r w:rsidRPr="00FF7560">
        <w:t>:</w:t>
      </w:r>
    </w:p>
    <w:p w14:paraId="1DB17980" w14:textId="77777777" w:rsidR="00CF2D46" w:rsidRPr="00FF7560" w:rsidRDefault="00CF2D46" w:rsidP="008A22DA">
      <w:pPr>
        <w:spacing w:before="120"/>
        <w:ind w:left="567"/>
      </w:pPr>
      <w:r w:rsidRPr="00FF7560">
        <w:t xml:space="preserve">Total </w:t>
      </w:r>
      <w:r>
        <w:t>Social Cost</w:t>
      </w:r>
      <w:r w:rsidRPr="00FF7560">
        <w:t xml:space="preserve"> = A + B</w:t>
      </w:r>
      <w:r>
        <w:t xml:space="preserve"> + C</w:t>
      </w:r>
    </w:p>
    <w:p w14:paraId="3C8EF4F3" w14:textId="77777777" w:rsidR="00990768" w:rsidRDefault="00CF2D46" w:rsidP="008A22DA">
      <w:r>
        <w:t xml:space="preserve">Within this report, total harm is seen as being different from social cost. This breaks a long tradition of including </w:t>
      </w:r>
      <w:r w:rsidR="00990768">
        <w:t>‘</w:t>
      </w:r>
      <w:r>
        <w:t>intervention costs</w:t>
      </w:r>
      <w:r w:rsidR="00990768">
        <w:t>’</w:t>
      </w:r>
      <w:r>
        <w:t xml:space="preserve"> as harms. </w:t>
      </w:r>
      <w:r w:rsidRPr="00FF7560">
        <w:t xml:space="preserve">This interpretation is certainly novel and may appear counterintuitive. Consider the extreme case where the sum total of </w:t>
      </w:r>
      <w:r>
        <w:t>government</w:t>
      </w:r>
      <w:r w:rsidRPr="00FF7560">
        <w:t xml:space="preserve"> and private interventions eliminates all personal and community harms associated with illicit drugs</w:t>
      </w:r>
      <w:r>
        <w:t>,</w:t>
      </w:r>
      <w:r w:rsidRPr="00FF7560">
        <w:t xml:space="preserve"> and these interventions need to be ongoing to contain the harms associated with drug use. In this case, we have expended C to save A</w:t>
      </w:r>
      <w:r>
        <w:t xml:space="preserve"> </w:t>
      </w:r>
      <w:r w:rsidRPr="00FF7560">
        <w:t>+</w:t>
      </w:r>
      <w:r>
        <w:t xml:space="preserve"> </w:t>
      </w:r>
      <w:r w:rsidRPr="00FF7560">
        <w:t>B. One cannot save C by spending C.</w:t>
      </w:r>
    </w:p>
    <w:p w14:paraId="5357D2C3" w14:textId="77777777" w:rsidR="00990768" w:rsidRDefault="00CF2D46" w:rsidP="008A22DA">
      <w:r>
        <w:t>Insert 2 provides a concrete example of this issue.</w:t>
      </w:r>
      <w:r w:rsidRPr="00FF7560">
        <w:t xml:space="preserve"> Of course, there will always be examples of where a specific intervention replaces another on the grounds of efficiency and effectiveness. It remains crucial that we consider the types of questions to be answered before applying </w:t>
      </w:r>
      <w:r>
        <w:t>indexes</w:t>
      </w:r>
      <w:r w:rsidRPr="00FF7560">
        <w:t xml:space="preserve"> </w:t>
      </w:r>
      <w:r>
        <w:t>such as</w:t>
      </w:r>
      <w:r w:rsidRPr="00FF7560">
        <w:t xml:space="preserve"> the DHI to particular issues.</w:t>
      </w:r>
    </w:p>
    <w:p w14:paraId="6B3D5D6D" w14:textId="77777777" w:rsidR="00CF2D46" w:rsidRPr="008A22DA" w:rsidRDefault="00CF2D46" w:rsidP="008A22DA">
      <w:pPr>
        <w:pStyle w:val="Box"/>
        <w:keepNext/>
        <w:rPr>
          <w:b/>
        </w:rPr>
      </w:pPr>
      <w:r w:rsidRPr="008A22DA">
        <w:rPr>
          <w:b/>
        </w:rPr>
        <w:t>INSERT 2.</w:t>
      </w:r>
    </w:p>
    <w:p w14:paraId="2C360F97" w14:textId="77777777" w:rsidR="00CF2D46" w:rsidRDefault="00CF2D46" w:rsidP="008A22DA">
      <w:pPr>
        <w:pStyle w:val="Box"/>
        <w:keepNext/>
      </w:pPr>
      <w:r>
        <w:t>This insert illustrates the potential dangers of including intervention costs as a type of harm. It is, of course, hypothetical.</w:t>
      </w:r>
    </w:p>
    <w:p w14:paraId="3100EA66" w14:textId="77777777" w:rsidR="00CF2D46" w:rsidRDefault="00CF2D46" w:rsidP="008A22DA">
      <w:pPr>
        <w:pStyle w:val="Box"/>
        <w:keepLines/>
      </w:pPr>
      <w:r>
        <w:t>Previous research has established that the sedative drug S</w:t>
      </w:r>
      <w:r w:rsidRPr="00E50188">
        <w:t xml:space="preserve">tupor </w:t>
      </w:r>
      <w:r>
        <w:t>costs the community $10</w:t>
      </w:r>
      <w:r w:rsidR="008A22DA">
        <w:t> </w:t>
      </w:r>
      <w:r>
        <w:t>million annually in personal and community harms. No attempts have been made to address the growing threat from S</w:t>
      </w:r>
      <w:r w:rsidRPr="00E50188">
        <w:t>tupor</w:t>
      </w:r>
      <w:r w:rsidRPr="00196578">
        <w:t xml:space="preserve"> </w:t>
      </w:r>
      <w:r>
        <w:t xml:space="preserve">to date. An innovative and ongoing programme is introduced that reduces the harms associated with the sedative drug by 50%. The annual cost of the programme is $2.5 million. Under the traditional approach, the total harm associated with the drug is now $12.5 million and the return on </w:t>
      </w:r>
      <w:r w:rsidRPr="00196578">
        <w:t>investment is $2.50 for every dollar invested in the program</w:t>
      </w:r>
      <w:r>
        <w:t>me</w:t>
      </w:r>
      <w:r w:rsidRPr="00196578">
        <w:t>. In reality, the actual harm avoided remains at $10 million and the return on investment 2:1. The traditional method overestimates the benefits associated with an intervention when it includes those costs as part of the harm incurred.</w:t>
      </w:r>
    </w:p>
    <w:p w14:paraId="0B2D1D08" w14:textId="27E28A82" w:rsidR="00CF2D46" w:rsidRPr="00930A88" w:rsidRDefault="00CF2D46" w:rsidP="008A22DA">
      <w:r w:rsidRPr="00930A88">
        <w:t xml:space="preserve">The second issue is more methodological in character. The scarcity of information </w:t>
      </w:r>
      <w:r>
        <w:t>on</w:t>
      </w:r>
      <w:r w:rsidRPr="00930A88">
        <w:t xml:space="preserve"> harms caused by specific drugs is an obstacle to the development of a useful DHI. This is especially true </w:t>
      </w:r>
      <w:r>
        <w:t>with</w:t>
      </w:r>
      <w:r w:rsidRPr="00930A88">
        <w:t xml:space="preserve"> regard to new and emerging drugs</w:t>
      </w:r>
      <w:r>
        <w:t>,</w:t>
      </w:r>
      <w:r w:rsidRPr="00930A88">
        <w:t xml:space="preserve"> where objective information on harms is preferable to the subjectivity of early reports based on few cases. The pioneering efforts of Nutt et al (2010) to develop </w:t>
      </w:r>
      <w:r w:rsidRPr="00C4593E">
        <w:t>a rational scale</w:t>
      </w:r>
      <w:r w:rsidRPr="00930A88">
        <w:t xml:space="preserve"> to assess the harm of drugs of potential misuse is especially noteworthy. This provides a method</w:t>
      </w:r>
      <w:r>
        <w:t>,</w:t>
      </w:r>
      <w:r w:rsidRPr="00930A88">
        <w:t xml:space="preserve"> or the basis of a method</w:t>
      </w:r>
      <w:r>
        <w:t>,</w:t>
      </w:r>
      <w:r w:rsidRPr="00930A88">
        <w:t xml:space="preserve"> for assess</w:t>
      </w:r>
      <w:r>
        <w:t>ing</w:t>
      </w:r>
      <w:r w:rsidRPr="00930A88">
        <w:t xml:space="preserve"> harm in the absence of other measures. The subjectivity of the rating can be ameliorated by aligning the relative rankings against drugs whose harm is already known in economic terms</w:t>
      </w:r>
      <w:r>
        <w:t>.</w:t>
      </w:r>
    </w:p>
    <w:p w14:paraId="5CBF6471" w14:textId="77777777" w:rsidR="00990768" w:rsidRDefault="00CF2D46" w:rsidP="008A22DA">
      <w:r w:rsidRPr="00925402">
        <w:t>Finally, the literature</w:t>
      </w:r>
      <w:r w:rsidRPr="008F6E05">
        <w:t xml:space="preserve"> contains </w:t>
      </w:r>
      <w:r w:rsidRPr="001619F6">
        <w:t>some hints on the characteristics of a good DHI. It is perhaps</w:t>
      </w:r>
      <w:r w:rsidRPr="00930A88">
        <w:t xml:space="preserve"> noteworthy that the underpinnings of the New Zealand DHI and the </w:t>
      </w:r>
      <w:r>
        <w:t>Australian</w:t>
      </w:r>
      <w:r w:rsidRPr="00930A88">
        <w:t xml:space="preserve"> DHI are relatively simple when compared to that of the UK and UNODC DHIs. </w:t>
      </w:r>
      <w:r>
        <w:t>Although</w:t>
      </w:r>
      <w:r w:rsidRPr="00930A88">
        <w:t xml:space="preserve"> the quest for accuracy is commendable, it is not always the case that increased detail will result in a commensurately improved model.</w:t>
      </w:r>
    </w:p>
    <w:p w14:paraId="357D2728" w14:textId="77777777" w:rsidR="00990768" w:rsidRDefault="00CF2D46" w:rsidP="008A22DA">
      <w:r w:rsidRPr="00930A88">
        <w:t>As an example, imagine that we are interested in estimating the proportion of people with a certain physical attribute</w:t>
      </w:r>
      <w:r>
        <w:t>,</w:t>
      </w:r>
      <w:r w:rsidRPr="00930A88">
        <w:t xml:space="preserve"> which can be confirmed by a simple examination. For simplicity, we will assume that 50% of the population has the attribute. If we examined 100 people we could </w:t>
      </w:r>
      <w:r w:rsidRPr="00416CEF">
        <w:t>assume</w:t>
      </w:r>
      <w:r w:rsidRPr="00930A88">
        <w:t xml:space="preserve"> that our estimate was within 10% of the true value. If we examined 500 people, this reduces to 4%</w:t>
      </w:r>
      <w:r>
        <w:t>,</w:t>
      </w:r>
      <w:r w:rsidRPr="00930A88">
        <w:t xml:space="preserve"> which might be a worthwhile reduction. Boosting the sample to 1,000 people only has a marginal effect reducing the 4% from the sample of 500 to 3%. In short, adding numbers or complexity will very quickly arrive at a point where the incremental benefit may not justify the additional cost.</w:t>
      </w:r>
    </w:p>
    <w:p w14:paraId="1D53F6C9" w14:textId="77777777" w:rsidR="00CF2D46" w:rsidRPr="00930A88" w:rsidRDefault="00CF2D46" w:rsidP="008A22DA">
      <w:r w:rsidRPr="00930A88">
        <w:t xml:space="preserve">Similarly, it is always tempting to include known costs </w:t>
      </w:r>
      <w:r>
        <w:t xml:space="preserve">because they are known, </w:t>
      </w:r>
      <w:r w:rsidRPr="00930A88">
        <w:t xml:space="preserve">irrespective of scale. </w:t>
      </w:r>
      <w:r>
        <w:t>However, we</w:t>
      </w:r>
      <w:r w:rsidRPr="00930A88">
        <w:t xml:space="preserve"> need to consider whether the inclusion of a harm with a very marginal contribution to the overall estimate can be justified.</w:t>
      </w:r>
    </w:p>
    <w:p w14:paraId="392F3AE9" w14:textId="77777777" w:rsidR="00CF2D46" w:rsidRPr="00930A88" w:rsidRDefault="00CF2D46" w:rsidP="008A22DA">
      <w:r w:rsidRPr="005A5483">
        <w:t>The literature review has guided the rest of the study to adopt a combined model that used hard</w:t>
      </w:r>
      <w:r w:rsidRPr="00930A88">
        <w:t xml:space="preserve"> economic data where it </w:t>
      </w:r>
      <w:r>
        <w:t>wa</w:t>
      </w:r>
      <w:r w:rsidRPr="00930A88">
        <w:t>s availab</w:t>
      </w:r>
      <w:r>
        <w:t>le and expert opinion where it wa</w:t>
      </w:r>
      <w:r w:rsidRPr="00930A88">
        <w:t>s not (noting that the opinions will be matched against hard data where possible). The model will remain simple and be specific about its various uses (total harm versus intervention impact). Clear guidance will be provided on its update and maintenance.</w:t>
      </w:r>
      <w:r>
        <w:t xml:space="preserve"> While the model itself is simple, it should be remembered that the underlying calculations are not.</w:t>
      </w:r>
    </w:p>
    <w:p w14:paraId="63F3D7D5" w14:textId="77777777" w:rsidR="00CF2D46" w:rsidRPr="00930A88" w:rsidRDefault="00CF2D46" w:rsidP="008A22DA">
      <w:pPr>
        <w:pStyle w:val="Heading1"/>
      </w:pPr>
      <w:bookmarkStart w:id="11" w:name="_Toc444941784"/>
      <w:r w:rsidRPr="00930A88">
        <w:t>METHOD</w:t>
      </w:r>
      <w:bookmarkEnd w:id="11"/>
    </w:p>
    <w:p w14:paraId="1CABE265" w14:textId="77777777" w:rsidR="00CF2D46" w:rsidRPr="00930A88" w:rsidRDefault="00CF2D46" w:rsidP="008A22DA">
      <w:r w:rsidRPr="00930A88">
        <w:t xml:space="preserve">This section sets out the general framework used for the research. As such, it is reliant on the earlier development of the New Zealand DHI and the Australian DHI. Slack et al (2008), </w:t>
      </w:r>
      <w:proofErr w:type="spellStart"/>
      <w:r w:rsidRPr="00930A88">
        <w:t>Attewell</w:t>
      </w:r>
      <w:proofErr w:type="spellEnd"/>
      <w:r w:rsidRPr="00930A88">
        <w:t xml:space="preserve"> and McFadden (2008) and McFadden (2006) provide more detail. The proposed method is also innovative in that it extends a technique developed by Nutt et al (2010) to rank drug-related harms to estimate in dollar terms the harm associated with new and emerging drugs. This innovation should provide policy makers and practitioners with an evi</w:t>
      </w:r>
      <w:r>
        <w:t>dence base that has hitherto bee</w:t>
      </w:r>
      <w:r w:rsidRPr="00930A88">
        <w:t>n lacking. This report also introduces a modified framework for categorising harm which explicitly states exactly who bears the brunt of the social costs associated with drug abuse.</w:t>
      </w:r>
    </w:p>
    <w:p w14:paraId="0918F245" w14:textId="77777777" w:rsidR="00CF2D46" w:rsidRPr="00930A88" w:rsidRDefault="00CF2D46" w:rsidP="00F76945">
      <w:pPr>
        <w:pStyle w:val="Heading2"/>
        <w:spacing w:before="300" w:after="0"/>
      </w:pPr>
      <w:bookmarkStart w:id="12" w:name="_Toc444941785"/>
      <w:r w:rsidRPr="0008234D">
        <w:t>Conceptual framework</w:t>
      </w:r>
      <w:bookmarkEnd w:id="12"/>
    </w:p>
    <w:p w14:paraId="1D12EFAD" w14:textId="77777777" w:rsidR="00CF2D46" w:rsidRPr="00930A88" w:rsidRDefault="00CF2D46" w:rsidP="00F76945">
      <w:pPr>
        <w:spacing w:before="180"/>
      </w:pPr>
      <w:r w:rsidRPr="00930A88">
        <w:t xml:space="preserve">This current study introduced a new framework for categorising harms that emphasises who bears the burden of illicit drug use. As </w:t>
      </w:r>
      <w:r>
        <w:t>discussed</w:t>
      </w:r>
      <w:r w:rsidRPr="00930A88">
        <w:t xml:space="preserve"> earlier (and repeated here for continuity of the text), costs were treated within the following framework:</w:t>
      </w:r>
    </w:p>
    <w:p w14:paraId="7A817292" w14:textId="77777777" w:rsidR="00CF2D46" w:rsidRPr="00930A88" w:rsidRDefault="008A22DA" w:rsidP="00F76945">
      <w:pPr>
        <w:spacing w:before="90"/>
        <w:ind w:left="850" w:hanging="425"/>
      </w:pPr>
      <w:r>
        <w:t>A.</w:t>
      </w:r>
      <w:r>
        <w:tab/>
      </w:r>
      <w:r w:rsidR="00CF2D46" w:rsidRPr="00930A88">
        <w:t>The cost of personal harm, i.e. the harms that descend upon an individual as a consequence of their drug use. This will comprise physical health, psychological wellbeing and personal wealth.</w:t>
      </w:r>
    </w:p>
    <w:p w14:paraId="53154A1E" w14:textId="77777777" w:rsidR="00CF2D46" w:rsidRPr="00930A88" w:rsidRDefault="008A22DA" w:rsidP="00F76945">
      <w:pPr>
        <w:spacing w:before="90"/>
        <w:ind w:left="850" w:hanging="425"/>
      </w:pPr>
      <w:r>
        <w:t>B.</w:t>
      </w:r>
      <w:r>
        <w:tab/>
      </w:r>
      <w:r w:rsidR="00CF2D46" w:rsidRPr="00930A88">
        <w:t>The cost of community harm, i.e. the cost of crime attributable to drug use, the various harms to family and friends and a reduced tax base.</w:t>
      </w:r>
    </w:p>
    <w:p w14:paraId="72C93D22" w14:textId="77777777" w:rsidR="00CF2D46" w:rsidRPr="00930A88" w:rsidRDefault="008A22DA" w:rsidP="00F76945">
      <w:pPr>
        <w:spacing w:before="90"/>
        <w:ind w:left="850" w:hanging="425"/>
      </w:pPr>
      <w:r>
        <w:t>C.</w:t>
      </w:r>
      <w:r>
        <w:tab/>
      </w:r>
      <w:r w:rsidR="00CF2D46" w:rsidRPr="00930A88">
        <w:t>The cost of intervention. Interventions occur as a result of attempts to address the harms associated with illicit drug use and include health, education and law enforcement.</w:t>
      </w:r>
    </w:p>
    <w:p w14:paraId="2D3B3232" w14:textId="77777777" w:rsidR="00CF2D46" w:rsidRPr="00930A88" w:rsidRDefault="00CF2D46" w:rsidP="00F76945">
      <w:pPr>
        <w:spacing w:before="180"/>
      </w:pPr>
      <w:r w:rsidRPr="00930A88">
        <w:t>The individual costs associated with each component are generally consistent with the previous New Zealand and current Australian DHIs. Two significant modifications</w:t>
      </w:r>
      <w:r>
        <w:t>,</w:t>
      </w:r>
      <w:r w:rsidRPr="00930A88">
        <w:t xml:space="preserve"> outlined in detail below</w:t>
      </w:r>
      <w:r>
        <w:t>,</w:t>
      </w:r>
      <w:r w:rsidRPr="00930A88">
        <w:t xml:space="preserve"> relate to the inclusion of estimates of harm to family and friends and a re-evaluation of crimes attributable to drug use.</w:t>
      </w:r>
    </w:p>
    <w:p w14:paraId="530170EB" w14:textId="77777777" w:rsidR="00CF2D46" w:rsidRPr="00930A88" w:rsidRDefault="00CF2D46" w:rsidP="00F76945">
      <w:pPr>
        <w:spacing w:before="180"/>
      </w:pPr>
      <w:r w:rsidRPr="00930A88">
        <w:t xml:space="preserve">The personal harms related to drug use are the drivers of all other costs. Without significant harm to the individual, there is unlikely to be harm to family or friends or the need for </w:t>
      </w:r>
      <w:r>
        <w:t>government</w:t>
      </w:r>
      <w:r w:rsidRPr="00930A88">
        <w:t xml:space="preserve"> or community intervention. Personal harms include poor health, injury, psychological trauma, poor </w:t>
      </w:r>
      <w:r w:rsidRPr="00A53F20">
        <w:t xml:space="preserve">interpersonal relationships, </w:t>
      </w:r>
      <w:proofErr w:type="gramStart"/>
      <w:r w:rsidRPr="00A53F20">
        <w:t>loss</w:t>
      </w:r>
      <w:proofErr w:type="gramEnd"/>
      <w:r w:rsidRPr="00A53F20">
        <w:t xml:space="preserve"> of income, loss of lifestyle, and arrest and imprisonment. The fact, that these outcomes can be identified as separate harms does not necessarily imply that they should be measured separately. Actual measures</w:t>
      </w:r>
      <w:r>
        <w:t xml:space="preserve"> of personal harm</w:t>
      </w:r>
      <w:r w:rsidRPr="00A53F20">
        <w:t xml:space="preserve"> used in this report included the cost of premature death and the cost of years of life lost through drug-related disability. Both these measures incorporate a range of personal harms (</w:t>
      </w:r>
      <w:r w:rsidRPr="00A53F20">
        <w:rPr>
          <w:rFonts w:ascii="Calibri" w:hAnsi="Calibri"/>
          <w:color w:val="000000"/>
          <w:lang w:eastAsia="en-AU"/>
        </w:rPr>
        <w:t>Ministry of Transport</w:t>
      </w:r>
      <w:r>
        <w:rPr>
          <w:rFonts w:ascii="Calibri" w:hAnsi="Calibri"/>
          <w:color w:val="000000"/>
          <w:lang w:eastAsia="en-AU"/>
        </w:rPr>
        <w:t>,</w:t>
      </w:r>
      <w:r w:rsidRPr="00A53F20">
        <w:rPr>
          <w:rFonts w:ascii="Calibri" w:hAnsi="Calibri"/>
          <w:color w:val="000000"/>
          <w:lang w:eastAsia="en-AU"/>
        </w:rPr>
        <w:t xml:space="preserve"> 2014; </w:t>
      </w:r>
      <w:r w:rsidRPr="00A53F20">
        <w:t>Murray et al, 2012).</w:t>
      </w:r>
    </w:p>
    <w:p w14:paraId="7955CF85" w14:textId="77777777" w:rsidR="00CF2D46" w:rsidRPr="00930A88" w:rsidRDefault="00CF2D46" w:rsidP="00F76945">
      <w:pPr>
        <w:spacing w:before="180"/>
      </w:pPr>
      <w:r w:rsidRPr="00930A88">
        <w:t xml:space="preserve">As with Slack et al (2008), this report did not consider the potential benefits of illicit drug use. One would assume, </w:t>
      </w:r>
      <w:r>
        <w:t>given</w:t>
      </w:r>
      <w:r w:rsidRPr="00930A88">
        <w:t xml:space="preserve"> </w:t>
      </w:r>
      <w:r>
        <w:t xml:space="preserve">that </w:t>
      </w:r>
      <w:r w:rsidRPr="00930A88">
        <w:t>illicit drug use is a matter of choice, that the perceived benefits must exceed the personal harms incurred for any rational individual. Regardless of the debate on the merits or otherwise of including the benefits of illicit drug use, the current approach has the potential to provide an approximate estimate of total harm adjusted for perceived benefits by eliminating</w:t>
      </w:r>
      <w:r>
        <w:t xml:space="preserve"> some or all</w:t>
      </w:r>
      <w:r w:rsidRPr="00930A88">
        <w:t xml:space="preserve"> personal harm from the calculation of total harm.</w:t>
      </w:r>
    </w:p>
    <w:p w14:paraId="6C070D96" w14:textId="43EED7F5" w:rsidR="00990768" w:rsidRDefault="00CF2D46" w:rsidP="00F76945">
      <w:pPr>
        <w:spacing w:before="180"/>
      </w:pPr>
      <w:r w:rsidRPr="00930A88">
        <w:t>Community harms are the harms borne by the wider community as a result of the use of illicit drugs. The largest component of this traditionally has been drug-related crime. The present study considered new ways of estimating crime costs</w:t>
      </w:r>
      <w:r>
        <w:t xml:space="preserve"> by</w:t>
      </w:r>
      <w:r w:rsidRPr="00930A88">
        <w:t xml:space="preserve"> distinguish</w:t>
      </w:r>
      <w:r>
        <w:t>ing</w:t>
      </w:r>
      <w:r w:rsidRPr="00930A88">
        <w:t xml:space="preserve"> between crime committed to fund drug habits and crime funded by the profits of drug trafficking. The emphasis in the literature tends to be on acquisitive crime to fund the drug habits. To this we have added the use of the profits of crime to fund further crime by organised criminal groups</w:t>
      </w:r>
      <w:r>
        <w:t xml:space="preserve">. This estimate </w:t>
      </w:r>
      <w:r w:rsidRPr="00930A88">
        <w:t>utilis</w:t>
      </w:r>
      <w:r>
        <w:t xml:space="preserve">ed recent work </w:t>
      </w:r>
      <w:r w:rsidRPr="00930A88">
        <w:t xml:space="preserve">in New Zealand and Australia. This category also includes an estimate of the revenue loss to the tax base </w:t>
      </w:r>
      <w:r>
        <w:t xml:space="preserve">which includes the non-payment of company tax and GST thereby reducing the revenue available to government to provide </w:t>
      </w:r>
      <w:r w:rsidRPr="00930A88">
        <w:t>services.</w:t>
      </w:r>
    </w:p>
    <w:p w14:paraId="65A11F76" w14:textId="77777777" w:rsidR="00CF2D46" w:rsidRPr="00930A88" w:rsidRDefault="00CF2D46" w:rsidP="00F76945">
      <w:pPr>
        <w:spacing w:before="180"/>
      </w:pPr>
      <w:r w:rsidRPr="00930A88">
        <w:t xml:space="preserve">The other innovation in this harm type was an estimate of the pain and suffering inflicted on friends and relatives. </w:t>
      </w:r>
      <w:r>
        <w:t xml:space="preserve">Again, this is a higher-level measure that incorporates a range of specific harms. As noted previously, an existing </w:t>
      </w:r>
      <w:r w:rsidRPr="00930A88">
        <w:t>body of research has indicated that this is a major contributor to the harm a</w:t>
      </w:r>
      <w:r>
        <w:t>ssociated with drug use.</w:t>
      </w:r>
    </w:p>
    <w:p w14:paraId="7140E853" w14:textId="77777777" w:rsidR="00CF2D46" w:rsidRPr="00930A88" w:rsidRDefault="00CF2D46" w:rsidP="00F76945">
      <w:pPr>
        <w:spacing w:before="180"/>
      </w:pPr>
      <w:r w:rsidRPr="00930A88">
        <w:t xml:space="preserve">The </w:t>
      </w:r>
      <w:r w:rsidRPr="007A4BBD">
        <w:t xml:space="preserve">final category of </w:t>
      </w:r>
      <w:r>
        <w:t xml:space="preserve">social cost </w:t>
      </w:r>
      <w:r w:rsidRPr="007A4BBD">
        <w:t>is the</w:t>
      </w:r>
      <w:r w:rsidRPr="00930A88">
        <w:t xml:space="preserve"> cost of interventions. Potentially this includes a wide range of government services</w:t>
      </w:r>
      <w:r>
        <w:t>,</w:t>
      </w:r>
      <w:r w:rsidRPr="00930A88">
        <w:t xml:space="preserve"> including:</w:t>
      </w:r>
    </w:p>
    <w:p w14:paraId="621DBF06" w14:textId="6CFE96FB" w:rsidR="00CF2D46" w:rsidRPr="00930A88" w:rsidRDefault="00F215C6" w:rsidP="00F76945">
      <w:pPr>
        <w:pStyle w:val="Bullet"/>
        <w:spacing w:before="60"/>
      </w:pPr>
      <w:r>
        <w:t>e</w:t>
      </w:r>
      <w:r w:rsidR="00CF2D46" w:rsidRPr="00930A88">
        <w:t>ducation program</w:t>
      </w:r>
      <w:r w:rsidR="00CF2D46">
        <w:t>me</w:t>
      </w:r>
      <w:r w:rsidR="00AE5A19">
        <w:t>s to deter future drug use</w:t>
      </w:r>
    </w:p>
    <w:p w14:paraId="2A362139" w14:textId="6D66B0A6" w:rsidR="00CF2D46" w:rsidRPr="00930A88" w:rsidRDefault="00F215C6" w:rsidP="00F76945">
      <w:pPr>
        <w:pStyle w:val="Bullet"/>
        <w:spacing w:before="60"/>
      </w:pPr>
      <w:r>
        <w:t>t</w:t>
      </w:r>
      <w:r w:rsidR="00CF2D46" w:rsidRPr="00930A88">
        <w:t>re</w:t>
      </w:r>
      <w:r w:rsidR="00AE5A19">
        <w:t>atment and counselling services</w:t>
      </w:r>
    </w:p>
    <w:p w14:paraId="79A54B97" w14:textId="18A80B89" w:rsidR="00CF2D46" w:rsidRPr="00930A88" w:rsidRDefault="00F215C6" w:rsidP="00F76945">
      <w:pPr>
        <w:pStyle w:val="Bullet"/>
        <w:spacing w:before="60"/>
      </w:pPr>
      <w:r>
        <w:t>h</w:t>
      </w:r>
      <w:r w:rsidR="00CF2D46" w:rsidRPr="00930A88">
        <w:t>ospital admissions, emergency tre</w:t>
      </w:r>
      <w:r w:rsidR="00AE5A19">
        <w:t>atment and ambulance attendance</w:t>
      </w:r>
    </w:p>
    <w:p w14:paraId="5551CF6C" w14:textId="01CF342E" w:rsidR="00CF2D46" w:rsidRPr="00930A88" w:rsidRDefault="00F215C6" w:rsidP="00F76945">
      <w:pPr>
        <w:pStyle w:val="Bullet"/>
        <w:spacing w:before="60"/>
      </w:pPr>
      <w:r>
        <w:t>p</w:t>
      </w:r>
      <w:r w:rsidR="00CF2D46" w:rsidRPr="00930A88">
        <w:t>olice</w:t>
      </w:r>
      <w:r w:rsidR="00CF2D46">
        <w:t>, customs</w:t>
      </w:r>
      <w:r w:rsidR="00CF2D46" w:rsidRPr="00930A88">
        <w:t xml:space="preserve"> and other law enforcement activities</w:t>
      </w:r>
      <w:r w:rsidR="00CF2D46">
        <w:t xml:space="preserve"> addressing supply</w:t>
      </w:r>
    </w:p>
    <w:p w14:paraId="3E8F4DE8" w14:textId="1517AEE9" w:rsidR="00CF2D46" w:rsidRPr="00930A88" w:rsidRDefault="00F215C6" w:rsidP="00F76945">
      <w:pPr>
        <w:pStyle w:val="Bullet"/>
        <w:spacing w:before="60"/>
      </w:pPr>
      <w:proofErr w:type="gramStart"/>
      <w:r>
        <w:t>c</w:t>
      </w:r>
      <w:r w:rsidR="00CF2D46" w:rsidRPr="00930A88">
        <w:t>ourts</w:t>
      </w:r>
      <w:proofErr w:type="gramEnd"/>
      <w:r w:rsidR="00CF2D46" w:rsidRPr="00930A88">
        <w:t xml:space="preserve"> and prisons.</w:t>
      </w:r>
    </w:p>
    <w:p w14:paraId="1AAC97CC" w14:textId="50C1A3B5" w:rsidR="00CF2D46" w:rsidRDefault="00CF2D46" w:rsidP="00F76945">
      <w:pPr>
        <w:spacing w:before="180"/>
      </w:pPr>
      <w:r w:rsidRPr="00930A88">
        <w:t>Strictly speaking</w:t>
      </w:r>
      <w:r>
        <w:t>,</w:t>
      </w:r>
      <w:r w:rsidRPr="00930A88">
        <w:t xml:space="preserve"> none of the above are harms</w:t>
      </w:r>
      <w:r>
        <w:t>,</w:t>
      </w:r>
      <w:r w:rsidRPr="00930A88">
        <w:t xml:space="preserve"> rather they are costs incurred in seeking to prevent or ameliorate the impact of drug abuse. As indicated earlier, it is reasonable to include these costs if we are interested in the total cost of drug abuse to the community. However, there are other circumstance</w:t>
      </w:r>
      <w:r>
        <w:t>s</w:t>
      </w:r>
      <w:r w:rsidRPr="00930A88">
        <w:t xml:space="preserve"> where we might treat these categories differently.</w:t>
      </w:r>
      <w:r>
        <w:t xml:space="preserve"> The evaluation of intervention strategies has already been mentioned. On a broader level, </w:t>
      </w:r>
      <w:r w:rsidRPr="00930A88">
        <w:t xml:space="preserve">the </w:t>
      </w:r>
      <w:r>
        <w:t>government</w:t>
      </w:r>
      <w:r w:rsidRPr="00930A88">
        <w:t xml:space="preserve"> and the community will have a strong interest in knowing the harm caused by drugs (equivalent to the sum of personal and community harm) and what the </w:t>
      </w:r>
      <w:r>
        <w:t>government</w:t>
      </w:r>
      <w:r w:rsidRPr="00930A88">
        <w:t xml:space="preserve"> is investing to address the problem (equivalent to intervention costs). The new classification of harm and costs will make it easier to answer such questions. It should be noted that the cost of interventions will not include those provided by the private sector or charitable organisations</w:t>
      </w:r>
      <w:r>
        <w:t>, except where these are supported by government funding</w:t>
      </w:r>
      <w:r w:rsidRPr="00930A88">
        <w:t>.</w:t>
      </w:r>
    </w:p>
    <w:p w14:paraId="6A4830C4" w14:textId="77777777" w:rsidR="00CF2D46" w:rsidRPr="007A7105" w:rsidRDefault="00CF2D46" w:rsidP="00F76945">
      <w:pPr>
        <w:pStyle w:val="Heading2"/>
        <w:spacing w:before="300" w:after="0"/>
      </w:pPr>
      <w:bookmarkStart w:id="13" w:name="_Toc444941786"/>
      <w:r w:rsidRPr="007A7105">
        <w:t>Expert opinion survey</w:t>
      </w:r>
      <w:bookmarkEnd w:id="13"/>
    </w:p>
    <w:p w14:paraId="6E83D03A" w14:textId="77777777" w:rsidR="00CF2D46" w:rsidRDefault="00CF2D46" w:rsidP="00F76945">
      <w:pPr>
        <w:spacing w:before="180"/>
      </w:pPr>
      <w:r>
        <w:t xml:space="preserve">The second innovation in the methodology is the introduction of a survey of expert opinion on harms associated with illicit drugs. Far more is known about the harms associated with traditional </w:t>
      </w:r>
      <w:r w:rsidRPr="00D0507C">
        <w:t>drugs than for newer drugs. Similarly, there tends to be more known about really harmful drugs than</w:t>
      </w:r>
      <w:r>
        <w:t xml:space="preserve"> less harmful drugs. This survey provides additional information for the evidence base on illicit drugs where other evidence might be lacking, especially with respect to new and emerging drugs. The new </w:t>
      </w:r>
      <w:r w:rsidRPr="002F0B41">
        <w:t>survey differs from Nutt et al (2010) in two respects. First, it does not include legal drugs such as</w:t>
      </w:r>
      <w:r>
        <w:t xml:space="preserve"> alcohol and tobacco, as these are outside the scope of this project. Second, the actual or potential harm in dollar terms is calculated by interpolating drugs where no estimate of economic harm exists between drugs of known harm, based on the relative rankings. In effect, this converts Nutt et </w:t>
      </w:r>
      <w:proofErr w:type="spellStart"/>
      <w:r>
        <w:t>al</w:t>
      </w:r>
      <w:r w:rsidR="00990768">
        <w:t>’</w:t>
      </w:r>
      <w:r>
        <w:t>s</w:t>
      </w:r>
      <w:proofErr w:type="spellEnd"/>
      <w:r>
        <w:t xml:space="preserve"> estimate of relative harm into an estimate of absolute harm.</w:t>
      </w:r>
    </w:p>
    <w:p w14:paraId="51D83908" w14:textId="77777777" w:rsidR="008A22DA" w:rsidRDefault="00CF2D46" w:rsidP="00F76945">
      <w:pPr>
        <w:spacing w:before="180"/>
      </w:pPr>
      <w:r w:rsidRPr="0098283E">
        <w:t xml:space="preserve">A panel of </w:t>
      </w:r>
      <w:r>
        <w:t xml:space="preserve">25 </w:t>
      </w:r>
      <w:r w:rsidRPr="0098283E">
        <w:t>experts was invited to participate. The</w:t>
      </w:r>
      <w:r>
        <w:t>se</w:t>
      </w:r>
      <w:r w:rsidRPr="0098283E">
        <w:t xml:space="preserve"> individuals represented a diversity of backgrounds</w:t>
      </w:r>
      <w:r>
        <w:t>,</w:t>
      </w:r>
      <w:r w:rsidRPr="0098283E">
        <w:t xml:space="preserve"> providing additional strength to the survey. They included representatives from user groups, treatmen</w:t>
      </w:r>
      <w:r>
        <w:t>t, health, justice, police and c</w:t>
      </w:r>
      <w:r w:rsidRPr="0098283E">
        <w:t>ustoms. Administration of the survey was undertaken by the Ministry of Health.</w:t>
      </w:r>
      <w:r>
        <w:t xml:space="preserve"> </w:t>
      </w:r>
      <w:r w:rsidRPr="0098283E">
        <w:t xml:space="preserve">An extract from the questionnaire </w:t>
      </w:r>
      <w:r>
        <w:t xml:space="preserve">(Figure 1) </w:t>
      </w:r>
      <w:r w:rsidRPr="0098283E">
        <w:t>is included for reference on the following page.</w:t>
      </w:r>
    </w:p>
    <w:p w14:paraId="6F10BA66" w14:textId="77777777" w:rsidR="00CF2D46" w:rsidRDefault="00CF2D46" w:rsidP="004755EC">
      <w:pPr>
        <w:pStyle w:val="Figure"/>
      </w:pPr>
      <w:bookmarkStart w:id="14" w:name="_Toc444941875"/>
      <w:r w:rsidRPr="00623F6E">
        <w:t>Figure 1. Extract from expert panel questionnaire on illicit drug harm</w:t>
      </w:r>
      <w:bookmarkEnd w:id="14"/>
    </w:p>
    <w:tbl>
      <w:tblPr>
        <w:tblStyle w:val="TableGrid"/>
        <w:tblW w:w="0" w:type="auto"/>
        <w:tblInd w:w="108" w:type="dxa"/>
        <w:tblBorders>
          <w:top w:val="single" w:sz="4" w:space="0" w:color="385D8A"/>
          <w:left w:val="single" w:sz="4" w:space="0" w:color="385D8A"/>
          <w:bottom w:val="single" w:sz="4" w:space="0" w:color="385D8A"/>
          <w:right w:val="single" w:sz="4" w:space="0" w:color="385D8A"/>
          <w:insideH w:val="single" w:sz="4" w:space="0" w:color="385D8A"/>
          <w:insideV w:val="single" w:sz="4" w:space="0" w:color="385D8A"/>
        </w:tblBorders>
        <w:shd w:val="clear" w:color="auto" w:fill="E6E0EC"/>
        <w:tblLayout w:type="fixed"/>
        <w:tblLook w:val="04A0" w:firstRow="1" w:lastRow="0" w:firstColumn="1" w:lastColumn="0" w:noHBand="0" w:noVBand="1"/>
      </w:tblPr>
      <w:tblGrid>
        <w:gridCol w:w="9072"/>
      </w:tblGrid>
      <w:tr w:rsidR="008A22DA" w14:paraId="1D73EE65" w14:textId="77777777" w:rsidTr="008A22DA">
        <w:trPr>
          <w:cantSplit/>
        </w:trPr>
        <w:tc>
          <w:tcPr>
            <w:tcW w:w="9072" w:type="dxa"/>
            <w:shd w:val="clear" w:color="auto" w:fill="E6E0EC"/>
          </w:tcPr>
          <w:p w14:paraId="6FCBDABB" w14:textId="77777777" w:rsidR="008A22DA" w:rsidRDefault="008A22DA" w:rsidP="001261E5">
            <w:pPr>
              <w:pStyle w:val="TableText"/>
              <w:spacing w:before="240" w:after="120"/>
            </w:pPr>
            <w:r>
              <w:t>This questionnaire is about the harm caused to an individual user. The individual could be a dependent user or a recreational/casual user. Each drug should be scored according to the following scale.</w:t>
            </w:r>
          </w:p>
          <w:tbl>
            <w:tblPr>
              <w:tblStyle w:val="TableGrid"/>
              <w:tblW w:w="0" w:type="auto"/>
              <w:tblLayout w:type="fixed"/>
              <w:tblLook w:val="04A0" w:firstRow="1" w:lastRow="0" w:firstColumn="1" w:lastColumn="0" w:noHBand="0" w:noVBand="1"/>
            </w:tblPr>
            <w:tblGrid>
              <w:gridCol w:w="1735"/>
              <w:gridCol w:w="1735"/>
              <w:gridCol w:w="1735"/>
              <w:gridCol w:w="1735"/>
              <w:gridCol w:w="1736"/>
            </w:tblGrid>
            <w:tr w:rsidR="003E1D35" w:rsidRPr="008A22DA" w14:paraId="54CD6D89" w14:textId="77777777" w:rsidTr="003E1D35">
              <w:trPr>
                <w:cantSplit/>
              </w:trPr>
              <w:tc>
                <w:tcPr>
                  <w:tcW w:w="1735" w:type="dxa"/>
                  <w:tcBorders>
                    <w:bottom w:val="single" w:sz="4" w:space="0" w:color="auto"/>
                  </w:tcBorders>
                  <w:shd w:val="clear" w:color="auto" w:fill="D9D9D9" w:themeFill="background1" w:themeFillShade="D9"/>
                </w:tcPr>
                <w:p w14:paraId="7A93258D" w14:textId="77777777" w:rsidR="003E1D35" w:rsidRPr="003E1D35" w:rsidRDefault="003E1D35" w:rsidP="003E1D35">
                  <w:pPr>
                    <w:pStyle w:val="TableText"/>
                    <w:spacing w:before="40" w:after="40"/>
                    <w:jc w:val="center"/>
                    <w:rPr>
                      <w:b/>
                      <w:sz w:val="20"/>
                    </w:rPr>
                  </w:pPr>
                  <w:r w:rsidRPr="003E1D35">
                    <w:rPr>
                      <w:b/>
                      <w:sz w:val="20"/>
                    </w:rPr>
                    <w:t>Very low harm</w:t>
                  </w:r>
                </w:p>
              </w:tc>
              <w:tc>
                <w:tcPr>
                  <w:tcW w:w="1735" w:type="dxa"/>
                  <w:tcBorders>
                    <w:bottom w:val="single" w:sz="4" w:space="0" w:color="auto"/>
                  </w:tcBorders>
                  <w:shd w:val="clear" w:color="auto" w:fill="D9D9D9" w:themeFill="background1" w:themeFillShade="D9"/>
                </w:tcPr>
                <w:p w14:paraId="7A148888" w14:textId="77777777" w:rsidR="003E1D35" w:rsidRPr="003E1D35" w:rsidRDefault="003E1D35" w:rsidP="003E1D35">
                  <w:pPr>
                    <w:pStyle w:val="TableText"/>
                    <w:spacing w:before="40" w:after="40"/>
                    <w:jc w:val="center"/>
                    <w:rPr>
                      <w:b/>
                      <w:sz w:val="20"/>
                    </w:rPr>
                  </w:pPr>
                  <w:r w:rsidRPr="003E1D35">
                    <w:rPr>
                      <w:b/>
                      <w:sz w:val="20"/>
                    </w:rPr>
                    <w:t>Low 1</w:t>
                  </w:r>
                </w:p>
              </w:tc>
              <w:tc>
                <w:tcPr>
                  <w:tcW w:w="1735" w:type="dxa"/>
                  <w:tcBorders>
                    <w:bottom w:val="single" w:sz="4" w:space="0" w:color="auto"/>
                  </w:tcBorders>
                  <w:shd w:val="clear" w:color="auto" w:fill="D9D9D9" w:themeFill="background1" w:themeFillShade="D9"/>
                </w:tcPr>
                <w:p w14:paraId="00C6C26B" w14:textId="77777777" w:rsidR="003E1D35" w:rsidRPr="003E1D35" w:rsidRDefault="003E1D35" w:rsidP="003E1D35">
                  <w:pPr>
                    <w:pStyle w:val="TableText"/>
                    <w:spacing w:before="40" w:after="40"/>
                    <w:jc w:val="center"/>
                    <w:rPr>
                      <w:b/>
                      <w:sz w:val="20"/>
                    </w:rPr>
                  </w:pPr>
                  <w:r w:rsidRPr="003E1D35">
                    <w:rPr>
                      <w:b/>
                      <w:sz w:val="20"/>
                    </w:rPr>
                    <w:t>Medium</w:t>
                  </w:r>
                </w:p>
              </w:tc>
              <w:tc>
                <w:tcPr>
                  <w:tcW w:w="1735" w:type="dxa"/>
                  <w:tcBorders>
                    <w:bottom w:val="single" w:sz="4" w:space="0" w:color="auto"/>
                  </w:tcBorders>
                  <w:shd w:val="clear" w:color="auto" w:fill="D9D9D9" w:themeFill="background1" w:themeFillShade="D9"/>
                </w:tcPr>
                <w:p w14:paraId="641D43D5" w14:textId="77777777" w:rsidR="003E1D35" w:rsidRPr="003E1D35" w:rsidRDefault="003E1D35" w:rsidP="003E1D35">
                  <w:pPr>
                    <w:pStyle w:val="TableText"/>
                    <w:spacing w:before="40" w:after="40"/>
                    <w:jc w:val="center"/>
                    <w:rPr>
                      <w:b/>
                      <w:sz w:val="20"/>
                    </w:rPr>
                  </w:pPr>
                  <w:r w:rsidRPr="003E1D35">
                    <w:rPr>
                      <w:b/>
                      <w:sz w:val="20"/>
                    </w:rPr>
                    <w:t>High</w:t>
                  </w:r>
                </w:p>
              </w:tc>
              <w:tc>
                <w:tcPr>
                  <w:tcW w:w="1736" w:type="dxa"/>
                  <w:tcBorders>
                    <w:bottom w:val="single" w:sz="4" w:space="0" w:color="auto"/>
                  </w:tcBorders>
                  <w:shd w:val="clear" w:color="auto" w:fill="D9D9D9" w:themeFill="background1" w:themeFillShade="D9"/>
                </w:tcPr>
                <w:p w14:paraId="51C02EBA" w14:textId="77777777" w:rsidR="003E1D35" w:rsidRPr="003E1D35" w:rsidRDefault="003E1D35" w:rsidP="003E1D35">
                  <w:pPr>
                    <w:pStyle w:val="TableText"/>
                    <w:spacing w:before="40" w:after="40"/>
                    <w:jc w:val="center"/>
                    <w:rPr>
                      <w:b/>
                      <w:sz w:val="20"/>
                    </w:rPr>
                  </w:pPr>
                  <w:r w:rsidRPr="003E1D35">
                    <w:rPr>
                      <w:b/>
                      <w:sz w:val="20"/>
                    </w:rPr>
                    <w:t>Very high harm</w:t>
                  </w:r>
                </w:p>
              </w:tc>
            </w:tr>
            <w:tr w:rsidR="003E1D35" w:rsidRPr="008A22DA" w14:paraId="5534DF87" w14:textId="77777777" w:rsidTr="003E1D35">
              <w:trPr>
                <w:cantSplit/>
              </w:trPr>
              <w:tc>
                <w:tcPr>
                  <w:tcW w:w="1735" w:type="dxa"/>
                  <w:shd w:val="clear" w:color="auto" w:fill="FFFFFF" w:themeFill="background1"/>
                </w:tcPr>
                <w:p w14:paraId="67F0040C" w14:textId="77777777" w:rsidR="003E1D35" w:rsidRPr="003E1D35" w:rsidRDefault="003E1D35" w:rsidP="003E1D35">
                  <w:pPr>
                    <w:pStyle w:val="TableText"/>
                    <w:spacing w:before="40" w:after="40"/>
                    <w:jc w:val="center"/>
                    <w:rPr>
                      <w:b/>
                      <w:sz w:val="20"/>
                    </w:rPr>
                  </w:pPr>
                  <w:r w:rsidRPr="003E1D35">
                    <w:rPr>
                      <w:b/>
                      <w:sz w:val="20"/>
                    </w:rPr>
                    <w:t>1</w:t>
                  </w:r>
                </w:p>
              </w:tc>
              <w:tc>
                <w:tcPr>
                  <w:tcW w:w="1735" w:type="dxa"/>
                  <w:shd w:val="clear" w:color="auto" w:fill="FFFFFF" w:themeFill="background1"/>
                </w:tcPr>
                <w:p w14:paraId="7DD8340C" w14:textId="77777777" w:rsidR="003E1D35" w:rsidRPr="003E1D35" w:rsidRDefault="003E1D35" w:rsidP="003E1D35">
                  <w:pPr>
                    <w:pStyle w:val="TableText"/>
                    <w:spacing w:before="40" w:after="40"/>
                    <w:jc w:val="center"/>
                    <w:rPr>
                      <w:b/>
                      <w:sz w:val="20"/>
                    </w:rPr>
                  </w:pPr>
                  <w:r w:rsidRPr="003E1D35">
                    <w:rPr>
                      <w:b/>
                      <w:sz w:val="20"/>
                    </w:rPr>
                    <w:t>2</w:t>
                  </w:r>
                </w:p>
              </w:tc>
              <w:tc>
                <w:tcPr>
                  <w:tcW w:w="1735" w:type="dxa"/>
                  <w:shd w:val="clear" w:color="auto" w:fill="FFFFFF" w:themeFill="background1"/>
                </w:tcPr>
                <w:p w14:paraId="6A519B94" w14:textId="77777777" w:rsidR="003E1D35" w:rsidRPr="003E1D35" w:rsidRDefault="003E1D35" w:rsidP="003E1D35">
                  <w:pPr>
                    <w:pStyle w:val="TableText"/>
                    <w:spacing w:before="40" w:after="40"/>
                    <w:jc w:val="center"/>
                    <w:rPr>
                      <w:b/>
                      <w:sz w:val="20"/>
                    </w:rPr>
                  </w:pPr>
                  <w:r w:rsidRPr="003E1D35">
                    <w:rPr>
                      <w:b/>
                      <w:sz w:val="20"/>
                    </w:rPr>
                    <w:t>3</w:t>
                  </w:r>
                </w:p>
              </w:tc>
              <w:tc>
                <w:tcPr>
                  <w:tcW w:w="1735" w:type="dxa"/>
                  <w:shd w:val="clear" w:color="auto" w:fill="FFFFFF" w:themeFill="background1"/>
                </w:tcPr>
                <w:p w14:paraId="57CA7A45" w14:textId="77777777" w:rsidR="003E1D35" w:rsidRPr="003E1D35" w:rsidRDefault="003E1D35" w:rsidP="003E1D35">
                  <w:pPr>
                    <w:pStyle w:val="TableText"/>
                    <w:spacing w:before="40" w:after="40"/>
                    <w:jc w:val="center"/>
                    <w:rPr>
                      <w:b/>
                      <w:sz w:val="20"/>
                    </w:rPr>
                  </w:pPr>
                  <w:r w:rsidRPr="003E1D35">
                    <w:rPr>
                      <w:b/>
                      <w:sz w:val="20"/>
                    </w:rPr>
                    <w:t>4</w:t>
                  </w:r>
                </w:p>
              </w:tc>
              <w:tc>
                <w:tcPr>
                  <w:tcW w:w="1736" w:type="dxa"/>
                  <w:shd w:val="clear" w:color="auto" w:fill="FFFFFF" w:themeFill="background1"/>
                </w:tcPr>
                <w:p w14:paraId="0DC18C6D" w14:textId="77777777" w:rsidR="003E1D35" w:rsidRPr="003E1D35" w:rsidRDefault="003E1D35" w:rsidP="003E1D35">
                  <w:pPr>
                    <w:pStyle w:val="TableText"/>
                    <w:spacing w:before="40" w:after="40"/>
                    <w:jc w:val="center"/>
                    <w:rPr>
                      <w:b/>
                      <w:sz w:val="20"/>
                    </w:rPr>
                  </w:pPr>
                  <w:r w:rsidRPr="003E1D35">
                    <w:rPr>
                      <w:b/>
                      <w:sz w:val="20"/>
                    </w:rPr>
                    <w:t>5</w:t>
                  </w:r>
                </w:p>
              </w:tc>
            </w:tr>
          </w:tbl>
          <w:p w14:paraId="68702524" w14:textId="77777777" w:rsidR="008A22DA" w:rsidRDefault="008A22DA" w:rsidP="008A22DA">
            <w:pPr>
              <w:pStyle w:val="TableText"/>
              <w:spacing w:before="240" w:after="240"/>
            </w:pPr>
            <w:r w:rsidRPr="00FD6CE1">
              <w:t xml:space="preserve">Please enter </w:t>
            </w:r>
            <w:r>
              <w:t>the number corresponding to your considered view of harm in the space allocated below.</w:t>
            </w:r>
          </w:p>
          <w:p w14:paraId="314DD3E2" w14:textId="77777777" w:rsidR="008A22DA" w:rsidRPr="008A22DA" w:rsidRDefault="008A22DA" w:rsidP="003E1D35">
            <w:pPr>
              <w:pStyle w:val="TableText"/>
              <w:spacing w:before="240" w:after="120"/>
              <w:rPr>
                <w:b/>
              </w:rPr>
            </w:pPr>
            <w:r>
              <w:rPr>
                <w:b/>
              </w:rPr>
              <w:t>Dependent user</w:t>
            </w:r>
          </w:p>
          <w:tbl>
            <w:tblPr>
              <w:tblStyle w:val="TableGrid"/>
              <w:tblW w:w="0" w:type="auto"/>
              <w:tblLayout w:type="fixed"/>
              <w:tblLook w:val="04A0" w:firstRow="1" w:lastRow="0" w:firstColumn="1" w:lastColumn="0" w:noHBand="0" w:noVBand="1"/>
            </w:tblPr>
            <w:tblGrid>
              <w:gridCol w:w="2660"/>
              <w:gridCol w:w="3008"/>
              <w:gridCol w:w="3008"/>
            </w:tblGrid>
            <w:tr w:rsidR="003E1D35" w:rsidRPr="008A22DA" w14:paraId="0AFC4BAD" w14:textId="77777777" w:rsidTr="003E1D35">
              <w:trPr>
                <w:cantSplit/>
              </w:trPr>
              <w:tc>
                <w:tcPr>
                  <w:tcW w:w="2660" w:type="dxa"/>
                  <w:tcBorders>
                    <w:bottom w:val="single" w:sz="4" w:space="0" w:color="auto"/>
                  </w:tcBorders>
                  <w:shd w:val="clear" w:color="auto" w:fill="D9D9D9" w:themeFill="background1" w:themeFillShade="D9"/>
                  <w:vAlign w:val="center"/>
                </w:tcPr>
                <w:p w14:paraId="11C65DF8" w14:textId="77777777" w:rsidR="003E1D35" w:rsidRPr="003E1D35" w:rsidRDefault="003E1D35" w:rsidP="00FD7633">
                  <w:pPr>
                    <w:pStyle w:val="TableText"/>
                    <w:spacing w:before="40" w:after="40"/>
                    <w:ind w:right="142"/>
                    <w:jc w:val="right"/>
                    <w:rPr>
                      <w:b/>
                      <w:sz w:val="20"/>
                    </w:rPr>
                  </w:pPr>
                  <w:r w:rsidRPr="003E1D35">
                    <w:rPr>
                      <w:b/>
                      <w:sz w:val="20"/>
                    </w:rPr>
                    <w:t>Drug type</w:t>
                  </w:r>
                </w:p>
              </w:tc>
              <w:tc>
                <w:tcPr>
                  <w:tcW w:w="3008" w:type="dxa"/>
                  <w:tcBorders>
                    <w:bottom w:val="single" w:sz="4" w:space="0" w:color="auto"/>
                  </w:tcBorders>
                  <w:shd w:val="clear" w:color="auto" w:fill="D9D9D9" w:themeFill="background1" w:themeFillShade="D9"/>
                </w:tcPr>
                <w:p w14:paraId="020FB6E8" w14:textId="77777777" w:rsidR="003E1D35" w:rsidRPr="003E1D35" w:rsidRDefault="003E1D35" w:rsidP="00FD7633">
                  <w:pPr>
                    <w:pStyle w:val="TableText"/>
                    <w:spacing w:before="40" w:after="40"/>
                    <w:jc w:val="center"/>
                    <w:rPr>
                      <w:b/>
                      <w:sz w:val="20"/>
                    </w:rPr>
                  </w:pPr>
                  <w:r w:rsidRPr="003E1D35">
                    <w:rPr>
                      <w:b/>
                      <w:sz w:val="20"/>
                    </w:rPr>
                    <w:t>Personal harm</w:t>
                  </w:r>
                </w:p>
              </w:tc>
              <w:tc>
                <w:tcPr>
                  <w:tcW w:w="3008" w:type="dxa"/>
                  <w:tcBorders>
                    <w:bottom w:val="single" w:sz="4" w:space="0" w:color="auto"/>
                  </w:tcBorders>
                  <w:shd w:val="clear" w:color="auto" w:fill="D9D9D9" w:themeFill="background1" w:themeFillShade="D9"/>
                </w:tcPr>
                <w:p w14:paraId="2FE8A485" w14:textId="77777777" w:rsidR="003E1D35" w:rsidRPr="003E1D35" w:rsidRDefault="003E1D35" w:rsidP="00FD7633">
                  <w:pPr>
                    <w:pStyle w:val="TableText"/>
                    <w:spacing w:before="40" w:after="40"/>
                    <w:jc w:val="center"/>
                    <w:rPr>
                      <w:b/>
                      <w:sz w:val="20"/>
                    </w:rPr>
                  </w:pPr>
                  <w:r w:rsidRPr="003E1D35">
                    <w:rPr>
                      <w:b/>
                      <w:sz w:val="20"/>
                    </w:rPr>
                    <w:t>Community harm</w:t>
                  </w:r>
                </w:p>
              </w:tc>
            </w:tr>
            <w:tr w:rsidR="003E1D35" w:rsidRPr="00BB7522" w14:paraId="3CBABC6D" w14:textId="77777777" w:rsidTr="003E1D35">
              <w:trPr>
                <w:cantSplit/>
              </w:trPr>
              <w:tc>
                <w:tcPr>
                  <w:tcW w:w="2660" w:type="dxa"/>
                  <w:shd w:val="clear" w:color="auto" w:fill="FFFFFF" w:themeFill="background1"/>
                  <w:vAlign w:val="center"/>
                </w:tcPr>
                <w:p w14:paraId="0BEFEFA9" w14:textId="77777777" w:rsidR="003E1D35" w:rsidRPr="003E1D35" w:rsidRDefault="003E1D35" w:rsidP="00FD7633">
                  <w:pPr>
                    <w:pStyle w:val="TableText"/>
                    <w:spacing w:before="40" w:after="40"/>
                    <w:ind w:right="142"/>
                    <w:jc w:val="right"/>
                    <w:rPr>
                      <w:color w:val="000000"/>
                      <w:sz w:val="20"/>
                    </w:rPr>
                  </w:pPr>
                  <w:r w:rsidRPr="003E1D35">
                    <w:rPr>
                      <w:color w:val="000000"/>
                      <w:sz w:val="20"/>
                    </w:rPr>
                    <w:t>Heroin</w:t>
                  </w:r>
                </w:p>
              </w:tc>
              <w:tc>
                <w:tcPr>
                  <w:tcW w:w="3008" w:type="dxa"/>
                  <w:shd w:val="clear" w:color="auto" w:fill="FFFFFF" w:themeFill="background1"/>
                </w:tcPr>
                <w:p w14:paraId="0EC9E8A2" w14:textId="77777777" w:rsidR="003E1D35" w:rsidRPr="003E1D35" w:rsidRDefault="003E1D35" w:rsidP="003E1D35">
                  <w:pPr>
                    <w:pStyle w:val="TableText"/>
                    <w:spacing w:before="40" w:after="40"/>
                    <w:rPr>
                      <w:sz w:val="20"/>
                    </w:rPr>
                  </w:pPr>
                </w:p>
              </w:tc>
              <w:tc>
                <w:tcPr>
                  <w:tcW w:w="3008" w:type="dxa"/>
                  <w:shd w:val="clear" w:color="auto" w:fill="FFFFFF" w:themeFill="background1"/>
                </w:tcPr>
                <w:p w14:paraId="72EE5834" w14:textId="77777777" w:rsidR="003E1D35" w:rsidRPr="003E1D35" w:rsidRDefault="003E1D35" w:rsidP="003E1D35">
                  <w:pPr>
                    <w:pStyle w:val="TableText"/>
                    <w:spacing w:before="40" w:after="40"/>
                    <w:rPr>
                      <w:sz w:val="20"/>
                    </w:rPr>
                  </w:pPr>
                </w:p>
              </w:tc>
            </w:tr>
            <w:tr w:rsidR="003E1D35" w:rsidRPr="00FD232E" w14:paraId="40F9FDDB" w14:textId="77777777" w:rsidTr="003E1D35">
              <w:trPr>
                <w:cantSplit/>
              </w:trPr>
              <w:tc>
                <w:tcPr>
                  <w:tcW w:w="2660" w:type="dxa"/>
                  <w:shd w:val="clear" w:color="auto" w:fill="FFFFFF" w:themeFill="background1"/>
                  <w:vAlign w:val="center"/>
                </w:tcPr>
                <w:p w14:paraId="62DB6D0C" w14:textId="77777777" w:rsidR="003E1D35" w:rsidRPr="003E1D35" w:rsidRDefault="003E1D35" w:rsidP="00FD7633">
                  <w:pPr>
                    <w:pStyle w:val="TableText"/>
                    <w:spacing w:before="40" w:after="40"/>
                    <w:ind w:right="142"/>
                    <w:jc w:val="right"/>
                    <w:rPr>
                      <w:sz w:val="20"/>
                    </w:rPr>
                  </w:pPr>
                  <w:r w:rsidRPr="003E1D35">
                    <w:rPr>
                      <w:color w:val="000000"/>
                      <w:sz w:val="20"/>
                    </w:rPr>
                    <w:t>Other opioids</w:t>
                  </w:r>
                </w:p>
              </w:tc>
              <w:tc>
                <w:tcPr>
                  <w:tcW w:w="3008" w:type="dxa"/>
                  <w:shd w:val="clear" w:color="auto" w:fill="FFFFFF" w:themeFill="background1"/>
                </w:tcPr>
                <w:p w14:paraId="16F36231" w14:textId="77777777" w:rsidR="003E1D35" w:rsidRPr="003E1D35" w:rsidRDefault="003E1D35" w:rsidP="003E1D35">
                  <w:pPr>
                    <w:pStyle w:val="TableText"/>
                    <w:spacing w:before="40" w:after="40"/>
                    <w:rPr>
                      <w:sz w:val="20"/>
                    </w:rPr>
                  </w:pPr>
                </w:p>
              </w:tc>
              <w:tc>
                <w:tcPr>
                  <w:tcW w:w="3008" w:type="dxa"/>
                  <w:shd w:val="clear" w:color="auto" w:fill="FFFFFF" w:themeFill="background1"/>
                </w:tcPr>
                <w:p w14:paraId="120ABCCF" w14:textId="77777777" w:rsidR="003E1D35" w:rsidRPr="003E1D35" w:rsidRDefault="003E1D35" w:rsidP="003E1D35">
                  <w:pPr>
                    <w:pStyle w:val="TableText"/>
                    <w:spacing w:before="40" w:after="40"/>
                    <w:rPr>
                      <w:sz w:val="20"/>
                    </w:rPr>
                  </w:pPr>
                </w:p>
              </w:tc>
            </w:tr>
            <w:tr w:rsidR="003E1D35" w:rsidRPr="00FD232E" w14:paraId="0D472C5C" w14:textId="77777777" w:rsidTr="003E1D35">
              <w:trPr>
                <w:cantSplit/>
              </w:trPr>
              <w:tc>
                <w:tcPr>
                  <w:tcW w:w="2660" w:type="dxa"/>
                  <w:shd w:val="clear" w:color="auto" w:fill="FFFFFF" w:themeFill="background1"/>
                  <w:vAlign w:val="center"/>
                </w:tcPr>
                <w:p w14:paraId="518C9E4A" w14:textId="77777777" w:rsidR="003E1D35" w:rsidRPr="003E1D35" w:rsidRDefault="003E1D35" w:rsidP="00FD7633">
                  <w:pPr>
                    <w:pStyle w:val="TableText"/>
                    <w:spacing w:before="40" w:after="40"/>
                    <w:ind w:right="142"/>
                    <w:jc w:val="right"/>
                    <w:rPr>
                      <w:sz w:val="20"/>
                    </w:rPr>
                  </w:pPr>
                  <w:r w:rsidRPr="003E1D35">
                    <w:rPr>
                      <w:color w:val="000000"/>
                      <w:sz w:val="20"/>
                    </w:rPr>
                    <w:t>Sedatives</w:t>
                  </w:r>
                </w:p>
              </w:tc>
              <w:tc>
                <w:tcPr>
                  <w:tcW w:w="3008" w:type="dxa"/>
                  <w:shd w:val="clear" w:color="auto" w:fill="FFFFFF" w:themeFill="background1"/>
                </w:tcPr>
                <w:p w14:paraId="1AA14DA8" w14:textId="77777777" w:rsidR="003E1D35" w:rsidRPr="003E1D35" w:rsidRDefault="003E1D35" w:rsidP="003E1D35">
                  <w:pPr>
                    <w:pStyle w:val="TableText"/>
                    <w:spacing w:before="40" w:after="40"/>
                    <w:rPr>
                      <w:sz w:val="20"/>
                    </w:rPr>
                  </w:pPr>
                </w:p>
              </w:tc>
              <w:tc>
                <w:tcPr>
                  <w:tcW w:w="3008" w:type="dxa"/>
                  <w:shd w:val="clear" w:color="auto" w:fill="FFFFFF" w:themeFill="background1"/>
                </w:tcPr>
                <w:p w14:paraId="392CF887" w14:textId="77777777" w:rsidR="003E1D35" w:rsidRPr="003E1D35" w:rsidRDefault="003E1D35" w:rsidP="003E1D35">
                  <w:pPr>
                    <w:pStyle w:val="TableText"/>
                    <w:spacing w:before="40" w:after="40"/>
                    <w:rPr>
                      <w:sz w:val="20"/>
                    </w:rPr>
                  </w:pPr>
                </w:p>
              </w:tc>
            </w:tr>
            <w:tr w:rsidR="003E1D35" w:rsidRPr="00FD232E" w14:paraId="295EBD5E" w14:textId="77777777" w:rsidTr="003E1D35">
              <w:trPr>
                <w:cantSplit/>
              </w:trPr>
              <w:tc>
                <w:tcPr>
                  <w:tcW w:w="2660" w:type="dxa"/>
                  <w:shd w:val="clear" w:color="auto" w:fill="FFFFFF" w:themeFill="background1"/>
                  <w:vAlign w:val="center"/>
                </w:tcPr>
                <w:p w14:paraId="7E7D8CAD" w14:textId="77777777" w:rsidR="003E1D35" w:rsidRPr="003E1D35" w:rsidRDefault="003E1D35" w:rsidP="00FD7633">
                  <w:pPr>
                    <w:pStyle w:val="TableText"/>
                    <w:spacing w:before="40" w:after="40"/>
                    <w:ind w:right="142"/>
                    <w:jc w:val="right"/>
                    <w:rPr>
                      <w:sz w:val="20"/>
                    </w:rPr>
                  </w:pPr>
                  <w:r w:rsidRPr="003E1D35">
                    <w:rPr>
                      <w:color w:val="000000"/>
                      <w:sz w:val="20"/>
                    </w:rPr>
                    <w:t>Cannabis</w:t>
                  </w:r>
                </w:p>
              </w:tc>
              <w:tc>
                <w:tcPr>
                  <w:tcW w:w="3008" w:type="dxa"/>
                  <w:shd w:val="clear" w:color="auto" w:fill="FFFFFF" w:themeFill="background1"/>
                </w:tcPr>
                <w:p w14:paraId="318ABF16" w14:textId="77777777" w:rsidR="003E1D35" w:rsidRPr="003E1D35" w:rsidRDefault="003E1D35" w:rsidP="003E1D35">
                  <w:pPr>
                    <w:pStyle w:val="TableText"/>
                    <w:spacing w:before="40" w:after="40"/>
                    <w:rPr>
                      <w:sz w:val="20"/>
                    </w:rPr>
                  </w:pPr>
                </w:p>
              </w:tc>
              <w:tc>
                <w:tcPr>
                  <w:tcW w:w="3008" w:type="dxa"/>
                  <w:shd w:val="clear" w:color="auto" w:fill="FFFFFF" w:themeFill="background1"/>
                </w:tcPr>
                <w:p w14:paraId="32D17ABF" w14:textId="77777777" w:rsidR="003E1D35" w:rsidRPr="003E1D35" w:rsidRDefault="003E1D35" w:rsidP="003E1D35">
                  <w:pPr>
                    <w:pStyle w:val="TableText"/>
                    <w:spacing w:before="40" w:after="40"/>
                    <w:rPr>
                      <w:sz w:val="20"/>
                    </w:rPr>
                  </w:pPr>
                </w:p>
              </w:tc>
            </w:tr>
            <w:tr w:rsidR="003E1D35" w:rsidRPr="00FD232E" w14:paraId="3480EBC9" w14:textId="77777777" w:rsidTr="003E1D35">
              <w:trPr>
                <w:cantSplit/>
              </w:trPr>
              <w:tc>
                <w:tcPr>
                  <w:tcW w:w="2660" w:type="dxa"/>
                  <w:shd w:val="clear" w:color="auto" w:fill="FFFFFF" w:themeFill="background1"/>
                  <w:vAlign w:val="center"/>
                </w:tcPr>
                <w:p w14:paraId="329379AB" w14:textId="77777777" w:rsidR="003E1D35" w:rsidRPr="003E1D35" w:rsidRDefault="003E1D35" w:rsidP="00FD7633">
                  <w:pPr>
                    <w:pStyle w:val="TableText"/>
                    <w:spacing w:before="40" w:after="40"/>
                    <w:ind w:right="142"/>
                    <w:jc w:val="right"/>
                    <w:rPr>
                      <w:sz w:val="20"/>
                    </w:rPr>
                  </w:pPr>
                  <w:r w:rsidRPr="003E1D35">
                    <w:rPr>
                      <w:color w:val="000000"/>
                      <w:sz w:val="20"/>
                    </w:rPr>
                    <w:t>Synthetic cannabis</w:t>
                  </w:r>
                </w:p>
              </w:tc>
              <w:tc>
                <w:tcPr>
                  <w:tcW w:w="3008" w:type="dxa"/>
                  <w:shd w:val="clear" w:color="auto" w:fill="FFFFFF" w:themeFill="background1"/>
                </w:tcPr>
                <w:p w14:paraId="5EAF69A3" w14:textId="77777777" w:rsidR="003E1D35" w:rsidRPr="003E1D35" w:rsidRDefault="003E1D35" w:rsidP="003E1D35">
                  <w:pPr>
                    <w:pStyle w:val="TableText"/>
                    <w:spacing w:before="40" w:after="40"/>
                    <w:rPr>
                      <w:sz w:val="20"/>
                    </w:rPr>
                  </w:pPr>
                </w:p>
              </w:tc>
              <w:tc>
                <w:tcPr>
                  <w:tcW w:w="3008" w:type="dxa"/>
                  <w:shd w:val="clear" w:color="auto" w:fill="FFFFFF" w:themeFill="background1"/>
                </w:tcPr>
                <w:p w14:paraId="0A748E3A" w14:textId="77777777" w:rsidR="003E1D35" w:rsidRPr="003E1D35" w:rsidRDefault="003E1D35" w:rsidP="003E1D35">
                  <w:pPr>
                    <w:pStyle w:val="TableText"/>
                    <w:spacing w:before="40" w:after="40"/>
                    <w:rPr>
                      <w:sz w:val="20"/>
                    </w:rPr>
                  </w:pPr>
                </w:p>
              </w:tc>
            </w:tr>
            <w:tr w:rsidR="003E1D35" w:rsidRPr="00FD232E" w14:paraId="0029734F" w14:textId="77777777" w:rsidTr="003E1D35">
              <w:trPr>
                <w:cantSplit/>
              </w:trPr>
              <w:tc>
                <w:tcPr>
                  <w:tcW w:w="2660" w:type="dxa"/>
                  <w:shd w:val="clear" w:color="auto" w:fill="FFFFFF" w:themeFill="background1"/>
                  <w:vAlign w:val="center"/>
                </w:tcPr>
                <w:p w14:paraId="50E25802" w14:textId="77777777" w:rsidR="003E1D35" w:rsidRPr="003E1D35" w:rsidRDefault="003E1D35" w:rsidP="00FD7633">
                  <w:pPr>
                    <w:pStyle w:val="TableText"/>
                    <w:spacing w:before="40" w:after="40"/>
                    <w:ind w:right="142"/>
                    <w:jc w:val="right"/>
                    <w:rPr>
                      <w:sz w:val="20"/>
                    </w:rPr>
                  </w:pPr>
                  <w:r w:rsidRPr="003E1D35">
                    <w:rPr>
                      <w:sz w:val="20"/>
                    </w:rPr>
                    <w:t>Hallucinogens</w:t>
                  </w:r>
                </w:p>
              </w:tc>
              <w:tc>
                <w:tcPr>
                  <w:tcW w:w="3008" w:type="dxa"/>
                  <w:shd w:val="clear" w:color="auto" w:fill="FFFFFF" w:themeFill="background1"/>
                </w:tcPr>
                <w:p w14:paraId="16572457" w14:textId="77777777" w:rsidR="003E1D35" w:rsidRPr="003E1D35" w:rsidRDefault="003E1D35" w:rsidP="003E1D35">
                  <w:pPr>
                    <w:pStyle w:val="TableText"/>
                    <w:spacing w:before="40" w:after="40"/>
                    <w:rPr>
                      <w:sz w:val="20"/>
                    </w:rPr>
                  </w:pPr>
                </w:p>
              </w:tc>
              <w:tc>
                <w:tcPr>
                  <w:tcW w:w="3008" w:type="dxa"/>
                  <w:shd w:val="clear" w:color="auto" w:fill="FFFFFF" w:themeFill="background1"/>
                </w:tcPr>
                <w:p w14:paraId="2819C864" w14:textId="77777777" w:rsidR="003E1D35" w:rsidRPr="003E1D35" w:rsidRDefault="003E1D35" w:rsidP="003E1D35">
                  <w:pPr>
                    <w:pStyle w:val="TableText"/>
                    <w:spacing w:before="40" w:after="40"/>
                    <w:rPr>
                      <w:sz w:val="20"/>
                    </w:rPr>
                  </w:pPr>
                </w:p>
              </w:tc>
            </w:tr>
            <w:tr w:rsidR="003E1D35" w:rsidRPr="00FD232E" w14:paraId="17E58779" w14:textId="77777777" w:rsidTr="003E1D35">
              <w:trPr>
                <w:cantSplit/>
              </w:trPr>
              <w:tc>
                <w:tcPr>
                  <w:tcW w:w="2660" w:type="dxa"/>
                  <w:shd w:val="clear" w:color="auto" w:fill="FFFFFF" w:themeFill="background1"/>
                  <w:vAlign w:val="center"/>
                </w:tcPr>
                <w:p w14:paraId="51393C0B" w14:textId="77777777" w:rsidR="003E1D35" w:rsidRPr="003E1D35" w:rsidRDefault="003E1D35" w:rsidP="00FD7633">
                  <w:pPr>
                    <w:pStyle w:val="TableText"/>
                    <w:spacing w:before="40" w:after="40"/>
                    <w:ind w:right="142"/>
                    <w:jc w:val="right"/>
                    <w:rPr>
                      <w:sz w:val="20"/>
                    </w:rPr>
                  </w:pPr>
                  <w:r w:rsidRPr="003E1D35">
                    <w:rPr>
                      <w:color w:val="000000"/>
                      <w:sz w:val="20"/>
                    </w:rPr>
                    <w:t>Ketamine</w:t>
                  </w:r>
                </w:p>
              </w:tc>
              <w:tc>
                <w:tcPr>
                  <w:tcW w:w="3008" w:type="dxa"/>
                  <w:shd w:val="clear" w:color="auto" w:fill="FFFFFF" w:themeFill="background1"/>
                </w:tcPr>
                <w:p w14:paraId="1BC1617E" w14:textId="77777777" w:rsidR="003E1D35" w:rsidRPr="003E1D35" w:rsidRDefault="003E1D35" w:rsidP="003E1D35">
                  <w:pPr>
                    <w:pStyle w:val="TableText"/>
                    <w:spacing w:before="40" w:after="40"/>
                    <w:rPr>
                      <w:sz w:val="20"/>
                    </w:rPr>
                  </w:pPr>
                </w:p>
              </w:tc>
              <w:tc>
                <w:tcPr>
                  <w:tcW w:w="3008" w:type="dxa"/>
                  <w:shd w:val="clear" w:color="auto" w:fill="FFFFFF" w:themeFill="background1"/>
                </w:tcPr>
                <w:p w14:paraId="64C5EB6C" w14:textId="77777777" w:rsidR="003E1D35" w:rsidRPr="003E1D35" w:rsidRDefault="003E1D35" w:rsidP="003E1D35">
                  <w:pPr>
                    <w:pStyle w:val="TableText"/>
                    <w:spacing w:before="40" w:after="40"/>
                    <w:rPr>
                      <w:sz w:val="20"/>
                    </w:rPr>
                  </w:pPr>
                </w:p>
              </w:tc>
            </w:tr>
            <w:tr w:rsidR="003E1D35" w:rsidRPr="00FD232E" w14:paraId="1C9E6AE5" w14:textId="77777777" w:rsidTr="003E1D35">
              <w:trPr>
                <w:cantSplit/>
              </w:trPr>
              <w:tc>
                <w:tcPr>
                  <w:tcW w:w="2660" w:type="dxa"/>
                  <w:shd w:val="clear" w:color="auto" w:fill="FFFFFF" w:themeFill="background1"/>
                  <w:vAlign w:val="center"/>
                </w:tcPr>
                <w:p w14:paraId="5B8ADC63" w14:textId="77777777" w:rsidR="003E1D35" w:rsidRPr="003E1D35" w:rsidRDefault="003E1D35" w:rsidP="00FD7633">
                  <w:pPr>
                    <w:pStyle w:val="TableText"/>
                    <w:spacing w:before="40" w:after="40"/>
                    <w:ind w:right="142"/>
                    <w:jc w:val="right"/>
                    <w:rPr>
                      <w:sz w:val="20"/>
                    </w:rPr>
                  </w:pPr>
                  <w:r w:rsidRPr="003E1D35">
                    <w:rPr>
                      <w:color w:val="000000"/>
                      <w:sz w:val="20"/>
                    </w:rPr>
                    <w:t>Cocaine</w:t>
                  </w:r>
                </w:p>
              </w:tc>
              <w:tc>
                <w:tcPr>
                  <w:tcW w:w="3008" w:type="dxa"/>
                  <w:shd w:val="clear" w:color="auto" w:fill="FFFFFF" w:themeFill="background1"/>
                </w:tcPr>
                <w:p w14:paraId="79359AFA" w14:textId="77777777" w:rsidR="003E1D35" w:rsidRPr="003E1D35" w:rsidRDefault="003E1D35" w:rsidP="003E1D35">
                  <w:pPr>
                    <w:pStyle w:val="TableText"/>
                    <w:spacing w:before="40" w:after="40"/>
                    <w:rPr>
                      <w:sz w:val="20"/>
                    </w:rPr>
                  </w:pPr>
                </w:p>
              </w:tc>
              <w:tc>
                <w:tcPr>
                  <w:tcW w:w="3008" w:type="dxa"/>
                  <w:shd w:val="clear" w:color="auto" w:fill="FFFFFF" w:themeFill="background1"/>
                </w:tcPr>
                <w:p w14:paraId="188760EF" w14:textId="77777777" w:rsidR="003E1D35" w:rsidRPr="003E1D35" w:rsidRDefault="003E1D35" w:rsidP="003E1D35">
                  <w:pPr>
                    <w:pStyle w:val="TableText"/>
                    <w:spacing w:before="40" w:after="40"/>
                    <w:rPr>
                      <w:sz w:val="20"/>
                    </w:rPr>
                  </w:pPr>
                </w:p>
              </w:tc>
            </w:tr>
            <w:tr w:rsidR="003E1D35" w:rsidRPr="00FD232E" w14:paraId="67693508" w14:textId="77777777" w:rsidTr="003E1D35">
              <w:trPr>
                <w:cantSplit/>
              </w:trPr>
              <w:tc>
                <w:tcPr>
                  <w:tcW w:w="2660" w:type="dxa"/>
                  <w:shd w:val="clear" w:color="auto" w:fill="FFFFFF" w:themeFill="background1"/>
                  <w:vAlign w:val="center"/>
                </w:tcPr>
                <w:p w14:paraId="0477A445" w14:textId="77777777" w:rsidR="003E1D35" w:rsidRPr="003E1D35" w:rsidRDefault="003E1D35" w:rsidP="00FD7633">
                  <w:pPr>
                    <w:pStyle w:val="TableText"/>
                    <w:spacing w:before="40" w:after="40"/>
                    <w:ind w:right="142"/>
                    <w:jc w:val="right"/>
                    <w:rPr>
                      <w:sz w:val="20"/>
                    </w:rPr>
                  </w:pPr>
                  <w:r w:rsidRPr="003E1D35">
                    <w:rPr>
                      <w:color w:val="000000"/>
                      <w:sz w:val="20"/>
                    </w:rPr>
                    <w:t>Ecstasy</w:t>
                  </w:r>
                </w:p>
              </w:tc>
              <w:tc>
                <w:tcPr>
                  <w:tcW w:w="3008" w:type="dxa"/>
                  <w:shd w:val="clear" w:color="auto" w:fill="FFFFFF" w:themeFill="background1"/>
                </w:tcPr>
                <w:p w14:paraId="7CE58CB5" w14:textId="77777777" w:rsidR="003E1D35" w:rsidRPr="003E1D35" w:rsidRDefault="003E1D35" w:rsidP="003E1D35">
                  <w:pPr>
                    <w:pStyle w:val="TableText"/>
                    <w:spacing w:before="40" w:after="40"/>
                    <w:rPr>
                      <w:sz w:val="20"/>
                    </w:rPr>
                  </w:pPr>
                </w:p>
              </w:tc>
              <w:tc>
                <w:tcPr>
                  <w:tcW w:w="3008" w:type="dxa"/>
                  <w:shd w:val="clear" w:color="auto" w:fill="FFFFFF" w:themeFill="background1"/>
                </w:tcPr>
                <w:p w14:paraId="0D53EAF3" w14:textId="77777777" w:rsidR="003E1D35" w:rsidRPr="003E1D35" w:rsidRDefault="003E1D35" w:rsidP="003E1D35">
                  <w:pPr>
                    <w:pStyle w:val="TableText"/>
                    <w:spacing w:before="40" w:after="40"/>
                    <w:rPr>
                      <w:sz w:val="20"/>
                    </w:rPr>
                  </w:pPr>
                </w:p>
              </w:tc>
            </w:tr>
            <w:tr w:rsidR="003E1D35" w:rsidRPr="00FD232E" w14:paraId="23FCCF10" w14:textId="77777777" w:rsidTr="003E1D35">
              <w:trPr>
                <w:cantSplit/>
              </w:trPr>
              <w:tc>
                <w:tcPr>
                  <w:tcW w:w="2660" w:type="dxa"/>
                  <w:shd w:val="clear" w:color="auto" w:fill="FFFFFF" w:themeFill="background1"/>
                  <w:vAlign w:val="center"/>
                </w:tcPr>
                <w:p w14:paraId="4A245C0E" w14:textId="77777777" w:rsidR="003E1D35" w:rsidRPr="003E1D35" w:rsidRDefault="003E1D35" w:rsidP="00FD7633">
                  <w:pPr>
                    <w:pStyle w:val="TableText"/>
                    <w:spacing w:before="40" w:after="40"/>
                    <w:ind w:right="142"/>
                    <w:jc w:val="right"/>
                    <w:rPr>
                      <w:sz w:val="20"/>
                    </w:rPr>
                  </w:pPr>
                  <w:r w:rsidRPr="003E1D35">
                    <w:rPr>
                      <w:color w:val="000000"/>
                      <w:sz w:val="20"/>
                    </w:rPr>
                    <w:t>Methamphetamine</w:t>
                  </w:r>
                </w:p>
              </w:tc>
              <w:tc>
                <w:tcPr>
                  <w:tcW w:w="3008" w:type="dxa"/>
                  <w:shd w:val="clear" w:color="auto" w:fill="FFFFFF" w:themeFill="background1"/>
                </w:tcPr>
                <w:p w14:paraId="6FEC715B" w14:textId="77777777" w:rsidR="003E1D35" w:rsidRPr="003E1D35" w:rsidRDefault="003E1D35" w:rsidP="003E1D35">
                  <w:pPr>
                    <w:pStyle w:val="TableText"/>
                    <w:spacing w:before="40" w:after="40"/>
                    <w:rPr>
                      <w:sz w:val="20"/>
                    </w:rPr>
                  </w:pPr>
                </w:p>
              </w:tc>
              <w:tc>
                <w:tcPr>
                  <w:tcW w:w="3008" w:type="dxa"/>
                  <w:shd w:val="clear" w:color="auto" w:fill="FFFFFF" w:themeFill="background1"/>
                </w:tcPr>
                <w:p w14:paraId="5CC59BF4" w14:textId="77777777" w:rsidR="003E1D35" w:rsidRPr="003E1D35" w:rsidRDefault="003E1D35" w:rsidP="003E1D35">
                  <w:pPr>
                    <w:pStyle w:val="TableText"/>
                    <w:spacing w:before="40" w:after="40"/>
                    <w:rPr>
                      <w:sz w:val="20"/>
                    </w:rPr>
                  </w:pPr>
                </w:p>
              </w:tc>
            </w:tr>
            <w:tr w:rsidR="003E1D35" w:rsidRPr="00FD232E" w14:paraId="1A1A8364" w14:textId="77777777" w:rsidTr="003E1D35">
              <w:trPr>
                <w:cantSplit/>
              </w:trPr>
              <w:tc>
                <w:tcPr>
                  <w:tcW w:w="2660" w:type="dxa"/>
                  <w:shd w:val="clear" w:color="auto" w:fill="FFFFFF" w:themeFill="background1"/>
                  <w:vAlign w:val="center"/>
                </w:tcPr>
                <w:p w14:paraId="34A0501C" w14:textId="77777777" w:rsidR="003E1D35" w:rsidRPr="003E1D35" w:rsidRDefault="003E1D35" w:rsidP="00FD7633">
                  <w:pPr>
                    <w:pStyle w:val="TableText"/>
                    <w:spacing w:before="40" w:after="40"/>
                    <w:ind w:right="142"/>
                    <w:jc w:val="right"/>
                    <w:rPr>
                      <w:sz w:val="20"/>
                    </w:rPr>
                  </w:pPr>
                  <w:r w:rsidRPr="003E1D35">
                    <w:rPr>
                      <w:color w:val="000000"/>
                      <w:sz w:val="20"/>
                    </w:rPr>
                    <w:t>Amphetamine sulphate</w:t>
                  </w:r>
                </w:p>
              </w:tc>
              <w:tc>
                <w:tcPr>
                  <w:tcW w:w="3008" w:type="dxa"/>
                  <w:shd w:val="clear" w:color="auto" w:fill="FFFFFF" w:themeFill="background1"/>
                </w:tcPr>
                <w:p w14:paraId="052E1DF7" w14:textId="77777777" w:rsidR="003E1D35" w:rsidRPr="003E1D35" w:rsidRDefault="003E1D35" w:rsidP="003E1D35">
                  <w:pPr>
                    <w:pStyle w:val="TableText"/>
                    <w:spacing w:before="40" w:after="40"/>
                    <w:rPr>
                      <w:sz w:val="20"/>
                    </w:rPr>
                  </w:pPr>
                </w:p>
              </w:tc>
              <w:tc>
                <w:tcPr>
                  <w:tcW w:w="3008" w:type="dxa"/>
                  <w:shd w:val="clear" w:color="auto" w:fill="FFFFFF" w:themeFill="background1"/>
                </w:tcPr>
                <w:p w14:paraId="55402D66" w14:textId="77777777" w:rsidR="003E1D35" w:rsidRPr="003E1D35" w:rsidRDefault="003E1D35" w:rsidP="003E1D35">
                  <w:pPr>
                    <w:pStyle w:val="TableText"/>
                    <w:spacing w:before="40" w:after="40"/>
                    <w:rPr>
                      <w:sz w:val="20"/>
                    </w:rPr>
                  </w:pPr>
                </w:p>
              </w:tc>
            </w:tr>
            <w:tr w:rsidR="003E1D35" w:rsidRPr="00BB7522" w14:paraId="15C0B88F" w14:textId="77777777" w:rsidTr="003E1D35">
              <w:trPr>
                <w:cantSplit/>
              </w:trPr>
              <w:tc>
                <w:tcPr>
                  <w:tcW w:w="2660" w:type="dxa"/>
                  <w:shd w:val="clear" w:color="auto" w:fill="FFFFFF" w:themeFill="background1"/>
                  <w:vAlign w:val="center"/>
                </w:tcPr>
                <w:p w14:paraId="062F44EF" w14:textId="77777777" w:rsidR="003E1D35" w:rsidRPr="003E1D35" w:rsidRDefault="003E1D35" w:rsidP="00FD7633">
                  <w:pPr>
                    <w:pStyle w:val="TableText"/>
                    <w:spacing w:before="40" w:after="40"/>
                    <w:ind w:right="142"/>
                    <w:jc w:val="right"/>
                    <w:rPr>
                      <w:color w:val="000000"/>
                      <w:sz w:val="20"/>
                    </w:rPr>
                  </w:pPr>
                  <w:r w:rsidRPr="003E1D35">
                    <w:rPr>
                      <w:color w:val="000000"/>
                      <w:sz w:val="20"/>
                    </w:rPr>
                    <w:t>Dexamphetamine</w:t>
                  </w:r>
                </w:p>
              </w:tc>
              <w:tc>
                <w:tcPr>
                  <w:tcW w:w="3008" w:type="dxa"/>
                  <w:shd w:val="clear" w:color="auto" w:fill="FFFFFF" w:themeFill="background1"/>
                  <w:vAlign w:val="bottom"/>
                </w:tcPr>
                <w:p w14:paraId="5E7441BD" w14:textId="77777777" w:rsidR="003E1D35" w:rsidRPr="003E1D35" w:rsidRDefault="003E1D35" w:rsidP="003E1D35">
                  <w:pPr>
                    <w:pStyle w:val="TableText"/>
                    <w:spacing w:before="40" w:after="40"/>
                    <w:rPr>
                      <w:sz w:val="20"/>
                    </w:rPr>
                  </w:pPr>
                </w:p>
              </w:tc>
              <w:tc>
                <w:tcPr>
                  <w:tcW w:w="3008" w:type="dxa"/>
                  <w:shd w:val="clear" w:color="auto" w:fill="FFFFFF" w:themeFill="background1"/>
                  <w:vAlign w:val="bottom"/>
                </w:tcPr>
                <w:p w14:paraId="2D0AE35A" w14:textId="77777777" w:rsidR="003E1D35" w:rsidRPr="003E1D35" w:rsidRDefault="003E1D35" w:rsidP="003E1D35">
                  <w:pPr>
                    <w:pStyle w:val="TableText"/>
                    <w:spacing w:before="40" w:after="40"/>
                    <w:rPr>
                      <w:sz w:val="20"/>
                    </w:rPr>
                  </w:pPr>
                </w:p>
              </w:tc>
            </w:tr>
            <w:tr w:rsidR="003E1D35" w:rsidRPr="00BB7522" w14:paraId="0322AB3B" w14:textId="77777777" w:rsidTr="00F76945">
              <w:trPr>
                <w:cantSplit/>
                <w:trHeight w:val="62"/>
              </w:trPr>
              <w:tc>
                <w:tcPr>
                  <w:tcW w:w="2660" w:type="dxa"/>
                  <w:shd w:val="clear" w:color="auto" w:fill="FFFFFF" w:themeFill="background1"/>
                  <w:vAlign w:val="center"/>
                </w:tcPr>
                <w:p w14:paraId="1D74F6A8" w14:textId="77777777" w:rsidR="003E1D35" w:rsidRPr="003E1D35" w:rsidRDefault="003E1D35" w:rsidP="00FD7633">
                  <w:pPr>
                    <w:pStyle w:val="TableText"/>
                    <w:spacing w:before="40" w:after="40"/>
                    <w:ind w:right="142"/>
                    <w:jc w:val="right"/>
                    <w:rPr>
                      <w:color w:val="000000"/>
                      <w:sz w:val="20"/>
                    </w:rPr>
                  </w:pPr>
                  <w:r w:rsidRPr="003E1D35">
                    <w:rPr>
                      <w:color w:val="000000"/>
                      <w:sz w:val="20"/>
                    </w:rPr>
                    <w:t>Other stimulants</w:t>
                  </w:r>
                </w:p>
              </w:tc>
              <w:tc>
                <w:tcPr>
                  <w:tcW w:w="3008" w:type="dxa"/>
                  <w:shd w:val="clear" w:color="auto" w:fill="FFFFFF" w:themeFill="background1"/>
                  <w:vAlign w:val="bottom"/>
                </w:tcPr>
                <w:p w14:paraId="2B27410E" w14:textId="77777777" w:rsidR="003E1D35" w:rsidRPr="003E1D35" w:rsidRDefault="003E1D35" w:rsidP="003E1D35">
                  <w:pPr>
                    <w:pStyle w:val="TableText"/>
                    <w:spacing w:before="40" w:after="40"/>
                    <w:rPr>
                      <w:sz w:val="20"/>
                    </w:rPr>
                  </w:pPr>
                </w:p>
              </w:tc>
              <w:tc>
                <w:tcPr>
                  <w:tcW w:w="3008" w:type="dxa"/>
                  <w:shd w:val="clear" w:color="auto" w:fill="FFFFFF" w:themeFill="background1"/>
                  <w:vAlign w:val="bottom"/>
                </w:tcPr>
                <w:p w14:paraId="1BF78E81" w14:textId="77777777" w:rsidR="003E1D35" w:rsidRPr="003E1D35" w:rsidRDefault="003E1D35" w:rsidP="003E1D35">
                  <w:pPr>
                    <w:pStyle w:val="TableText"/>
                    <w:spacing w:before="40" w:after="40"/>
                    <w:rPr>
                      <w:sz w:val="20"/>
                    </w:rPr>
                  </w:pPr>
                </w:p>
              </w:tc>
            </w:tr>
          </w:tbl>
          <w:p w14:paraId="640FAB08" w14:textId="77777777" w:rsidR="008A22DA" w:rsidRDefault="008A22DA" w:rsidP="005441E2">
            <w:pPr>
              <w:pStyle w:val="TableText"/>
              <w:spacing w:before="240" w:after="120"/>
            </w:pPr>
            <w:r>
              <w:rPr>
                <w:b/>
              </w:rPr>
              <w:t>Casual user</w:t>
            </w:r>
          </w:p>
          <w:tbl>
            <w:tblPr>
              <w:tblStyle w:val="TableGrid"/>
              <w:tblW w:w="0" w:type="auto"/>
              <w:tblLayout w:type="fixed"/>
              <w:tblLook w:val="04A0" w:firstRow="1" w:lastRow="0" w:firstColumn="1" w:lastColumn="0" w:noHBand="0" w:noVBand="1"/>
            </w:tblPr>
            <w:tblGrid>
              <w:gridCol w:w="2660"/>
              <w:gridCol w:w="3008"/>
              <w:gridCol w:w="3008"/>
            </w:tblGrid>
            <w:tr w:rsidR="003E1D35" w:rsidRPr="008A22DA" w14:paraId="49F85FE4" w14:textId="77777777" w:rsidTr="003E1D35">
              <w:trPr>
                <w:cantSplit/>
              </w:trPr>
              <w:tc>
                <w:tcPr>
                  <w:tcW w:w="2660" w:type="dxa"/>
                  <w:tcBorders>
                    <w:bottom w:val="single" w:sz="4" w:space="0" w:color="auto"/>
                  </w:tcBorders>
                  <w:shd w:val="clear" w:color="auto" w:fill="D9D9D9" w:themeFill="background1" w:themeFillShade="D9"/>
                  <w:vAlign w:val="center"/>
                </w:tcPr>
                <w:p w14:paraId="48213F61" w14:textId="77777777" w:rsidR="003E1D35" w:rsidRPr="003E1D35" w:rsidRDefault="003E1D35" w:rsidP="00F76945">
                  <w:pPr>
                    <w:pStyle w:val="TableText"/>
                    <w:spacing w:before="40" w:after="40"/>
                    <w:ind w:right="142"/>
                    <w:jc w:val="right"/>
                    <w:rPr>
                      <w:b/>
                      <w:sz w:val="20"/>
                    </w:rPr>
                  </w:pPr>
                  <w:r w:rsidRPr="003E1D35">
                    <w:rPr>
                      <w:b/>
                      <w:sz w:val="20"/>
                    </w:rPr>
                    <w:t>Drug type</w:t>
                  </w:r>
                </w:p>
              </w:tc>
              <w:tc>
                <w:tcPr>
                  <w:tcW w:w="3008" w:type="dxa"/>
                  <w:tcBorders>
                    <w:bottom w:val="single" w:sz="4" w:space="0" w:color="auto"/>
                  </w:tcBorders>
                  <w:shd w:val="clear" w:color="auto" w:fill="D9D9D9" w:themeFill="background1" w:themeFillShade="D9"/>
                </w:tcPr>
                <w:p w14:paraId="3E89452E" w14:textId="77777777" w:rsidR="003E1D35" w:rsidRPr="003E1D35" w:rsidRDefault="003E1D35" w:rsidP="00F76945">
                  <w:pPr>
                    <w:pStyle w:val="TableText"/>
                    <w:spacing w:before="40" w:after="40"/>
                    <w:jc w:val="center"/>
                    <w:rPr>
                      <w:b/>
                      <w:sz w:val="20"/>
                    </w:rPr>
                  </w:pPr>
                  <w:r w:rsidRPr="003E1D35">
                    <w:rPr>
                      <w:b/>
                      <w:sz w:val="20"/>
                    </w:rPr>
                    <w:t>Personal harm</w:t>
                  </w:r>
                </w:p>
              </w:tc>
              <w:tc>
                <w:tcPr>
                  <w:tcW w:w="3008" w:type="dxa"/>
                  <w:tcBorders>
                    <w:bottom w:val="single" w:sz="4" w:space="0" w:color="auto"/>
                  </w:tcBorders>
                  <w:shd w:val="clear" w:color="auto" w:fill="D9D9D9" w:themeFill="background1" w:themeFillShade="D9"/>
                </w:tcPr>
                <w:p w14:paraId="332FC07E" w14:textId="77777777" w:rsidR="003E1D35" w:rsidRPr="003E1D35" w:rsidRDefault="003E1D35" w:rsidP="00F76945">
                  <w:pPr>
                    <w:pStyle w:val="TableText"/>
                    <w:spacing w:before="40" w:after="40"/>
                    <w:jc w:val="center"/>
                    <w:rPr>
                      <w:b/>
                      <w:sz w:val="20"/>
                    </w:rPr>
                  </w:pPr>
                  <w:r w:rsidRPr="003E1D35">
                    <w:rPr>
                      <w:b/>
                      <w:sz w:val="20"/>
                    </w:rPr>
                    <w:t>Community harm</w:t>
                  </w:r>
                </w:p>
              </w:tc>
            </w:tr>
            <w:tr w:rsidR="003E1D35" w:rsidRPr="00BB7522" w14:paraId="63961E58" w14:textId="77777777" w:rsidTr="003E1D35">
              <w:trPr>
                <w:cantSplit/>
              </w:trPr>
              <w:tc>
                <w:tcPr>
                  <w:tcW w:w="2660" w:type="dxa"/>
                  <w:shd w:val="clear" w:color="auto" w:fill="FFFFFF" w:themeFill="background1"/>
                  <w:vAlign w:val="center"/>
                </w:tcPr>
                <w:p w14:paraId="5883778E" w14:textId="77777777" w:rsidR="003E1D35" w:rsidRPr="003E1D35" w:rsidRDefault="003E1D35" w:rsidP="00F76945">
                  <w:pPr>
                    <w:pStyle w:val="TableText"/>
                    <w:spacing w:before="40" w:after="40"/>
                    <w:ind w:right="142"/>
                    <w:jc w:val="right"/>
                    <w:rPr>
                      <w:color w:val="000000"/>
                      <w:sz w:val="20"/>
                    </w:rPr>
                  </w:pPr>
                  <w:r w:rsidRPr="003E1D35">
                    <w:rPr>
                      <w:color w:val="000000"/>
                      <w:sz w:val="20"/>
                    </w:rPr>
                    <w:t>Heroin</w:t>
                  </w:r>
                </w:p>
              </w:tc>
              <w:tc>
                <w:tcPr>
                  <w:tcW w:w="3008" w:type="dxa"/>
                  <w:shd w:val="clear" w:color="auto" w:fill="FFFFFF" w:themeFill="background1"/>
                </w:tcPr>
                <w:p w14:paraId="468E7899" w14:textId="77777777" w:rsidR="003E1D35" w:rsidRPr="003E1D35" w:rsidRDefault="003E1D35" w:rsidP="003E1D35">
                  <w:pPr>
                    <w:pStyle w:val="TableText"/>
                    <w:spacing w:before="40" w:after="40"/>
                    <w:rPr>
                      <w:sz w:val="20"/>
                    </w:rPr>
                  </w:pPr>
                </w:p>
              </w:tc>
              <w:tc>
                <w:tcPr>
                  <w:tcW w:w="3008" w:type="dxa"/>
                  <w:shd w:val="clear" w:color="auto" w:fill="FFFFFF" w:themeFill="background1"/>
                </w:tcPr>
                <w:p w14:paraId="62B562A4" w14:textId="77777777" w:rsidR="003E1D35" w:rsidRPr="003E1D35" w:rsidRDefault="003E1D35" w:rsidP="003E1D35">
                  <w:pPr>
                    <w:pStyle w:val="TableText"/>
                    <w:spacing w:before="40" w:after="40"/>
                    <w:rPr>
                      <w:sz w:val="20"/>
                    </w:rPr>
                  </w:pPr>
                </w:p>
              </w:tc>
            </w:tr>
            <w:tr w:rsidR="003E1D35" w:rsidRPr="00FD232E" w14:paraId="61EDD8F7" w14:textId="77777777" w:rsidTr="003E1D35">
              <w:trPr>
                <w:cantSplit/>
              </w:trPr>
              <w:tc>
                <w:tcPr>
                  <w:tcW w:w="2660" w:type="dxa"/>
                  <w:shd w:val="clear" w:color="auto" w:fill="FFFFFF" w:themeFill="background1"/>
                  <w:vAlign w:val="center"/>
                </w:tcPr>
                <w:p w14:paraId="1116FDF9" w14:textId="77777777" w:rsidR="003E1D35" w:rsidRPr="003E1D35" w:rsidRDefault="003E1D35" w:rsidP="00F76945">
                  <w:pPr>
                    <w:pStyle w:val="TableText"/>
                    <w:spacing w:before="40" w:after="40"/>
                    <w:ind w:right="142"/>
                    <w:jc w:val="right"/>
                    <w:rPr>
                      <w:sz w:val="20"/>
                    </w:rPr>
                  </w:pPr>
                  <w:r w:rsidRPr="003E1D35">
                    <w:rPr>
                      <w:color w:val="000000"/>
                      <w:sz w:val="20"/>
                    </w:rPr>
                    <w:t>Other opioids</w:t>
                  </w:r>
                </w:p>
              </w:tc>
              <w:tc>
                <w:tcPr>
                  <w:tcW w:w="3008" w:type="dxa"/>
                  <w:shd w:val="clear" w:color="auto" w:fill="FFFFFF" w:themeFill="background1"/>
                </w:tcPr>
                <w:p w14:paraId="3A19F16E" w14:textId="77777777" w:rsidR="003E1D35" w:rsidRPr="003E1D35" w:rsidRDefault="003E1D35" w:rsidP="003E1D35">
                  <w:pPr>
                    <w:pStyle w:val="TableText"/>
                    <w:spacing w:before="40" w:after="40"/>
                    <w:rPr>
                      <w:sz w:val="20"/>
                    </w:rPr>
                  </w:pPr>
                </w:p>
              </w:tc>
              <w:tc>
                <w:tcPr>
                  <w:tcW w:w="3008" w:type="dxa"/>
                  <w:shd w:val="clear" w:color="auto" w:fill="FFFFFF" w:themeFill="background1"/>
                </w:tcPr>
                <w:p w14:paraId="104FD6BD" w14:textId="77777777" w:rsidR="003E1D35" w:rsidRPr="003E1D35" w:rsidRDefault="003E1D35" w:rsidP="003E1D35">
                  <w:pPr>
                    <w:pStyle w:val="TableText"/>
                    <w:spacing w:before="40" w:after="40"/>
                    <w:rPr>
                      <w:sz w:val="20"/>
                    </w:rPr>
                  </w:pPr>
                </w:p>
              </w:tc>
            </w:tr>
            <w:tr w:rsidR="003E1D35" w:rsidRPr="00FD232E" w14:paraId="4DE844B9" w14:textId="77777777" w:rsidTr="003E1D35">
              <w:trPr>
                <w:cantSplit/>
              </w:trPr>
              <w:tc>
                <w:tcPr>
                  <w:tcW w:w="2660" w:type="dxa"/>
                  <w:shd w:val="clear" w:color="auto" w:fill="FFFFFF" w:themeFill="background1"/>
                  <w:vAlign w:val="center"/>
                </w:tcPr>
                <w:p w14:paraId="7CA9606E" w14:textId="77777777" w:rsidR="003E1D35" w:rsidRPr="003E1D35" w:rsidRDefault="003E1D35" w:rsidP="00F76945">
                  <w:pPr>
                    <w:pStyle w:val="TableText"/>
                    <w:spacing w:before="40" w:after="40"/>
                    <w:ind w:right="142"/>
                    <w:jc w:val="right"/>
                    <w:rPr>
                      <w:sz w:val="20"/>
                    </w:rPr>
                  </w:pPr>
                  <w:r w:rsidRPr="003E1D35">
                    <w:rPr>
                      <w:color w:val="000000"/>
                      <w:sz w:val="20"/>
                    </w:rPr>
                    <w:t>Sedatives</w:t>
                  </w:r>
                </w:p>
              </w:tc>
              <w:tc>
                <w:tcPr>
                  <w:tcW w:w="3008" w:type="dxa"/>
                  <w:shd w:val="clear" w:color="auto" w:fill="FFFFFF" w:themeFill="background1"/>
                </w:tcPr>
                <w:p w14:paraId="08E560F6" w14:textId="77777777" w:rsidR="003E1D35" w:rsidRPr="003E1D35" w:rsidRDefault="003E1D35" w:rsidP="003E1D35">
                  <w:pPr>
                    <w:pStyle w:val="TableText"/>
                    <w:spacing w:before="40" w:after="40"/>
                    <w:rPr>
                      <w:sz w:val="20"/>
                    </w:rPr>
                  </w:pPr>
                </w:p>
              </w:tc>
              <w:tc>
                <w:tcPr>
                  <w:tcW w:w="3008" w:type="dxa"/>
                  <w:shd w:val="clear" w:color="auto" w:fill="FFFFFF" w:themeFill="background1"/>
                </w:tcPr>
                <w:p w14:paraId="62C580BA" w14:textId="77777777" w:rsidR="003E1D35" w:rsidRPr="003E1D35" w:rsidRDefault="003E1D35" w:rsidP="003E1D35">
                  <w:pPr>
                    <w:pStyle w:val="TableText"/>
                    <w:spacing w:before="40" w:after="40"/>
                    <w:rPr>
                      <w:sz w:val="20"/>
                    </w:rPr>
                  </w:pPr>
                </w:p>
              </w:tc>
            </w:tr>
            <w:tr w:rsidR="003E1D35" w:rsidRPr="00FD232E" w14:paraId="4C837523" w14:textId="77777777" w:rsidTr="003E1D35">
              <w:trPr>
                <w:cantSplit/>
              </w:trPr>
              <w:tc>
                <w:tcPr>
                  <w:tcW w:w="2660" w:type="dxa"/>
                  <w:shd w:val="clear" w:color="auto" w:fill="FFFFFF" w:themeFill="background1"/>
                  <w:vAlign w:val="center"/>
                </w:tcPr>
                <w:p w14:paraId="62A14F49" w14:textId="77777777" w:rsidR="003E1D35" w:rsidRPr="003E1D35" w:rsidRDefault="003E1D35" w:rsidP="00F76945">
                  <w:pPr>
                    <w:pStyle w:val="TableText"/>
                    <w:spacing w:before="40" w:after="40"/>
                    <w:ind w:right="142"/>
                    <w:jc w:val="right"/>
                    <w:rPr>
                      <w:sz w:val="20"/>
                    </w:rPr>
                  </w:pPr>
                  <w:r w:rsidRPr="003E1D35">
                    <w:rPr>
                      <w:color w:val="000000"/>
                      <w:sz w:val="20"/>
                    </w:rPr>
                    <w:t>Cannabis</w:t>
                  </w:r>
                </w:p>
              </w:tc>
              <w:tc>
                <w:tcPr>
                  <w:tcW w:w="3008" w:type="dxa"/>
                  <w:shd w:val="clear" w:color="auto" w:fill="FFFFFF" w:themeFill="background1"/>
                </w:tcPr>
                <w:p w14:paraId="616B9ACE" w14:textId="77777777" w:rsidR="003E1D35" w:rsidRPr="003E1D35" w:rsidRDefault="003E1D35" w:rsidP="003E1D35">
                  <w:pPr>
                    <w:pStyle w:val="TableText"/>
                    <w:spacing w:before="40" w:after="40"/>
                    <w:rPr>
                      <w:sz w:val="20"/>
                    </w:rPr>
                  </w:pPr>
                </w:p>
              </w:tc>
              <w:tc>
                <w:tcPr>
                  <w:tcW w:w="3008" w:type="dxa"/>
                  <w:shd w:val="clear" w:color="auto" w:fill="FFFFFF" w:themeFill="background1"/>
                </w:tcPr>
                <w:p w14:paraId="781EB144" w14:textId="77777777" w:rsidR="003E1D35" w:rsidRPr="003E1D35" w:rsidRDefault="003E1D35" w:rsidP="003E1D35">
                  <w:pPr>
                    <w:pStyle w:val="TableText"/>
                    <w:spacing w:before="40" w:after="40"/>
                    <w:rPr>
                      <w:sz w:val="20"/>
                    </w:rPr>
                  </w:pPr>
                </w:p>
              </w:tc>
            </w:tr>
            <w:tr w:rsidR="003E1D35" w:rsidRPr="00FD232E" w14:paraId="6F6CA356" w14:textId="77777777" w:rsidTr="003E1D35">
              <w:trPr>
                <w:cantSplit/>
              </w:trPr>
              <w:tc>
                <w:tcPr>
                  <w:tcW w:w="2660" w:type="dxa"/>
                  <w:shd w:val="clear" w:color="auto" w:fill="FFFFFF" w:themeFill="background1"/>
                  <w:vAlign w:val="center"/>
                </w:tcPr>
                <w:p w14:paraId="6A31AE3B" w14:textId="77777777" w:rsidR="003E1D35" w:rsidRPr="003E1D35" w:rsidRDefault="003E1D35" w:rsidP="00F76945">
                  <w:pPr>
                    <w:pStyle w:val="TableText"/>
                    <w:spacing w:before="40" w:after="40"/>
                    <w:ind w:right="142"/>
                    <w:jc w:val="right"/>
                    <w:rPr>
                      <w:sz w:val="20"/>
                    </w:rPr>
                  </w:pPr>
                  <w:r w:rsidRPr="003E1D35">
                    <w:rPr>
                      <w:color w:val="000000"/>
                      <w:sz w:val="20"/>
                    </w:rPr>
                    <w:t>Synthetic cannabis</w:t>
                  </w:r>
                </w:p>
              </w:tc>
              <w:tc>
                <w:tcPr>
                  <w:tcW w:w="3008" w:type="dxa"/>
                  <w:shd w:val="clear" w:color="auto" w:fill="FFFFFF" w:themeFill="background1"/>
                </w:tcPr>
                <w:p w14:paraId="0EF60A91" w14:textId="77777777" w:rsidR="003E1D35" w:rsidRPr="003E1D35" w:rsidRDefault="003E1D35" w:rsidP="003E1D35">
                  <w:pPr>
                    <w:pStyle w:val="TableText"/>
                    <w:spacing w:before="40" w:after="40"/>
                    <w:rPr>
                      <w:sz w:val="20"/>
                    </w:rPr>
                  </w:pPr>
                </w:p>
              </w:tc>
              <w:tc>
                <w:tcPr>
                  <w:tcW w:w="3008" w:type="dxa"/>
                  <w:shd w:val="clear" w:color="auto" w:fill="FFFFFF" w:themeFill="background1"/>
                </w:tcPr>
                <w:p w14:paraId="10001D31" w14:textId="77777777" w:rsidR="003E1D35" w:rsidRPr="003E1D35" w:rsidRDefault="003E1D35" w:rsidP="003E1D35">
                  <w:pPr>
                    <w:pStyle w:val="TableText"/>
                    <w:spacing w:before="40" w:after="40"/>
                    <w:rPr>
                      <w:sz w:val="20"/>
                    </w:rPr>
                  </w:pPr>
                </w:p>
              </w:tc>
            </w:tr>
            <w:tr w:rsidR="003E1D35" w:rsidRPr="00FD232E" w14:paraId="3E9170B9" w14:textId="77777777" w:rsidTr="003E1D35">
              <w:trPr>
                <w:cantSplit/>
              </w:trPr>
              <w:tc>
                <w:tcPr>
                  <w:tcW w:w="2660" w:type="dxa"/>
                  <w:shd w:val="clear" w:color="auto" w:fill="FFFFFF" w:themeFill="background1"/>
                  <w:vAlign w:val="center"/>
                </w:tcPr>
                <w:p w14:paraId="35C2FF79" w14:textId="77777777" w:rsidR="003E1D35" w:rsidRPr="003E1D35" w:rsidRDefault="003E1D35" w:rsidP="00F76945">
                  <w:pPr>
                    <w:pStyle w:val="TableText"/>
                    <w:spacing w:before="40" w:after="40"/>
                    <w:ind w:right="142"/>
                    <w:jc w:val="right"/>
                    <w:rPr>
                      <w:sz w:val="20"/>
                    </w:rPr>
                  </w:pPr>
                  <w:r w:rsidRPr="003E1D35">
                    <w:rPr>
                      <w:sz w:val="20"/>
                    </w:rPr>
                    <w:t>Hallucinogens</w:t>
                  </w:r>
                </w:p>
              </w:tc>
              <w:tc>
                <w:tcPr>
                  <w:tcW w:w="3008" w:type="dxa"/>
                  <w:shd w:val="clear" w:color="auto" w:fill="FFFFFF" w:themeFill="background1"/>
                </w:tcPr>
                <w:p w14:paraId="14CF87B9" w14:textId="77777777" w:rsidR="003E1D35" w:rsidRPr="003E1D35" w:rsidRDefault="003E1D35" w:rsidP="003E1D35">
                  <w:pPr>
                    <w:pStyle w:val="TableText"/>
                    <w:spacing w:before="40" w:after="40"/>
                    <w:rPr>
                      <w:sz w:val="20"/>
                    </w:rPr>
                  </w:pPr>
                </w:p>
              </w:tc>
              <w:tc>
                <w:tcPr>
                  <w:tcW w:w="3008" w:type="dxa"/>
                  <w:shd w:val="clear" w:color="auto" w:fill="FFFFFF" w:themeFill="background1"/>
                </w:tcPr>
                <w:p w14:paraId="7896719C" w14:textId="77777777" w:rsidR="003E1D35" w:rsidRPr="003E1D35" w:rsidRDefault="003E1D35" w:rsidP="003E1D35">
                  <w:pPr>
                    <w:pStyle w:val="TableText"/>
                    <w:spacing w:before="40" w:after="40"/>
                    <w:rPr>
                      <w:sz w:val="20"/>
                    </w:rPr>
                  </w:pPr>
                </w:p>
              </w:tc>
            </w:tr>
            <w:tr w:rsidR="003E1D35" w:rsidRPr="00FD232E" w14:paraId="63706ACC" w14:textId="77777777" w:rsidTr="003E1D35">
              <w:trPr>
                <w:cantSplit/>
              </w:trPr>
              <w:tc>
                <w:tcPr>
                  <w:tcW w:w="2660" w:type="dxa"/>
                  <w:shd w:val="clear" w:color="auto" w:fill="FFFFFF" w:themeFill="background1"/>
                  <w:vAlign w:val="center"/>
                </w:tcPr>
                <w:p w14:paraId="6C9E3734" w14:textId="77777777" w:rsidR="003E1D35" w:rsidRPr="003E1D35" w:rsidRDefault="003E1D35" w:rsidP="00F76945">
                  <w:pPr>
                    <w:pStyle w:val="TableText"/>
                    <w:spacing w:before="40" w:after="40"/>
                    <w:ind w:right="142"/>
                    <w:jc w:val="right"/>
                    <w:rPr>
                      <w:sz w:val="20"/>
                    </w:rPr>
                  </w:pPr>
                  <w:r w:rsidRPr="003E1D35">
                    <w:rPr>
                      <w:color w:val="000000"/>
                      <w:sz w:val="20"/>
                    </w:rPr>
                    <w:t>Ketamine</w:t>
                  </w:r>
                </w:p>
              </w:tc>
              <w:tc>
                <w:tcPr>
                  <w:tcW w:w="3008" w:type="dxa"/>
                  <w:shd w:val="clear" w:color="auto" w:fill="FFFFFF" w:themeFill="background1"/>
                </w:tcPr>
                <w:p w14:paraId="0CB8C978" w14:textId="77777777" w:rsidR="003E1D35" w:rsidRPr="003E1D35" w:rsidRDefault="003E1D35" w:rsidP="003E1D35">
                  <w:pPr>
                    <w:pStyle w:val="TableText"/>
                    <w:spacing w:before="40" w:after="40"/>
                    <w:rPr>
                      <w:sz w:val="20"/>
                    </w:rPr>
                  </w:pPr>
                </w:p>
              </w:tc>
              <w:tc>
                <w:tcPr>
                  <w:tcW w:w="3008" w:type="dxa"/>
                  <w:shd w:val="clear" w:color="auto" w:fill="FFFFFF" w:themeFill="background1"/>
                </w:tcPr>
                <w:p w14:paraId="2815B293" w14:textId="77777777" w:rsidR="003E1D35" w:rsidRPr="003E1D35" w:rsidRDefault="003E1D35" w:rsidP="003E1D35">
                  <w:pPr>
                    <w:pStyle w:val="TableText"/>
                    <w:spacing w:before="40" w:after="40"/>
                    <w:rPr>
                      <w:sz w:val="20"/>
                    </w:rPr>
                  </w:pPr>
                </w:p>
              </w:tc>
            </w:tr>
            <w:tr w:rsidR="003E1D35" w:rsidRPr="00FD232E" w14:paraId="37EFA78A" w14:textId="77777777" w:rsidTr="003E1D35">
              <w:trPr>
                <w:cantSplit/>
              </w:trPr>
              <w:tc>
                <w:tcPr>
                  <w:tcW w:w="2660" w:type="dxa"/>
                  <w:shd w:val="clear" w:color="auto" w:fill="FFFFFF" w:themeFill="background1"/>
                  <w:vAlign w:val="center"/>
                </w:tcPr>
                <w:p w14:paraId="6ABDF331" w14:textId="77777777" w:rsidR="003E1D35" w:rsidRPr="003E1D35" w:rsidRDefault="003E1D35" w:rsidP="00F76945">
                  <w:pPr>
                    <w:pStyle w:val="TableText"/>
                    <w:spacing w:before="40" w:after="40"/>
                    <w:ind w:right="142"/>
                    <w:jc w:val="right"/>
                    <w:rPr>
                      <w:sz w:val="20"/>
                    </w:rPr>
                  </w:pPr>
                  <w:r w:rsidRPr="003E1D35">
                    <w:rPr>
                      <w:color w:val="000000"/>
                      <w:sz w:val="20"/>
                    </w:rPr>
                    <w:t>Cocaine</w:t>
                  </w:r>
                </w:p>
              </w:tc>
              <w:tc>
                <w:tcPr>
                  <w:tcW w:w="3008" w:type="dxa"/>
                  <w:shd w:val="clear" w:color="auto" w:fill="FFFFFF" w:themeFill="background1"/>
                </w:tcPr>
                <w:p w14:paraId="14278BE6" w14:textId="77777777" w:rsidR="003E1D35" w:rsidRPr="003E1D35" w:rsidRDefault="003E1D35" w:rsidP="003E1D35">
                  <w:pPr>
                    <w:pStyle w:val="TableText"/>
                    <w:spacing w:before="40" w:after="40"/>
                    <w:rPr>
                      <w:sz w:val="20"/>
                    </w:rPr>
                  </w:pPr>
                </w:p>
              </w:tc>
              <w:tc>
                <w:tcPr>
                  <w:tcW w:w="3008" w:type="dxa"/>
                  <w:shd w:val="clear" w:color="auto" w:fill="FFFFFF" w:themeFill="background1"/>
                </w:tcPr>
                <w:p w14:paraId="4C2EBC03" w14:textId="77777777" w:rsidR="003E1D35" w:rsidRPr="003E1D35" w:rsidRDefault="003E1D35" w:rsidP="003E1D35">
                  <w:pPr>
                    <w:pStyle w:val="TableText"/>
                    <w:spacing w:before="40" w:after="40"/>
                    <w:rPr>
                      <w:sz w:val="20"/>
                    </w:rPr>
                  </w:pPr>
                </w:p>
              </w:tc>
            </w:tr>
            <w:tr w:rsidR="003E1D35" w:rsidRPr="00FD232E" w14:paraId="22BBF7F5" w14:textId="77777777" w:rsidTr="003E1D35">
              <w:trPr>
                <w:cantSplit/>
              </w:trPr>
              <w:tc>
                <w:tcPr>
                  <w:tcW w:w="2660" w:type="dxa"/>
                  <w:shd w:val="clear" w:color="auto" w:fill="FFFFFF" w:themeFill="background1"/>
                  <w:vAlign w:val="center"/>
                </w:tcPr>
                <w:p w14:paraId="7FFB3AE9" w14:textId="77777777" w:rsidR="003E1D35" w:rsidRPr="003E1D35" w:rsidRDefault="003E1D35" w:rsidP="00F76945">
                  <w:pPr>
                    <w:pStyle w:val="TableText"/>
                    <w:spacing w:before="40" w:after="40"/>
                    <w:ind w:right="142"/>
                    <w:jc w:val="right"/>
                    <w:rPr>
                      <w:sz w:val="20"/>
                    </w:rPr>
                  </w:pPr>
                  <w:r w:rsidRPr="003E1D35">
                    <w:rPr>
                      <w:color w:val="000000"/>
                      <w:sz w:val="20"/>
                    </w:rPr>
                    <w:t>Ecstasy</w:t>
                  </w:r>
                </w:p>
              </w:tc>
              <w:tc>
                <w:tcPr>
                  <w:tcW w:w="3008" w:type="dxa"/>
                  <w:shd w:val="clear" w:color="auto" w:fill="FFFFFF" w:themeFill="background1"/>
                </w:tcPr>
                <w:p w14:paraId="640FFE6B" w14:textId="77777777" w:rsidR="003E1D35" w:rsidRPr="003E1D35" w:rsidRDefault="003E1D35" w:rsidP="003E1D35">
                  <w:pPr>
                    <w:pStyle w:val="TableText"/>
                    <w:spacing w:before="40" w:after="40"/>
                    <w:rPr>
                      <w:sz w:val="20"/>
                    </w:rPr>
                  </w:pPr>
                </w:p>
              </w:tc>
              <w:tc>
                <w:tcPr>
                  <w:tcW w:w="3008" w:type="dxa"/>
                  <w:shd w:val="clear" w:color="auto" w:fill="FFFFFF" w:themeFill="background1"/>
                </w:tcPr>
                <w:p w14:paraId="54A03FC9" w14:textId="77777777" w:rsidR="003E1D35" w:rsidRPr="003E1D35" w:rsidRDefault="003E1D35" w:rsidP="003E1D35">
                  <w:pPr>
                    <w:pStyle w:val="TableText"/>
                    <w:spacing w:before="40" w:after="40"/>
                    <w:rPr>
                      <w:sz w:val="20"/>
                    </w:rPr>
                  </w:pPr>
                </w:p>
              </w:tc>
            </w:tr>
            <w:tr w:rsidR="003E1D35" w:rsidRPr="00FD232E" w14:paraId="5043CCAE" w14:textId="77777777" w:rsidTr="003E1D35">
              <w:trPr>
                <w:cantSplit/>
              </w:trPr>
              <w:tc>
                <w:tcPr>
                  <w:tcW w:w="2660" w:type="dxa"/>
                  <w:tcBorders>
                    <w:bottom w:val="single" w:sz="4" w:space="0" w:color="auto"/>
                  </w:tcBorders>
                  <w:shd w:val="clear" w:color="auto" w:fill="FFFFFF" w:themeFill="background1"/>
                  <w:vAlign w:val="center"/>
                </w:tcPr>
                <w:p w14:paraId="20244819" w14:textId="77777777" w:rsidR="003E1D35" w:rsidRPr="003E1D35" w:rsidRDefault="003E1D35" w:rsidP="00F76945">
                  <w:pPr>
                    <w:pStyle w:val="TableText"/>
                    <w:spacing w:before="40" w:after="40"/>
                    <w:ind w:right="142"/>
                    <w:jc w:val="right"/>
                    <w:rPr>
                      <w:sz w:val="20"/>
                    </w:rPr>
                  </w:pPr>
                  <w:r w:rsidRPr="003E1D35">
                    <w:rPr>
                      <w:color w:val="000000"/>
                      <w:sz w:val="20"/>
                    </w:rPr>
                    <w:t>Methamphetamine</w:t>
                  </w:r>
                </w:p>
              </w:tc>
              <w:tc>
                <w:tcPr>
                  <w:tcW w:w="3008" w:type="dxa"/>
                  <w:tcBorders>
                    <w:bottom w:val="single" w:sz="4" w:space="0" w:color="auto"/>
                  </w:tcBorders>
                  <w:shd w:val="clear" w:color="auto" w:fill="FFFFFF" w:themeFill="background1"/>
                </w:tcPr>
                <w:p w14:paraId="2AEEB59C" w14:textId="77777777" w:rsidR="003E1D35" w:rsidRPr="003E1D35" w:rsidRDefault="003E1D35" w:rsidP="003E1D35">
                  <w:pPr>
                    <w:pStyle w:val="TableText"/>
                    <w:spacing w:before="40" w:after="40"/>
                    <w:rPr>
                      <w:sz w:val="20"/>
                    </w:rPr>
                  </w:pPr>
                </w:p>
              </w:tc>
              <w:tc>
                <w:tcPr>
                  <w:tcW w:w="3008" w:type="dxa"/>
                  <w:tcBorders>
                    <w:bottom w:val="single" w:sz="4" w:space="0" w:color="auto"/>
                  </w:tcBorders>
                  <w:shd w:val="clear" w:color="auto" w:fill="FFFFFF" w:themeFill="background1"/>
                </w:tcPr>
                <w:p w14:paraId="22B9E2F0" w14:textId="77777777" w:rsidR="003E1D35" w:rsidRPr="003E1D35" w:rsidRDefault="003E1D35" w:rsidP="003E1D35">
                  <w:pPr>
                    <w:pStyle w:val="TableText"/>
                    <w:spacing w:before="40" w:after="40"/>
                    <w:rPr>
                      <w:sz w:val="20"/>
                    </w:rPr>
                  </w:pPr>
                </w:p>
              </w:tc>
            </w:tr>
            <w:tr w:rsidR="003E1D35" w:rsidRPr="00FD232E" w14:paraId="0B4247F9" w14:textId="77777777" w:rsidTr="003E1D35">
              <w:trPr>
                <w:cantSplit/>
              </w:trPr>
              <w:tc>
                <w:tcPr>
                  <w:tcW w:w="2660" w:type="dxa"/>
                  <w:shd w:val="clear" w:color="auto" w:fill="FFFFFF" w:themeFill="background1"/>
                  <w:vAlign w:val="center"/>
                </w:tcPr>
                <w:p w14:paraId="54101197" w14:textId="77777777" w:rsidR="003E1D35" w:rsidRPr="003E1D35" w:rsidRDefault="003E1D35" w:rsidP="00F76945">
                  <w:pPr>
                    <w:pStyle w:val="TableText"/>
                    <w:spacing w:before="40" w:after="40"/>
                    <w:ind w:right="142"/>
                    <w:jc w:val="right"/>
                    <w:rPr>
                      <w:sz w:val="20"/>
                    </w:rPr>
                  </w:pPr>
                  <w:r w:rsidRPr="003E1D35">
                    <w:rPr>
                      <w:color w:val="000000"/>
                      <w:sz w:val="20"/>
                    </w:rPr>
                    <w:t>Amphetamine sulphate</w:t>
                  </w:r>
                </w:p>
              </w:tc>
              <w:tc>
                <w:tcPr>
                  <w:tcW w:w="3008" w:type="dxa"/>
                  <w:shd w:val="clear" w:color="auto" w:fill="FFFFFF" w:themeFill="background1"/>
                </w:tcPr>
                <w:p w14:paraId="077FBAA8" w14:textId="77777777" w:rsidR="003E1D35" w:rsidRPr="003E1D35" w:rsidRDefault="003E1D35" w:rsidP="003E1D35">
                  <w:pPr>
                    <w:pStyle w:val="TableText"/>
                    <w:spacing w:before="40" w:after="40"/>
                    <w:rPr>
                      <w:sz w:val="20"/>
                    </w:rPr>
                  </w:pPr>
                </w:p>
              </w:tc>
              <w:tc>
                <w:tcPr>
                  <w:tcW w:w="3008" w:type="dxa"/>
                  <w:shd w:val="clear" w:color="auto" w:fill="FFFFFF" w:themeFill="background1"/>
                </w:tcPr>
                <w:p w14:paraId="4A28689E" w14:textId="77777777" w:rsidR="003E1D35" w:rsidRPr="003E1D35" w:rsidRDefault="003E1D35" w:rsidP="003E1D35">
                  <w:pPr>
                    <w:pStyle w:val="TableText"/>
                    <w:spacing w:before="40" w:after="40"/>
                    <w:rPr>
                      <w:sz w:val="20"/>
                    </w:rPr>
                  </w:pPr>
                </w:p>
              </w:tc>
            </w:tr>
            <w:tr w:rsidR="003E1D35" w:rsidRPr="00BB7522" w14:paraId="3A86EFB5" w14:textId="77777777" w:rsidTr="003E1D35">
              <w:trPr>
                <w:cantSplit/>
              </w:trPr>
              <w:tc>
                <w:tcPr>
                  <w:tcW w:w="2660" w:type="dxa"/>
                  <w:shd w:val="clear" w:color="auto" w:fill="FFFFFF" w:themeFill="background1"/>
                  <w:vAlign w:val="center"/>
                </w:tcPr>
                <w:p w14:paraId="08CFD561" w14:textId="77777777" w:rsidR="003E1D35" w:rsidRPr="003E1D35" w:rsidRDefault="003E1D35" w:rsidP="00F76945">
                  <w:pPr>
                    <w:pStyle w:val="TableText"/>
                    <w:spacing w:before="40" w:after="40"/>
                    <w:ind w:right="142"/>
                    <w:jc w:val="right"/>
                    <w:rPr>
                      <w:color w:val="000000"/>
                      <w:sz w:val="20"/>
                    </w:rPr>
                  </w:pPr>
                  <w:r w:rsidRPr="003E1D35">
                    <w:rPr>
                      <w:color w:val="000000"/>
                      <w:sz w:val="20"/>
                    </w:rPr>
                    <w:t>Dexamphetamine</w:t>
                  </w:r>
                </w:p>
              </w:tc>
              <w:tc>
                <w:tcPr>
                  <w:tcW w:w="3008" w:type="dxa"/>
                  <w:shd w:val="clear" w:color="auto" w:fill="FFFFFF" w:themeFill="background1"/>
                  <w:vAlign w:val="bottom"/>
                </w:tcPr>
                <w:p w14:paraId="2839AD60" w14:textId="77777777" w:rsidR="003E1D35" w:rsidRPr="003E1D35" w:rsidRDefault="003E1D35" w:rsidP="003E1D35">
                  <w:pPr>
                    <w:pStyle w:val="TableText"/>
                    <w:spacing w:before="40" w:after="40"/>
                    <w:rPr>
                      <w:sz w:val="20"/>
                    </w:rPr>
                  </w:pPr>
                </w:p>
              </w:tc>
              <w:tc>
                <w:tcPr>
                  <w:tcW w:w="3008" w:type="dxa"/>
                  <w:shd w:val="clear" w:color="auto" w:fill="FFFFFF" w:themeFill="background1"/>
                  <w:vAlign w:val="bottom"/>
                </w:tcPr>
                <w:p w14:paraId="47BD0C20" w14:textId="77777777" w:rsidR="003E1D35" w:rsidRPr="003E1D35" w:rsidRDefault="003E1D35" w:rsidP="003E1D35">
                  <w:pPr>
                    <w:pStyle w:val="TableText"/>
                    <w:spacing w:before="40" w:after="40"/>
                    <w:rPr>
                      <w:sz w:val="20"/>
                    </w:rPr>
                  </w:pPr>
                </w:p>
              </w:tc>
            </w:tr>
            <w:tr w:rsidR="003E1D35" w:rsidRPr="00BB7522" w14:paraId="299BFF66" w14:textId="77777777" w:rsidTr="003E1D35">
              <w:trPr>
                <w:cantSplit/>
              </w:trPr>
              <w:tc>
                <w:tcPr>
                  <w:tcW w:w="2660" w:type="dxa"/>
                  <w:shd w:val="clear" w:color="auto" w:fill="FFFFFF" w:themeFill="background1"/>
                  <w:vAlign w:val="center"/>
                </w:tcPr>
                <w:p w14:paraId="65A6C28D" w14:textId="77777777" w:rsidR="003E1D35" w:rsidRPr="003E1D35" w:rsidRDefault="003E1D35" w:rsidP="00F76945">
                  <w:pPr>
                    <w:pStyle w:val="TableText"/>
                    <w:spacing w:before="40" w:after="40"/>
                    <w:ind w:right="142"/>
                    <w:jc w:val="right"/>
                    <w:rPr>
                      <w:color w:val="000000"/>
                      <w:sz w:val="20"/>
                    </w:rPr>
                  </w:pPr>
                  <w:r w:rsidRPr="003E1D35">
                    <w:rPr>
                      <w:color w:val="000000"/>
                      <w:sz w:val="20"/>
                    </w:rPr>
                    <w:t>Other stimulants</w:t>
                  </w:r>
                </w:p>
              </w:tc>
              <w:tc>
                <w:tcPr>
                  <w:tcW w:w="3008" w:type="dxa"/>
                  <w:shd w:val="clear" w:color="auto" w:fill="FFFFFF" w:themeFill="background1"/>
                  <w:vAlign w:val="bottom"/>
                </w:tcPr>
                <w:p w14:paraId="49828638" w14:textId="77777777" w:rsidR="003E1D35" w:rsidRPr="003E1D35" w:rsidRDefault="003E1D35" w:rsidP="003E1D35">
                  <w:pPr>
                    <w:pStyle w:val="TableText"/>
                    <w:spacing w:before="40" w:after="40"/>
                    <w:rPr>
                      <w:sz w:val="20"/>
                    </w:rPr>
                  </w:pPr>
                </w:p>
              </w:tc>
              <w:tc>
                <w:tcPr>
                  <w:tcW w:w="3008" w:type="dxa"/>
                  <w:shd w:val="clear" w:color="auto" w:fill="FFFFFF" w:themeFill="background1"/>
                  <w:vAlign w:val="bottom"/>
                </w:tcPr>
                <w:p w14:paraId="2F63FADF" w14:textId="77777777" w:rsidR="003E1D35" w:rsidRPr="003E1D35" w:rsidRDefault="003E1D35" w:rsidP="003E1D35">
                  <w:pPr>
                    <w:pStyle w:val="TableText"/>
                    <w:spacing w:before="40" w:after="40"/>
                    <w:rPr>
                      <w:sz w:val="20"/>
                    </w:rPr>
                  </w:pPr>
                </w:p>
              </w:tc>
            </w:tr>
          </w:tbl>
          <w:p w14:paraId="60A1C358" w14:textId="77777777" w:rsidR="003E1D35" w:rsidRPr="0059554F" w:rsidRDefault="003E1D35" w:rsidP="003E1D35">
            <w:pPr>
              <w:spacing w:before="0" w:line="240" w:lineRule="auto"/>
              <w:rPr>
                <w:sz w:val="2"/>
                <w:szCs w:val="2"/>
              </w:rPr>
            </w:pPr>
          </w:p>
          <w:p w14:paraId="38CFF843" w14:textId="77777777" w:rsidR="008A22DA" w:rsidRPr="00634FE4" w:rsidRDefault="008A22DA" w:rsidP="003E1D35">
            <w:pPr>
              <w:pStyle w:val="TableText"/>
              <w:spacing w:before="0" w:after="0"/>
              <w:rPr>
                <w:sz w:val="12"/>
                <w:szCs w:val="12"/>
              </w:rPr>
            </w:pPr>
          </w:p>
        </w:tc>
      </w:tr>
    </w:tbl>
    <w:p w14:paraId="038D5A2F" w14:textId="77777777" w:rsidR="00990768" w:rsidRDefault="00CF2D46" w:rsidP="00FD7633">
      <w:r w:rsidRPr="002202AF">
        <w:t>There are a number of points to note about the expert panel survey.</w:t>
      </w:r>
    </w:p>
    <w:p w14:paraId="60C9671B" w14:textId="77777777" w:rsidR="00990768" w:rsidRDefault="00CF2D46" w:rsidP="00FD7633">
      <w:pPr>
        <w:pStyle w:val="Bullet"/>
      </w:pPr>
      <w:r w:rsidRPr="002202AF">
        <w:t xml:space="preserve">First, the questionnaire does not include items relating to intervention costs. These can be sourced directly from </w:t>
      </w:r>
      <w:r>
        <w:t xml:space="preserve">the </w:t>
      </w:r>
      <w:r w:rsidRPr="002202AF">
        <w:t>relevant agencies.</w:t>
      </w:r>
    </w:p>
    <w:p w14:paraId="29857331" w14:textId="77777777" w:rsidR="00CF2D46" w:rsidRPr="002202AF" w:rsidRDefault="00CF2D46" w:rsidP="00FD7633">
      <w:pPr>
        <w:pStyle w:val="Bullet"/>
      </w:pPr>
      <w:r w:rsidRPr="002202AF">
        <w:t>Second, the questionnaire is a living document. The panel has the opportunity to add or delete drugs from the list so that it retains its relevance. It could be extended at the panel</w:t>
      </w:r>
      <w:r w:rsidR="00990768">
        <w:t>’</w:t>
      </w:r>
      <w:r w:rsidRPr="002202AF">
        <w:t>s discretion to licit drugs that cause harm.</w:t>
      </w:r>
    </w:p>
    <w:p w14:paraId="7FA0E65B" w14:textId="77777777" w:rsidR="00CF2D46" w:rsidRPr="002202AF" w:rsidRDefault="00CF2D46" w:rsidP="00FD7633">
      <w:pPr>
        <w:pStyle w:val="Bullet"/>
      </w:pPr>
      <w:r w:rsidRPr="002202AF">
        <w:t>Third, the survey should prove especially valuable in quantifying the potential harm of new and emerging drugs. As such, it could be an integral part of any early warning system. In fact, the use and value of the survey for other purposes ha</w:t>
      </w:r>
      <w:r>
        <w:t>ve</w:t>
      </w:r>
      <w:r w:rsidRPr="002202AF">
        <w:t xml:space="preserve"> the potential to be just as important as its application to the Drug Harm Index.</w:t>
      </w:r>
    </w:p>
    <w:p w14:paraId="5AB21CCE" w14:textId="77777777" w:rsidR="00CF2D46" w:rsidRPr="002202AF" w:rsidRDefault="00CF2D46" w:rsidP="00FD7633">
      <w:pPr>
        <w:pStyle w:val="Bullet"/>
      </w:pPr>
      <w:r w:rsidRPr="002202AF">
        <w:t>Fourth, the questionnaire does not include reference to NBOMEs and other emerging drugs</w:t>
      </w:r>
      <w:r>
        <w:t>,</w:t>
      </w:r>
      <w:r w:rsidRPr="002202AF">
        <w:t xml:space="preserve"> although estimation of harm for new drugs was one of the original aims of the research. These were not included at this point because, as a first step, it was necessary to confirm the application of the new technique to known drugs. Once validated, the technique can be extended to other drugs.</w:t>
      </w:r>
    </w:p>
    <w:p w14:paraId="7E07EC77" w14:textId="77777777" w:rsidR="00CF2D46" w:rsidRPr="001C6F2F" w:rsidRDefault="00CF2D46" w:rsidP="00FD7633">
      <w:pPr>
        <w:pStyle w:val="Heading2"/>
      </w:pPr>
      <w:bookmarkStart w:id="15" w:name="_Toc444941787"/>
      <w:r w:rsidRPr="001C6F2F">
        <w:t>Prevalence versus incidence</w:t>
      </w:r>
      <w:bookmarkEnd w:id="15"/>
    </w:p>
    <w:p w14:paraId="11078513" w14:textId="77777777" w:rsidR="00CF2D46" w:rsidRPr="001C6F2F" w:rsidRDefault="00CF2D46" w:rsidP="00FD7633">
      <w:r>
        <w:t xml:space="preserve">The majority of DHIs have used a prevalence approach to calculating harms, as is common in burden of disease studies. The approach is explained </w:t>
      </w:r>
      <w:r w:rsidRPr="001C6F2F">
        <w:t>by Slack et al (2008):</w:t>
      </w:r>
    </w:p>
    <w:p w14:paraId="6888D67C" w14:textId="77777777" w:rsidR="00CF2D46" w:rsidRPr="00FD7633" w:rsidRDefault="00CF2D46" w:rsidP="00FD7633">
      <w:pPr>
        <w:pStyle w:val="Quote"/>
        <w:rPr>
          <w:i w:val="0"/>
        </w:rPr>
      </w:pPr>
      <w:r w:rsidRPr="00FD7633">
        <w:rPr>
          <w:i w:val="0"/>
        </w:rPr>
        <w:t>The prevalence approach estimates resource diverted in a given year due to the impacts of past and present illicit drug use. The costs estimated using the prevalence approach are then compared to a counterfactual situation, in this case where no illicit drugs were ever used. That is, in order to determine the harm avoided by reducing drug consumption we compare the current situation with drug use to a hypothetical case where there is no harmful drug use. ………. The prevalence approach has the advantage of using currently available health data, such as mortality and morbidity figures related to illicit drug use, to define what a counterfactual population would have looked like today. This is likely to result in more robust estimates than under the major alternative approach based on incidence.</w:t>
      </w:r>
    </w:p>
    <w:p w14:paraId="64992FCE" w14:textId="655ED210" w:rsidR="00CF2D46" w:rsidRDefault="00CF2D46" w:rsidP="00FD7633">
      <w:r>
        <w:t xml:space="preserve">The claim that it results in </w:t>
      </w:r>
      <w:r w:rsidR="00D938CE">
        <w:t>‘</w:t>
      </w:r>
      <w:r>
        <w:t>more robust</w:t>
      </w:r>
      <w:r w:rsidR="00D938CE">
        <w:t>’</w:t>
      </w:r>
      <w:r>
        <w:t xml:space="preserve"> estimates than the incidence approach is a courageous one. In contrast to the prevalence approach, the incidence approach uses data from a defined period (normally a year) to estimate harm. The preferred method will depend, first, on the question to be answered, and second, on variability in the data.</w:t>
      </w:r>
    </w:p>
    <w:p w14:paraId="63CBED17" w14:textId="77777777" w:rsidR="00CF2D46" w:rsidRDefault="00CF2D46" w:rsidP="00FD7633">
      <w:r>
        <w:t xml:space="preserve">The prevalence approach is primarily a historical one. It calculates the harm that could have been avoided had illicit drugs never existed. It answers the question </w:t>
      </w:r>
      <w:r w:rsidR="00990768">
        <w:t>‘</w:t>
      </w:r>
      <w:r>
        <w:t>How much harm has historical illicit drug use caused?</w:t>
      </w:r>
      <w:r w:rsidR="00990768">
        <w:t>’</w:t>
      </w:r>
      <w:r>
        <w:t xml:space="preserve"> The alternative question is of more interest to government, policy makers, practitioners and the community: </w:t>
      </w:r>
      <w:r w:rsidR="00990768">
        <w:t>‘</w:t>
      </w:r>
      <w:r>
        <w:t>How much harm is current drug use causing now and likely to cause in the near future?</w:t>
      </w:r>
      <w:r w:rsidR="00990768">
        <w:t>’</w:t>
      </w:r>
      <w:r>
        <w:t xml:space="preserve"> An approach based on current levels of harm is preferable for addressing this question. The future is more akin to the present and the immediate past rather than the distant past. In the present case, the incidence method is preferred.</w:t>
      </w:r>
    </w:p>
    <w:p w14:paraId="215383D8" w14:textId="77777777" w:rsidR="00CF2D46" w:rsidRDefault="00CF2D46" w:rsidP="00FD7633">
      <w:r>
        <w:t>Nevertheless, it is true that estimates based on a single year could be subject to variability from year-to-year. This is addressed by using averages over a number of years, where possible, and by comparison with alternative data sets. A modified incidence approach was used in this report as being more representative of the aims of this study.</w:t>
      </w:r>
    </w:p>
    <w:p w14:paraId="1BF5ABF2" w14:textId="77777777" w:rsidR="00CF2D46" w:rsidRDefault="00CF2D46" w:rsidP="00FD7633">
      <w:r>
        <w:t>In a steady-state world, there should be no difference between estimates based on prevalence and incidence. However, the world of illicit drugs is one of rapid change.</w:t>
      </w:r>
    </w:p>
    <w:p w14:paraId="3AD2186A" w14:textId="77777777" w:rsidR="00CF2D46" w:rsidRPr="00206D7A" w:rsidRDefault="00CF2D46" w:rsidP="00FD7633">
      <w:pPr>
        <w:pStyle w:val="Heading2"/>
      </w:pPr>
      <w:bookmarkStart w:id="16" w:name="_Toc444941788"/>
      <w:proofErr w:type="spellStart"/>
      <w:r>
        <w:t>Polydrug</w:t>
      </w:r>
      <w:proofErr w:type="spellEnd"/>
      <w:r w:rsidRPr="00206D7A">
        <w:t xml:space="preserve"> users</w:t>
      </w:r>
      <w:bookmarkEnd w:id="16"/>
    </w:p>
    <w:p w14:paraId="28FF6883" w14:textId="77777777" w:rsidR="00990768" w:rsidRDefault="00CF2D46" w:rsidP="00FD7633">
      <w:r>
        <w:t xml:space="preserve">There is an ever-present risk of double counting when considering drug use at the level of individual drugs. Many users consume more than one drug type, so the sum of users at the individual drug level exceeds the total number of drug users. </w:t>
      </w:r>
      <w:proofErr w:type="spellStart"/>
      <w:r>
        <w:t>Polydrug</w:t>
      </w:r>
      <w:proofErr w:type="spellEnd"/>
      <w:r>
        <w:t xml:space="preserve"> use is both complex and important. This study addressed the problem by adjusting the estimated user population of specific drugs by the ratio of the total number of individual drug users to the sum of the drug users at the individual drug level. In effect, this assumes that the probability of a specific drug being used in combination with another drug is equal for all drug types.</w:t>
      </w:r>
    </w:p>
    <w:p w14:paraId="6959206F" w14:textId="77777777" w:rsidR="00CF2D46" w:rsidRDefault="00CF2D46" w:rsidP="00FD7633">
      <w:r>
        <w:t xml:space="preserve">It should be noted that the original version of the New Zealand DHI uses survey information, where available, to allocate users of two classes of drug to the class with the highest harm profile. This facility is not available for all drugs, and thus Slack et </w:t>
      </w:r>
      <w:proofErr w:type="spellStart"/>
      <w:r>
        <w:t>al</w:t>
      </w:r>
      <w:r w:rsidR="00990768">
        <w:t>’</w:t>
      </w:r>
      <w:r>
        <w:t>s</w:t>
      </w:r>
      <w:proofErr w:type="spellEnd"/>
      <w:r>
        <w:t xml:space="preserve"> (2008) estimates of the drug user population are probably overstated. It also tends to transfer harms from less harmful drugs to more harmful drugs, potentially skewing the distribution of results.</w:t>
      </w:r>
    </w:p>
    <w:p w14:paraId="1B3E4108" w14:textId="77777777" w:rsidR="00CF2D46" w:rsidRPr="00F92300" w:rsidRDefault="00CF2D46" w:rsidP="00FD7633">
      <w:pPr>
        <w:pStyle w:val="Heading2"/>
      </w:pPr>
      <w:bookmarkStart w:id="17" w:name="_Toc444941789"/>
      <w:r w:rsidRPr="00F92300">
        <w:t>Closing comment on m</w:t>
      </w:r>
      <w:r>
        <w:t>e</w:t>
      </w:r>
      <w:r w:rsidRPr="00F92300">
        <w:t>thod</w:t>
      </w:r>
      <w:bookmarkEnd w:id="17"/>
    </w:p>
    <w:p w14:paraId="3E51894D" w14:textId="77777777" w:rsidR="00CF2D46" w:rsidRPr="00930A88" w:rsidRDefault="00CF2D46" w:rsidP="00FD7633">
      <w:r w:rsidRPr="00930A88">
        <w:t>In summary, the current method included m</w:t>
      </w:r>
      <w:r>
        <w:t>any</w:t>
      </w:r>
      <w:r w:rsidRPr="00930A88">
        <w:t xml:space="preserve"> of the building b</w:t>
      </w:r>
      <w:r>
        <w:t>locks</w:t>
      </w:r>
      <w:r w:rsidRPr="00930A88">
        <w:t xml:space="preserve"> used in the previous version of the New Zealand Drug Harm</w:t>
      </w:r>
      <w:r>
        <w:t xml:space="preserve"> Index</w:t>
      </w:r>
      <w:r w:rsidRPr="00930A88">
        <w:t>. There was a change to the way this material is presented. The base information was organised into a common-sense and practical structure of personal harm, community harm and intervention costs. There were changes to the content as well. Drug use affects not only the drug user but also their family and friends. An estimate of this harm was included in the revised DHI. Estimates of the harm associated with the diversion of capital into illicit drug trafficking have been thoroughly overhauled</w:t>
      </w:r>
      <w:r>
        <w:t>,</w:t>
      </w:r>
      <w:r w:rsidRPr="00930A88">
        <w:t xml:space="preserve"> especially with respect to organised crime.</w:t>
      </w:r>
    </w:p>
    <w:p w14:paraId="590D2E0E" w14:textId="77777777" w:rsidR="00FD7633" w:rsidRDefault="00FD7633" w:rsidP="00FD7633">
      <w:r>
        <w:br w:type="page"/>
      </w:r>
    </w:p>
    <w:p w14:paraId="69ACBC2E" w14:textId="77777777" w:rsidR="00CF2D46" w:rsidRPr="00782F70" w:rsidRDefault="00CF2D46" w:rsidP="00FD7633">
      <w:pPr>
        <w:pStyle w:val="Heading1"/>
      </w:pPr>
      <w:bookmarkStart w:id="18" w:name="_Toc444941790"/>
      <w:r w:rsidRPr="00782F70">
        <w:t>D</w:t>
      </w:r>
      <w:r w:rsidR="00FD7633">
        <w:t>rug use</w:t>
      </w:r>
      <w:bookmarkEnd w:id="18"/>
    </w:p>
    <w:p w14:paraId="22BC1C89" w14:textId="77777777" w:rsidR="00990768" w:rsidRDefault="00CF2D46" w:rsidP="00FD7633">
      <w:pPr>
        <w:rPr>
          <w:lang w:eastAsia="en-AU"/>
        </w:rPr>
      </w:pPr>
      <w:r w:rsidRPr="00782F70">
        <w:rPr>
          <w:lang w:eastAsia="en-AU"/>
        </w:rPr>
        <w:t xml:space="preserve">The extent of drug use in society is always difficult to ascertain. The activity itself is illicit and in many respects constitutes a </w:t>
      </w:r>
      <w:r w:rsidR="00990768">
        <w:rPr>
          <w:lang w:eastAsia="en-AU"/>
        </w:rPr>
        <w:t>‘</w:t>
      </w:r>
      <w:r w:rsidRPr="00782F70">
        <w:rPr>
          <w:lang w:eastAsia="en-AU"/>
        </w:rPr>
        <w:t>victimless</w:t>
      </w:r>
      <w:r w:rsidR="00990768">
        <w:rPr>
          <w:lang w:eastAsia="en-AU"/>
        </w:rPr>
        <w:t>’</w:t>
      </w:r>
      <w:r w:rsidRPr="00782F70">
        <w:rPr>
          <w:lang w:eastAsia="en-AU"/>
        </w:rPr>
        <w:t xml:space="preserve"> crime. The most widely used technique is the sample survey of the population, participation in which is voluntary and anonymity is guaranteed. Nevertheless, the sample survey may fail to reach a portion of the drug user population</w:t>
      </w:r>
      <w:r>
        <w:rPr>
          <w:lang w:eastAsia="en-AU"/>
        </w:rPr>
        <w:t>,</w:t>
      </w:r>
      <w:r w:rsidRPr="00782F70">
        <w:rPr>
          <w:lang w:eastAsia="en-AU"/>
        </w:rPr>
        <w:t xml:space="preserve"> such as the homeless and those in prison. Specialised surveys of particular subsets are also used</w:t>
      </w:r>
      <w:r>
        <w:rPr>
          <w:lang w:eastAsia="en-AU"/>
        </w:rPr>
        <w:t>,</w:t>
      </w:r>
      <w:r w:rsidRPr="00782F70">
        <w:rPr>
          <w:lang w:eastAsia="en-AU"/>
        </w:rPr>
        <w:t xml:space="preserve"> including those in treatment, in prison or recent</w:t>
      </w:r>
      <w:r>
        <w:rPr>
          <w:lang w:eastAsia="en-AU"/>
        </w:rPr>
        <w:t>ly</w:t>
      </w:r>
      <w:r w:rsidRPr="00782F70">
        <w:rPr>
          <w:lang w:eastAsia="en-AU"/>
        </w:rPr>
        <w:t xml:space="preserve"> arrest</w:t>
      </w:r>
      <w:r>
        <w:rPr>
          <w:lang w:eastAsia="en-AU"/>
        </w:rPr>
        <w:t>ed</w:t>
      </w:r>
      <w:r w:rsidRPr="00782F70">
        <w:rPr>
          <w:lang w:eastAsia="en-AU"/>
        </w:rPr>
        <w:t>.</w:t>
      </w:r>
    </w:p>
    <w:p w14:paraId="259F75DC" w14:textId="77777777" w:rsidR="00CF2D46" w:rsidRPr="00432D81" w:rsidRDefault="00CF2D46" w:rsidP="00FD7633">
      <w:pPr>
        <w:rPr>
          <w:spacing w:val="-2"/>
          <w:lang w:eastAsia="en-AU"/>
        </w:rPr>
      </w:pPr>
      <w:r w:rsidRPr="00432D81">
        <w:rPr>
          <w:spacing w:val="-2"/>
          <w:lang w:eastAsia="en-AU"/>
        </w:rPr>
        <w:t>Some indication of the variability in estimating the number of drug users can be found in Hall et al (2000), who used three separate methods with different multipliers to estimate the number of heroin users in Australia. The result for Australia ranged from 67,000 to 92,000; the median was 74,000 and the mean 77,000. In the calculation of overall harm or cost to the community, one of the most influential factors is the estimated number of drug users, and this may be subject to some variation.</w:t>
      </w:r>
    </w:p>
    <w:p w14:paraId="71793456" w14:textId="77777777" w:rsidR="00CF2D46" w:rsidRPr="00930A88" w:rsidRDefault="00CF2D46" w:rsidP="00FD7633">
      <w:pPr>
        <w:rPr>
          <w:lang w:eastAsia="en-AU"/>
        </w:rPr>
      </w:pPr>
      <w:r>
        <w:rPr>
          <w:lang w:eastAsia="en-AU"/>
        </w:rPr>
        <w:t>Nevertheless, given the various factors dampening the response rate to a general survey, i</w:t>
      </w:r>
      <w:r w:rsidRPr="00930A88">
        <w:rPr>
          <w:lang w:eastAsia="en-AU"/>
        </w:rPr>
        <w:t>t is safe to conclude that the</w:t>
      </w:r>
      <w:r>
        <w:rPr>
          <w:lang w:eastAsia="en-AU"/>
        </w:rPr>
        <w:t>se</w:t>
      </w:r>
      <w:r w:rsidRPr="00930A88">
        <w:rPr>
          <w:lang w:eastAsia="en-AU"/>
        </w:rPr>
        <w:t xml:space="preserve"> results constitute a conservative estimate of the prevalence of drug us</w:t>
      </w:r>
      <w:r>
        <w:rPr>
          <w:lang w:eastAsia="en-AU"/>
        </w:rPr>
        <w:t>e</w:t>
      </w:r>
      <w:r w:rsidRPr="00930A88">
        <w:rPr>
          <w:lang w:eastAsia="en-AU"/>
        </w:rPr>
        <w:t xml:space="preserve"> in the population.</w:t>
      </w:r>
    </w:p>
    <w:p w14:paraId="51D9C904" w14:textId="77777777" w:rsidR="00CF2D46" w:rsidRPr="00930A88" w:rsidRDefault="00CF2D46" w:rsidP="00FD7633">
      <w:pPr>
        <w:pStyle w:val="Heading2"/>
      </w:pPr>
      <w:bookmarkStart w:id="19" w:name="_Toc444941791"/>
      <w:r w:rsidRPr="00930A88">
        <w:rPr>
          <w:lang w:eastAsia="en-AU"/>
        </w:rPr>
        <w:t>Prevalence of drug use</w:t>
      </w:r>
      <w:bookmarkEnd w:id="19"/>
    </w:p>
    <w:p w14:paraId="2B018F5F" w14:textId="77777777" w:rsidR="00CF2D46" w:rsidRDefault="00CF2D46" w:rsidP="00FD7633">
      <w:r w:rsidRPr="00930A88">
        <w:t xml:space="preserve">The extent of drug use in New Zealand was estimated </w:t>
      </w:r>
      <w:r>
        <w:t xml:space="preserve">using data extracted from the 2012/13 New Zealand Health Survey. The results of that survey had not been published at the time of compiling this report. The design for the extract was developed by Martin Woodbridge, Ministry of Health. This design uses the same definition of </w:t>
      </w:r>
      <w:r w:rsidR="00990768">
        <w:t>‘</w:t>
      </w:r>
      <w:r>
        <w:t>illicit drug group</w:t>
      </w:r>
      <w:r w:rsidR="00990768">
        <w:t>’</w:t>
      </w:r>
      <w:r>
        <w:t xml:space="preserve"> as is intended for the analysis of the 2012/13 New Zealand Health Survey. Specific drug types were classified into drug groups as follows.</w:t>
      </w:r>
    </w:p>
    <w:p w14:paraId="75E5FF15" w14:textId="77777777" w:rsidR="00CF2D46" w:rsidRPr="004755EC" w:rsidRDefault="00CF2D46" w:rsidP="004755EC">
      <w:pPr>
        <w:pStyle w:val="Table"/>
      </w:pPr>
      <w:bookmarkStart w:id="20" w:name="_Toc444941842"/>
      <w:r w:rsidRPr="002B6144">
        <w:t>Ta</w:t>
      </w:r>
      <w:r>
        <w:t>b</w:t>
      </w:r>
      <w:r w:rsidRPr="002B6144">
        <w:t>le 1. Illicit drug groups and corresponding drug types</w:t>
      </w:r>
      <w:bookmarkEnd w:id="20"/>
    </w:p>
    <w:tbl>
      <w:tblPr>
        <w:tblStyle w:val="TableGrid"/>
        <w:tblW w:w="0" w:type="auto"/>
        <w:tblInd w:w="108" w:type="dxa"/>
        <w:tblLayout w:type="fixed"/>
        <w:tblLook w:val="04A0" w:firstRow="1" w:lastRow="0" w:firstColumn="1" w:lastColumn="0" w:noHBand="0" w:noVBand="1"/>
      </w:tblPr>
      <w:tblGrid>
        <w:gridCol w:w="4508"/>
        <w:gridCol w:w="4564"/>
      </w:tblGrid>
      <w:tr w:rsidR="00CF2D46" w:rsidRPr="00432D81" w14:paraId="0453AE74" w14:textId="77777777" w:rsidTr="00FD7633">
        <w:trPr>
          <w:cantSplit/>
        </w:trPr>
        <w:tc>
          <w:tcPr>
            <w:tcW w:w="4508" w:type="dxa"/>
          </w:tcPr>
          <w:p w14:paraId="1377C516" w14:textId="77777777" w:rsidR="00CF2D46" w:rsidRPr="00432D81" w:rsidRDefault="00CF2D46" w:rsidP="00FD7633">
            <w:pPr>
              <w:pStyle w:val="TableText"/>
              <w:rPr>
                <w:b/>
              </w:rPr>
            </w:pPr>
            <w:r w:rsidRPr="00432D81">
              <w:rPr>
                <w:b/>
              </w:rPr>
              <w:t>Illicit drug group</w:t>
            </w:r>
          </w:p>
        </w:tc>
        <w:tc>
          <w:tcPr>
            <w:tcW w:w="4564" w:type="dxa"/>
          </w:tcPr>
          <w:p w14:paraId="74D0AB97" w14:textId="77777777" w:rsidR="00CF2D46" w:rsidRPr="00432D81" w:rsidRDefault="00CF2D46" w:rsidP="00FD7633">
            <w:pPr>
              <w:pStyle w:val="TableText"/>
              <w:rPr>
                <w:b/>
              </w:rPr>
            </w:pPr>
            <w:r w:rsidRPr="00432D81">
              <w:rPr>
                <w:b/>
              </w:rPr>
              <w:t>Illicit drug type</w:t>
            </w:r>
          </w:p>
        </w:tc>
      </w:tr>
      <w:tr w:rsidR="00CF2D46" w14:paraId="177C22EA" w14:textId="77777777" w:rsidTr="00FD7633">
        <w:trPr>
          <w:cantSplit/>
        </w:trPr>
        <w:tc>
          <w:tcPr>
            <w:tcW w:w="4508" w:type="dxa"/>
          </w:tcPr>
          <w:p w14:paraId="19584F84" w14:textId="77777777" w:rsidR="00CF2D46" w:rsidRDefault="00CF2D46" w:rsidP="00FD7633">
            <w:pPr>
              <w:pStyle w:val="TableText"/>
            </w:pPr>
            <w:r>
              <w:t>Amphetamine-type stimulants</w:t>
            </w:r>
          </w:p>
        </w:tc>
        <w:tc>
          <w:tcPr>
            <w:tcW w:w="4564" w:type="dxa"/>
          </w:tcPr>
          <w:p w14:paraId="6BEF3758" w14:textId="77777777" w:rsidR="00CF2D46" w:rsidRDefault="00CF2D46" w:rsidP="00432D81">
            <w:pPr>
              <w:pStyle w:val="TableBullet"/>
            </w:pPr>
            <w:r>
              <w:t>Amphetamine</w:t>
            </w:r>
          </w:p>
          <w:p w14:paraId="532B143E" w14:textId="77777777" w:rsidR="00CF2D46" w:rsidRDefault="00CF2D46" w:rsidP="00432D81">
            <w:pPr>
              <w:pStyle w:val="TableBullet"/>
            </w:pPr>
            <w:r>
              <w:t>Methamphetamine</w:t>
            </w:r>
          </w:p>
          <w:p w14:paraId="36B4704E" w14:textId="77777777" w:rsidR="00CF2D46" w:rsidRDefault="00CF2D46" w:rsidP="00432D81">
            <w:pPr>
              <w:pStyle w:val="TableBullet"/>
            </w:pPr>
            <w:r>
              <w:t>Dexamphetamine</w:t>
            </w:r>
          </w:p>
          <w:p w14:paraId="43453BC0" w14:textId="77777777" w:rsidR="00CF2D46" w:rsidRDefault="00CF2D46" w:rsidP="00432D81">
            <w:pPr>
              <w:pStyle w:val="TableBullet"/>
            </w:pPr>
            <w:r>
              <w:t>Pharma-stimulants</w:t>
            </w:r>
          </w:p>
          <w:p w14:paraId="5211FF4E" w14:textId="77777777" w:rsidR="00CF2D46" w:rsidRDefault="00CF2D46" w:rsidP="00432D81">
            <w:pPr>
              <w:pStyle w:val="TableBullet"/>
            </w:pPr>
            <w:r>
              <w:t>Cocaine</w:t>
            </w:r>
          </w:p>
        </w:tc>
      </w:tr>
      <w:tr w:rsidR="00CF2D46" w14:paraId="2AEF09E3" w14:textId="77777777" w:rsidTr="00FD7633">
        <w:trPr>
          <w:cantSplit/>
        </w:trPr>
        <w:tc>
          <w:tcPr>
            <w:tcW w:w="4508" w:type="dxa"/>
          </w:tcPr>
          <w:p w14:paraId="10541ABE" w14:textId="77777777" w:rsidR="00CF2D46" w:rsidRDefault="00CF2D46" w:rsidP="00FD7633">
            <w:pPr>
              <w:pStyle w:val="TableText"/>
            </w:pPr>
            <w:r>
              <w:t>Cannabinoids</w:t>
            </w:r>
          </w:p>
        </w:tc>
        <w:tc>
          <w:tcPr>
            <w:tcW w:w="4564" w:type="dxa"/>
          </w:tcPr>
          <w:p w14:paraId="05929330" w14:textId="77777777" w:rsidR="00CF2D46" w:rsidRDefault="00CF2D46" w:rsidP="00432D81">
            <w:pPr>
              <w:pStyle w:val="TableBullet"/>
            </w:pPr>
            <w:r>
              <w:t>Cannabis</w:t>
            </w:r>
          </w:p>
          <w:p w14:paraId="632559B3" w14:textId="77777777" w:rsidR="00CF2D46" w:rsidRDefault="00CF2D46" w:rsidP="00432D81">
            <w:pPr>
              <w:pStyle w:val="TableBullet"/>
            </w:pPr>
            <w:r>
              <w:t>Synthetic cannabis</w:t>
            </w:r>
          </w:p>
        </w:tc>
      </w:tr>
      <w:tr w:rsidR="00CF2D46" w14:paraId="07A1AE85" w14:textId="77777777" w:rsidTr="00FD7633">
        <w:trPr>
          <w:cantSplit/>
        </w:trPr>
        <w:tc>
          <w:tcPr>
            <w:tcW w:w="4508" w:type="dxa"/>
          </w:tcPr>
          <w:p w14:paraId="2F5B057C" w14:textId="01ADA84D" w:rsidR="00CF2D46" w:rsidRDefault="00CF2D46">
            <w:pPr>
              <w:pStyle w:val="TableText"/>
            </w:pPr>
            <w:r>
              <w:t xml:space="preserve">Hallucinogenic </w:t>
            </w:r>
            <w:r w:rsidR="00432D81">
              <w:t>and</w:t>
            </w:r>
            <w:r>
              <w:t xml:space="preserve"> psychedelic drugs</w:t>
            </w:r>
          </w:p>
        </w:tc>
        <w:tc>
          <w:tcPr>
            <w:tcW w:w="4564" w:type="dxa"/>
          </w:tcPr>
          <w:p w14:paraId="51EE2C7B" w14:textId="77777777" w:rsidR="00CF2D46" w:rsidRPr="00992EEB" w:rsidRDefault="00CF2D46" w:rsidP="00432D81">
            <w:pPr>
              <w:pStyle w:val="TableBullet"/>
            </w:pPr>
            <w:r w:rsidRPr="00992EEB">
              <w:t>LSD</w:t>
            </w:r>
          </w:p>
          <w:p w14:paraId="392D3AA2" w14:textId="77777777" w:rsidR="00CF2D46" w:rsidRPr="005E1CAE" w:rsidRDefault="00CF2D46" w:rsidP="00432D81">
            <w:pPr>
              <w:pStyle w:val="TableBullet"/>
            </w:pPr>
            <w:r w:rsidRPr="005E1CAE">
              <w:t>Ecstasy</w:t>
            </w:r>
          </w:p>
          <w:p w14:paraId="172F2B6D" w14:textId="77777777" w:rsidR="00CF2D46" w:rsidRPr="005E1CAE" w:rsidRDefault="00CF2D46" w:rsidP="00432D81">
            <w:pPr>
              <w:pStyle w:val="TableBullet"/>
            </w:pPr>
            <w:r w:rsidRPr="005E1CAE">
              <w:t>Ketamine</w:t>
            </w:r>
          </w:p>
        </w:tc>
      </w:tr>
      <w:tr w:rsidR="00CF2D46" w14:paraId="6E904350" w14:textId="77777777" w:rsidTr="00FD7633">
        <w:trPr>
          <w:cantSplit/>
        </w:trPr>
        <w:tc>
          <w:tcPr>
            <w:tcW w:w="4508" w:type="dxa"/>
          </w:tcPr>
          <w:p w14:paraId="60B0E773" w14:textId="7E1E4871" w:rsidR="00CF2D46" w:rsidRDefault="00CF2D46">
            <w:pPr>
              <w:pStyle w:val="TableText"/>
            </w:pPr>
            <w:r>
              <w:t xml:space="preserve">Opioid </w:t>
            </w:r>
            <w:r w:rsidR="00432D81">
              <w:t>and</w:t>
            </w:r>
            <w:r>
              <w:t xml:space="preserve"> sedative drugs</w:t>
            </w:r>
          </w:p>
        </w:tc>
        <w:tc>
          <w:tcPr>
            <w:tcW w:w="4564" w:type="dxa"/>
          </w:tcPr>
          <w:p w14:paraId="7DAC1D63" w14:textId="77777777" w:rsidR="00CF2D46" w:rsidRPr="005E1CAE" w:rsidRDefault="00CF2D46" w:rsidP="00432D81">
            <w:pPr>
              <w:pStyle w:val="TableBullet"/>
            </w:pPr>
            <w:r w:rsidRPr="005E1CAE">
              <w:t>Pharma-opioids</w:t>
            </w:r>
          </w:p>
          <w:p w14:paraId="4EF04D69" w14:textId="77777777" w:rsidR="00CF2D46" w:rsidRPr="005E1CAE" w:rsidRDefault="00CF2D46" w:rsidP="00432D81">
            <w:pPr>
              <w:pStyle w:val="TableBullet"/>
            </w:pPr>
            <w:r w:rsidRPr="005E1CAE">
              <w:t>Heroin/</w:t>
            </w:r>
            <w:proofErr w:type="spellStart"/>
            <w:r w:rsidRPr="005E1CAE">
              <w:t>homebake</w:t>
            </w:r>
            <w:proofErr w:type="spellEnd"/>
          </w:p>
          <w:p w14:paraId="73D68517" w14:textId="77777777" w:rsidR="00CF2D46" w:rsidRPr="005E1CAE" w:rsidRDefault="00CF2D46" w:rsidP="00432D81">
            <w:pPr>
              <w:pStyle w:val="TableBullet"/>
            </w:pPr>
            <w:r w:rsidRPr="005E1CAE">
              <w:t>Pharma-sedatives</w:t>
            </w:r>
          </w:p>
          <w:p w14:paraId="07BCBC4B" w14:textId="77777777" w:rsidR="00CF2D46" w:rsidRPr="005E1CAE" w:rsidRDefault="00CF2D46" w:rsidP="00432D81">
            <w:pPr>
              <w:pStyle w:val="TableBullet"/>
            </w:pPr>
            <w:r w:rsidRPr="00992EEB">
              <w:t>GHB</w:t>
            </w:r>
          </w:p>
        </w:tc>
      </w:tr>
    </w:tbl>
    <w:p w14:paraId="2F734B80" w14:textId="6ACE1947" w:rsidR="00990768" w:rsidRDefault="00CF2D46" w:rsidP="00432D81">
      <w:r>
        <w:t xml:space="preserve">The original New Zealand DHI classified ecstasy as a stimulant rather than among the hallucinogenic </w:t>
      </w:r>
      <w:r w:rsidR="00432D81">
        <w:t>and</w:t>
      </w:r>
      <w:r>
        <w:t xml:space="preserve"> psychedelic drugs. The rise of the </w:t>
      </w:r>
      <w:r w:rsidR="00990768">
        <w:t>‘</w:t>
      </w:r>
      <w:r>
        <w:t>pharma-drugs</w:t>
      </w:r>
      <w:r w:rsidR="00990768">
        <w:t>’</w:t>
      </w:r>
      <w:r>
        <w:t xml:space="preserve"> is another significant change. A pharma-drug is a legal drug that has been diverted illegally to the illicit drug market. It should also be noted that the cannabinoids group contains both natural and synthetic cannabis. Hereafter the term </w:t>
      </w:r>
      <w:r w:rsidR="00990768">
        <w:t>‘</w:t>
      </w:r>
      <w:r>
        <w:t>cannabis</w:t>
      </w:r>
      <w:r w:rsidR="00990768">
        <w:t>’</w:t>
      </w:r>
      <w:r>
        <w:t xml:space="preserve"> refers specifically to the natural product and </w:t>
      </w:r>
      <w:r w:rsidR="00990768">
        <w:t>‘</w:t>
      </w:r>
      <w:r>
        <w:t>cannabinoids</w:t>
      </w:r>
      <w:r w:rsidR="00990768">
        <w:t>’</w:t>
      </w:r>
      <w:r>
        <w:t xml:space="preserve"> to the group.</w:t>
      </w:r>
    </w:p>
    <w:p w14:paraId="752435A7" w14:textId="7FAC9DB8" w:rsidR="00CF2D46" w:rsidRPr="004755EC" w:rsidRDefault="00CF2D46" w:rsidP="004755EC">
      <w:pPr>
        <w:pStyle w:val="Box"/>
        <w:shd w:val="clear" w:color="auto" w:fill="auto"/>
        <w:rPr>
          <w:b/>
        </w:rPr>
      </w:pPr>
      <w:r w:rsidRPr="004755EC">
        <w:rPr>
          <w:b/>
        </w:rPr>
        <w:t xml:space="preserve">Note: </w:t>
      </w:r>
      <w:r w:rsidR="004755EC" w:rsidRPr="004755EC">
        <w:rPr>
          <w:b/>
        </w:rPr>
        <w:t>T</w:t>
      </w:r>
      <w:r w:rsidRPr="004755EC">
        <w:rPr>
          <w:b/>
        </w:rPr>
        <w:t xml:space="preserve">he data were extracted for the specific requirements of the study. It is unlikely that the 2012/13 New Zealand Health Survey when published will correspond to the numbers provided here. The correction for </w:t>
      </w:r>
      <w:proofErr w:type="spellStart"/>
      <w:r w:rsidRPr="004755EC">
        <w:rPr>
          <w:b/>
        </w:rPr>
        <w:t>polydrug</w:t>
      </w:r>
      <w:proofErr w:type="spellEnd"/>
      <w:r w:rsidRPr="004755EC">
        <w:rPr>
          <w:b/>
        </w:rPr>
        <w:t xml:space="preserve"> use is the most probable source of variation between the data sets. The extraction of specific subsets might also contribute.</w:t>
      </w:r>
    </w:p>
    <w:p w14:paraId="092B44CD" w14:textId="77777777" w:rsidR="00CF2D46" w:rsidRDefault="00CF2D46" w:rsidP="004755EC">
      <w:r>
        <w:t xml:space="preserve">The definition of a dependent user proposed for the 2012/13 New Zealand Health Survey was also adopted to ensure consistency of approach. Drug users were categorised as dependent if drug use was weekly or more frequent and resulted in self-reported harms. All other users were classified as casual. </w:t>
      </w:r>
      <w:r w:rsidRPr="00930A88">
        <w:t xml:space="preserve">Table </w:t>
      </w:r>
      <w:r>
        <w:t>2</w:t>
      </w:r>
      <w:r w:rsidRPr="00930A88">
        <w:t xml:space="preserve"> has details of drug use by drug type in New Zealand in 20</w:t>
      </w:r>
      <w:r>
        <w:t>12/13</w:t>
      </w:r>
      <w:r w:rsidRPr="00930A88">
        <w:t xml:space="preserve">. </w:t>
      </w:r>
      <w:r>
        <w:t xml:space="preserve">These estimates have been adjusted for </w:t>
      </w:r>
      <w:proofErr w:type="spellStart"/>
      <w:r>
        <w:t>polydrug</w:t>
      </w:r>
      <w:proofErr w:type="spellEnd"/>
      <w:r>
        <w:t xml:space="preserve"> use by applying users fractionally across drug types. Prevalence rates were derived from the 2012/13 Health Survey and applied to an estimated population of those</w:t>
      </w:r>
      <w:r w:rsidR="004755EC">
        <w:br/>
      </w:r>
      <w:r>
        <w:t>15</w:t>
      </w:r>
      <w:r w:rsidR="004755EC">
        <w:t>–</w:t>
      </w:r>
      <w:r>
        <w:t>75 years of age to calculate the number of users by drug type.</w:t>
      </w:r>
    </w:p>
    <w:p w14:paraId="5BFB2D22" w14:textId="1C2B8F76" w:rsidR="00CF2D46" w:rsidRDefault="00CF2D46" w:rsidP="004755EC">
      <w:r>
        <w:t xml:space="preserve">Note that the reliability of estimates of the number of drug users by drug type depends on sample size. While this was generally not an issue at the broader level of drug category (e.g. opioids </w:t>
      </w:r>
      <w:r w:rsidR="004755EC">
        <w:t>and</w:t>
      </w:r>
      <w:r>
        <w:t xml:space="preserve"> sedatives), it was often an issue with specific drug types (e.g. heroin). Also note that all calculations were done using highest degree of accuracy possible. For example, in the following table the number of regular cannabinoid users was estimated at 26,021.88. This is suggestive of a degree of accuracy that is not possible with such data. To remove this impression of extreme accuracy, the number of users has been rounded to the nearest hundred. Note that rounding always takes place as the final operation so that totals reported may differ from the sum of constituent estimates. Nevertheless, all estimates are the best available given the data.</w:t>
      </w:r>
    </w:p>
    <w:p w14:paraId="4DFF6830" w14:textId="77777777" w:rsidR="00CF2D46" w:rsidRPr="00652EE0" w:rsidRDefault="00CF2D46" w:rsidP="00A02757">
      <w:pPr>
        <w:pStyle w:val="Table"/>
        <w:rPr>
          <w:lang w:eastAsia="en-AU"/>
        </w:rPr>
      </w:pPr>
      <w:bookmarkStart w:id="21" w:name="_Toc444941843"/>
      <w:r>
        <w:t xml:space="preserve">Table 2. </w:t>
      </w:r>
      <w:r w:rsidRPr="00652EE0">
        <w:rPr>
          <w:lang w:eastAsia="en-AU"/>
        </w:rPr>
        <w:t>Estimated population by drug group</w:t>
      </w:r>
      <w:r>
        <w:rPr>
          <w:lang w:eastAsia="en-AU"/>
        </w:rPr>
        <w:t>,</w:t>
      </w:r>
      <w:r w:rsidRPr="00652EE0">
        <w:rPr>
          <w:lang w:eastAsia="en-AU"/>
        </w:rPr>
        <w:t xml:space="preserve"> adjusted for </w:t>
      </w:r>
      <w:proofErr w:type="spellStart"/>
      <w:r w:rsidRPr="00652EE0">
        <w:rPr>
          <w:lang w:eastAsia="en-AU"/>
        </w:rPr>
        <w:t>polydrug</w:t>
      </w:r>
      <w:proofErr w:type="spellEnd"/>
      <w:r w:rsidRPr="00652EE0">
        <w:rPr>
          <w:lang w:eastAsia="en-AU"/>
        </w:rPr>
        <w:t xml:space="preserve"> use</w:t>
      </w:r>
      <w:bookmarkEnd w:id="21"/>
    </w:p>
    <w:tbl>
      <w:tblPr>
        <w:tblStyle w:val="TableGrid"/>
        <w:tblW w:w="0" w:type="auto"/>
        <w:tblInd w:w="108" w:type="dxa"/>
        <w:tblBorders>
          <w:insideH w:val="none" w:sz="0" w:space="0" w:color="auto"/>
          <w:insideV w:val="none" w:sz="0" w:space="0" w:color="auto"/>
        </w:tblBorders>
        <w:tblLayout w:type="fixed"/>
        <w:tblLook w:val="04A0" w:firstRow="1" w:lastRow="0" w:firstColumn="1" w:lastColumn="0" w:noHBand="0" w:noVBand="1"/>
      </w:tblPr>
      <w:tblGrid>
        <w:gridCol w:w="4111"/>
        <w:gridCol w:w="1653"/>
        <w:gridCol w:w="1654"/>
        <w:gridCol w:w="1654"/>
      </w:tblGrid>
      <w:tr w:rsidR="00CF2D46" w:rsidRPr="00930A88" w14:paraId="10A83A08" w14:textId="77777777" w:rsidTr="00A02757">
        <w:trPr>
          <w:cantSplit/>
        </w:trPr>
        <w:tc>
          <w:tcPr>
            <w:tcW w:w="4111" w:type="dxa"/>
            <w:vMerge w:val="restart"/>
            <w:tcBorders>
              <w:right w:val="single" w:sz="4" w:space="0" w:color="auto"/>
            </w:tcBorders>
          </w:tcPr>
          <w:p w14:paraId="5A4CD66C" w14:textId="77777777" w:rsidR="00CF2D46" w:rsidRPr="00A02757" w:rsidRDefault="00CF2D46" w:rsidP="00A02757">
            <w:pPr>
              <w:pStyle w:val="TableText"/>
              <w:rPr>
                <w:b/>
              </w:rPr>
            </w:pPr>
            <w:r w:rsidRPr="00A02757">
              <w:rPr>
                <w:b/>
              </w:rPr>
              <w:t>Drug group</w:t>
            </w:r>
          </w:p>
        </w:tc>
        <w:tc>
          <w:tcPr>
            <w:tcW w:w="4961" w:type="dxa"/>
            <w:gridSpan w:val="3"/>
            <w:tcBorders>
              <w:top w:val="single" w:sz="4" w:space="0" w:color="auto"/>
              <w:left w:val="single" w:sz="4" w:space="0" w:color="auto"/>
            </w:tcBorders>
          </w:tcPr>
          <w:p w14:paraId="50CAD708" w14:textId="77777777" w:rsidR="00CF2D46" w:rsidRPr="00A02757" w:rsidRDefault="00CF2D46" w:rsidP="00A02757">
            <w:pPr>
              <w:pStyle w:val="TableText"/>
              <w:jc w:val="center"/>
              <w:rPr>
                <w:b/>
              </w:rPr>
            </w:pPr>
            <w:r w:rsidRPr="00A02757">
              <w:rPr>
                <w:b/>
              </w:rPr>
              <w:t>Estimated number of users</w:t>
            </w:r>
          </w:p>
        </w:tc>
      </w:tr>
      <w:tr w:rsidR="00CF2D46" w:rsidRPr="00930A88" w14:paraId="4A82CA00" w14:textId="77777777" w:rsidTr="00A02757">
        <w:trPr>
          <w:cantSplit/>
        </w:trPr>
        <w:tc>
          <w:tcPr>
            <w:tcW w:w="4111" w:type="dxa"/>
            <w:vMerge/>
            <w:tcBorders>
              <w:bottom w:val="single" w:sz="4" w:space="0" w:color="auto"/>
              <w:right w:val="single" w:sz="4" w:space="0" w:color="auto"/>
            </w:tcBorders>
          </w:tcPr>
          <w:p w14:paraId="20C6FC81" w14:textId="77777777" w:rsidR="00CF2D46" w:rsidRPr="00930A88" w:rsidRDefault="00CF2D46" w:rsidP="00A02757">
            <w:pPr>
              <w:pStyle w:val="TableText"/>
            </w:pPr>
          </w:p>
        </w:tc>
        <w:tc>
          <w:tcPr>
            <w:tcW w:w="1653" w:type="dxa"/>
            <w:tcBorders>
              <w:left w:val="single" w:sz="4" w:space="0" w:color="auto"/>
              <w:bottom w:val="single" w:sz="4" w:space="0" w:color="auto"/>
            </w:tcBorders>
            <w:tcMar>
              <w:left w:w="115" w:type="dxa"/>
              <w:right w:w="432" w:type="dxa"/>
            </w:tcMar>
          </w:tcPr>
          <w:p w14:paraId="0CD1B22A" w14:textId="77777777" w:rsidR="00CF2D46" w:rsidRPr="00A02757" w:rsidRDefault="00CF2D46" w:rsidP="00A02757">
            <w:pPr>
              <w:pStyle w:val="TableText"/>
              <w:spacing w:before="0"/>
              <w:jc w:val="center"/>
              <w:rPr>
                <w:b/>
              </w:rPr>
            </w:pPr>
            <w:r w:rsidRPr="00A02757">
              <w:rPr>
                <w:b/>
              </w:rPr>
              <w:t>Dependent</w:t>
            </w:r>
          </w:p>
        </w:tc>
        <w:tc>
          <w:tcPr>
            <w:tcW w:w="1654" w:type="dxa"/>
            <w:tcBorders>
              <w:bottom w:val="single" w:sz="4" w:space="0" w:color="auto"/>
            </w:tcBorders>
            <w:tcMar>
              <w:left w:w="115" w:type="dxa"/>
              <w:right w:w="432" w:type="dxa"/>
            </w:tcMar>
          </w:tcPr>
          <w:p w14:paraId="63ACABCE" w14:textId="77777777" w:rsidR="00CF2D46" w:rsidRPr="00A02757" w:rsidRDefault="00CF2D46" w:rsidP="00A02757">
            <w:pPr>
              <w:pStyle w:val="TableText"/>
              <w:spacing w:before="0"/>
              <w:jc w:val="center"/>
              <w:rPr>
                <w:b/>
              </w:rPr>
            </w:pPr>
            <w:r w:rsidRPr="00A02757">
              <w:rPr>
                <w:b/>
              </w:rPr>
              <w:t>Casual</w:t>
            </w:r>
          </w:p>
        </w:tc>
        <w:tc>
          <w:tcPr>
            <w:tcW w:w="1654" w:type="dxa"/>
            <w:tcBorders>
              <w:bottom w:val="single" w:sz="4" w:space="0" w:color="auto"/>
            </w:tcBorders>
            <w:tcMar>
              <w:left w:w="115" w:type="dxa"/>
              <w:right w:w="432" w:type="dxa"/>
            </w:tcMar>
          </w:tcPr>
          <w:p w14:paraId="7247E0AA" w14:textId="77777777" w:rsidR="00CF2D46" w:rsidRPr="00A02757" w:rsidRDefault="00CF2D46" w:rsidP="00A02757">
            <w:pPr>
              <w:pStyle w:val="TableText"/>
              <w:spacing w:before="0"/>
              <w:jc w:val="center"/>
              <w:rPr>
                <w:b/>
              </w:rPr>
            </w:pPr>
            <w:r w:rsidRPr="00A02757">
              <w:rPr>
                <w:b/>
              </w:rPr>
              <w:t>Total</w:t>
            </w:r>
          </w:p>
        </w:tc>
      </w:tr>
      <w:tr w:rsidR="00CF2D46" w:rsidRPr="00930A88" w14:paraId="5BF06969" w14:textId="77777777" w:rsidTr="00A02757">
        <w:trPr>
          <w:cantSplit/>
        </w:trPr>
        <w:tc>
          <w:tcPr>
            <w:tcW w:w="4111" w:type="dxa"/>
            <w:tcBorders>
              <w:top w:val="single" w:sz="4" w:space="0" w:color="auto"/>
              <w:bottom w:val="nil"/>
              <w:right w:val="single" w:sz="4" w:space="0" w:color="auto"/>
            </w:tcBorders>
          </w:tcPr>
          <w:p w14:paraId="168C3FBD" w14:textId="77777777" w:rsidR="00CF2D46" w:rsidRPr="00930A88" w:rsidRDefault="00CF2D46" w:rsidP="00A02757">
            <w:pPr>
              <w:pStyle w:val="TableText"/>
            </w:pPr>
            <w:r>
              <w:t>Amphetamine-type stimulants</w:t>
            </w:r>
          </w:p>
        </w:tc>
        <w:tc>
          <w:tcPr>
            <w:tcW w:w="1653" w:type="dxa"/>
            <w:tcBorders>
              <w:top w:val="single" w:sz="4" w:space="0" w:color="auto"/>
              <w:left w:val="single" w:sz="4" w:space="0" w:color="auto"/>
              <w:bottom w:val="nil"/>
            </w:tcBorders>
            <w:tcMar>
              <w:left w:w="115" w:type="dxa"/>
              <w:right w:w="360" w:type="dxa"/>
            </w:tcMar>
          </w:tcPr>
          <w:p w14:paraId="1D75F20E" w14:textId="77777777" w:rsidR="00CF2D46" w:rsidRPr="00930A88" w:rsidRDefault="00CF2D46" w:rsidP="00C85839">
            <w:pPr>
              <w:pStyle w:val="TableText"/>
              <w:tabs>
                <w:tab w:val="decimal" w:pos="877"/>
              </w:tabs>
            </w:pPr>
            <w:r>
              <w:t>1,400</w:t>
            </w:r>
          </w:p>
        </w:tc>
        <w:tc>
          <w:tcPr>
            <w:tcW w:w="1654" w:type="dxa"/>
            <w:tcBorders>
              <w:top w:val="single" w:sz="4" w:space="0" w:color="auto"/>
              <w:bottom w:val="nil"/>
            </w:tcBorders>
            <w:tcMar>
              <w:left w:w="115" w:type="dxa"/>
              <w:right w:w="360" w:type="dxa"/>
            </w:tcMar>
          </w:tcPr>
          <w:p w14:paraId="50D3C5FF" w14:textId="77777777" w:rsidR="00CF2D46" w:rsidRPr="00930A88" w:rsidRDefault="00CF2D46" w:rsidP="00C85839">
            <w:pPr>
              <w:pStyle w:val="TableText"/>
              <w:tabs>
                <w:tab w:val="decimal" w:pos="877"/>
              </w:tabs>
            </w:pPr>
            <w:r>
              <w:t>24,300</w:t>
            </w:r>
          </w:p>
        </w:tc>
        <w:tc>
          <w:tcPr>
            <w:tcW w:w="1654" w:type="dxa"/>
            <w:tcBorders>
              <w:top w:val="single" w:sz="4" w:space="0" w:color="auto"/>
              <w:bottom w:val="nil"/>
            </w:tcBorders>
            <w:tcMar>
              <w:left w:w="115" w:type="dxa"/>
              <w:right w:w="360" w:type="dxa"/>
            </w:tcMar>
          </w:tcPr>
          <w:p w14:paraId="675FA957" w14:textId="77777777" w:rsidR="00CF2D46" w:rsidRPr="00930A88" w:rsidRDefault="00CF2D46" w:rsidP="00C85839">
            <w:pPr>
              <w:pStyle w:val="TableText"/>
              <w:tabs>
                <w:tab w:val="decimal" w:pos="877"/>
              </w:tabs>
            </w:pPr>
            <w:r>
              <w:t>25,700</w:t>
            </w:r>
          </w:p>
        </w:tc>
      </w:tr>
      <w:tr w:rsidR="00CF2D46" w:rsidRPr="00930A88" w14:paraId="0F41BD62" w14:textId="77777777" w:rsidTr="00A02757">
        <w:trPr>
          <w:cantSplit/>
        </w:trPr>
        <w:tc>
          <w:tcPr>
            <w:tcW w:w="4111" w:type="dxa"/>
            <w:tcBorders>
              <w:top w:val="nil"/>
              <w:bottom w:val="nil"/>
              <w:right w:val="single" w:sz="4" w:space="0" w:color="auto"/>
            </w:tcBorders>
          </w:tcPr>
          <w:p w14:paraId="3108D62F" w14:textId="77777777" w:rsidR="00CF2D46" w:rsidRPr="00930A88" w:rsidRDefault="00CF2D46" w:rsidP="00A02757">
            <w:pPr>
              <w:pStyle w:val="TableText"/>
            </w:pPr>
            <w:r>
              <w:t>Cannabinoids</w:t>
            </w:r>
          </w:p>
        </w:tc>
        <w:tc>
          <w:tcPr>
            <w:tcW w:w="1653" w:type="dxa"/>
            <w:tcBorders>
              <w:top w:val="nil"/>
              <w:left w:val="single" w:sz="4" w:space="0" w:color="auto"/>
              <w:bottom w:val="nil"/>
            </w:tcBorders>
            <w:tcMar>
              <w:left w:w="115" w:type="dxa"/>
              <w:right w:w="360" w:type="dxa"/>
            </w:tcMar>
          </w:tcPr>
          <w:p w14:paraId="3B0D9846" w14:textId="77777777" w:rsidR="00CF2D46" w:rsidRPr="00930A88" w:rsidRDefault="00CF2D46" w:rsidP="00C85839">
            <w:pPr>
              <w:pStyle w:val="TableText"/>
              <w:tabs>
                <w:tab w:val="decimal" w:pos="877"/>
              </w:tabs>
            </w:pPr>
            <w:r>
              <w:t>26,000</w:t>
            </w:r>
          </w:p>
        </w:tc>
        <w:tc>
          <w:tcPr>
            <w:tcW w:w="1654" w:type="dxa"/>
            <w:tcBorders>
              <w:top w:val="nil"/>
              <w:bottom w:val="nil"/>
            </w:tcBorders>
            <w:tcMar>
              <w:left w:w="115" w:type="dxa"/>
              <w:right w:w="360" w:type="dxa"/>
            </w:tcMar>
          </w:tcPr>
          <w:p w14:paraId="13978F0C" w14:textId="77777777" w:rsidR="00CF2D46" w:rsidRPr="00930A88" w:rsidRDefault="00CF2D46" w:rsidP="00C85839">
            <w:pPr>
              <w:pStyle w:val="TableText"/>
              <w:tabs>
                <w:tab w:val="decimal" w:pos="877"/>
              </w:tabs>
            </w:pPr>
            <w:r>
              <w:t>253,300</w:t>
            </w:r>
          </w:p>
        </w:tc>
        <w:tc>
          <w:tcPr>
            <w:tcW w:w="1654" w:type="dxa"/>
            <w:tcBorders>
              <w:top w:val="nil"/>
              <w:bottom w:val="nil"/>
            </w:tcBorders>
            <w:tcMar>
              <w:left w:w="115" w:type="dxa"/>
              <w:right w:w="360" w:type="dxa"/>
            </w:tcMar>
          </w:tcPr>
          <w:p w14:paraId="38577C21" w14:textId="77777777" w:rsidR="00CF2D46" w:rsidRPr="00930A88" w:rsidRDefault="00CF2D46" w:rsidP="00C85839">
            <w:pPr>
              <w:pStyle w:val="TableText"/>
              <w:tabs>
                <w:tab w:val="decimal" w:pos="877"/>
              </w:tabs>
            </w:pPr>
            <w:r>
              <w:t>279,400</w:t>
            </w:r>
          </w:p>
        </w:tc>
      </w:tr>
      <w:tr w:rsidR="00CF2D46" w:rsidRPr="00930A88" w14:paraId="08E6324D" w14:textId="77777777" w:rsidTr="00A02757">
        <w:trPr>
          <w:cantSplit/>
        </w:trPr>
        <w:tc>
          <w:tcPr>
            <w:tcW w:w="4111" w:type="dxa"/>
            <w:tcBorders>
              <w:top w:val="nil"/>
              <w:bottom w:val="nil"/>
              <w:right w:val="single" w:sz="4" w:space="0" w:color="auto"/>
            </w:tcBorders>
          </w:tcPr>
          <w:p w14:paraId="680AFF56" w14:textId="4E2B5FD5" w:rsidR="00CF2D46" w:rsidRPr="00930A88" w:rsidRDefault="00CF2D46">
            <w:pPr>
              <w:pStyle w:val="TableText"/>
            </w:pPr>
            <w:r>
              <w:t xml:space="preserve">Hallucinogenic </w:t>
            </w:r>
            <w:r w:rsidR="00A02757">
              <w:t>and</w:t>
            </w:r>
            <w:r>
              <w:t xml:space="preserve"> psychedelic drugs</w:t>
            </w:r>
          </w:p>
        </w:tc>
        <w:tc>
          <w:tcPr>
            <w:tcW w:w="1653" w:type="dxa"/>
            <w:tcBorders>
              <w:top w:val="nil"/>
              <w:left w:val="single" w:sz="4" w:space="0" w:color="auto"/>
              <w:bottom w:val="nil"/>
            </w:tcBorders>
            <w:tcMar>
              <w:left w:w="115" w:type="dxa"/>
              <w:right w:w="360" w:type="dxa"/>
            </w:tcMar>
          </w:tcPr>
          <w:p w14:paraId="08F282ED" w14:textId="77777777" w:rsidR="00CF2D46" w:rsidRPr="00930A88" w:rsidRDefault="00CF2D46" w:rsidP="00C85839">
            <w:pPr>
              <w:pStyle w:val="TableText"/>
              <w:tabs>
                <w:tab w:val="decimal" w:pos="877"/>
              </w:tabs>
            </w:pPr>
            <w:r>
              <w:t>500</w:t>
            </w:r>
          </w:p>
        </w:tc>
        <w:tc>
          <w:tcPr>
            <w:tcW w:w="1654" w:type="dxa"/>
            <w:tcBorders>
              <w:top w:val="nil"/>
              <w:bottom w:val="nil"/>
            </w:tcBorders>
            <w:tcMar>
              <w:left w:w="115" w:type="dxa"/>
              <w:right w:w="360" w:type="dxa"/>
            </w:tcMar>
          </w:tcPr>
          <w:p w14:paraId="5A957B2A" w14:textId="77777777" w:rsidR="00CF2D46" w:rsidRPr="00930A88" w:rsidRDefault="00CF2D46" w:rsidP="00C85839">
            <w:pPr>
              <w:pStyle w:val="TableText"/>
              <w:tabs>
                <w:tab w:val="decimal" w:pos="877"/>
              </w:tabs>
            </w:pPr>
            <w:r>
              <w:t>53,300</w:t>
            </w:r>
          </w:p>
        </w:tc>
        <w:tc>
          <w:tcPr>
            <w:tcW w:w="1654" w:type="dxa"/>
            <w:tcBorders>
              <w:top w:val="nil"/>
              <w:bottom w:val="nil"/>
            </w:tcBorders>
            <w:tcMar>
              <w:left w:w="115" w:type="dxa"/>
              <w:right w:w="360" w:type="dxa"/>
            </w:tcMar>
          </w:tcPr>
          <w:p w14:paraId="33A2D586" w14:textId="77777777" w:rsidR="00CF2D46" w:rsidRPr="00930A88" w:rsidRDefault="00CF2D46" w:rsidP="00C85839">
            <w:pPr>
              <w:pStyle w:val="TableText"/>
              <w:tabs>
                <w:tab w:val="decimal" w:pos="877"/>
              </w:tabs>
            </w:pPr>
            <w:r>
              <w:t>53,700</w:t>
            </w:r>
          </w:p>
        </w:tc>
      </w:tr>
      <w:tr w:rsidR="00CF2D46" w:rsidRPr="00930A88" w14:paraId="4607C9EB" w14:textId="77777777" w:rsidTr="00A02757">
        <w:trPr>
          <w:cantSplit/>
        </w:trPr>
        <w:tc>
          <w:tcPr>
            <w:tcW w:w="4111" w:type="dxa"/>
            <w:tcBorders>
              <w:top w:val="nil"/>
              <w:bottom w:val="single" w:sz="4" w:space="0" w:color="auto"/>
              <w:right w:val="single" w:sz="4" w:space="0" w:color="auto"/>
            </w:tcBorders>
          </w:tcPr>
          <w:p w14:paraId="0224656E" w14:textId="71085088" w:rsidR="00CF2D46" w:rsidRPr="00930A88" w:rsidRDefault="00CF2D46">
            <w:pPr>
              <w:pStyle w:val="TableText"/>
            </w:pPr>
            <w:r>
              <w:t xml:space="preserve">Opioid </w:t>
            </w:r>
            <w:r w:rsidR="00A02757">
              <w:t>and</w:t>
            </w:r>
            <w:r>
              <w:t xml:space="preserve"> sedative drugs</w:t>
            </w:r>
          </w:p>
        </w:tc>
        <w:tc>
          <w:tcPr>
            <w:tcW w:w="1653" w:type="dxa"/>
            <w:tcBorders>
              <w:top w:val="nil"/>
              <w:left w:val="single" w:sz="4" w:space="0" w:color="auto"/>
              <w:bottom w:val="single" w:sz="4" w:space="0" w:color="auto"/>
            </w:tcBorders>
            <w:tcMar>
              <w:left w:w="115" w:type="dxa"/>
              <w:right w:w="360" w:type="dxa"/>
            </w:tcMar>
          </w:tcPr>
          <w:p w14:paraId="4953DBF1" w14:textId="77777777" w:rsidR="00CF2D46" w:rsidRPr="00930A88" w:rsidRDefault="00CF2D46" w:rsidP="00C85839">
            <w:pPr>
              <w:pStyle w:val="TableText"/>
              <w:tabs>
                <w:tab w:val="decimal" w:pos="877"/>
              </w:tabs>
            </w:pPr>
            <w:r>
              <w:t>2,000</w:t>
            </w:r>
          </w:p>
        </w:tc>
        <w:tc>
          <w:tcPr>
            <w:tcW w:w="1654" w:type="dxa"/>
            <w:tcBorders>
              <w:top w:val="nil"/>
              <w:bottom w:val="single" w:sz="4" w:space="0" w:color="auto"/>
            </w:tcBorders>
            <w:tcMar>
              <w:left w:w="115" w:type="dxa"/>
              <w:right w:w="360" w:type="dxa"/>
            </w:tcMar>
          </w:tcPr>
          <w:p w14:paraId="3129821F" w14:textId="77777777" w:rsidR="00CF2D46" w:rsidRPr="00930A88" w:rsidRDefault="00CF2D46" w:rsidP="00C85839">
            <w:pPr>
              <w:pStyle w:val="TableText"/>
              <w:tabs>
                <w:tab w:val="decimal" w:pos="877"/>
              </w:tabs>
            </w:pPr>
            <w:r>
              <w:t>27,200</w:t>
            </w:r>
          </w:p>
        </w:tc>
        <w:tc>
          <w:tcPr>
            <w:tcW w:w="1654" w:type="dxa"/>
            <w:tcBorders>
              <w:top w:val="nil"/>
              <w:bottom w:val="single" w:sz="4" w:space="0" w:color="auto"/>
            </w:tcBorders>
            <w:tcMar>
              <w:left w:w="115" w:type="dxa"/>
              <w:right w:w="360" w:type="dxa"/>
            </w:tcMar>
          </w:tcPr>
          <w:p w14:paraId="2071BA60" w14:textId="77777777" w:rsidR="00CF2D46" w:rsidRPr="00930A88" w:rsidRDefault="00CF2D46" w:rsidP="00C85839">
            <w:pPr>
              <w:pStyle w:val="TableText"/>
              <w:tabs>
                <w:tab w:val="decimal" w:pos="877"/>
              </w:tabs>
            </w:pPr>
            <w:r>
              <w:t>29,200</w:t>
            </w:r>
          </w:p>
        </w:tc>
      </w:tr>
      <w:tr w:rsidR="00CF2D46" w:rsidRPr="00930A88" w14:paraId="4C35FE7C" w14:textId="77777777" w:rsidTr="00A02757">
        <w:trPr>
          <w:cantSplit/>
        </w:trPr>
        <w:tc>
          <w:tcPr>
            <w:tcW w:w="4111" w:type="dxa"/>
            <w:tcBorders>
              <w:top w:val="single" w:sz="4" w:space="0" w:color="auto"/>
              <w:right w:val="single" w:sz="4" w:space="0" w:color="auto"/>
            </w:tcBorders>
          </w:tcPr>
          <w:p w14:paraId="33DA1C6E" w14:textId="77777777" w:rsidR="00CF2D46" w:rsidRPr="000D4656" w:rsidRDefault="00CF2D46" w:rsidP="00A02757">
            <w:pPr>
              <w:pStyle w:val="TableText"/>
            </w:pPr>
            <w:r w:rsidRPr="000D4656">
              <w:t>Total</w:t>
            </w:r>
          </w:p>
        </w:tc>
        <w:tc>
          <w:tcPr>
            <w:tcW w:w="1653" w:type="dxa"/>
            <w:tcBorders>
              <w:top w:val="single" w:sz="4" w:space="0" w:color="auto"/>
              <w:left w:val="single" w:sz="4" w:space="0" w:color="auto"/>
              <w:bottom w:val="single" w:sz="4" w:space="0" w:color="auto"/>
            </w:tcBorders>
            <w:tcMar>
              <w:left w:w="115" w:type="dxa"/>
              <w:right w:w="360" w:type="dxa"/>
            </w:tcMar>
          </w:tcPr>
          <w:p w14:paraId="51817C8E" w14:textId="77777777" w:rsidR="00CF2D46" w:rsidRPr="000D4656" w:rsidRDefault="00CF2D46" w:rsidP="00C85839">
            <w:pPr>
              <w:pStyle w:val="TableText"/>
              <w:tabs>
                <w:tab w:val="decimal" w:pos="877"/>
              </w:tabs>
            </w:pPr>
            <w:r>
              <w:t>29,900</w:t>
            </w:r>
          </w:p>
        </w:tc>
        <w:tc>
          <w:tcPr>
            <w:tcW w:w="1654" w:type="dxa"/>
            <w:tcBorders>
              <w:top w:val="single" w:sz="4" w:space="0" w:color="auto"/>
              <w:bottom w:val="single" w:sz="4" w:space="0" w:color="auto"/>
            </w:tcBorders>
            <w:tcMar>
              <w:left w:w="115" w:type="dxa"/>
              <w:right w:w="360" w:type="dxa"/>
            </w:tcMar>
          </w:tcPr>
          <w:p w14:paraId="6F943032" w14:textId="77777777" w:rsidR="00CF2D46" w:rsidRPr="000D4656" w:rsidRDefault="00CF2D46" w:rsidP="00C85839">
            <w:pPr>
              <w:pStyle w:val="TableText"/>
              <w:tabs>
                <w:tab w:val="decimal" w:pos="877"/>
              </w:tabs>
            </w:pPr>
            <w:r>
              <w:t>358,100</w:t>
            </w:r>
          </w:p>
        </w:tc>
        <w:tc>
          <w:tcPr>
            <w:tcW w:w="1654" w:type="dxa"/>
            <w:tcBorders>
              <w:top w:val="single" w:sz="4" w:space="0" w:color="auto"/>
              <w:bottom w:val="single" w:sz="4" w:space="0" w:color="auto"/>
            </w:tcBorders>
            <w:tcMar>
              <w:left w:w="115" w:type="dxa"/>
              <w:right w:w="360" w:type="dxa"/>
            </w:tcMar>
          </w:tcPr>
          <w:p w14:paraId="2309DB7D" w14:textId="77777777" w:rsidR="00CF2D46" w:rsidRPr="000D4656" w:rsidRDefault="00CF2D46" w:rsidP="00C85839">
            <w:pPr>
              <w:pStyle w:val="TableText"/>
              <w:tabs>
                <w:tab w:val="decimal" w:pos="877"/>
              </w:tabs>
            </w:pPr>
            <w:r>
              <w:t>388,000</w:t>
            </w:r>
          </w:p>
        </w:tc>
      </w:tr>
    </w:tbl>
    <w:p w14:paraId="4E70BE1A" w14:textId="77777777" w:rsidR="00CF2D46" w:rsidRDefault="00CF2D46" w:rsidP="00C85839">
      <w:r>
        <w:t xml:space="preserve">Table 2 suggests that there were approximately 388,000 individual illicit drug users in 2012/13. This figure is derived directly from the Health Survey results. The number of users in each of the drug groups sums to a total of 532,600 users. This indicates that 37% of all users are </w:t>
      </w:r>
      <w:proofErr w:type="spellStart"/>
      <w:r>
        <w:t>polydrug</w:t>
      </w:r>
      <w:proofErr w:type="spellEnd"/>
      <w:r>
        <w:t xml:space="preserve"> users. For our purposes, a </w:t>
      </w:r>
      <w:proofErr w:type="spellStart"/>
      <w:r>
        <w:t>polydrug</w:t>
      </w:r>
      <w:proofErr w:type="spellEnd"/>
      <w:r>
        <w:t xml:space="preserve"> user was one who used drugs across the various drug groups. Users who used a number of different drugs within a group (e.g. both heroin and </w:t>
      </w:r>
      <w:proofErr w:type="spellStart"/>
      <w:r>
        <w:t>homebake</w:t>
      </w:r>
      <w:proofErr w:type="spellEnd"/>
      <w:r>
        <w:t xml:space="preserve">) were not considered </w:t>
      </w:r>
      <w:proofErr w:type="spellStart"/>
      <w:r>
        <w:t>polydrug</w:t>
      </w:r>
      <w:proofErr w:type="spellEnd"/>
      <w:r>
        <w:t xml:space="preserve"> users.</w:t>
      </w:r>
    </w:p>
    <w:p w14:paraId="5639CA3B" w14:textId="77777777" w:rsidR="00CF2D46" w:rsidRDefault="00CF2D46" w:rsidP="00C85839">
      <w:r>
        <w:t xml:space="preserve">It should be noted that the estimated proportion of </w:t>
      </w:r>
      <w:proofErr w:type="spellStart"/>
      <w:r>
        <w:t>polydrug</w:t>
      </w:r>
      <w:proofErr w:type="spellEnd"/>
      <w:r>
        <w:t xml:space="preserve"> users is, in fact, a ceiling based on an assumption that </w:t>
      </w:r>
      <w:proofErr w:type="spellStart"/>
      <w:r>
        <w:t>polydrug</w:t>
      </w:r>
      <w:proofErr w:type="spellEnd"/>
      <w:r>
        <w:t xml:space="preserve"> use is limited to use across two drug categories. This is almost certainly not the case; where an individual used three or more drug groups, the proportion of individual </w:t>
      </w:r>
      <w:proofErr w:type="spellStart"/>
      <w:r>
        <w:t>polydrug</w:t>
      </w:r>
      <w:proofErr w:type="spellEnd"/>
      <w:r>
        <w:t xml:space="preserve"> users would be less. There was insufficient data available to make an accurate assessment of the actual proportion of individual </w:t>
      </w:r>
      <w:proofErr w:type="spellStart"/>
      <w:r>
        <w:t>polydrug</w:t>
      </w:r>
      <w:proofErr w:type="spellEnd"/>
      <w:r>
        <w:t xml:space="preserve"> users.</w:t>
      </w:r>
    </w:p>
    <w:p w14:paraId="02100AA9" w14:textId="77777777" w:rsidR="00CF2D46" w:rsidRDefault="00CF2D46" w:rsidP="00C85839">
      <w:r>
        <w:t xml:space="preserve">The following insert illustrates some of the issues relating to </w:t>
      </w:r>
      <w:proofErr w:type="spellStart"/>
      <w:r>
        <w:t>polydrug</w:t>
      </w:r>
      <w:proofErr w:type="spellEnd"/>
      <w:r>
        <w:t xml:space="preserve"> use.</w:t>
      </w:r>
    </w:p>
    <w:p w14:paraId="3C75A4F9" w14:textId="77777777" w:rsidR="00CF2D46" w:rsidRPr="00C85839" w:rsidRDefault="00CF2D46" w:rsidP="00C85839">
      <w:pPr>
        <w:pStyle w:val="Box"/>
        <w:rPr>
          <w:b/>
        </w:rPr>
      </w:pPr>
      <w:r w:rsidRPr="00C85839">
        <w:rPr>
          <w:b/>
        </w:rPr>
        <w:t>INSERT 3.</w:t>
      </w:r>
    </w:p>
    <w:p w14:paraId="0846CB6A" w14:textId="77777777" w:rsidR="00990768" w:rsidRDefault="00CF2D46" w:rsidP="00C85839">
      <w:pPr>
        <w:pStyle w:val="Box"/>
      </w:pPr>
      <w:r w:rsidRPr="008135FE">
        <w:t xml:space="preserve">Anecdotally, it would appear that dependent users are likely to be tagged as </w:t>
      </w:r>
      <w:r>
        <w:t xml:space="preserve">probable </w:t>
      </w:r>
      <w:proofErr w:type="spellStart"/>
      <w:r w:rsidRPr="008135FE">
        <w:t>polydrug</w:t>
      </w:r>
      <w:proofErr w:type="spellEnd"/>
      <w:r w:rsidRPr="008135FE">
        <w:t xml:space="preserve"> users. The results </w:t>
      </w:r>
      <w:r>
        <w:t xml:space="preserve">here </w:t>
      </w:r>
      <w:r w:rsidRPr="008135FE">
        <w:t>suggest the opposite</w:t>
      </w:r>
      <w:r>
        <w:t>,</w:t>
      </w:r>
      <w:r w:rsidRPr="008135FE">
        <w:t xml:space="preserve"> with 50% of casual users estimated as </w:t>
      </w:r>
      <w:proofErr w:type="spellStart"/>
      <w:r w:rsidRPr="008135FE">
        <w:t>polydrug</w:t>
      </w:r>
      <w:proofErr w:type="spellEnd"/>
      <w:r w:rsidRPr="008135FE">
        <w:t xml:space="preserve"> users compared to 11% of dependent users. </w:t>
      </w:r>
      <w:r>
        <w:t xml:space="preserve">It is not clear whether this is related to the methodology used or whether it is a genuine finding. If this finding is confirmed by other studies, it has implications for our approach to </w:t>
      </w:r>
      <w:proofErr w:type="spellStart"/>
      <w:r>
        <w:t>polydrug</w:t>
      </w:r>
      <w:proofErr w:type="spellEnd"/>
      <w:r>
        <w:t xml:space="preserve"> use.</w:t>
      </w:r>
    </w:p>
    <w:p w14:paraId="1EF65BA8" w14:textId="77777777" w:rsidR="00CF2D46" w:rsidRPr="00930A88" w:rsidRDefault="00CF2D46" w:rsidP="00935BD9">
      <w:pPr>
        <w:pStyle w:val="Heading2"/>
        <w:rPr>
          <w:lang w:eastAsia="en-AU"/>
        </w:rPr>
      </w:pPr>
      <w:bookmarkStart w:id="22" w:name="_Toc444941792"/>
      <w:r w:rsidRPr="00930A88">
        <w:rPr>
          <w:lang w:eastAsia="en-AU"/>
        </w:rPr>
        <w:t>Illicit drug consumption in New Zealand</w:t>
      </w:r>
      <w:bookmarkEnd w:id="22"/>
    </w:p>
    <w:p w14:paraId="6C26EDB5" w14:textId="77777777" w:rsidR="00990768" w:rsidRDefault="00CF2D46" w:rsidP="00935BD9">
      <w:r>
        <w:rPr>
          <w:lang w:eastAsia="en-AU"/>
        </w:rPr>
        <w:t xml:space="preserve">Drug consumption is even more difficult to estimate than the number of users. While the composition and purity of some drugs are relatively stable, this is not always the case. This is especially true of the </w:t>
      </w:r>
      <w:r w:rsidR="00990768">
        <w:rPr>
          <w:lang w:eastAsia="en-AU"/>
        </w:rPr>
        <w:t>‘</w:t>
      </w:r>
      <w:r>
        <w:rPr>
          <w:lang w:eastAsia="en-AU"/>
        </w:rPr>
        <w:t>party drugs</w:t>
      </w:r>
      <w:r w:rsidR="00990768">
        <w:rPr>
          <w:lang w:eastAsia="en-AU"/>
        </w:rPr>
        <w:t>’</w:t>
      </w:r>
      <w:r>
        <w:rPr>
          <w:lang w:eastAsia="en-AU"/>
        </w:rPr>
        <w:t xml:space="preserve"> where, for example, a drug labelled </w:t>
      </w:r>
      <w:r w:rsidR="00990768">
        <w:rPr>
          <w:lang w:eastAsia="en-AU"/>
        </w:rPr>
        <w:t>‘</w:t>
      </w:r>
      <w:r>
        <w:rPr>
          <w:lang w:eastAsia="en-AU"/>
        </w:rPr>
        <w:t>Ecstasy</w:t>
      </w:r>
      <w:r w:rsidR="00990768">
        <w:rPr>
          <w:lang w:eastAsia="en-AU"/>
        </w:rPr>
        <w:t>’</w:t>
      </w:r>
      <w:r>
        <w:rPr>
          <w:lang w:eastAsia="en-AU"/>
        </w:rPr>
        <w:t xml:space="preserve"> may in fact contain very little MDMA. The strength and components of the amphetamines are also known to vary. To maintain consistency with the previous version of the DHI, estimates of the typical amount consumed per occasion of use were adopted from that report (Slack et al, 2008). It should be noted that the current report uses a wider group of specific drug types than the 2008 report. Where drugs had a natural affinity, estimates of average consumption were shared. </w:t>
      </w:r>
      <w:r w:rsidRPr="00930A88">
        <w:t xml:space="preserve">A complete description of the calculations and source data </w:t>
      </w:r>
      <w:r>
        <w:t>is</w:t>
      </w:r>
      <w:r w:rsidRPr="00930A88">
        <w:t xml:space="preserve"> provided in Attachment A.</w:t>
      </w:r>
    </w:p>
    <w:p w14:paraId="2C7A2301" w14:textId="67066FA9" w:rsidR="00CF2D46" w:rsidRDefault="00CF2D46" w:rsidP="00935BD9">
      <w:pPr>
        <w:rPr>
          <w:lang w:eastAsia="en-AU"/>
        </w:rPr>
      </w:pPr>
      <w:r>
        <w:t xml:space="preserve">The results of this analysis are provided in Tables 3 and 4. The results for cannabinoids apply to dry-leaf equivalent and for other drugs to the pure component, as per Slack et al (2008). Again, amounts have been rounded to avoid the impression of a highly accurate estimate. Table 3 has been rounded to the nearest ten except for hallucinogenic </w:t>
      </w:r>
      <w:r w:rsidR="00935BD9">
        <w:t>and</w:t>
      </w:r>
      <w:r>
        <w:t xml:space="preserve"> psychedelic drugs, where the actual estimate is shown. Estimates for this group are influenced by the fact that the psychoactive content of a dose is typically small compared to other drugs.</w:t>
      </w:r>
    </w:p>
    <w:p w14:paraId="649DA6B7" w14:textId="77777777" w:rsidR="00CF2D46" w:rsidRPr="00930A88" w:rsidRDefault="00CF2D46" w:rsidP="00935BD9">
      <w:pPr>
        <w:pStyle w:val="Table"/>
      </w:pPr>
      <w:bookmarkStart w:id="23" w:name="_Toc444941844"/>
      <w:r>
        <w:t xml:space="preserve">Table 3. </w:t>
      </w:r>
      <w:r w:rsidRPr="00930A88">
        <w:t>Drug</w:t>
      </w:r>
      <w:r>
        <w:t xml:space="preserve"> group</w:t>
      </w:r>
      <w:r w:rsidRPr="00930A88">
        <w:t xml:space="preserve">, </w:t>
      </w:r>
      <w:r>
        <w:t>user type and total amount consumed</w:t>
      </w:r>
      <w:bookmarkEnd w:id="23"/>
    </w:p>
    <w:tbl>
      <w:tblPr>
        <w:tblStyle w:val="TableGrid"/>
        <w:tblW w:w="0" w:type="auto"/>
        <w:tblInd w:w="108" w:type="dxa"/>
        <w:tblBorders>
          <w:insideH w:val="none" w:sz="0" w:space="0" w:color="auto"/>
          <w:insideV w:val="none" w:sz="0" w:space="0" w:color="auto"/>
        </w:tblBorders>
        <w:tblLayout w:type="fixed"/>
        <w:tblLook w:val="04A0" w:firstRow="1" w:lastRow="0" w:firstColumn="1" w:lastColumn="0" w:noHBand="0" w:noVBand="1"/>
      </w:tblPr>
      <w:tblGrid>
        <w:gridCol w:w="4390"/>
        <w:gridCol w:w="1706"/>
        <w:gridCol w:w="1488"/>
        <w:gridCol w:w="1488"/>
      </w:tblGrid>
      <w:tr w:rsidR="00CF2D46" w:rsidRPr="00935BD9" w14:paraId="1EA98302" w14:textId="77777777" w:rsidTr="00935BD9">
        <w:trPr>
          <w:cantSplit/>
        </w:trPr>
        <w:tc>
          <w:tcPr>
            <w:tcW w:w="4390" w:type="dxa"/>
            <w:vMerge w:val="restart"/>
            <w:tcBorders>
              <w:top w:val="single" w:sz="4" w:space="0" w:color="auto"/>
              <w:bottom w:val="nil"/>
              <w:right w:val="single" w:sz="4" w:space="0" w:color="auto"/>
            </w:tcBorders>
          </w:tcPr>
          <w:p w14:paraId="0F11B404" w14:textId="77777777" w:rsidR="00CF2D46" w:rsidRPr="00935BD9" w:rsidRDefault="00CF2D46" w:rsidP="00935BD9">
            <w:pPr>
              <w:pStyle w:val="TableText"/>
              <w:rPr>
                <w:b/>
              </w:rPr>
            </w:pPr>
            <w:r w:rsidRPr="00935BD9">
              <w:rPr>
                <w:b/>
              </w:rPr>
              <w:t>Drug group</w:t>
            </w:r>
          </w:p>
        </w:tc>
        <w:tc>
          <w:tcPr>
            <w:tcW w:w="4682" w:type="dxa"/>
            <w:gridSpan w:val="3"/>
            <w:tcBorders>
              <w:top w:val="single" w:sz="4" w:space="0" w:color="auto"/>
              <w:left w:val="single" w:sz="4" w:space="0" w:color="auto"/>
              <w:bottom w:val="nil"/>
            </w:tcBorders>
          </w:tcPr>
          <w:p w14:paraId="3533C8C2" w14:textId="77777777" w:rsidR="00CF2D46" w:rsidRPr="00935BD9" w:rsidRDefault="00CF2D46" w:rsidP="00935BD9">
            <w:pPr>
              <w:pStyle w:val="TableText"/>
              <w:jc w:val="center"/>
              <w:rPr>
                <w:b/>
              </w:rPr>
            </w:pPr>
            <w:r w:rsidRPr="00935BD9">
              <w:rPr>
                <w:b/>
              </w:rPr>
              <w:t>Total kilograms consumed per year</w:t>
            </w:r>
          </w:p>
        </w:tc>
      </w:tr>
      <w:tr w:rsidR="00CF2D46" w:rsidRPr="00935BD9" w14:paraId="550D609B" w14:textId="77777777" w:rsidTr="00935BD9">
        <w:trPr>
          <w:cantSplit/>
        </w:trPr>
        <w:tc>
          <w:tcPr>
            <w:tcW w:w="4390" w:type="dxa"/>
            <w:vMerge/>
            <w:tcBorders>
              <w:top w:val="nil"/>
              <w:bottom w:val="single" w:sz="4" w:space="0" w:color="auto"/>
              <w:right w:val="single" w:sz="4" w:space="0" w:color="auto"/>
            </w:tcBorders>
          </w:tcPr>
          <w:p w14:paraId="6813B6F8" w14:textId="77777777" w:rsidR="00CF2D46" w:rsidRPr="00935BD9" w:rsidRDefault="00CF2D46" w:rsidP="00935BD9">
            <w:pPr>
              <w:pStyle w:val="TableText"/>
              <w:rPr>
                <w:b/>
              </w:rPr>
            </w:pPr>
          </w:p>
        </w:tc>
        <w:tc>
          <w:tcPr>
            <w:tcW w:w="1706" w:type="dxa"/>
            <w:tcBorders>
              <w:top w:val="nil"/>
              <w:left w:val="single" w:sz="4" w:space="0" w:color="auto"/>
              <w:bottom w:val="single" w:sz="4" w:space="0" w:color="auto"/>
            </w:tcBorders>
            <w:tcMar>
              <w:left w:w="115" w:type="dxa"/>
              <w:right w:w="432" w:type="dxa"/>
            </w:tcMar>
          </w:tcPr>
          <w:p w14:paraId="575F40BA" w14:textId="77777777" w:rsidR="00CF2D46" w:rsidRPr="00935BD9" w:rsidRDefault="00CF2D46" w:rsidP="00935BD9">
            <w:pPr>
              <w:pStyle w:val="TableText"/>
              <w:spacing w:before="0"/>
              <w:jc w:val="center"/>
              <w:rPr>
                <w:b/>
              </w:rPr>
            </w:pPr>
            <w:r w:rsidRPr="00935BD9">
              <w:rPr>
                <w:b/>
              </w:rPr>
              <w:t>Dependent users</w:t>
            </w:r>
          </w:p>
        </w:tc>
        <w:tc>
          <w:tcPr>
            <w:tcW w:w="1488" w:type="dxa"/>
            <w:tcBorders>
              <w:top w:val="nil"/>
              <w:bottom w:val="single" w:sz="4" w:space="0" w:color="auto"/>
            </w:tcBorders>
            <w:tcMar>
              <w:left w:w="115" w:type="dxa"/>
              <w:right w:w="432" w:type="dxa"/>
            </w:tcMar>
          </w:tcPr>
          <w:p w14:paraId="7C430A57" w14:textId="77777777" w:rsidR="00CF2D46" w:rsidRPr="00935BD9" w:rsidRDefault="00CF2D46" w:rsidP="00935BD9">
            <w:pPr>
              <w:pStyle w:val="TableText"/>
              <w:spacing w:before="0"/>
              <w:jc w:val="center"/>
              <w:rPr>
                <w:b/>
              </w:rPr>
            </w:pPr>
            <w:r w:rsidRPr="00935BD9">
              <w:rPr>
                <w:b/>
              </w:rPr>
              <w:t>Casual users</w:t>
            </w:r>
          </w:p>
        </w:tc>
        <w:tc>
          <w:tcPr>
            <w:tcW w:w="1488" w:type="dxa"/>
            <w:tcBorders>
              <w:top w:val="nil"/>
              <w:bottom w:val="single" w:sz="4" w:space="0" w:color="auto"/>
            </w:tcBorders>
            <w:tcMar>
              <w:left w:w="115" w:type="dxa"/>
              <w:right w:w="432" w:type="dxa"/>
            </w:tcMar>
          </w:tcPr>
          <w:p w14:paraId="32F0A597" w14:textId="77777777" w:rsidR="00CF2D46" w:rsidRPr="00935BD9" w:rsidRDefault="00CF2D46" w:rsidP="00935BD9">
            <w:pPr>
              <w:pStyle w:val="TableText"/>
              <w:spacing w:before="0"/>
              <w:jc w:val="center"/>
              <w:rPr>
                <w:b/>
              </w:rPr>
            </w:pPr>
            <w:r w:rsidRPr="00935BD9">
              <w:rPr>
                <w:b/>
              </w:rPr>
              <w:t>All users</w:t>
            </w:r>
          </w:p>
        </w:tc>
      </w:tr>
      <w:tr w:rsidR="00CF2D46" w:rsidRPr="00930A88" w14:paraId="6E031C87" w14:textId="77777777" w:rsidTr="00935BD9">
        <w:trPr>
          <w:cantSplit/>
        </w:trPr>
        <w:tc>
          <w:tcPr>
            <w:tcW w:w="4390" w:type="dxa"/>
            <w:tcBorders>
              <w:top w:val="single" w:sz="4" w:space="0" w:color="auto"/>
              <w:right w:val="single" w:sz="4" w:space="0" w:color="auto"/>
            </w:tcBorders>
          </w:tcPr>
          <w:p w14:paraId="7D3FF079" w14:textId="77777777" w:rsidR="00CF2D46" w:rsidRPr="00930A88" w:rsidRDefault="00CF2D46" w:rsidP="00935BD9">
            <w:pPr>
              <w:pStyle w:val="TableText"/>
            </w:pPr>
            <w:r>
              <w:t>Amphetamine-type stimulants</w:t>
            </w:r>
          </w:p>
        </w:tc>
        <w:tc>
          <w:tcPr>
            <w:tcW w:w="1706" w:type="dxa"/>
            <w:tcBorders>
              <w:top w:val="single" w:sz="4" w:space="0" w:color="auto"/>
              <w:left w:val="single" w:sz="4" w:space="0" w:color="auto"/>
              <w:bottom w:val="nil"/>
            </w:tcBorders>
            <w:tcMar>
              <w:left w:w="115" w:type="dxa"/>
              <w:right w:w="360" w:type="dxa"/>
            </w:tcMar>
          </w:tcPr>
          <w:p w14:paraId="18F94DD1" w14:textId="77777777" w:rsidR="00CF2D46" w:rsidRPr="00930A88" w:rsidRDefault="00CF2D46" w:rsidP="00935BD9">
            <w:pPr>
              <w:pStyle w:val="TableText"/>
              <w:tabs>
                <w:tab w:val="decimal" w:pos="882"/>
              </w:tabs>
            </w:pPr>
            <w:r>
              <w:t>130</w:t>
            </w:r>
          </w:p>
        </w:tc>
        <w:tc>
          <w:tcPr>
            <w:tcW w:w="1488" w:type="dxa"/>
            <w:tcBorders>
              <w:top w:val="single" w:sz="4" w:space="0" w:color="auto"/>
              <w:bottom w:val="nil"/>
            </w:tcBorders>
            <w:tcMar>
              <w:left w:w="115" w:type="dxa"/>
              <w:right w:w="360" w:type="dxa"/>
            </w:tcMar>
          </w:tcPr>
          <w:p w14:paraId="2F2B0825" w14:textId="77777777" w:rsidR="00CF2D46" w:rsidRPr="00930A88" w:rsidRDefault="00CF2D46" w:rsidP="00935BD9">
            <w:pPr>
              <w:pStyle w:val="TableText"/>
              <w:tabs>
                <w:tab w:val="decimal" w:pos="735"/>
              </w:tabs>
            </w:pPr>
            <w:r>
              <w:t>160</w:t>
            </w:r>
          </w:p>
        </w:tc>
        <w:tc>
          <w:tcPr>
            <w:tcW w:w="1488" w:type="dxa"/>
            <w:tcBorders>
              <w:top w:val="single" w:sz="4" w:space="0" w:color="auto"/>
              <w:bottom w:val="nil"/>
            </w:tcBorders>
            <w:tcMar>
              <w:left w:w="115" w:type="dxa"/>
              <w:right w:w="360" w:type="dxa"/>
            </w:tcMar>
          </w:tcPr>
          <w:p w14:paraId="20E43648" w14:textId="77777777" w:rsidR="00CF2D46" w:rsidRPr="00930A88" w:rsidRDefault="00CF2D46" w:rsidP="00935BD9">
            <w:pPr>
              <w:pStyle w:val="TableText"/>
              <w:tabs>
                <w:tab w:val="decimal" w:pos="735"/>
              </w:tabs>
            </w:pPr>
            <w:r>
              <w:t>290</w:t>
            </w:r>
          </w:p>
        </w:tc>
      </w:tr>
      <w:tr w:rsidR="00CF2D46" w:rsidRPr="00930A88" w14:paraId="540D0514" w14:textId="77777777" w:rsidTr="00935BD9">
        <w:trPr>
          <w:cantSplit/>
        </w:trPr>
        <w:tc>
          <w:tcPr>
            <w:tcW w:w="4390" w:type="dxa"/>
            <w:tcBorders>
              <w:right w:val="single" w:sz="4" w:space="0" w:color="auto"/>
            </w:tcBorders>
          </w:tcPr>
          <w:p w14:paraId="086A65FA" w14:textId="77777777" w:rsidR="00CF2D46" w:rsidRDefault="00CF2D46" w:rsidP="00935BD9">
            <w:pPr>
              <w:pStyle w:val="TableText"/>
            </w:pPr>
            <w:r>
              <w:t>Cannabinoids*</w:t>
            </w:r>
          </w:p>
        </w:tc>
        <w:tc>
          <w:tcPr>
            <w:tcW w:w="1706" w:type="dxa"/>
            <w:tcBorders>
              <w:top w:val="nil"/>
              <w:left w:val="single" w:sz="4" w:space="0" w:color="auto"/>
              <w:bottom w:val="nil"/>
            </w:tcBorders>
            <w:tcMar>
              <w:left w:w="115" w:type="dxa"/>
              <w:right w:w="360" w:type="dxa"/>
            </w:tcMar>
          </w:tcPr>
          <w:p w14:paraId="74D6CFE7" w14:textId="77777777" w:rsidR="00CF2D46" w:rsidRPr="00930A88" w:rsidRDefault="00CF2D46" w:rsidP="00935BD9">
            <w:pPr>
              <w:pStyle w:val="TableText"/>
              <w:tabs>
                <w:tab w:val="decimal" w:pos="882"/>
              </w:tabs>
            </w:pPr>
            <w:r>
              <w:t>16,190</w:t>
            </w:r>
          </w:p>
        </w:tc>
        <w:tc>
          <w:tcPr>
            <w:tcW w:w="1488" w:type="dxa"/>
            <w:tcBorders>
              <w:top w:val="nil"/>
              <w:bottom w:val="nil"/>
            </w:tcBorders>
            <w:tcMar>
              <w:left w:w="115" w:type="dxa"/>
              <w:right w:w="360" w:type="dxa"/>
            </w:tcMar>
          </w:tcPr>
          <w:p w14:paraId="6FF2D7F0" w14:textId="77777777" w:rsidR="00CF2D46" w:rsidRPr="00930A88" w:rsidRDefault="00CF2D46" w:rsidP="00935BD9">
            <w:pPr>
              <w:pStyle w:val="TableText"/>
              <w:tabs>
                <w:tab w:val="decimal" w:pos="735"/>
              </w:tabs>
            </w:pPr>
            <w:r>
              <w:t>11,260</w:t>
            </w:r>
          </w:p>
        </w:tc>
        <w:tc>
          <w:tcPr>
            <w:tcW w:w="1488" w:type="dxa"/>
            <w:tcBorders>
              <w:top w:val="nil"/>
              <w:bottom w:val="nil"/>
            </w:tcBorders>
            <w:tcMar>
              <w:left w:w="115" w:type="dxa"/>
              <w:right w:w="360" w:type="dxa"/>
            </w:tcMar>
          </w:tcPr>
          <w:p w14:paraId="5252F850" w14:textId="77777777" w:rsidR="00CF2D46" w:rsidRPr="00930A88" w:rsidRDefault="00CF2D46" w:rsidP="00935BD9">
            <w:pPr>
              <w:pStyle w:val="TableText"/>
              <w:tabs>
                <w:tab w:val="decimal" w:pos="735"/>
              </w:tabs>
            </w:pPr>
            <w:r>
              <w:t>27,440</w:t>
            </w:r>
          </w:p>
        </w:tc>
      </w:tr>
      <w:tr w:rsidR="00CF2D46" w:rsidRPr="00930A88" w14:paraId="6B06212A" w14:textId="77777777" w:rsidTr="00935BD9">
        <w:trPr>
          <w:cantSplit/>
        </w:trPr>
        <w:tc>
          <w:tcPr>
            <w:tcW w:w="4390" w:type="dxa"/>
            <w:tcBorders>
              <w:right w:val="single" w:sz="4" w:space="0" w:color="auto"/>
            </w:tcBorders>
          </w:tcPr>
          <w:p w14:paraId="1288BF50" w14:textId="7CF682C7" w:rsidR="00CF2D46" w:rsidRPr="00930A88" w:rsidRDefault="00CF2D46">
            <w:pPr>
              <w:pStyle w:val="TableText"/>
            </w:pPr>
            <w:r>
              <w:t xml:space="preserve">Hallucinogenic </w:t>
            </w:r>
            <w:r w:rsidR="00935BD9">
              <w:t>and</w:t>
            </w:r>
            <w:r>
              <w:t xml:space="preserve"> psychedelic drugs</w:t>
            </w:r>
          </w:p>
        </w:tc>
        <w:tc>
          <w:tcPr>
            <w:tcW w:w="1706" w:type="dxa"/>
            <w:tcBorders>
              <w:top w:val="nil"/>
              <w:left w:val="single" w:sz="4" w:space="0" w:color="auto"/>
              <w:bottom w:val="nil"/>
            </w:tcBorders>
            <w:tcMar>
              <w:left w:w="115" w:type="dxa"/>
              <w:right w:w="360" w:type="dxa"/>
            </w:tcMar>
          </w:tcPr>
          <w:p w14:paraId="23201AE2" w14:textId="77777777" w:rsidR="00CF2D46" w:rsidRPr="00930A88" w:rsidRDefault="00CF2D46" w:rsidP="00935BD9">
            <w:pPr>
              <w:pStyle w:val="TableText"/>
              <w:tabs>
                <w:tab w:val="decimal" w:pos="882"/>
              </w:tabs>
            </w:pPr>
            <w:r>
              <w:t>3</w:t>
            </w:r>
          </w:p>
        </w:tc>
        <w:tc>
          <w:tcPr>
            <w:tcW w:w="1488" w:type="dxa"/>
            <w:tcBorders>
              <w:top w:val="nil"/>
              <w:bottom w:val="nil"/>
            </w:tcBorders>
            <w:tcMar>
              <w:left w:w="115" w:type="dxa"/>
              <w:right w:w="360" w:type="dxa"/>
            </w:tcMar>
          </w:tcPr>
          <w:p w14:paraId="21B41A22" w14:textId="77777777" w:rsidR="00CF2D46" w:rsidRPr="00930A88" w:rsidRDefault="00CF2D46" w:rsidP="00935BD9">
            <w:pPr>
              <w:pStyle w:val="TableText"/>
              <w:tabs>
                <w:tab w:val="decimal" w:pos="735"/>
              </w:tabs>
            </w:pPr>
            <w:r>
              <w:t>21</w:t>
            </w:r>
          </w:p>
        </w:tc>
        <w:tc>
          <w:tcPr>
            <w:tcW w:w="1488" w:type="dxa"/>
            <w:tcBorders>
              <w:top w:val="nil"/>
              <w:bottom w:val="nil"/>
            </w:tcBorders>
            <w:tcMar>
              <w:left w:w="115" w:type="dxa"/>
              <w:right w:w="360" w:type="dxa"/>
            </w:tcMar>
          </w:tcPr>
          <w:p w14:paraId="155B4F83" w14:textId="77777777" w:rsidR="00CF2D46" w:rsidRPr="00930A88" w:rsidRDefault="00CF2D46" w:rsidP="00935BD9">
            <w:pPr>
              <w:pStyle w:val="TableText"/>
              <w:tabs>
                <w:tab w:val="decimal" w:pos="735"/>
              </w:tabs>
            </w:pPr>
            <w:r>
              <w:t>24</w:t>
            </w:r>
          </w:p>
        </w:tc>
      </w:tr>
      <w:tr w:rsidR="00CF2D46" w:rsidRPr="00930A88" w14:paraId="6D89C69A" w14:textId="77777777" w:rsidTr="00935BD9">
        <w:trPr>
          <w:cantSplit/>
        </w:trPr>
        <w:tc>
          <w:tcPr>
            <w:tcW w:w="4390" w:type="dxa"/>
            <w:tcBorders>
              <w:right w:val="single" w:sz="4" w:space="0" w:color="auto"/>
            </w:tcBorders>
          </w:tcPr>
          <w:p w14:paraId="65333A86" w14:textId="18040B13" w:rsidR="00CF2D46" w:rsidRPr="00930A88" w:rsidRDefault="00CF2D46">
            <w:pPr>
              <w:pStyle w:val="TableText"/>
            </w:pPr>
            <w:r>
              <w:t xml:space="preserve">Opioid </w:t>
            </w:r>
            <w:r w:rsidR="00935BD9">
              <w:t>and</w:t>
            </w:r>
            <w:r>
              <w:t xml:space="preserve"> sedative drugs</w:t>
            </w:r>
          </w:p>
        </w:tc>
        <w:tc>
          <w:tcPr>
            <w:tcW w:w="1706" w:type="dxa"/>
            <w:tcBorders>
              <w:top w:val="nil"/>
              <w:left w:val="single" w:sz="4" w:space="0" w:color="auto"/>
              <w:bottom w:val="single" w:sz="4" w:space="0" w:color="auto"/>
            </w:tcBorders>
            <w:tcMar>
              <w:left w:w="115" w:type="dxa"/>
              <w:right w:w="360" w:type="dxa"/>
            </w:tcMar>
          </w:tcPr>
          <w:p w14:paraId="795900AA" w14:textId="77777777" w:rsidR="00CF2D46" w:rsidRPr="00930A88" w:rsidRDefault="00CF2D46" w:rsidP="00935BD9">
            <w:pPr>
              <w:pStyle w:val="TableText"/>
              <w:tabs>
                <w:tab w:val="decimal" w:pos="882"/>
              </w:tabs>
            </w:pPr>
            <w:r>
              <w:t>260</w:t>
            </w:r>
          </w:p>
        </w:tc>
        <w:tc>
          <w:tcPr>
            <w:tcW w:w="1488" w:type="dxa"/>
            <w:tcBorders>
              <w:top w:val="nil"/>
              <w:bottom w:val="single" w:sz="4" w:space="0" w:color="auto"/>
            </w:tcBorders>
            <w:tcMar>
              <w:left w:w="115" w:type="dxa"/>
              <w:right w:w="360" w:type="dxa"/>
            </w:tcMar>
          </w:tcPr>
          <w:p w14:paraId="667B7FBA" w14:textId="77777777" w:rsidR="00CF2D46" w:rsidRPr="00930A88" w:rsidRDefault="00CF2D46" w:rsidP="00935BD9">
            <w:pPr>
              <w:pStyle w:val="TableText"/>
              <w:tabs>
                <w:tab w:val="decimal" w:pos="735"/>
              </w:tabs>
            </w:pPr>
            <w:r>
              <w:t>250</w:t>
            </w:r>
          </w:p>
        </w:tc>
        <w:tc>
          <w:tcPr>
            <w:tcW w:w="1488" w:type="dxa"/>
            <w:tcBorders>
              <w:top w:val="nil"/>
              <w:bottom w:val="single" w:sz="4" w:space="0" w:color="auto"/>
            </w:tcBorders>
            <w:tcMar>
              <w:left w:w="115" w:type="dxa"/>
              <w:right w:w="360" w:type="dxa"/>
            </w:tcMar>
          </w:tcPr>
          <w:p w14:paraId="2ADFFA15" w14:textId="77777777" w:rsidR="00CF2D46" w:rsidRPr="00930A88" w:rsidRDefault="00CF2D46" w:rsidP="00935BD9">
            <w:pPr>
              <w:pStyle w:val="TableText"/>
              <w:tabs>
                <w:tab w:val="decimal" w:pos="735"/>
              </w:tabs>
            </w:pPr>
            <w:r>
              <w:t>500</w:t>
            </w:r>
          </w:p>
        </w:tc>
      </w:tr>
    </w:tbl>
    <w:p w14:paraId="5994ED04" w14:textId="77777777" w:rsidR="00CF2D46" w:rsidRPr="00225221" w:rsidRDefault="00CF2D46" w:rsidP="00935BD9">
      <w:pPr>
        <w:pStyle w:val="Note"/>
        <w:rPr>
          <w:lang w:eastAsia="en-AU"/>
        </w:rPr>
      </w:pPr>
      <w:r w:rsidRPr="00225221">
        <w:rPr>
          <w:lang w:eastAsia="en-AU"/>
        </w:rPr>
        <w:t>*</w:t>
      </w:r>
      <w:r w:rsidR="00935BD9">
        <w:rPr>
          <w:lang w:eastAsia="en-AU"/>
        </w:rPr>
        <w:tab/>
      </w:r>
      <w:r w:rsidRPr="00225221">
        <w:rPr>
          <w:lang w:eastAsia="en-AU"/>
        </w:rPr>
        <w:t>Dry-leaf equivalent. All other drug groups report pure component.</w:t>
      </w:r>
    </w:p>
    <w:p w14:paraId="4155A206" w14:textId="77777777" w:rsidR="00CF2D46" w:rsidRPr="00930A88" w:rsidRDefault="00CF2D46" w:rsidP="00935BD9">
      <w:pPr>
        <w:pStyle w:val="Table"/>
      </w:pPr>
      <w:bookmarkStart w:id="24" w:name="_Toc444941845"/>
      <w:r>
        <w:t xml:space="preserve">Table 4. </w:t>
      </w:r>
      <w:r w:rsidRPr="00930A88">
        <w:t>Drug</w:t>
      </w:r>
      <w:r>
        <w:t xml:space="preserve"> group and</w:t>
      </w:r>
      <w:r w:rsidRPr="00930A88">
        <w:t xml:space="preserve"> </w:t>
      </w:r>
      <w:r>
        <w:t>amount consumed per user</w:t>
      </w:r>
      <w:bookmarkEnd w:id="24"/>
    </w:p>
    <w:tbl>
      <w:tblPr>
        <w:tblStyle w:val="TableGrid"/>
        <w:tblW w:w="0" w:type="auto"/>
        <w:tblInd w:w="108" w:type="dxa"/>
        <w:tblBorders>
          <w:insideH w:val="none" w:sz="0" w:space="0" w:color="auto"/>
          <w:insideV w:val="none" w:sz="0" w:space="0" w:color="auto"/>
        </w:tblBorders>
        <w:tblLayout w:type="fixed"/>
        <w:tblLook w:val="04A0" w:firstRow="1" w:lastRow="0" w:firstColumn="1" w:lastColumn="0" w:noHBand="0" w:noVBand="1"/>
      </w:tblPr>
      <w:tblGrid>
        <w:gridCol w:w="4390"/>
        <w:gridCol w:w="1706"/>
        <w:gridCol w:w="1488"/>
        <w:gridCol w:w="1488"/>
      </w:tblGrid>
      <w:tr w:rsidR="00CF2D46" w:rsidRPr="00935BD9" w14:paraId="54B76BDE" w14:textId="77777777" w:rsidTr="00935BD9">
        <w:trPr>
          <w:cantSplit/>
        </w:trPr>
        <w:tc>
          <w:tcPr>
            <w:tcW w:w="4390" w:type="dxa"/>
            <w:vMerge w:val="restart"/>
            <w:tcBorders>
              <w:top w:val="single" w:sz="4" w:space="0" w:color="auto"/>
              <w:bottom w:val="nil"/>
              <w:right w:val="single" w:sz="4" w:space="0" w:color="auto"/>
            </w:tcBorders>
          </w:tcPr>
          <w:p w14:paraId="0D35856B" w14:textId="77777777" w:rsidR="00CF2D46" w:rsidRPr="00935BD9" w:rsidRDefault="00CF2D46" w:rsidP="00935BD9">
            <w:pPr>
              <w:pStyle w:val="TableText"/>
              <w:rPr>
                <w:b/>
              </w:rPr>
            </w:pPr>
            <w:r w:rsidRPr="00935BD9">
              <w:rPr>
                <w:b/>
              </w:rPr>
              <w:t>Drug group</w:t>
            </w:r>
          </w:p>
        </w:tc>
        <w:tc>
          <w:tcPr>
            <w:tcW w:w="4682" w:type="dxa"/>
            <w:gridSpan w:val="3"/>
            <w:tcBorders>
              <w:top w:val="single" w:sz="4" w:space="0" w:color="auto"/>
              <w:left w:val="single" w:sz="4" w:space="0" w:color="auto"/>
              <w:bottom w:val="nil"/>
            </w:tcBorders>
          </w:tcPr>
          <w:p w14:paraId="594C070D" w14:textId="77777777" w:rsidR="00CF2D46" w:rsidRPr="00935BD9" w:rsidRDefault="00CF2D46" w:rsidP="00935BD9">
            <w:pPr>
              <w:pStyle w:val="TableText"/>
              <w:jc w:val="center"/>
              <w:rPr>
                <w:b/>
              </w:rPr>
            </w:pPr>
            <w:r w:rsidRPr="00935BD9">
              <w:rPr>
                <w:b/>
              </w:rPr>
              <w:t>Grams consumed per user per year</w:t>
            </w:r>
          </w:p>
        </w:tc>
      </w:tr>
      <w:tr w:rsidR="00CF2D46" w:rsidRPr="00935BD9" w14:paraId="278698F7" w14:textId="77777777" w:rsidTr="00935BD9">
        <w:trPr>
          <w:cantSplit/>
        </w:trPr>
        <w:tc>
          <w:tcPr>
            <w:tcW w:w="4390" w:type="dxa"/>
            <w:vMerge/>
            <w:tcBorders>
              <w:top w:val="nil"/>
              <w:bottom w:val="single" w:sz="4" w:space="0" w:color="auto"/>
              <w:right w:val="single" w:sz="4" w:space="0" w:color="auto"/>
            </w:tcBorders>
          </w:tcPr>
          <w:p w14:paraId="1BB1FDF1" w14:textId="77777777" w:rsidR="00CF2D46" w:rsidRPr="00935BD9" w:rsidRDefault="00CF2D46" w:rsidP="00935BD9">
            <w:pPr>
              <w:pStyle w:val="TableText"/>
              <w:rPr>
                <w:b/>
              </w:rPr>
            </w:pPr>
          </w:p>
        </w:tc>
        <w:tc>
          <w:tcPr>
            <w:tcW w:w="1706" w:type="dxa"/>
            <w:tcBorders>
              <w:top w:val="nil"/>
              <w:left w:val="single" w:sz="4" w:space="0" w:color="auto"/>
              <w:bottom w:val="single" w:sz="4" w:space="0" w:color="auto"/>
            </w:tcBorders>
            <w:tcMar>
              <w:left w:w="115" w:type="dxa"/>
              <w:right w:w="432" w:type="dxa"/>
            </w:tcMar>
          </w:tcPr>
          <w:p w14:paraId="1667B54F" w14:textId="77777777" w:rsidR="00CF2D46" w:rsidRPr="00935BD9" w:rsidRDefault="00CF2D46" w:rsidP="00935BD9">
            <w:pPr>
              <w:pStyle w:val="TableText"/>
              <w:spacing w:before="0"/>
              <w:jc w:val="center"/>
              <w:rPr>
                <w:b/>
              </w:rPr>
            </w:pPr>
            <w:r w:rsidRPr="00935BD9">
              <w:rPr>
                <w:b/>
              </w:rPr>
              <w:t>Dependent users</w:t>
            </w:r>
          </w:p>
        </w:tc>
        <w:tc>
          <w:tcPr>
            <w:tcW w:w="1488" w:type="dxa"/>
            <w:tcBorders>
              <w:top w:val="nil"/>
              <w:bottom w:val="single" w:sz="4" w:space="0" w:color="auto"/>
            </w:tcBorders>
            <w:tcMar>
              <w:left w:w="115" w:type="dxa"/>
              <w:right w:w="432" w:type="dxa"/>
            </w:tcMar>
          </w:tcPr>
          <w:p w14:paraId="23A3585D" w14:textId="77777777" w:rsidR="00CF2D46" w:rsidRPr="00935BD9" w:rsidRDefault="00CF2D46" w:rsidP="00935BD9">
            <w:pPr>
              <w:pStyle w:val="TableText"/>
              <w:spacing w:before="0"/>
              <w:jc w:val="center"/>
              <w:rPr>
                <w:b/>
              </w:rPr>
            </w:pPr>
            <w:r w:rsidRPr="00935BD9">
              <w:rPr>
                <w:b/>
              </w:rPr>
              <w:t>Casual users</w:t>
            </w:r>
          </w:p>
        </w:tc>
        <w:tc>
          <w:tcPr>
            <w:tcW w:w="1488" w:type="dxa"/>
            <w:tcBorders>
              <w:top w:val="nil"/>
              <w:bottom w:val="single" w:sz="4" w:space="0" w:color="auto"/>
            </w:tcBorders>
            <w:tcMar>
              <w:left w:w="115" w:type="dxa"/>
              <w:right w:w="432" w:type="dxa"/>
            </w:tcMar>
          </w:tcPr>
          <w:p w14:paraId="4C81B842" w14:textId="77777777" w:rsidR="00CF2D46" w:rsidRPr="00935BD9" w:rsidRDefault="00CF2D46" w:rsidP="00935BD9">
            <w:pPr>
              <w:pStyle w:val="TableText"/>
              <w:spacing w:before="0"/>
              <w:jc w:val="center"/>
              <w:rPr>
                <w:b/>
              </w:rPr>
            </w:pPr>
            <w:r w:rsidRPr="00935BD9">
              <w:rPr>
                <w:b/>
              </w:rPr>
              <w:t>All users</w:t>
            </w:r>
          </w:p>
        </w:tc>
      </w:tr>
      <w:tr w:rsidR="00CF2D46" w:rsidRPr="00930A88" w14:paraId="7F158773" w14:textId="77777777" w:rsidTr="00935BD9">
        <w:trPr>
          <w:cantSplit/>
        </w:trPr>
        <w:tc>
          <w:tcPr>
            <w:tcW w:w="4390" w:type="dxa"/>
            <w:tcBorders>
              <w:top w:val="single" w:sz="4" w:space="0" w:color="auto"/>
              <w:right w:val="single" w:sz="4" w:space="0" w:color="auto"/>
            </w:tcBorders>
          </w:tcPr>
          <w:p w14:paraId="71A6FF2A" w14:textId="77777777" w:rsidR="00CF2D46" w:rsidRPr="00930A88" w:rsidRDefault="00CF2D46" w:rsidP="00935BD9">
            <w:pPr>
              <w:pStyle w:val="TableText"/>
            </w:pPr>
            <w:r>
              <w:t>Amphetamine-type stimulants</w:t>
            </w:r>
          </w:p>
        </w:tc>
        <w:tc>
          <w:tcPr>
            <w:tcW w:w="1706" w:type="dxa"/>
            <w:tcBorders>
              <w:top w:val="single" w:sz="4" w:space="0" w:color="auto"/>
              <w:left w:val="single" w:sz="4" w:space="0" w:color="auto"/>
            </w:tcBorders>
            <w:tcMar>
              <w:left w:w="115" w:type="dxa"/>
              <w:right w:w="360" w:type="dxa"/>
            </w:tcMar>
          </w:tcPr>
          <w:p w14:paraId="2E97DA61" w14:textId="77777777" w:rsidR="00CF2D46" w:rsidRPr="00930A88" w:rsidRDefault="00CF2D46" w:rsidP="00935BD9">
            <w:pPr>
              <w:pStyle w:val="TableText"/>
              <w:jc w:val="center"/>
            </w:pPr>
            <w:r>
              <w:t>90</w:t>
            </w:r>
          </w:p>
        </w:tc>
        <w:tc>
          <w:tcPr>
            <w:tcW w:w="1488" w:type="dxa"/>
            <w:tcBorders>
              <w:top w:val="single" w:sz="4" w:space="0" w:color="auto"/>
            </w:tcBorders>
            <w:tcMar>
              <w:left w:w="115" w:type="dxa"/>
              <w:right w:w="360" w:type="dxa"/>
            </w:tcMar>
          </w:tcPr>
          <w:p w14:paraId="12A19947" w14:textId="77777777" w:rsidR="00CF2D46" w:rsidRPr="00930A88" w:rsidRDefault="00CF2D46" w:rsidP="00935BD9">
            <w:pPr>
              <w:pStyle w:val="TableText"/>
              <w:jc w:val="center"/>
            </w:pPr>
            <w:r>
              <w:t>10</w:t>
            </w:r>
          </w:p>
        </w:tc>
        <w:tc>
          <w:tcPr>
            <w:tcW w:w="1488" w:type="dxa"/>
            <w:tcBorders>
              <w:top w:val="single" w:sz="4" w:space="0" w:color="auto"/>
            </w:tcBorders>
            <w:tcMar>
              <w:left w:w="115" w:type="dxa"/>
              <w:right w:w="360" w:type="dxa"/>
            </w:tcMar>
          </w:tcPr>
          <w:p w14:paraId="5C81EAB2" w14:textId="77777777" w:rsidR="00CF2D46" w:rsidRPr="00930A88" w:rsidRDefault="00CF2D46" w:rsidP="00935BD9">
            <w:pPr>
              <w:pStyle w:val="TableText"/>
              <w:jc w:val="center"/>
            </w:pPr>
            <w:r>
              <w:t>10</w:t>
            </w:r>
          </w:p>
        </w:tc>
      </w:tr>
      <w:tr w:rsidR="00CF2D46" w:rsidRPr="00930A88" w14:paraId="55E6D1A1" w14:textId="77777777" w:rsidTr="00935BD9">
        <w:trPr>
          <w:cantSplit/>
        </w:trPr>
        <w:tc>
          <w:tcPr>
            <w:tcW w:w="4390" w:type="dxa"/>
            <w:tcBorders>
              <w:right w:val="single" w:sz="4" w:space="0" w:color="auto"/>
            </w:tcBorders>
          </w:tcPr>
          <w:p w14:paraId="77FA5058" w14:textId="77777777" w:rsidR="00CF2D46" w:rsidRDefault="00CF2D46" w:rsidP="00935BD9">
            <w:pPr>
              <w:pStyle w:val="TableText"/>
            </w:pPr>
            <w:r>
              <w:t>Cannabinoids*</w:t>
            </w:r>
          </w:p>
        </w:tc>
        <w:tc>
          <w:tcPr>
            <w:tcW w:w="1706" w:type="dxa"/>
            <w:tcBorders>
              <w:left w:val="single" w:sz="4" w:space="0" w:color="auto"/>
            </w:tcBorders>
            <w:tcMar>
              <w:left w:w="115" w:type="dxa"/>
              <w:right w:w="360" w:type="dxa"/>
            </w:tcMar>
          </w:tcPr>
          <w:p w14:paraId="58E92CB0" w14:textId="77777777" w:rsidR="00CF2D46" w:rsidRPr="00930A88" w:rsidRDefault="00CF2D46" w:rsidP="00935BD9">
            <w:pPr>
              <w:pStyle w:val="TableText"/>
              <w:jc w:val="center"/>
            </w:pPr>
            <w:r>
              <w:t>620</w:t>
            </w:r>
          </w:p>
        </w:tc>
        <w:tc>
          <w:tcPr>
            <w:tcW w:w="1488" w:type="dxa"/>
            <w:tcMar>
              <w:left w:w="115" w:type="dxa"/>
              <w:right w:w="360" w:type="dxa"/>
            </w:tcMar>
          </w:tcPr>
          <w:p w14:paraId="04644B5C" w14:textId="77777777" w:rsidR="00CF2D46" w:rsidRPr="00930A88" w:rsidRDefault="00CF2D46" w:rsidP="00935BD9">
            <w:pPr>
              <w:pStyle w:val="TableText"/>
              <w:jc w:val="center"/>
            </w:pPr>
            <w:r>
              <w:t>40</w:t>
            </w:r>
          </w:p>
        </w:tc>
        <w:tc>
          <w:tcPr>
            <w:tcW w:w="1488" w:type="dxa"/>
            <w:tcMar>
              <w:left w:w="115" w:type="dxa"/>
              <w:right w:w="360" w:type="dxa"/>
            </w:tcMar>
          </w:tcPr>
          <w:p w14:paraId="16ABBFB9" w14:textId="77777777" w:rsidR="00CF2D46" w:rsidRPr="00930A88" w:rsidRDefault="00CF2D46" w:rsidP="00935BD9">
            <w:pPr>
              <w:pStyle w:val="TableText"/>
              <w:jc w:val="center"/>
            </w:pPr>
            <w:r>
              <w:t>100</w:t>
            </w:r>
          </w:p>
        </w:tc>
      </w:tr>
      <w:tr w:rsidR="00CF2D46" w:rsidRPr="00930A88" w14:paraId="56E38995" w14:textId="77777777" w:rsidTr="00935BD9">
        <w:trPr>
          <w:cantSplit/>
        </w:trPr>
        <w:tc>
          <w:tcPr>
            <w:tcW w:w="4390" w:type="dxa"/>
            <w:tcBorders>
              <w:right w:val="single" w:sz="4" w:space="0" w:color="auto"/>
            </w:tcBorders>
          </w:tcPr>
          <w:p w14:paraId="1304FAE3" w14:textId="6E299843" w:rsidR="00CF2D46" w:rsidRPr="00930A88" w:rsidRDefault="00CF2D46">
            <w:pPr>
              <w:pStyle w:val="TableText"/>
            </w:pPr>
            <w:r>
              <w:t xml:space="preserve">Hallucinogenic </w:t>
            </w:r>
            <w:r w:rsidR="00935BD9">
              <w:t>and</w:t>
            </w:r>
            <w:r>
              <w:t xml:space="preserve"> psychedelic drugs</w:t>
            </w:r>
          </w:p>
        </w:tc>
        <w:tc>
          <w:tcPr>
            <w:tcW w:w="1706" w:type="dxa"/>
            <w:tcBorders>
              <w:left w:val="single" w:sz="4" w:space="0" w:color="auto"/>
            </w:tcBorders>
            <w:tcMar>
              <w:left w:w="115" w:type="dxa"/>
              <w:right w:w="360" w:type="dxa"/>
            </w:tcMar>
          </w:tcPr>
          <w:p w14:paraId="4119916F" w14:textId="77777777" w:rsidR="00CF2D46" w:rsidRPr="00930A88" w:rsidRDefault="00CF2D46" w:rsidP="00935BD9">
            <w:pPr>
              <w:pStyle w:val="TableText"/>
              <w:jc w:val="center"/>
            </w:pPr>
            <w:r>
              <w:t>5.6</w:t>
            </w:r>
          </w:p>
        </w:tc>
        <w:tc>
          <w:tcPr>
            <w:tcW w:w="1488" w:type="dxa"/>
            <w:tcMar>
              <w:left w:w="115" w:type="dxa"/>
              <w:right w:w="360" w:type="dxa"/>
            </w:tcMar>
          </w:tcPr>
          <w:p w14:paraId="0CED274B" w14:textId="77777777" w:rsidR="00CF2D46" w:rsidRPr="00930A88" w:rsidRDefault="00CF2D46" w:rsidP="00935BD9">
            <w:pPr>
              <w:pStyle w:val="TableText"/>
              <w:jc w:val="center"/>
            </w:pPr>
            <w:r>
              <w:t>0.4</w:t>
            </w:r>
          </w:p>
        </w:tc>
        <w:tc>
          <w:tcPr>
            <w:tcW w:w="1488" w:type="dxa"/>
            <w:tcMar>
              <w:left w:w="115" w:type="dxa"/>
              <w:right w:w="360" w:type="dxa"/>
            </w:tcMar>
          </w:tcPr>
          <w:p w14:paraId="0109252B" w14:textId="77777777" w:rsidR="00CF2D46" w:rsidRPr="00930A88" w:rsidRDefault="00CF2D46" w:rsidP="00935BD9">
            <w:pPr>
              <w:pStyle w:val="TableText"/>
              <w:jc w:val="center"/>
            </w:pPr>
            <w:r>
              <w:t>0.4</w:t>
            </w:r>
          </w:p>
        </w:tc>
      </w:tr>
      <w:tr w:rsidR="00CF2D46" w:rsidRPr="00930A88" w14:paraId="7A72F9AF" w14:textId="77777777" w:rsidTr="00935BD9">
        <w:trPr>
          <w:cantSplit/>
        </w:trPr>
        <w:tc>
          <w:tcPr>
            <w:tcW w:w="4390" w:type="dxa"/>
            <w:tcBorders>
              <w:bottom w:val="single" w:sz="4" w:space="0" w:color="auto"/>
              <w:right w:val="single" w:sz="4" w:space="0" w:color="auto"/>
            </w:tcBorders>
          </w:tcPr>
          <w:p w14:paraId="7222045A" w14:textId="4CC343AA" w:rsidR="00CF2D46" w:rsidRPr="00930A88" w:rsidRDefault="00CF2D46">
            <w:pPr>
              <w:pStyle w:val="TableText"/>
            </w:pPr>
            <w:r>
              <w:t xml:space="preserve">Opioid </w:t>
            </w:r>
            <w:r w:rsidR="00935BD9">
              <w:t>and</w:t>
            </w:r>
            <w:r>
              <w:t xml:space="preserve"> sedative drugs</w:t>
            </w:r>
          </w:p>
        </w:tc>
        <w:tc>
          <w:tcPr>
            <w:tcW w:w="1706" w:type="dxa"/>
            <w:tcBorders>
              <w:left w:val="single" w:sz="4" w:space="0" w:color="auto"/>
            </w:tcBorders>
            <w:tcMar>
              <w:left w:w="115" w:type="dxa"/>
              <w:right w:w="360" w:type="dxa"/>
            </w:tcMar>
          </w:tcPr>
          <w:p w14:paraId="1E0DD33A" w14:textId="77777777" w:rsidR="00CF2D46" w:rsidRPr="00930A88" w:rsidRDefault="00CF2D46" w:rsidP="00935BD9">
            <w:pPr>
              <w:pStyle w:val="TableText"/>
              <w:jc w:val="center"/>
            </w:pPr>
            <w:r>
              <w:t>130</w:t>
            </w:r>
          </w:p>
        </w:tc>
        <w:tc>
          <w:tcPr>
            <w:tcW w:w="1488" w:type="dxa"/>
            <w:tcMar>
              <w:left w:w="115" w:type="dxa"/>
              <w:right w:w="360" w:type="dxa"/>
            </w:tcMar>
          </w:tcPr>
          <w:p w14:paraId="136D2C84" w14:textId="77777777" w:rsidR="00CF2D46" w:rsidRPr="00930A88" w:rsidRDefault="00CF2D46" w:rsidP="00935BD9">
            <w:pPr>
              <w:pStyle w:val="TableText"/>
              <w:jc w:val="center"/>
            </w:pPr>
            <w:r>
              <w:t>10</w:t>
            </w:r>
          </w:p>
        </w:tc>
        <w:tc>
          <w:tcPr>
            <w:tcW w:w="1488" w:type="dxa"/>
            <w:tcMar>
              <w:left w:w="115" w:type="dxa"/>
              <w:right w:w="360" w:type="dxa"/>
            </w:tcMar>
          </w:tcPr>
          <w:p w14:paraId="5E5192A0" w14:textId="77777777" w:rsidR="00CF2D46" w:rsidRPr="00930A88" w:rsidRDefault="00CF2D46" w:rsidP="00935BD9">
            <w:pPr>
              <w:pStyle w:val="TableText"/>
              <w:jc w:val="center"/>
            </w:pPr>
            <w:r>
              <w:t>20</w:t>
            </w:r>
          </w:p>
        </w:tc>
      </w:tr>
    </w:tbl>
    <w:p w14:paraId="27E1AE8E" w14:textId="77777777" w:rsidR="00CF2D46" w:rsidRPr="00225221" w:rsidRDefault="00CF2D46" w:rsidP="00935BD9">
      <w:pPr>
        <w:pStyle w:val="Note"/>
        <w:rPr>
          <w:lang w:eastAsia="en-AU"/>
        </w:rPr>
      </w:pPr>
      <w:r w:rsidRPr="00225221">
        <w:rPr>
          <w:lang w:eastAsia="en-AU"/>
        </w:rPr>
        <w:t>*</w:t>
      </w:r>
      <w:r w:rsidR="00935BD9">
        <w:rPr>
          <w:lang w:eastAsia="en-AU"/>
        </w:rPr>
        <w:tab/>
      </w:r>
      <w:r w:rsidRPr="00225221">
        <w:rPr>
          <w:lang w:eastAsia="en-AU"/>
        </w:rPr>
        <w:t>Dry-leaf equivalent. All other drug groups report pure component.</w:t>
      </w:r>
    </w:p>
    <w:p w14:paraId="17F23A5B" w14:textId="7A07BE3A" w:rsidR="00CF2D46" w:rsidRDefault="00CF2D46" w:rsidP="00935BD9">
      <w:pPr>
        <w:rPr>
          <w:lang w:eastAsia="en-AU"/>
        </w:rPr>
      </w:pPr>
      <w:r>
        <w:rPr>
          <w:lang w:eastAsia="en-AU"/>
        </w:rPr>
        <w:t xml:space="preserve">As expected, the cannabinoids were the principal drug group by amount consumed. The total weight of pure stimulants was estimated at 290 kg and of opioids </w:t>
      </w:r>
      <w:r w:rsidR="00935BD9">
        <w:rPr>
          <w:lang w:eastAsia="en-AU"/>
        </w:rPr>
        <w:t>and</w:t>
      </w:r>
      <w:r>
        <w:rPr>
          <w:lang w:eastAsia="en-AU"/>
        </w:rPr>
        <w:t xml:space="preserve"> sedatives at 500 kg. The average consumption per user is given in Table 4, with the same rounding rules as for Table 3.</w:t>
      </w:r>
    </w:p>
    <w:p w14:paraId="42B57473" w14:textId="77777777" w:rsidR="00935BD9" w:rsidRDefault="00935BD9" w:rsidP="00935BD9">
      <w:pPr>
        <w:rPr>
          <w:lang w:eastAsia="en-AU"/>
        </w:rPr>
      </w:pPr>
      <w:r>
        <w:rPr>
          <w:lang w:eastAsia="en-AU"/>
        </w:rPr>
        <w:br w:type="page"/>
      </w:r>
    </w:p>
    <w:p w14:paraId="46412CE1" w14:textId="77777777" w:rsidR="00CF2D46" w:rsidRPr="00930A88" w:rsidRDefault="00CF2D46" w:rsidP="00B82A55">
      <w:pPr>
        <w:pStyle w:val="Heading1"/>
        <w:spacing w:after="240"/>
        <w:rPr>
          <w:lang w:eastAsia="en-AU"/>
        </w:rPr>
      </w:pPr>
      <w:bookmarkStart w:id="25" w:name="_Toc444941793"/>
      <w:r w:rsidRPr="009E716F">
        <w:rPr>
          <w:lang w:eastAsia="en-AU"/>
        </w:rPr>
        <w:t>D</w:t>
      </w:r>
      <w:r w:rsidR="00935BD9">
        <w:rPr>
          <w:lang w:eastAsia="en-AU"/>
        </w:rPr>
        <w:t>rug harm calculations</w:t>
      </w:r>
      <w:bookmarkEnd w:id="25"/>
    </w:p>
    <w:p w14:paraId="4D638A0E" w14:textId="77777777" w:rsidR="00990768" w:rsidRDefault="00CF2D46" w:rsidP="00935BD9">
      <w:r w:rsidRPr="00B2296A">
        <w:rPr>
          <w:color w:val="000000"/>
          <w:lang w:eastAsia="en-AU"/>
        </w:rPr>
        <w:t>Harm calculations were made in relation to the illicit drug groups described in Table 1. As noted</w:t>
      </w:r>
      <w:r>
        <w:rPr>
          <w:color w:val="000000"/>
          <w:lang w:eastAsia="en-AU"/>
        </w:rPr>
        <w:t xml:space="preserve"> previously, h</w:t>
      </w:r>
      <w:r>
        <w:t xml:space="preserve">arms were categorised as </w:t>
      </w:r>
      <w:r w:rsidRPr="00E62C21">
        <w:rPr>
          <w:i/>
        </w:rPr>
        <w:t>personal</w:t>
      </w:r>
      <w:r>
        <w:t xml:space="preserve"> where they related to drug users themselves, and as </w:t>
      </w:r>
      <w:r w:rsidRPr="00E62C21">
        <w:rPr>
          <w:i/>
        </w:rPr>
        <w:t>community</w:t>
      </w:r>
      <w:r>
        <w:t xml:space="preserve"> where they related to the wider New Zealand community. The cost of government attempts to curtail the use of illicit drugs or to moderate their harmful effects was included in </w:t>
      </w:r>
      <w:r w:rsidRPr="00D621A1">
        <w:rPr>
          <w:i/>
        </w:rPr>
        <w:t>intervention</w:t>
      </w:r>
      <w:r>
        <w:t xml:space="preserve"> costs. As mentioned earlier, this classificatory system is introduced here for the first time. The new system is explicit about who suffers harm and what harms they suffer.</w:t>
      </w:r>
    </w:p>
    <w:p w14:paraId="7EB41E83" w14:textId="77777777" w:rsidR="00CF2D46" w:rsidRDefault="00CF2D46" w:rsidP="00B82A55">
      <w:pPr>
        <w:pStyle w:val="Heading2"/>
        <w:spacing w:before="360"/>
        <w:rPr>
          <w:lang w:eastAsia="en-AU"/>
        </w:rPr>
      </w:pPr>
      <w:bookmarkStart w:id="26" w:name="_Toc444941794"/>
      <w:r>
        <w:rPr>
          <w:lang w:eastAsia="en-AU"/>
        </w:rPr>
        <w:t>P</w:t>
      </w:r>
      <w:r w:rsidRPr="00930A88">
        <w:rPr>
          <w:lang w:eastAsia="en-AU"/>
        </w:rPr>
        <w:t xml:space="preserve">ersonal </w:t>
      </w:r>
      <w:r>
        <w:rPr>
          <w:lang w:eastAsia="en-AU"/>
        </w:rPr>
        <w:t>h</w:t>
      </w:r>
      <w:r w:rsidRPr="00930A88">
        <w:rPr>
          <w:lang w:eastAsia="en-AU"/>
        </w:rPr>
        <w:t>arms</w:t>
      </w:r>
      <w:bookmarkEnd w:id="26"/>
    </w:p>
    <w:p w14:paraId="5F038937" w14:textId="77777777" w:rsidR="00990768" w:rsidRDefault="00CF2D46" w:rsidP="00935BD9">
      <w:pPr>
        <w:rPr>
          <w:lang w:eastAsia="en-AU"/>
        </w:rPr>
      </w:pPr>
      <w:r>
        <w:rPr>
          <w:lang w:eastAsia="en-AU"/>
        </w:rPr>
        <w:t>Personal harms included in the report include harms related to premature death and harms related to a reduction in the quality of life resulting from illicit drug use.</w:t>
      </w:r>
    </w:p>
    <w:p w14:paraId="25B3E61D" w14:textId="77777777" w:rsidR="00CF2D46" w:rsidRPr="00597957" w:rsidRDefault="00CF2D46" w:rsidP="00B82A55">
      <w:pPr>
        <w:pStyle w:val="Heading3"/>
        <w:spacing w:before="240"/>
        <w:rPr>
          <w:lang w:eastAsia="en-AU"/>
        </w:rPr>
      </w:pPr>
      <w:r w:rsidRPr="00597957">
        <w:rPr>
          <w:lang w:eastAsia="en-AU"/>
        </w:rPr>
        <w:t>Premature death</w:t>
      </w:r>
    </w:p>
    <w:p w14:paraId="018FA5EE" w14:textId="77777777" w:rsidR="00990768" w:rsidRDefault="00CF2D46" w:rsidP="00B82A55">
      <w:pPr>
        <w:spacing w:before="120"/>
        <w:rPr>
          <w:lang w:eastAsia="en-AU"/>
        </w:rPr>
      </w:pPr>
      <w:r w:rsidRPr="00925402">
        <w:rPr>
          <w:lang w:eastAsia="en-AU"/>
        </w:rPr>
        <w:t xml:space="preserve">The classification of cause of death is </w:t>
      </w:r>
      <w:r w:rsidRPr="008F6E05">
        <w:rPr>
          <w:lang w:eastAsia="en-AU"/>
        </w:rPr>
        <w:t>a complex matter and the method used will depend to a large</w:t>
      </w:r>
      <w:r>
        <w:rPr>
          <w:lang w:eastAsia="en-AU"/>
        </w:rPr>
        <w:t xml:space="preserve"> extent on the questions to be resolved. Rather than analyse existing health records in detail, it was decided to exploit, if possible, existing data sources. New Zealand reports annually to the UNODC on a range of drug-related matters, including the number of drug-related deaths. This has the advantage that the definition of a drug-related death conforms to a widely accepted standard. Therefore, to maintain consistency with internationally agreed standards, the number of drug-related deaths was sourced from the UNODC drug-related mortality </w:t>
      </w:r>
      <w:r w:rsidRPr="00B2296A">
        <w:rPr>
          <w:lang w:eastAsia="en-AU"/>
        </w:rPr>
        <w:t>tables (UNODC, 2014).</w:t>
      </w:r>
    </w:p>
    <w:p w14:paraId="1D5D977E" w14:textId="38D1116D" w:rsidR="004D2E6E" w:rsidRDefault="004D2E6E" w:rsidP="00B82A55">
      <w:pPr>
        <w:spacing w:before="120"/>
        <w:rPr>
          <w:lang w:eastAsia="en-AU"/>
        </w:rPr>
      </w:pPr>
      <w:r>
        <w:rPr>
          <w:lang w:eastAsia="en-NZ"/>
        </w:rPr>
        <w:t>At the time the report was published, the most recent year available for New Zealand was 2011, with 78 d</w:t>
      </w:r>
      <w:r w:rsidR="00B82A55">
        <w:rPr>
          <w:lang w:eastAsia="en-NZ"/>
        </w:rPr>
        <w:t>eaths registered in this year. Amphetamines, cannabis, opioids and c</w:t>
      </w:r>
      <w:r>
        <w:rPr>
          <w:lang w:eastAsia="en-NZ"/>
        </w:rPr>
        <w:t>ocaine were ranked in that order as the drugs primarily</w:t>
      </w:r>
      <w:r w:rsidR="00B82A55">
        <w:rPr>
          <w:lang w:eastAsia="en-NZ"/>
        </w:rPr>
        <w:t xml:space="preserve"> responsible for these deaths. </w:t>
      </w:r>
      <w:r>
        <w:rPr>
          <w:lang w:eastAsia="en-NZ"/>
        </w:rPr>
        <w:t>Note that the UNODC records drug-related deaths including, but not r</w:t>
      </w:r>
      <w:r w:rsidR="00B82A55">
        <w:rPr>
          <w:lang w:eastAsia="en-NZ"/>
        </w:rPr>
        <w:t xml:space="preserve">estricted to, overdose deaths. </w:t>
      </w:r>
      <w:r>
        <w:rPr>
          <w:lang w:eastAsia="en-NZ"/>
        </w:rPr>
        <w:t>The data definition provided means that deaths are included with either a contributing cause code, or a nature of injury code of toxic effect of various drugs or of mental and behavioural disorders due to us</w:t>
      </w:r>
      <w:r w:rsidR="00B82A55">
        <w:rPr>
          <w:lang w:eastAsia="en-NZ"/>
        </w:rPr>
        <w:t xml:space="preserve">e of cannabinoids, or cocaine. </w:t>
      </w:r>
      <w:r>
        <w:rPr>
          <w:lang w:eastAsia="en-NZ"/>
        </w:rPr>
        <w:t xml:space="preserve">These were not underlying causes of deaths, but include deaths where usage was a contributing </w:t>
      </w:r>
      <w:proofErr w:type="gramStart"/>
      <w:r>
        <w:rPr>
          <w:lang w:eastAsia="en-NZ"/>
        </w:rPr>
        <w:t>cause</w:t>
      </w:r>
      <w:proofErr w:type="gramEnd"/>
      <w:r>
        <w:rPr>
          <w:lang w:eastAsia="en-NZ"/>
        </w:rPr>
        <w:t xml:space="preserve"> for example it includes suicides and car accidents. This ranking demonstrates that New Zealand's illicit drug environment differs from the majority of countries where heroin is indicated as the primary cause of drug-related deaths. The mortality estimate is perhaps slig</w:t>
      </w:r>
      <w:r w:rsidR="00B82A55">
        <w:rPr>
          <w:lang w:eastAsia="en-NZ"/>
        </w:rPr>
        <w:t xml:space="preserve">htly older than is desirable. </w:t>
      </w:r>
      <w:r>
        <w:rPr>
          <w:lang w:eastAsia="en-NZ"/>
        </w:rPr>
        <w:t>In the figures for 2010, 10 of 75 deaths are recorded as due to overdose. This is low compared to most developed nations and is indicative of the low prevalence of heroin in New Zealand.</w:t>
      </w:r>
      <w:r>
        <w:rPr>
          <w:lang w:eastAsia="en-AU"/>
        </w:rPr>
        <w:t xml:space="preserve"> </w:t>
      </w:r>
    </w:p>
    <w:p w14:paraId="094174D9" w14:textId="32FC35AE" w:rsidR="00CF2D46" w:rsidRDefault="00CF2D46" w:rsidP="00B82A55">
      <w:pPr>
        <w:spacing w:before="120"/>
      </w:pPr>
      <w:r>
        <w:rPr>
          <w:lang w:eastAsia="en-AU"/>
        </w:rPr>
        <w:t xml:space="preserve">The most recent government estimate for the value of a human life is $3,948,300, based on a willingness-to-pay study conducted by the Ministry of Transport (2014). Estimated costs associated with premature death were allocated across drug groups nearly in accordance with the UNODC data. The 10 overdose deaths were allocated to the opioid &amp; sedative drugs </w:t>
      </w:r>
      <w:r>
        <w:t xml:space="preserve">group. Of the remaining deaths, one was allocated to hallucinogenic </w:t>
      </w:r>
      <w:r w:rsidR="00B82A55">
        <w:t>and</w:t>
      </w:r>
      <w:r>
        <w:t xml:space="preserve"> psychedelic drugs. Deaths attributable to this group are rare, but they do occur. The remaining 64 deaths were divided between the amphetamine-type stimulants group and the cannabinoids on the basis of the UNODC rankings. Attachment B has more detail.</w:t>
      </w:r>
    </w:p>
    <w:p w14:paraId="2F2C7170" w14:textId="77777777" w:rsidR="00CF2D46" w:rsidRDefault="00CF2D46" w:rsidP="00935BD9">
      <w:r>
        <w:t>Table 6 has an estimate of harm from this source by drug group. The total cost of premature death was estimated as $296.1 million using 2010 deaths reported and the 2014 value of a human life. The amphetamine-type stimulants group and the cannabinoids each recorded values of $126.3 million.</w:t>
      </w:r>
    </w:p>
    <w:p w14:paraId="5708AFE6" w14:textId="77777777" w:rsidR="00CF2D46" w:rsidRDefault="00CF2D46" w:rsidP="00935BD9">
      <w:pPr>
        <w:pStyle w:val="Heading3"/>
        <w:rPr>
          <w:lang w:eastAsia="en-AU"/>
        </w:rPr>
      </w:pPr>
      <w:r>
        <w:rPr>
          <w:lang w:eastAsia="en-AU"/>
        </w:rPr>
        <w:t>Loss of quality of life</w:t>
      </w:r>
    </w:p>
    <w:p w14:paraId="0350FF12" w14:textId="77777777" w:rsidR="00990768" w:rsidRDefault="00CF2D46" w:rsidP="00935BD9">
      <w:pPr>
        <w:rPr>
          <w:lang w:eastAsia="en-AU"/>
        </w:rPr>
      </w:pPr>
      <w:r>
        <w:rPr>
          <w:lang w:eastAsia="en-AU"/>
        </w:rPr>
        <w:t>This study took a top-down approach to the calculation of the loss of quality of life. The proportion of costs related to a reduced quality of life were estimated as a proportion of the costs associated with premature deaths. Four studies were identified for this purpose, and the results are reported in Table</w:t>
      </w:r>
      <w:r w:rsidR="00935BD9">
        <w:rPr>
          <w:lang w:eastAsia="en-AU"/>
        </w:rPr>
        <w:t> </w:t>
      </w:r>
      <w:r>
        <w:rPr>
          <w:lang w:eastAsia="en-AU"/>
        </w:rPr>
        <w:t>5. Note that the proportions provided were based on data from these studies that detailed costs related to premature death and to loss of quality of life separately.</w:t>
      </w:r>
    </w:p>
    <w:p w14:paraId="55561A52" w14:textId="77777777" w:rsidR="00CF2D46" w:rsidRPr="00EA0A2A" w:rsidRDefault="00CF2D46" w:rsidP="00FA7E90">
      <w:pPr>
        <w:pStyle w:val="Table"/>
        <w:spacing w:before="240"/>
        <w:rPr>
          <w:lang w:eastAsia="en-AU"/>
        </w:rPr>
      </w:pPr>
      <w:bookmarkStart w:id="27" w:name="_Toc444941846"/>
      <w:r w:rsidRPr="00EA0A2A">
        <w:rPr>
          <w:lang w:eastAsia="en-AU"/>
        </w:rPr>
        <w:t xml:space="preserve">Table </w:t>
      </w:r>
      <w:r>
        <w:rPr>
          <w:lang w:eastAsia="en-AU"/>
        </w:rPr>
        <w:t>5</w:t>
      </w:r>
      <w:r w:rsidRPr="00EA0A2A">
        <w:rPr>
          <w:lang w:eastAsia="en-AU"/>
        </w:rPr>
        <w:t>. Estimated proportion of disability costs by scope and location</w:t>
      </w:r>
      <w:bookmarkEnd w:id="27"/>
    </w:p>
    <w:tbl>
      <w:tblPr>
        <w:tblStyle w:val="TableGrid"/>
        <w:tblW w:w="0" w:type="auto"/>
        <w:tblInd w:w="108" w:type="dxa"/>
        <w:tblBorders>
          <w:insideH w:val="none" w:sz="0" w:space="0" w:color="auto"/>
          <w:insideV w:val="none" w:sz="0" w:space="0" w:color="auto"/>
        </w:tblBorders>
        <w:tblLayout w:type="fixed"/>
        <w:tblLook w:val="04A0" w:firstRow="1" w:lastRow="0" w:firstColumn="1" w:lastColumn="0" w:noHBand="0" w:noVBand="1"/>
      </w:tblPr>
      <w:tblGrid>
        <w:gridCol w:w="2694"/>
        <w:gridCol w:w="1417"/>
        <w:gridCol w:w="1985"/>
        <w:gridCol w:w="2976"/>
      </w:tblGrid>
      <w:tr w:rsidR="00CF2D46" w:rsidRPr="00935BD9" w14:paraId="7A23CB57" w14:textId="77777777" w:rsidTr="00935BD9">
        <w:trPr>
          <w:cantSplit/>
        </w:trPr>
        <w:tc>
          <w:tcPr>
            <w:tcW w:w="2694" w:type="dxa"/>
            <w:tcBorders>
              <w:top w:val="single" w:sz="4" w:space="0" w:color="auto"/>
              <w:bottom w:val="single" w:sz="4" w:space="0" w:color="auto"/>
            </w:tcBorders>
          </w:tcPr>
          <w:p w14:paraId="633CB240" w14:textId="77777777" w:rsidR="00CF2D46" w:rsidRPr="00935BD9" w:rsidRDefault="00CF2D46" w:rsidP="00FA7E90">
            <w:pPr>
              <w:pStyle w:val="TableText"/>
              <w:spacing w:before="50" w:after="50"/>
              <w:rPr>
                <w:b/>
                <w:lang w:eastAsia="en-AU"/>
              </w:rPr>
            </w:pPr>
            <w:r w:rsidRPr="00935BD9">
              <w:rPr>
                <w:b/>
                <w:lang w:eastAsia="en-AU"/>
              </w:rPr>
              <w:t>Source</w:t>
            </w:r>
          </w:p>
        </w:tc>
        <w:tc>
          <w:tcPr>
            <w:tcW w:w="1417" w:type="dxa"/>
            <w:tcBorders>
              <w:top w:val="single" w:sz="4" w:space="0" w:color="auto"/>
              <w:bottom w:val="single" w:sz="4" w:space="0" w:color="auto"/>
            </w:tcBorders>
          </w:tcPr>
          <w:p w14:paraId="2A8F38C3" w14:textId="77777777" w:rsidR="00CF2D46" w:rsidRPr="00935BD9" w:rsidRDefault="00CF2D46" w:rsidP="00FA7E90">
            <w:pPr>
              <w:pStyle w:val="TableText"/>
              <w:spacing w:before="50" w:after="50"/>
              <w:jc w:val="center"/>
              <w:rPr>
                <w:b/>
                <w:lang w:eastAsia="en-AU"/>
              </w:rPr>
            </w:pPr>
            <w:r w:rsidRPr="00935BD9">
              <w:rPr>
                <w:b/>
                <w:lang w:eastAsia="en-AU"/>
              </w:rPr>
              <w:t>Scope</w:t>
            </w:r>
          </w:p>
        </w:tc>
        <w:tc>
          <w:tcPr>
            <w:tcW w:w="1985" w:type="dxa"/>
            <w:tcBorders>
              <w:top w:val="single" w:sz="4" w:space="0" w:color="auto"/>
              <w:bottom w:val="single" w:sz="4" w:space="0" w:color="auto"/>
            </w:tcBorders>
          </w:tcPr>
          <w:p w14:paraId="53815FD0" w14:textId="77777777" w:rsidR="00CF2D46" w:rsidRPr="00935BD9" w:rsidRDefault="00CF2D46" w:rsidP="00FA7E90">
            <w:pPr>
              <w:pStyle w:val="TableText"/>
              <w:spacing w:before="50" w:after="50"/>
              <w:jc w:val="center"/>
              <w:rPr>
                <w:b/>
                <w:lang w:eastAsia="en-AU"/>
              </w:rPr>
            </w:pPr>
            <w:r w:rsidRPr="00935BD9">
              <w:rPr>
                <w:b/>
                <w:lang w:eastAsia="en-AU"/>
              </w:rPr>
              <w:t>Location</w:t>
            </w:r>
          </w:p>
        </w:tc>
        <w:tc>
          <w:tcPr>
            <w:tcW w:w="2976" w:type="dxa"/>
            <w:tcBorders>
              <w:top w:val="single" w:sz="4" w:space="0" w:color="auto"/>
              <w:bottom w:val="single" w:sz="4" w:space="0" w:color="auto"/>
            </w:tcBorders>
          </w:tcPr>
          <w:p w14:paraId="254599A3" w14:textId="77777777" w:rsidR="00CF2D46" w:rsidRPr="00935BD9" w:rsidRDefault="00CF2D46" w:rsidP="00FA7E90">
            <w:pPr>
              <w:pStyle w:val="TableText"/>
              <w:spacing w:before="50" w:after="50"/>
              <w:jc w:val="center"/>
              <w:rPr>
                <w:b/>
                <w:lang w:eastAsia="en-AU"/>
              </w:rPr>
            </w:pPr>
            <w:r w:rsidRPr="00935BD9">
              <w:rPr>
                <w:b/>
                <w:lang w:eastAsia="en-AU"/>
              </w:rPr>
              <w:t>Proportion of disability costs to premature death costs</w:t>
            </w:r>
          </w:p>
        </w:tc>
      </w:tr>
      <w:tr w:rsidR="00CF2D46" w14:paraId="57E4FE08" w14:textId="77777777" w:rsidTr="00935BD9">
        <w:trPr>
          <w:cantSplit/>
        </w:trPr>
        <w:tc>
          <w:tcPr>
            <w:tcW w:w="2694" w:type="dxa"/>
            <w:tcBorders>
              <w:top w:val="single" w:sz="4" w:space="0" w:color="auto"/>
            </w:tcBorders>
          </w:tcPr>
          <w:p w14:paraId="4A3CD399" w14:textId="77777777" w:rsidR="00CF2D46" w:rsidRDefault="00CF2D46" w:rsidP="00FA7E90">
            <w:pPr>
              <w:pStyle w:val="TableText"/>
              <w:spacing w:before="50" w:after="50"/>
              <w:rPr>
                <w:lang w:eastAsia="en-AU"/>
              </w:rPr>
            </w:pPr>
            <w:r>
              <w:rPr>
                <w:lang w:eastAsia="en-AU"/>
              </w:rPr>
              <w:t>Murray et al (2012)</w:t>
            </w:r>
          </w:p>
        </w:tc>
        <w:tc>
          <w:tcPr>
            <w:tcW w:w="1417" w:type="dxa"/>
            <w:tcBorders>
              <w:top w:val="single" w:sz="4" w:space="0" w:color="auto"/>
            </w:tcBorders>
          </w:tcPr>
          <w:p w14:paraId="1A8E6C53" w14:textId="77777777" w:rsidR="00CF2D46" w:rsidRDefault="00CF2D46" w:rsidP="00FA7E90">
            <w:pPr>
              <w:pStyle w:val="TableText"/>
              <w:spacing w:before="50" w:after="50"/>
              <w:rPr>
                <w:lang w:eastAsia="en-AU"/>
              </w:rPr>
            </w:pPr>
            <w:r>
              <w:rPr>
                <w:lang w:eastAsia="en-AU"/>
              </w:rPr>
              <w:t>All disease</w:t>
            </w:r>
          </w:p>
        </w:tc>
        <w:tc>
          <w:tcPr>
            <w:tcW w:w="1985" w:type="dxa"/>
            <w:tcBorders>
              <w:top w:val="single" w:sz="4" w:space="0" w:color="auto"/>
            </w:tcBorders>
          </w:tcPr>
          <w:p w14:paraId="64DE7A87" w14:textId="77777777" w:rsidR="00CF2D46" w:rsidRDefault="00CF2D46" w:rsidP="00FA7E90">
            <w:pPr>
              <w:pStyle w:val="TableText"/>
              <w:spacing w:before="50" w:after="50"/>
              <w:rPr>
                <w:lang w:eastAsia="en-AU"/>
              </w:rPr>
            </w:pPr>
            <w:r>
              <w:rPr>
                <w:lang w:eastAsia="en-AU"/>
              </w:rPr>
              <w:t>Australasia</w:t>
            </w:r>
          </w:p>
        </w:tc>
        <w:tc>
          <w:tcPr>
            <w:tcW w:w="2976" w:type="dxa"/>
            <w:tcBorders>
              <w:top w:val="single" w:sz="4" w:space="0" w:color="auto"/>
            </w:tcBorders>
          </w:tcPr>
          <w:p w14:paraId="460F66BB" w14:textId="77777777" w:rsidR="00CF2D46" w:rsidRDefault="00CF2D46" w:rsidP="00FA7E90">
            <w:pPr>
              <w:pStyle w:val="TableText"/>
              <w:spacing w:before="50" w:after="50"/>
              <w:jc w:val="center"/>
              <w:rPr>
                <w:lang w:eastAsia="en-AU"/>
              </w:rPr>
            </w:pPr>
            <w:r>
              <w:rPr>
                <w:lang w:eastAsia="en-AU"/>
              </w:rPr>
              <w:t>1.22</w:t>
            </w:r>
          </w:p>
        </w:tc>
      </w:tr>
      <w:tr w:rsidR="00CF2D46" w14:paraId="1C2C3402" w14:textId="77777777" w:rsidTr="00935BD9">
        <w:trPr>
          <w:cantSplit/>
        </w:trPr>
        <w:tc>
          <w:tcPr>
            <w:tcW w:w="2694" w:type="dxa"/>
          </w:tcPr>
          <w:p w14:paraId="06F25A8B" w14:textId="77777777" w:rsidR="00CF2D46" w:rsidRDefault="00CF2D46" w:rsidP="00FA7E90">
            <w:pPr>
              <w:pStyle w:val="TableText"/>
              <w:spacing w:before="50" w:after="50"/>
              <w:rPr>
                <w:lang w:eastAsia="en-AU"/>
              </w:rPr>
            </w:pPr>
            <w:proofErr w:type="spellStart"/>
            <w:r>
              <w:rPr>
                <w:lang w:eastAsia="en-AU"/>
              </w:rPr>
              <w:t>Melberg</w:t>
            </w:r>
            <w:proofErr w:type="spellEnd"/>
            <w:r>
              <w:rPr>
                <w:lang w:eastAsia="en-AU"/>
              </w:rPr>
              <w:t xml:space="preserve"> et al (2011)</w:t>
            </w:r>
          </w:p>
        </w:tc>
        <w:tc>
          <w:tcPr>
            <w:tcW w:w="1417" w:type="dxa"/>
          </w:tcPr>
          <w:p w14:paraId="1A882D9C" w14:textId="77777777" w:rsidR="00CF2D46" w:rsidRDefault="00CF2D46" w:rsidP="00FA7E90">
            <w:pPr>
              <w:pStyle w:val="TableText"/>
              <w:spacing w:before="50" w:after="50"/>
              <w:rPr>
                <w:lang w:eastAsia="en-AU"/>
              </w:rPr>
            </w:pPr>
            <w:r>
              <w:rPr>
                <w:lang w:eastAsia="en-AU"/>
              </w:rPr>
              <w:t>Drugs</w:t>
            </w:r>
          </w:p>
        </w:tc>
        <w:tc>
          <w:tcPr>
            <w:tcW w:w="1985" w:type="dxa"/>
          </w:tcPr>
          <w:p w14:paraId="754A8C77" w14:textId="77777777" w:rsidR="00CF2D46" w:rsidRDefault="00CF2D46" w:rsidP="00FA7E90">
            <w:pPr>
              <w:pStyle w:val="TableText"/>
              <w:spacing w:before="50" w:after="50"/>
              <w:rPr>
                <w:lang w:eastAsia="en-AU"/>
              </w:rPr>
            </w:pPr>
            <w:r>
              <w:rPr>
                <w:lang w:eastAsia="en-AU"/>
              </w:rPr>
              <w:t>Northern Europe</w:t>
            </w:r>
          </w:p>
        </w:tc>
        <w:tc>
          <w:tcPr>
            <w:tcW w:w="2976" w:type="dxa"/>
          </w:tcPr>
          <w:p w14:paraId="47FBA66B" w14:textId="77777777" w:rsidR="00CF2D46" w:rsidRDefault="00CF2D46" w:rsidP="00FA7E90">
            <w:pPr>
              <w:pStyle w:val="TableText"/>
              <w:spacing w:before="50" w:after="50"/>
              <w:jc w:val="center"/>
              <w:rPr>
                <w:lang w:eastAsia="en-AU"/>
              </w:rPr>
            </w:pPr>
            <w:r>
              <w:rPr>
                <w:lang w:eastAsia="en-AU"/>
              </w:rPr>
              <w:t>0.85</w:t>
            </w:r>
          </w:p>
        </w:tc>
      </w:tr>
      <w:tr w:rsidR="00CF2D46" w14:paraId="29523562" w14:textId="77777777" w:rsidTr="00935BD9">
        <w:trPr>
          <w:cantSplit/>
        </w:trPr>
        <w:tc>
          <w:tcPr>
            <w:tcW w:w="2694" w:type="dxa"/>
          </w:tcPr>
          <w:p w14:paraId="66D40219" w14:textId="77777777" w:rsidR="00CF2D46" w:rsidRDefault="00CF2D46" w:rsidP="00FA7E90">
            <w:pPr>
              <w:pStyle w:val="TableText"/>
              <w:spacing w:before="50" w:after="50"/>
              <w:rPr>
                <w:lang w:eastAsia="en-AU"/>
              </w:rPr>
            </w:pPr>
            <w:r>
              <w:rPr>
                <w:lang w:eastAsia="en-AU"/>
              </w:rPr>
              <w:t>Moore (2007)</w:t>
            </w:r>
          </w:p>
        </w:tc>
        <w:tc>
          <w:tcPr>
            <w:tcW w:w="1417" w:type="dxa"/>
          </w:tcPr>
          <w:p w14:paraId="6E615CF5" w14:textId="77777777" w:rsidR="00CF2D46" w:rsidRDefault="00CF2D46" w:rsidP="00FA7E90">
            <w:pPr>
              <w:pStyle w:val="TableText"/>
              <w:spacing w:before="50" w:after="50"/>
              <w:rPr>
                <w:lang w:eastAsia="en-AU"/>
              </w:rPr>
            </w:pPr>
            <w:r>
              <w:rPr>
                <w:lang w:eastAsia="en-AU"/>
              </w:rPr>
              <w:t>Drugs</w:t>
            </w:r>
          </w:p>
        </w:tc>
        <w:tc>
          <w:tcPr>
            <w:tcW w:w="1985" w:type="dxa"/>
          </w:tcPr>
          <w:p w14:paraId="28382814" w14:textId="77777777" w:rsidR="00CF2D46" w:rsidRDefault="00CF2D46" w:rsidP="00FA7E90">
            <w:pPr>
              <w:pStyle w:val="TableText"/>
              <w:spacing w:before="50" w:after="50"/>
              <w:rPr>
                <w:lang w:eastAsia="en-AU"/>
              </w:rPr>
            </w:pPr>
            <w:r>
              <w:rPr>
                <w:lang w:eastAsia="en-AU"/>
              </w:rPr>
              <w:t>Australia</w:t>
            </w:r>
          </w:p>
        </w:tc>
        <w:tc>
          <w:tcPr>
            <w:tcW w:w="2976" w:type="dxa"/>
          </w:tcPr>
          <w:p w14:paraId="0D665186" w14:textId="77777777" w:rsidR="00CF2D46" w:rsidRDefault="00CF2D46" w:rsidP="00FA7E90">
            <w:pPr>
              <w:pStyle w:val="TableText"/>
              <w:spacing w:before="50" w:after="50"/>
              <w:jc w:val="center"/>
              <w:rPr>
                <w:lang w:eastAsia="en-AU"/>
              </w:rPr>
            </w:pPr>
            <w:r>
              <w:rPr>
                <w:lang w:eastAsia="en-AU"/>
              </w:rPr>
              <w:t>1.05</w:t>
            </w:r>
          </w:p>
        </w:tc>
      </w:tr>
      <w:tr w:rsidR="00CF2D46" w14:paraId="1FE353C2" w14:textId="77777777" w:rsidTr="00935BD9">
        <w:trPr>
          <w:cantSplit/>
        </w:trPr>
        <w:tc>
          <w:tcPr>
            <w:tcW w:w="2694" w:type="dxa"/>
          </w:tcPr>
          <w:p w14:paraId="51D6B0D0" w14:textId="77777777" w:rsidR="00CF2D46" w:rsidRDefault="00CF2D46" w:rsidP="00FA7E90">
            <w:pPr>
              <w:pStyle w:val="TableText"/>
              <w:spacing w:before="50" w:after="50"/>
              <w:rPr>
                <w:lang w:eastAsia="en-AU"/>
              </w:rPr>
            </w:pPr>
            <w:proofErr w:type="spellStart"/>
            <w:r>
              <w:rPr>
                <w:lang w:eastAsia="en-AU"/>
              </w:rPr>
              <w:t>Degenhardt</w:t>
            </w:r>
            <w:proofErr w:type="spellEnd"/>
            <w:r>
              <w:rPr>
                <w:lang w:eastAsia="en-AU"/>
              </w:rPr>
              <w:t xml:space="preserve"> et al (2013)</w:t>
            </w:r>
          </w:p>
        </w:tc>
        <w:tc>
          <w:tcPr>
            <w:tcW w:w="1417" w:type="dxa"/>
          </w:tcPr>
          <w:p w14:paraId="344A0EF4" w14:textId="77777777" w:rsidR="00CF2D46" w:rsidRDefault="00CF2D46" w:rsidP="00FA7E90">
            <w:pPr>
              <w:pStyle w:val="TableText"/>
              <w:spacing w:before="50" w:after="50"/>
              <w:rPr>
                <w:lang w:eastAsia="en-AU"/>
              </w:rPr>
            </w:pPr>
            <w:r>
              <w:rPr>
                <w:lang w:eastAsia="en-AU"/>
              </w:rPr>
              <w:t>Drugs</w:t>
            </w:r>
          </w:p>
        </w:tc>
        <w:tc>
          <w:tcPr>
            <w:tcW w:w="1985" w:type="dxa"/>
          </w:tcPr>
          <w:p w14:paraId="182C75FE" w14:textId="77777777" w:rsidR="00CF2D46" w:rsidRDefault="00CF2D46" w:rsidP="00FA7E90">
            <w:pPr>
              <w:pStyle w:val="TableText"/>
              <w:spacing w:before="50" w:after="50"/>
              <w:rPr>
                <w:lang w:eastAsia="en-AU"/>
              </w:rPr>
            </w:pPr>
            <w:r>
              <w:rPr>
                <w:lang w:eastAsia="en-AU"/>
              </w:rPr>
              <w:t>Global</w:t>
            </w:r>
          </w:p>
        </w:tc>
        <w:tc>
          <w:tcPr>
            <w:tcW w:w="2976" w:type="dxa"/>
          </w:tcPr>
          <w:p w14:paraId="7CB75275" w14:textId="77777777" w:rsidR="00CF2D46" w:rsidRDefault="00CF2D46" w:rsidP="00FA7E90">
            <w:pPr>
              <w:pStyle w:val="TableText"/>
              <w:spacing w:before="50" w:after="50"/>
              <w:jc w:val="center"/>
              <w:rPr>
                <w:lang w:eastAsia="en-AU"/>
              </w:rPr>
            </w:pPr>
            <w:r>
              <w:rPr>
                <w:lang w:eastAsia="en-AU"/>
              </w:rPr>
              <w:t>4.58</w:t>
            </w:r>
          </w:p>
        </w:tc>
      </w:tr>
    </w:tbl>
    <w:p w14:paraId="6F10F9B0" w14:textId="77777777" w:rsidR="00990768" w:rsidRDefault="00CF2D46" w:rsidP="00935BD9">
      <w:pPr>
        <w:rPr>
          <w:lang w:eastAsia="en-AU"/>
        </w:rPr>
      </w:pPr>
      <w:r>
        <w:rPr>
          <w:lang w:eastAsia="en-AU"/>
        </w:rPr>
        <w:t xml:space="preserve">There is general agreement between the studies that the overall cost of drug-related disability is nearly equivalent to the cost of premature death. </w:t>
      </w:r>
      <w:proofErr w:type="spellStart"/>
      <w:r>
        <w:rPr>
          <w:lang w:eastAsia="en-AU"/>
        </w:rPr>
        <w:t>Degenhardt</w:t>
      </w:r>
      <w:proofErr w:type="spellEnd"/>
      <w:r>
        <w:rPr>
          <w:lang w:eastAsia="en-AU"/>
        </w:rPr>
        <w:t xml:space="preserve"> et al (2013) is the exception with disability-related costs exceeding those related to premature death by a factor of 4.58. The </w:t>
      </w:r>
      <w:proofErr w:type="spellStart"/>
      <w:r>
        <w:rPr>
          <w:lang w:eastAsia="en-AU"/>
        </w:rPr>
        <w:t>Degenhardt</w:t>
      </w:r>
      <w:proofErr w:type="spellEnd"/>
      <w:r>
        <w:rPr>
          <w:lang w:eastAsia="en-AU"/>
        </w:rPr>
        <w:t xml:space="preserve"> estimate is based on a global estimate of these burdens. It is highly probable that the sample base of the other three studies (Northern Europe, Australasia and Australia) have a good deal more in common with each other than they do with a global estimate.</w:t>
      </w:r>
    </w:p>
    <w:p w14:paraId="7947C853" w14:textId="77777777" w:rsidR="00CF2D46" w:rsidRDefault="00CF2D46" w:rsidP="00935BD9">
      <w:pPr>
        <w:rPr>
          <w:lang w:eastAsia="en-AU"/>
        </w:rPr>
      </w:pPr>
      <w:r>
        <w:rPr>
          <w:lang w:eastAsia="en-AU"/>
        </w:rPr>
        <w:t xml:space="preserve">It was decided to exclude the </w:t>
      </w:r>
      <w:proofErr w:type="spellStart"/>
      <w:r>
        <w:rPr>
          <w:lang w:eastAsia="en-AU"/>
        </w:rPr>
        <w:t>Degenhardt</w:t>
      </w:r>
      <w:proofErr w:type="spellEnd"/>
      <w:r>
        <w:rPr>
          <w:lang w:eastAsia="en-AU"/>
        </w:rPr>
        <w:t xml:space="preserve"> estimate from the final multiplier calculation, which was based on the average of the other three studies. The resulting multiplier was 1.03. This result is consistent with the Ministry of Transport</w:t>
      </w:r>
      <w:r w:rsidR="00990768">
        <w:rPr>
          <w:lang w:eastAsia="en-AU"/>
        </w:rPr>
        <w:t>’</w:t>
      </w:r>
      <w:r>
        <w:rPr>
          <w:lang w:eastAsia="en-AU"/>
        </w:rPr>
        <w:t>s assumption that the economic cost of loss of life is equivalent to that of permanent disability (Ministry of Transport, 2014). Results by drug group are provided in Table 6. Attachment B has more detail.</w:t>
      </w:r>
    </w:p>
    <w:p w14:paraId="51DD0DDD" w14:textId="77777777" w:rsidR="00990768" w:rsidRDefault="00CF2D46" w:rsidP="00935BD9">
      <w:pPr>
        <w:rPr>
          <w:lang w:eastAsia="en-AU"/>
        </w:rPr>
      </w:pPr>
      <w:r>
        <w:rPr>
          <w:lang w:eastAsia="en-AU"/>
        </w:rPr>
        <w:t xml:space="preserve">Overall, years of life lost through disability accounted for an estimated harm of $304.8 million, the majority of which ($260.2 million) related to cannabinoids </w:t>
      </w:r>
      <w:r w:rsidRPr="00E822B7">
        <w:rPr>
          <w:lang w:eastAsia="en-AU"/>
        </w:rPr>
        <w:t xml:space="preserve">or </w:t>
      </w:r>
      <w:r>
        <w:rPr>
          <w:lang w:eastAsia="en-AU"/>
        </w:rPr>
        <w:t>amphetamine-type stimulants</w:t>
      </w:r>
      <w:r w:rsidRPr="00E822B7">
        <w:rPr>
          <w:lang w:eastAsia="en-AU"/>
        </w:rPr>
        <w:t>.</w:t>
      </w:r>
    </w:p>
    <w:p w14:paraId="2869BEEA" w14:textId="77777777" w:rsidR="00CF2D46" w:rsidRPr="00D519C9" w:rsidRDefault="00CF2D46" w:rsidP="00FA7E90">
      <w:pPr>
        <w:pStyle w:val="Table"/>
        <w:spacing w:before="240"/>
        <w:rPr>
          <w:lang w:eastAsia="en-AU"/>
        </w:rPr>
      </w:pPr>
      <w:bookmarkStart w:id="28" w:name="_Toc444941847"/>
      <w:r w:rsidRPr="00D519C9">
        <w:rPr>
          <w:lang w:eastAsia="en-AU"/>
        </w:rPr>
        <w:t>Table</w:t>
      </w:r>
      <w:r>
        <w:rPr>
          <w:lang w:eastAsia="en-AU"/>
        </w:rPr>
        <w:t xml:space="preserve"> 6</w:t>
      </w:r>
      <w:r w:rsidRPr="00D519C9">
        <w:rPr>
          <w:lang w:eastAsia="en-AU"/>
        </w:rPr>
        <w:t>. Personal harms by drug</w:t>
      </w:r>
      <w:r>
        <w:rPr>
          <w:lang w:eastAsia="en-AU"/>
        </w:rPr>
        <w:t xml:space="preserve"> group</w:t>
      </w:r>
      <w:bookmarkEnd w:id="28"/>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7"/>
        <w:gridCol w:w="992"/>
        <w:gridCol w:w="1488"/>
        <w:gridCol w:w="1488"/>
        <w:gridCol w:w="1488"/>
        <w:gridCol w:w="1489"/>
      </w:tblGrid>
      <w:tr w:rsidR="00CF2D46" w:rsidRPr="00935BD9" w14:paraId="7229B640" w14:textId="77777777" w:rsidTr="00935BD9">
        <w:trPr>
          <w:cantSplit/>
        </w:trPr>
        <w:tc>
          <w:tcPr>
            <w:tcW w:w="2127" w:type="dxa"/>
            <w:tcBorders>
              <w:top w:val="single" w:sz="4" w:space="0" w:color="auto"/>
              <w:bottom w:val="single" w:sz="4" w:space="0" w:color="auto"/>
              <w:right w:val="single" w:sz="4" w:space="0" w:color="auto"/>
            </w:tcBorders>
            <w:shd w:val="clear" w:color="auto" w:fill="auto"/>
          </w:tcPr>
          <w:p w14:paraId="7BCDD27F" w14:textId="77777777" w:rsidR="00CF2D46" w:rsidRPr="00935BD9" w:rsidRDefault="00CF2D46" w:rsidP="00FA7E90">
            <w:pPr>
              <w:pStyle w:val="TableText"/>
              <w:spacing w:before="50" w:after="50"/>
              <w:rPr>
                <w:b/>
              </w:rPr>
            </w:pPr>
            <w:r w:rsidRPr="00935BD9">
              <w:rPr>
                <w:b/>
              </w:rPr>
              <w:t>Drug group</w:t>
            </w:r>
          </w:p>
        </w:tc>
        <w:tc>
          <w:tcPr>
            <w:tcW w:w="992" w:type="dxa"/>
            <w:tcBorders>
              <w:left w:val="single" w:sz="4" w:space="0" w:color="auto"/>
              <w:bottom w:val="single" w:sz="4" w:space="0" w:color="auto"/>
            </w:tcBorders>
            <w:shd w:val="clear" w:color="auto" w:fill="auto"/>
            <w:hideMark/>
          </w:tcPr>
          <w:p w14:paraId="22115AE2" w14:textId="77777777" w:rsidR="00CF2D46" w:rsidRPr="00935BD9" w:rsidRDefault="00CF2D46" w:rsidP="00FA7E90">
            <w:pPr>
              <w:pStyle w:val="TableText"/>
              <w:spacing w:before="50" w:after="50"/>
              <w:jc w:val="center"/>
              <w:rPr>
                <w:b/>
                <w:bCs/>
              </w:rPr>
            </w:pPr>
            <w:r w:rsidRPr="00935BD9">
              <w:rPr>
                <w:b/>
                <w:bCs/>
              </w:rPr>
              <w:t>Deaths per annum</w:t>
            </w:r>
          </w:p>
        </w:tc>
        <w:tc>
          <w:tcPr>
            <w:tcW w:w="1488" w:type="dxa"/>
            <w:tcBorders>
              <w:bottom w:val="single" w:sz="4" w:space="0" w:color="auto"/>
            </w:tcBorders>
            <w:shd w:val="clear" w:color="auto" w:fill="auto"/>
            <w:hideMark/>
          </w:tcPr>
          <w:p w14:paraId="0ED8569D" w14:textId="77777777" w:rsidR="00CF2D46" w:rsidRPr="00935BD9" w:rsidRDefault="00CF2D46" w:rsidP="00FA7E90">
            <w:pPr>
              <w:pStyle w:val="TableText"/>
              <w:spacing w:before="50" w:after="50"/>
              <w:jc w:val="center"/>
              <w:rPr>
                <w:b/>
                <w:bCs/>
              </w:rPr>
            </w:pPr>
            <w:r w:rsidRPr="00935BD9">
              <w:rPr>
                <w:b/>
                <w:bCs/>
              </w:rPr>
              <w:t>Premature death cost</w:t>
            </w:r>
            <w:r w:rsidR="00935BD9">
              <w:rPr>
                <w:b/>
                <w:bCs/>
              </w:rPr>
              <w:br/>
            </w:r>
            <w:r w:rsidR="00935BD9">
              <w:rPr>
                <w:b/>
                <w:bCs/>
              </w:rPr>
              <w:br/>
            </w:r>
            <w:r w:rsidRPr="00935BD9">
              <w:rPr>
                <w:b/>
                <w:bCs/>
              </w:rPr>
              <w:t>($m)</w:t>
            </w:r>
          </w:p>
        </w:tc>
        <w:tc>
          <w:tcPr>
            <w:tcW w:w="1488" w:type="dxa"/>
            <w:tcBorders>
              <w:bottom w:val="single" w:sz="4" w:space="0" w:color="auto"/>
            </w:tcBorders>
            <w:shd w:val="clear" w:color="auto" w:fill="auto"/>
            <w:hideMark/>
          </w:tcPr>
          <w:p w14:paraId="1C7F7597" w14:textId="77777777" w:rsidR="00CF2D46" w:rsidRPr="00935BD9" w:rsidRDefault="00CF2D46" w:rsidP="00FA7E90">
            <w:pPr>
              <w:pStyle w:val="TableText"/>
              <w:spacing w:before="50" w:after="50"/>
              <w:jc w:val="center"/>
              <w:rPr>
                <w:b/>
                <w:bCs/>
              </w:rPr>
            </w:pPr>
            <w:r w:rsidRPr="00935BD9">
              <w:rPr>
                <w:b/>
                <w:bCs/>
              </w:rPr>
              <w:t>Loss of quality of life*</w:t>
            </w:r>
            <w:r w:rsidRPr="00935BD9">
              <w:rPr>
                <w:b/>
                <w:bCs/>
              </w:rPr>
              <w:br/>
              <w:t>cost ($m)</w:t>
            </w:r>
          </w:p>
        </w:tc>
        <w:tc>
          <w:tcPr>
            <w:tcW w:w="1488" w:type="dxa"/>
            <w:tcBorders>
              <w:bottom w:val="single" w:sz="4" w:space="0" w:color="auto"/>
            </w:tcBorders>
          </w:tcPr>
          <w:p w14:paraId="60CEF04E" w14:textId="77777777" w:rsidR="00CF2D46" w:rsidRPr="00935BD9" w:rsidRDefault="00CF2D46" w:rsidP="00FA7E90">
            <w:pPr>
              <w:pStyle w:val="TableText"/>
              <w:spacing w:before="50" w:after="50"/>
              <w:jc w:val="center"/>
              <w:rPr>
                <w:b/>
                <w:bCs/>
              </w:rPr>
            </w:pPr>
            <w:r w:rsidRPr="00935BD9">
              <w:rPr>
                <w:b/>
                <w:bCs/>
              </w:rPr>
              <w:t>Estimated personal harm</w:t>
            </w:r>
            <w:r w:rsidRPr="00935BD9">
              <w:rPr>
                <w:b/>
                <w:bCs/>
              </w:rPr>
              <w:br/>
              <w:t>cost ($m)</w:t>
            </w:r>
          </w:p>
        </w:tc>
        <w:tc>
          <w:tcPr>
            <w:tcW w:w="1489" w:type="dxa"/>
            <w:tcBorders>
              <w:bottom w:val="single" w:sz="4" w:space="0" w:color="auto"/>
            </w:tcBorders>
          </w:tcPr>
          <w:p w14:paraId="7DE5C0FD" w14:textId="77777777" w:rsidR="00CF2D46" w:rsidRPr="00935BD9" w:rsidRDefault="00CF2D46" w:rsidP="00FA7E90">
            <w:pPr>
              <w:pStyle w:val="TableText"/>
              <w:spacing w:before="50" w:after="50"/>
              <w:jc w:val="center"/>
              <w:rPr>
                <w:b/>
                <w:bCs/>
              </w:rPr>
            </w:pPr>
            <w:r w:rsidRPr="00935BD9">
              <w:rPr>
                <w:b/>
                <w:bCs/>
              </w:rPr>
              <w:t>Average harm per dependent user cost ($)</w:t>
            </w:r>
          </w:p>
        </w:tc>
      </w:tr>
      <w:tr w:rsidR="00CF2D46" w:rsidRPr="00A33809" w14:paraId="3E8FF079" w14:textId="77777777" w:rsidTr="00935BD9">
        <w:trPr>
          <w:cantSplit/>
        </w:trPr>
        <w:tc>
          <w:tcPr>
            <w:tcW w:w="2127" w:type="dxa"/>
            <w:tcBorders>
              <w:top w:val="single" w:sz="4" w:space="0" w:color="auto"/>
              <w:bottom w:val="nil"/>
              <w:right w:val="single" w:sz="4" w:space="0" w:color="auto"/>
            </w:tcBorders>
            <w:shd w:val="clear" w:color="auto" w:fill="auto"/>
            <w:hideMark/>
          </w:tcPr>
          <w:p w14:paraId="45419755" w14:textId="77777777" w:rsidR="00CF2D46" w:rsidRPr="00990768" w:rsidRDefault="00CF2D46" w:rsidP="00FA7E90">
            <w:pPr>
              <w:pStyle w:val="TableText"/>
              <w:spacing w:before="50" w:after="50"/>
            </w:pPr>
            <w:r>
              <w:t>Amphetamine-type stimulants</w:t>
            </w:r>
          </w:p>
        </w:tc>
        <w:tc>
          <w:tcPr>
            <w:tcW w:w="992" w:type="dxa"/>
            <w:tcBorders>
              <w:top w:val="single" w:sz="4" w:space="0" w:color="auto"/>
              <w:left w:val="single" w:sz="4" w:space="0" w:color="auto"/>
              <w:bottom w:val="nil"/>
            </w:tcBorders>
            <w:shd w:val="clear" w:color="auto" w:fill="auto"/>
            <w:noWrap/>
            <w:tcMar>
              <w:right w:w="142" w:type="dxa"/>
            </w:tcMar>
            <w:hideMark/>
          </w:tcPr>
          <w:p w14:paraId="005768E1" w14:textId="77777777" w:rsidR="00CF2D46" w:rsidRPr="00990768" w:rsidRDefault="00CF2D46" w:rsidP="00FA7E90">
            <w:pPr>
              <w:pStyle w:val="TableText"/>
              <w:tabs>
                <w:tab w:val="decimal" w:pos="459"/>
              </w:tabs>
              <w:spacing w:before="50" w:after="50"/>
            </w:pPr>
            <w:r w:rsidRPr="00990768">
              <w:t>32</w:t>
            </w:r>
          </w:p>
        </w:tc>
        <w:tc>
          <w:tcPr>
            <w:tcW w:w="1488" w:type="dxa"/>
            <w:tcBorders>
              <w:top w:val="single" w:sz="4" w:space="0" w:color="auto"/>
              <w:bottom w:val="nil"/>
            </w:tcBorders>
            <w:shd w:val="clear" w:color="auto" w:fill="auto"/>
            <w:noWrap/>
            <w:tcMar>
              <w:right w:w="142" w:type="dxa"/>
            </w:tcMar>
            <w:hideMark/>
          </w:tcPr>
          <w:p w14:paraId="345F40C7" w14:textId="77777777" w:rsidR="00CF2D46" w:rsidRPr="00990768" w:rsidRDefault="00CF2D46" w:rsidP="00FA7E90">
            <w:pPr>
              <w:pStyle w:val="TableText"/>
              <w:tabs>
                <w:tab w:val="decimal" w:pos="742"/>
              </w:tabs>
              <w:spacing w:before="50" w:after="50"/>
            </w:pPr>
            <w:r w:rsidRPr="00990768">
              <w:t>126.3</w:t>
            </w:r>
          </w:p>
        </w:tc>
        <w:tc>
          <w:tcPr>
            <w:tcW w:w="1488" w:type="dxa"/>
            <w:tcBorders>
              <w:top w:val="single" w:sz="4" w:space="0" w:color="auto"/>
              <w:bottom w:val="nil"/>
            </w:tcBorders>
            <w:shd w:val="clear" w:color="auto" w:fill="auto"/>
            <w:noWrap/>
            <w:tcMar>
              <w:right w:w="142" w:type="dxa"/>
            </w:tcMar>
            <w:hideMark/>
          </w:tcPr>
          <w:p w14:paraId="4544DF3F" w14:textId="77777777" w:rsidR="00CF2D46" w:rsidRPr="00990768" w:rsidRDefault="00CF2D46" w:rsidP="00FA7E90">
            <w:pPr>
              <w:pStyle w:val="TableText"/>
              <w:tabs>
                <w:tab w:val="decimal" w:pos="742"/>
              </w:tabs>
              <w:spacing w:before="50" w:after="50"/>
            </w:pPr>
            <w:r w:rsidRPr="00990768">
              <w:t>130.1</w:t>
            </w:r>
          </w:p>
        </w:tc>
        <w:tc>
          <w:tcPr>
            <w:tcW w:w="1488" w:type="dxa"/>
            <w:tcBorders>
              <w:top w:val="single" w:sz="4" w:space="0" w:color="auto"/>
              <w:bottom w:val="nil"/>
            </w:tcBorders>
            <w:tcMar>
              <w:right w:w="142" w:type="dxa"/>
            </w:tcMar>
          </w:tcPr>
          <w:p w14:paraId="7E354AA6" w14:textId="77777777" w:rsidR="00CF2D46" w:rsidRPr="00990768" w:rsidRDefault="00CF2D46" w:rsidP="00FA7E90">
            <w:pPr>
              <w:pStyle w:val="TableText"/>
              <w:tabs>
                <w:tab w:val="decimal" w:pos="742"/>
              </w:tabs>
              <w:spacing w:before="50" w:after="50"/>
            </w:pPr>
            <w:r w:rsidRPr="00990768">
              <w:t>256.4</w:t>
            </w:r>
          </w:p>
        </w:tc>
        <w:tc>
          <w:tcPr>
            <w:tcW w:w="1489" w:type="dxa"/>
            <w:tcBorders>
              <w:top w:val="single" w:sz="4" w:space="0" w:color="auto"/>
              <w:bottom w:val="nil"/>
            </w:tcBorders>
            <w:tcMar>
              <w:right w:w="142" w:type="dxa"/>
            </w:tcMar>
          </w:tcPr>
          <w:p w14:paraId="5D7DCF8B" w14:textId="77777777" w:rsidR="00CF2D46" w:rsidRPr="00990768" w:rsidRDefault="00CF2D46" w:rsidP="00FA7E90">
            <w:pPr>
              <w:pStyle w:val="TableText"/>
              <w:tabs>
                <w:tab w:val="decimal" w:pos="956"/>
              </w:tabs>
              <w:spacing w:before="50" w:after="50"/>
            </w:pPr>
            <w:r w:rsidRPr="00990768">
              <w:t>184,200</w:t>
            </w:r>
          </w:p>
        </w:tc>
      </w:tr>
      <w:tr w:rsidR="00CF2D46" w:rsidRPr="00A33809" w14:paraId="143E4656" w14:textId="77777777" w:rsidTr="00935BD9">
        <w:trPr>
          <w:cantSplit/>
        </w:trPr>
        <w:tc>
          <w:tcPr>
            <w:tcW w:w="2127" w:type="dxa"/>
            <w:tcBorders>
              <w:top w:val="nil"/>
              <w:bottom w:val="nil"/>
              <w:right w:val="single" w:sz="4" w:space="0" w:color="auto"/>
            </w:tcBorders>
            <w:shd w:val="clear" w:color="auto" w:fill="auto"/>
            <w:hideMark/>
          </w:tcPr>
          <w:p w14:paraId="330917CB" w14:textId="77777777" w:rsidR="00CF2D46" w:rsidRPr="00990768" w:rsidRDefault="00CF2D46" w:rsidP="00FA7E90">
            <w:pPr>
              <w:pStyle w:val="TableText"/>
              <w:spacing w:before="50" w:after="50"/>
            </w:pPr>
            <w:r>
              <w:t>Cannabinoids</w:t>
            </w:r>
          </w:p>
        </w:tc>
        <w:tc>
          <w:tcPr>
            <w:tcW w:w="992" w:type="dxa"/>
            <w:tcBorders>
              <w:top w:val="nil"/>
              <w:left w:val="single" w:sz="4" w:space="0" w:color="auto"/>
              <w:bottom w:val="nil"/>
            </w:tcBorders>
            <w:shd w:val="clear" w:color="auto" w:fill="auto"/>
            <w:noWrap/>
            <w:tcMar>
              <w:right w:w="142" w:type="dxa"/>
            </w:tcMar>
            <w:hideMark/>
          </w:tcPr>
          <w:p w14:paraId="7EE2854F" w14:textId="77777777" w:rsidR="00CF2D46" w:rsidRPr="00990768" w:rsidRDefault="00CF2D46" w:rsidP="00FA7E90">
            <w:pPr>
              <w:pStyle w:val="TableText"/>
              <w:tabs>
                <w:tab w:val="decimal" w:pos="459"/>
              </w:tabs>
              <w:spacing w:before="50" w:after="50"/>
            </w:pPr>
            <w:r w:rsidRPr="00990768">
              <w:t>32</w:t>
            </w:r>
          </w:p>
        </w:tc>
        <w:tc>
          <w:tcPr>
            <w:tcW w:w="1488" w:type="dxa"/>
            <w:tcBorders>
              <w:top w:val="nil"/>
              <w:bottom w:val="nil"/>
            </w:tcBorders>
            <w:shd w:val="clear" w:color="auto" w:fill="auto"/>
            <w:noWrap/>
            <w:tcMar>
              <w:right w:w="142" w:type="dxa"/>
            </w:tcMar>
            <w:hideMark/>
          </w:tcPr>
          <w:p w14:paraId="53211B3D" w14:textId="77777777" w:rsidR="00CF2D46" w:rsidRPr="00990768" w:rsidRDefault="00CF2D46" w:rsidP="00FA7E90">
            <w:pPr>
              <w:pStyle w:val="TableText"/>
              <w:tabs>
                <w:tab w:val="decimal" w:pos="742"/>
              </w:tabs>
              <w:spacing w:before="50" w:after="50"/>
            </w:pPr>
            <w:r w:rsidRPr="00990768">
              <w:t>126.3</w:t>
            </w:r>
          </w:p>
        </w:tc>
        <w:tc>
          <w:tcPr>
            <w:tcW w:w="1488" w:type="dxa"/>
            <w:tcBorders>
              <w:top w:val="nil"/>
              <w:bottom w:val="nil"/>
            </w:tcBorders>
            <w:shd w:val="clear" w:color="auto" w:fill="auto"/>
            <w:noWrap/>
            <w:tcMar>
              <w:right w:w="142" w:type="dxa"/>
            </w:tcMar>
            <w:hideMark/>
          </w:tcPr>
          <w:p w14:paraId="381ED099" w14:textId="77777777" w:rsidR="00CF2D46" w:rsidRPr="00990768" w:rsidRDefault="00CF2D46" w:rsidP="00FA7E90">
            <w:pPr>
              <w:pStyle w:val="TableText"/>
              <w:tabs>
                <w:tab w:val="decimal" w:pos="742"/>
              </w:tabs>
              <w:spacing w:before="50" w:after="50"/>
            </w:pPr>
            <w:r w:rsidRPr="00990768">
              <w:t>130.1</w:t>
            </w:r>
          </w:p>
        </w:tc>
        <w:tc>
          <w:tcPr>
            <w:tcW w:w="1488" w:type="dxa"/>
            <w:tcBorders>
              <w:top w:val="nil"/>
              <w:bottom w:val="nil"/>
            </w:tcBorders>
            <w:tcMar>
              <w:right w:w="142" w:type="dxa"/>
            </w:tcMar>
          </w:tcPr>
          <w:p w14:paraId="11354478" w14:textId="77777777" w:rsidR="00CF2D46" w:rsidRPr="00990768" w:rsidRDefault="00CF2D46" w:rsidP="00FA7E90">
            <w:pPr>
              <w:pStyle w:val="TableText"/>
              <w:tabs>
                <w:tab w:val="decimal" w:pos="742"/>
              </w:tabs>
              <w:spacing w:before="50" w:after="50"/>
            </w:pPr>
            <w:r w:rsidRPr="00990768">
              <w:t>256.4</w:t>
            </w:r>
          </w:p>
        </w:tc>
        <w:tc>
          <w:tcPr>
            <w:tcW w:w="1489" w:type="dxa"/>
            <w:tcBorders>
              <w:top w:val="nil"/>
              <w:bottom w:val="nil"/>
            </w:tcBorders>
            <w:tcMar>
              <w:right w:w="142" w:type="dxa"/>
            </w:tcMar>
          </w:tcPr>
          <w:p w14:paraId="43905CA0" w14:textId="77777777" w:rsidR="00CF2D46" w:rsidRPr="00990768" w:rsidRDefault="00CF2D46" w:rsidP="00FA7E90">
            <w:pPr>
              <w:pStyle w:val="TableText"/>
              <w:tabs>
                <w:tab w:val="decimal" w:pos="956"/>
              </w:tabs>
              <w:spacing w:before="50" w:after="50"/>
            </w:pPr>
            <w:r w:rsidRPr="00990768">
              <w:t>9,900</w:t>
            </w:r>
          </w:p>
        </w:tc>
      </w:tr>
      <w:tr w:rsidR="00CF2D46" w:rsidRPr="00A33809" w14:paraId="2F7D1022" w14:textId="77777777" w:rsidTr="00935BD9">
        <w:trPr>
          <w:cantSplit/>
        </w:trPr>
        <w:tc>
          <w:tcPr>
            <w:tcW w:w="2127" w:type="dxa"/>
            <w:tcBorders>
              <w:top w:val="nil"/>
              <w:bottom w:val="nil"/>
              <w:right w:val="single" w:sz="4" w:space="0" w:color="auto"/>
            </w:tcBorders>
            <w:shd w:val="clear" w:color="auto" w:fill="auto"/>
            <w:hideMark/>
          </w:tcPr>
          <w:p w14:paraId="341D0D69" w14:textId="16199F60" w:rsidR="00CF2D46" w:rsidRPr="00990768" w:rsidRDefault="00CF2D46" w:rsidP="00AE5A19">
            <w:pPr>
              <w:pStyle w:val="TableText"/>
              <w:spacing w:before="50" w:after="50"/>
            </w:pPr>
            <w:r>
              <w:t xml:space="preserve">Hallucinogenic </w:t>
            </w:r>
            <w:r w:rsidR="00935BD9">
              <w:t>and</w:t>
            </w:r>
            <w:r>
              <w:t xml:space="preserve"> psychedelic drugs</w:t>
            </w:r>
          </w:p>
        </w:tc>
        <w:tc>
          <w:tcPr>
            <w:tcW w:w="992" w:type="dxa"/>
            <w:tcBorders>
              <w:top w:val="nil"/>
              <w:left w:val="single" w:sz="4" w:space="0" w:color="auto"/>
              <w:bottom w:val="nil"/>
            </w:tcBorders>
            <w:shd w:val="clear" w:color="auto" w:fill="auto"/>
            <w:noWrap/>
            <w:tcMar>
              <w:right w:w="142" w:type="dxa"/>
            </w:tcMar>
            <w:hideMark/>
          </w:tcPr>
          <w:p w14:paraId="59984983" w14:textId="77777777" w:rsidR="00CF2D46" w:rsidRPr="00990768" w:rsidRDefault="00CF2D46" w:rsidP="00FA7E90">
            <w:pPr>
              <w:pStyle w:val="TableText"/>
              <w:tabs>
                <w:tab w:val="decimal" w:pos="459"/>
              </w:tabs>
              <w:spacing w:before="50" w:after="50"/>
            </w:pPr>
            <w:r w:rsidRPr="00990768">
              <w:t>1</w:t>
            </w:r>
          </w:p>
        </w:tc>
        <w:tc>
          <w:tcPr>
            <w:tcW w:w="1488" w:type="dxa"/>
            <w:tcBorders>
              <w:top w:val="nil"/>
              <w:bottom w:val="nil"/>
            </w:tcBorders>
            <w:shd w:val="clear" w:color="auto" w:fill="auto"/>
            <w:noWrap/>
            <w:tcMar>
              <w:right w:w="142" w:type="dxa"/>
            </w:tcMar>
            <w:hideMark/>
          </w:tcPr>
          <w:p w14:paraId="424914A9" w14:textId="77777777" w:rsidR="00CF2D46" w:rsidRPr="00990768" w:rsidRDefault="00CF2D46" w:rsidP="00FA7E90">
            <w:pPr>
              <w:pStyle w:val="TableText"/>
              <w:tabs>
                <w:tab w:val="decimal" w:pos="742"/>
              </w:tabs>
              <w:spacing w:before="50" w:after="50"/>
            </w:pPr>
            <w:r w:rsidRPr="00990768">
              <w:t>3.9</w:t>
            </w:r>
          </w:p>
        </w:tc>
        <w:tc>
          <w:tcPr>
            <w:tcW w:w="1488" w:type="dxa"/>
            <w:tcBorders>
              <w:top w:val="nil"/>
              <w:bottom w:val="nil"/>
            </w:tcBorders>
            <w:shd w:val="clear" w:color="auto" w:fill="auto"/>
            <w:noWrap/>
            <w:tcMar>
              <w:right w:w="142" w:type="dxa"/>
            </w:tcMar>
            <w:hideMark/>
          </w:tcPr>
          <w:p w14:paraId="08AA6AB8" w14:textId="77777777" w:rsidR="00CF2D46" w:rsidRPr="00990768" w:rsidRDefault="00CF2D46" w:rsidP="00FA7E90">
            <w:pPr>
              <w:pStyle w:val="TableText"/>
              <w:tabs>
                <w:tab w:val="decimal" w:pos="742"/>
              </w:tabs>
              <w:spacing w:before="50" w:after="50"/>
            </w:pPr>
            <w:r w:rsidRPr="00990768">
              <w:t>4.1</w:t>
            </w:r>
          </w:p>
        </w:tc>
        <w:tc>
          <w:tcPr>
            <w:tcW w:w="1488" w:type="dxa"/>
            <w:tcBorders>
              <w:top w:val="nil"/>
              <w:bottom w:val="nil"/>
            </w:tcBorders>
            <w:tcMar>
              <w:right w:w="142" w:type="dxa"/>
            </w:tcMar>
          </w:tcPr>
          <w:p w14:paraId="0CCCC7B9" w14:textId="77777777" w:rsidR="00CF2D46" w:rsidRPr="00990768" w:rsidRDefault="00CF2D46" w:rsidP="00FA7E90">
            <w:pPr>
              <w:pStyle w:val="TableText"/>
              <w:tabs>
                <w:tab w:val="decimal" w:pos="742"/>
              </w:tabs>
              <w:spacing w:before="50" w:after="50"/>
            </w:pPr>
            <w:r w:rsidRPr="00990768">
              <w:t>8.0</w:t>
            </w:r>
          </w:p>
        </w:tc>
        <w:tc>
          <w:tcPr>
            <w:tcW w:w="1489" w:type="dxa"/>
            <w:tcBorders>
              <w:top w:val="nil"/>
              <w:bottom w:val="nil"/>
            </w:tcBorders>
            <w:tcMar>
              <w:right w:w="142" w:type="dxa"/>
            </w:tcMar>
          </w:tcPr>
          <w:p w14:paraId="2716C47F" w14:textId="77777777" w:rsidR="00CF2D46" w:rsidRPr="00990768" w:rsidRDefault="00CF2D46" w:rsidP="00FA7E90">
            <w:pPr>
              <w:pStyle w:val="TableText"/>
              <w:tabs>
                <w:tab w:val="decimal" w:pos="956"/>
              </w:tabs>
              <w:spacing w:before="50" w:after="50"/>
            </w:pPr>
            <w:r w:rsidRPr="00990768">
              <w:t>17,800</w:t>
            </w:r>
          </w:p>
        </w:tc>
      </w:tr>
      <w:tr w:rsidR="00CF2D46" w:rsidRPr="00A33809" w14:paraId="07D54849" w14:textId="77777777" w:rsidTr="00935BD9">
        <w:trPr>
          <w:cantSplit/>
        </w:trPr>
        <w:tc>
          <w:tcPr>
            <w:tcW w:w="2127" w:type="dxa"/>
            <w:tcBorders>
              <w:top w:val="nil"/>
              <w:bottom w:val="single" w:sz="4" w:space="0" w:color="auto"/>
              <w:right w:val="single" w:sz="4" w:space="0" w:color="auto"/>
            </w:tcBorders>
            <w:shd w:val="clear" w:color="auto" w:fill="auto"/>
            <w:hideMark/>
          </w:tcPr>
          <w:p w14:paraId="6BE0B394" w14:textId="7003D35B" w:rsidR="00CF2D46" w:rsidRPr="00990768" w:rsidRDefault="00CF2D46" w:rsidP="00AE5A19">
            <w:pPr>
              <w:pStyle w:val="TableText"/>
              <w:spacing w:before="50" w:after="50"/>
            </w:pPr>
            <w:r>
              <w:t xml:space="preserve">Opioid </w:t>
            </w:r>
            <w:r w:rsidR="00935BD9">
              <w:t>and</w:t>
            </w:r>
            <w:r>
              <w:t xml:space="preserve"> sedative drugs</w:t>
            </w:r>
          </w:p>
        </w:tc>
        <w:tc>
          <w:tcPr>
            <w:tcW w:w="992" w:type="dxa"/>
            <w:tcBorders>
              <w:top w:val="nil"/>
              <w:left w:val="single" w:sz="4" w:space="0" w:color="auto"/>
              <w:bottom w:val="single" w:sz="4" w:space="0" w:color="auto"/>
            </w:tcBorders>
            <w:shd w:val="clear" w:color="auto" w:fill="auto"/>
            <w:noWrap/>
            <w:tcMar>
              <w:right w:w="142" w:type="dxa"/>
            </w:tcMar>
            <w:hideMark/>
          </w:tcPr>
          <w:p w14:paraId="26561CB1" w14:textId="77777777" w:rsidR="00CF2D46" w:rsidRPr="00990768" w:rsidRDefault="00CF2D46" w:rsidP="00FA7E90">
            <w:pPr>
              <w:pStyle w:val="TableText"/>
              <w:tabs>
                <w:tab w:val="decimal" w:pos="459"/>
              </w:tabs>
              <w:spacing w:before="50" w:after="50"/>
            </w:pPr>
            <w:r w:rsidRPr="00990768">
              <w:t>10</w:t>
            </w:r>
          </w:p>
        </w:tc>
        <w:tc>
          <w:tcPr>
            <w:tcW w:w="1488" w:type="dxa"/>
            <w:tcBorders>
              <w:top w:val="nil"/>
              <w:bottom w:val="single" w:sz="4" w:space="0" w:color="auto"/>
            </w:tcBorders>
            <w:shd w:val="clear" w:color="auto" w:fill="auto"/>
            <w:noWrap/>
            <w:tcMar>
              <w:right w:w="142" w:type="dxa"/>
            </w:tcMar>
            <w:hideMark/>
          </w:tcPr>
          <w:p w14:paraId="509789BE" w14:textId="77777777" w:rsidR="00CF2D46" w:rsidRPr="00990768" w:rsidRDefault="00CF2D46" w:rsidP="00FA7E90">
            <w:pPr>
              <w:pStyle w:val="TableText"/>
              <w:tabs>
                <w:tab w:val="decimal" w:pos="742"/>
              </w:tabs>
              <w:spacing w:before="50" w:after="50"/>
            </w:pPr>
            <w:r w:rsidRPr="00990768">
              <w:t>39.5</w:t>
            </w:r>
          </w:p>
        </w:tc>
        <w:tc>
          <w:tcPr>
            <w:tcW w:w="1488" w:type="dxa"/>
            <w:tcBorders>
              <w:top w:val="nil"/>
              <w:bottom w:val="single" w:sz="4" w:space="0" w:color="auto"/>
            </w:tcBorders>
            <w:shd w:val="clear" w:color="auto" w:fill="auto"/>
            <w:noWrap/>
            <w:tcMar>
              <w:right w:w="142" w:type="dxa"/>
            </w:tcMar>
            <w:hideMark/>
          </w:tcPr>
          <w:p w14:paraId="608C16E3" w14:textId="77777777" w:rsidR="00CF2D46" w:rsidRPr="00990768" w:rsidRDefault="00CF2D46" w:rsidP="00FA7E90">
            <w:pPr>
              <w:pStyle w:val="TableText"/>
              <w:tabs>
                <w:tab w:val="decimal" w:pos="742"/>
              </w:tabs>
              <w:spacing w:before="50" w:after="50"/>
            </w:pPr>
            <w:r w:rsidRPr="00990768">
              <w:t>40.6</w:t>
            </w:r>
          </w:p>
        </w:tc>
        <w:tc>
          <w:tcPr>
            <w:tcW w:w="1488" w:type="dxa"/>
            <w:tcBorders>
              <w:top w:val="nil"/>
              <w:bottom w:val="single" w:sz="4" w:space="0" w:color="auto"/>
            </w:tcBorders>
            <w:tcMar>
              <w:right w:w="142" w:type="dxa"/>
            </w:tcMar>
          </w:tcPr>
          <w:p w14:paraId="7956ECA3" w14:textId="77777777" w:rsidR="00CF2D46" w:rsidRPr="00990768" w:rsidRDefault="00CF2D46" w:rsidP="00FA7E90">
            <w:pPr>
              <w:pStyle w:val="TableText"/>
              <w:tabs>
                <w:tab w:val="decimal" w:pos="742"/>
              </w:tabs>
              <w:spacing w:before="50" w:after="50"/>
            </w:pPr>
            <w:r w:rsidRPr="00990768">
              <w:t>80.1</w:t>
            </w:r>
          </w:p>
        </w:tc>
        <w:tc>
          <w:tcPr>
            <w:tcW w:w="1489" w:type="dxa"/>
            <w:tcBorders>
              <w:top w:val="nil"/>
              <w:bottom w:val="single" w:sz="4" w:space="0" w:color="auto"/>
            </w:tcBorders>
            <w:tcMar>
              <w:right w:w="142" w:type="dxa"/>
            </w:tcMar>
          </w:tcPr>
          <w:p w14:paraId="16C111D1" w14:textId="77777777" w:rsidR="00CF2D46" w:rsidRPr="00990768" w:rsidRDefault="00CF2D46" w:rsidP="00FA7E90">
            <w:pPr>
              <w:pStyle w:val="TableText"/>
              <w:tabs>
                <w:tab w:val="decimal" w:pos="956"/>
              </w:tabs>
              <w:spacing w:before="50" w:after="50"/>
            </w:pPr>
            <w:r w:rsidRPr="00990768">
              <w:t>39,600</w:t>
            </w:r>
          </w:p>
        </w:tc>
      </w:tr>
      <w:tr w:rsidR="00CF2D46" w:rsidRPr="00935BD9" w14:paraId="195C5667" w14:textId="77777777" w:rsidTr="00935BD9">
        <w:trPr>
          <w:cantSplit/>
        </w:trPr>
        <w:tc>
          <w:tcPr>
            <w:tcW w:w="2127" w:type="dxa"/>
            <w:tcBorders>
              <w:top w:val="single" w:sz="4" w:space="0" w:color="auto"/>
              <w:bottom w:val="single" w:sz="4" w:space="0" w:color="auto"/>
              <w:right w:val="single" w:sz="4" w:space="0" w:color="auto"/>
            </w:tcBorders>
            <w:shd w:val="clear" w:color="auto" w:fill="auto"/>
          </w:tcPr>
          <w:p w14:paraId="1C42C554" w14:textId="77777777" w:rsidR="00CF2D46" w:rsidRPr="00935BD9" w:rsidRDefault="00CF2D46" w:rsidP="00FA7E90">
            <w:pPr>
              <w:pStyle w:val="TableText"/>
              <w:spacing w:before="50" w:after="50"/>
              <w:ind w:right="142"/>
              <w:jc w:val="right"/>
              <w:rPr>
                <w:b/>
              </w:rPr>
            </w:pPr>
            <w:r w:rsidRPr="00935BD9">
              <w:rPr>
                <w:b/>
              </w:rPr>
              <w:t>Total</w:t>
            </w:r>
          </w:p>
        </w:tc>
        <w:tc>
          <w:tcPr>
            <w:tcW w:w="992" w:type="dxa"/>
            <w:tcBorders>
              <w:top w:val="single" w:sz="4" w:space="0" w:color="auto"/>
              <w:left w:val="single" w:sz="4" w:space="0" w:color="auto"/>
              <w:bottom w:val="single" w:sz="4" w:space="0" w:color="auto"/>
            </w:tcBorders>
            <w:shd w:val="clear" w:color="auto" w:fill="auto"/>
            <w:noWrap/>
            <w:tcMar>
              <w:right w:w="142" w:type="dxa"/>
            </w:tcMar>
          </w:tcPr>
          <w:p w14:paraId="4898F2D2" w14:textId="77777777" w:rsidR="00CF2D46" w:rsidRPr="00935BD9" w:rsidRDefault="00CF2D46" w:rsidP="00FA7E90">
            <w:pPr>
              <w:pStyle w:val="TableText"/>
              <w:tabs>
                <w:tab w:val="decimal" w:pos="459"/>
              </w:tabs>
              <w:spacing w:before="50" w:after="50"/>
              <w:rPr>
                <w:b/>
              </w:rPr>
            </w:pPr>
            <w:r w:rsidRPr="00935BD9">
              <w:rPr>
                <w:b/>
              </w:rPr>
              <w:t>75</w:t>
            </w:r>
          </w:p>
        </w:tc>
        <w:tc>
          <w:tcPr>
            <w:tcW w:w="1488" w:type="dxa"/>
            <w:tcBorders>
              <w:top w:val="single" w:sz="4" w:space="0" w:color="auto"/>
              <w:bottom w:val="single" w:sz="4" w:space="0" w:color="auto"/>
            </w:tcBorders>
            <w:shd w:val="clear" w:color="auto" w:fill="auto"/>
            <w:noWrap/>
            <w:tcMar>
              <w:right w:w="142" w:type="dxa"/>
            </w:tcMar>
          </w:tcPr>
          <w:p w14:paraId="2EA82AD2" w14:textId="77777777" w:rsidR="00CF2D46" w:rsidRPr="00935BD9" w:rsidRDefault="00CF2D46" w:rsidP="00FA7E90">
            <w:pPr>
              <w:pStyle w:val="TableText"/>
              <w:tabs>
                <w:tab w:val="decimal" w:pos="742"/>
              </w:tabs>
              <w:spacing w:before="50" w:after="50"/>
              <w:rPr>
                <w:b/>
              </w:rPr>
            </w:pPr>
            <w:r w:rsidRPr="00935BD9">
              <w:rPr>
                <w:b/>
              </w:rPr>
              <w:t>296.1</w:t>
            </w:r>
          </w:p>
        </w:tc>
        <w:tc>
          <w:tcPr>
            <w:tcW w:w="1488" w:type="dxa"/>
            <w:tcBorders>
              <w:top w:val="single" w:sz="4" w:space="0" w:color="auto"/>
              <w:bottom w:val="single" w:sz="4" w:space="0" w:color="auto"/>
            </w:tcBorders>
            <w:shd w:val="clear" w:color="auto" w:fill="auto"/>
            <w:noWrap/>
            <w:tcMar>
              <w:right w:w="142" w:type="dxa"/>
            </w:tcMar>
          </w:tcPr>
          <w:p w14:paraId="047F8D8A" w14:textId="77777777" w:rsidR="00CF2D46" w:rsidRPr="00935BD9" w:rsidRDefault="00CF2D46" w:rsidP="00FA7E90">
            <w:pPr>
              <w:pStyle w:val="TableText"/>
              <w:tabs>
                <w:tab w:val="decimal" w:pos="742"/>
              </w:tabs>
              <w:spacing w:before="50" w:after="50"/>
              <w:rPr>
                <w:b/>
              </w:rPr>
            </w:pPr>
            <w:r w:rsidRPr="00935BD9">
              <w:rPr>
                <w:b/>
              </w:rPr>
              <w:t>304.8</w:t>
            </w:r>
          </w:p>
        </w:tc>
        <w:tc>
          <w:tcPr>
            <w:tcW w:w="1488" w:type="dxa"/>
            <w:tcBorders>
              <w:top w:val="single" w:sz="4" w:space="0" w:color="auto"/>
              <w:bottom w:val="single" w:sz="4" w:space="0" w:color="auto"/>
            </w:tcBorders>
            <w:tcMar>
              <w:right w:w="142" w:type="dxa"/>
            </w:tcMar>
          </w:tcPr>
          <w:p w14:paraId="2C65930B" w14:textId="77777777" w:rsidR="00CF2D46" w:rsidRPr="00935BD9" w:rsidRDefault="00CF2D46" w:rsidP="00FA7E90">
            <w:pPr>
              <w:pStyle w:val="TableText"/>
              <w:tabs>
                <w:tab w:val="decimal" w:pos="742"/>
              </w:tabs>
              <w:spacing w:before="50" w:after="50"/>
              <w:rPr>
                <w:b/>
              </w:rPr>
            </w:pPr>
            <w:r w:rsidRPr="00935BD9">
              <w:rPr>
                <w:b/>
              </w:rPr>
              <w:t>601.0</w:t>
            </w:r>
          </w:p>
        </w:tc>
        <w:tc>
          <w:tcPr>
            <w:tcW w:w="1489" w:type="dxa"/>
            <w:tcBorders>
              <w:top w:val="single" w:sz="4" w:space="0" w:color="auto"/>
              <w:bottom w:val="single" w:sz="4" w:space="0" w:color="auto"/>
            </w:tcBorders>
            <w:tcMar>
              <w:right w:w="142" w:type="dxa"/>
            </w:tcMar>
          </w:tcPr>
          <w:p w14:paraId="4FC6D168" w14:textId="77777777" w:rsidR="00CF2D46" w:rsidRPr="00935BD9" w:rsidRDefault="00CF2D46" w:rsidP="00FA7E90">
            <w:pPr>
              <w:pStyle w:val="TableText"/>
              <w:tabs>
                <w:tab w:val="decimal" w:pos="956"/>
              </w:tabs>
              <w:spacing w:before="50" w:after="50"/>
              <w:rPr>
                <w:b/>
              </w:rPr>
            </w:pPr>
            <w:r w:rsidRPr="00935BD9">
              <w:rPr>
                <w:b/>
              </w:rPr>
              <w:t>20,100</w:t>
            </w:r>
          </w:p>
        </w:tc>
      </w:tr>
    </w:tbl>
    <w:p w14:paraId="066B7C2C" w14:textId="77777777" w:rsidR="00CF2D46" w:rsidRDefault="00CF2D46" w:rsidP="00935BD9">
      <w:pPr>
        <w:pStyle w:val="Note"/>
        <w:rPr>
          <w:lang w:eastAsia="en-AU"/>
        </w:rPr>
      </w:pPr>
      <w:r w:rsidRPr="008A6A4E">
        <w:rPr>
          <w:lang w:eastAsia="en-AU"/>
        </w:rPr>
        <w:t>*</w:t>
      </w:r>
      <w:r w:rsidR="00935BD9">
        <w:rPr>
          <w:lang w:eastAsia="en-AU"/>
        </w:rPr>
        <w:tab/>
      </w:r>
      <w:r w:rsidRPr="008A6A4E">
        <w:rPr>
          <w:lang w:eastAsia="en-AU"/>
        </w:rPr>
        <w:t>Disability costs as a proportion of premature death costs</w:t>
      </w:r>
      <w:r>
        <w:rPr>
          <w:lang w:eastAsia="en-AU"/>
        </w:rPr>
        <w:t>. M</w:t>
      </w:r>
      <w:r w:rsidRPr="008A6A4E">
        <w:rPr>
          <w:lang w:eastAsia="en-AU"/>
        </w:rPr>
        <w:t>ultiplier is 1.03</w:t>
      </w:r>
      <w:r w:rsidR="00935BD9">
        <w:rPr>
          <w:lang w:eastAsia="en-AU"/>
        </w:rPr>
        <w:t>.</w:t>
      </w:r>
    </w:p>
    <w:p w14:paraId="648753C9" w14:textId="77777777" w:rsidR="00CF2D46" w:rsidRPr="00544C47" w:rsidRDefault="00CF2D46" w:rsidP="002C1476">
      <w:pPr>
        <w:pStyle w:val="Heading3"/>
        <w:rPr>
          <w:lang w:eastAsia="en-AU"/>
        </w:rPr>
      </w:pPr>
      <w:r w:rsidRPr="00544C47">
        <w:rPr>
          <w:lang w:eastAsia="en-AU"/>
        </w:rPr>
        <w:t>Summary</w:t>
      </w:r>
      <w:r>
        <w:rPr>
          <w:lang w:eastAsia="en-AU"/>
        </w:rPr>
        <w:t xml:space="preserve"> and comment</w:t>
      </w:r>
    </w:p>
    <w:p w14:paraId="36A641E0" w14:textId="77777777" w:rsidR="00CF2D46" w:rsidRDefault="00CF2D46" w:rsidP="00FA7E90">
      <w:pPr>
        <w:rPr>
          <w:lang w:eastAsia="en-AU"/>
        </w:rPr>
      </w:pPr>
      <w:r>
        <w:rPr>
          <w:lang w:eastAsia="en-AU"/>
        </w:rPr>
        <w:t xml:space="preserve">In previous versions of the DHI in New Zealand and Australia, the true cost of drug abuse to drug users has been obscured by the classificatory system used, which derived from cost-of-drug-abuse studies carried out in Australia by Collins and </w:t>
      </w:r>
      <w:proofErr w:type="spellStart"/>
      <w:r>
        <w:rPr>
          <w:lang w:eastAsia="en-AU"/>
        </w:rPr>
        <w:t>Lapsley</w:t>
      </w:r>
      <w:proofErr w:type="spellEnd"/>
      <w:r>
        <w:rPr>
          <w:lang w:eastAsia="en-AU"/>
        </w:rPr>
        <w:t xml:space="preserve"> (2002, 2008). The total cost of personal harm to drug users in New Zealand is now estimated at $601.0 million, with half of that amount due to years lived with a drug-related disability. </w:t>
      </w:r>
      <w:r w:rsidRPr="00E822B7">
        <w:rPr>
          <w:lang w:eastAsia="en-AU"/>
        </w:rPr>
        <w:t>Cannabinoids and ATS caused</w:t>
      </w:r>
      <w:r>
        <w:rPr>
          <w:lang w:eastAsia="en-AU"/>
        </w:rPr>
        <w:t xml:space="preserve"> the most harm in total. The personal harm to individual users reveals a different story, with</w:t>
      </w:r>
      <w:r w:rsidRPr="00D92C26">
        <w:rPr>
          <w:lang w:eastAsia="en-AU"/>
        </w:rPr>
        <w:t xml:space="preserve"> </w:t>
      </w:r>
      <w:r>
        <w:rPr>
          <w:lang w:eastAsia="en-AU"/>
        </w:rPr>
        <w:t>ATS</w:t>
      </w:r>
      <w:r w:rsidRPr="00D92C26">
        <w:rPr>
          <w:lang w:eastAsia="en-AU"/>
        </w:rPr>
        <w:t xml:space="preserve"> causing </w:t>
      </w:r>
      <w:r>
        <w:rPr>
          <w:lang w:eastAsia="en-AU"/>
        </w:rPr>
        <w:t xml:space="preserve">the most harm at </w:t>
      </w:r>
      <w:r w:rsidRPr="00D92C26">
        <w:rPr>
          <w:lang w:eastAsia="en-AU"/>
        </w:rPr>
        <w:t>$1</w:t>
      </w:r>
      <w:r>
        <w:rPr>
          <w:lang w:eastAsia="en-AU"/>
        </w:rPr>
        <w:t xml:space="preserve">84,200 </w:t>
      </w:r>
      <w:r w:rsidRPr="00D92C26">
        <w:rPr>
          <w:lang w:eastAsia="en-AU"/>
        </w:rPr>
        <w:t>per dependent user</w:t>
      </w:r>
      <w:r>
        <w:rPr>
          <w:lang w:eastAsia="en-AU"/>
        </w:rPr>
        <w:t>, while cannabinoids account for the least personal harm at $9,900 per annum per dependent user</w:t>
      </w:r>
      <w:r w:rsidRPr="00D92C26">
        <w:rPr>
          <w:lang w:eastAsia="en-AU"/>
        </w:rPr>
        <w:t>.</w:t>
      </w:r>
      <w:r>
        <w:rPr>
          <w:lang w:eastAsia="en-AU"/>
        </w:rPr>
        <w:t xml:space="preserve"> The high overall cost associated with cannabinoids is due largely to the extent of consumption in New Zealand. Later the results of the expert panel will suggest that there are significant differences between social costs associated with natural and synthetic cannabis.</w:t>
      </w:r>
    </w:p>
    <w:p w14:paraId="233A11E2" w14:textId="77777777" w:rsidR="00CF2D46" w:rsidRDefault="00CF2D46" w:rsidP="00FA7E90">
      <w:r>
        <w:rPr>
          <w:lang w:eastAsia="en-AU"/>
        </w:rPr>
        <w:t>The apportioning of all personal harms solely to dependent users is worthy of comment. There is a small amount of personal harm incurred by casual users; however, this amount is almost negligible in relation to the harms casual use inflicts on the broader community (this will be the subject of later discussion). Rather than make an unreliable estimate of a minor cost, it was decided to fold these costs into those incurred by dependent users.</w:t>
      </w:r>
    </w:p>
    <w:p w14:paraId="05CCC6F9" w14:textId="77777777" w:rsidR="00CF2D46" w:rsidRPr="001B3DF5" w:rsidRDefault="00CF2D46" w:rsidP="00FA7E90">
      <w:pPr>
        <w:pStyle w:val="Heading2"/>
        <w:rPr>
          <w:lang w:eastAsia="en-AU"/>
        </w:rPr>
      </w:pPr>
      <w:bookmarkStart w:id="29" w:name="_Toc444941795"/>
      <w:r w:rsidRPr="001B3DF5">
        <w:rPr>
          <w:lang w:eastAsia="en-AU"/>
        </w:rPr>
        <w:t xml:space="preserve">Community </w:t>
      </w:r>
      <w:r>
        <w:rPr>
          <w:lang w:eastAsia="en-AU"/>
        </w:rPr>
        <w:t>h</w:t>
      </w:r>
      <w:r w:rsidRPr="001B3DF5">
        <w:rPr>
          <w:lang w:eastAsia="en-AU"/>
        </w:rPr>
        <w:t>arms</w:t>
      </w:r>
      <w:bookmarkEnd w:id="29"/>
    </w:p>
    <w:p w14:paraId="1BF9F6F5" w14:textId="77777777" w:rsidR="00CF2D46" w:rsidRDefault="00CF2D46" w:rsidP="00FA7E90">
      <w:pPr>
        <w:rPr>
          <w:lang w:eastAsia="en-AU"/>
        </w:rPr>
      </w:pPr>
      <w:r w:rsidRPr="001B3DF5">
        <w:rPr>
          <w:lang w:eastAsia="en-AU"/>
        </w:rPr>
        <w:t>Community harms occur in different domains. First, there are specific harms that affect the family and friends of drug users. The current revision of the DHI is the first published DHI to include this</w:t>
      </w:r>
      <w:r w:rsidRPr="00930A88">
        <w:rPr>
          <w:lang w:eastAsia="en-AU"/>
        </w:rPr>
        <w:t xml:space="preserve"> cost. Second, there are a variety of harms that follow drug-related crime</w:t>
      </w:r>
      <w:r>
        <w:rPr>
          <w:lang w:eastAsia="en-AU"/>
        </w:rPr>
        <w:t>, including acquisitive crime by drug users to fund drug purchases, and the reinvestment of profits in a wider range of crimes to assist in the diversification of criminal enterprises.</w:t>
      </w:r>
      <w:r w:rsidRPr="00930A88">
        <w:rPr>
          <w:lang w:eastAsia="en-AU"/>
        </w:rPr>
        <w:t xml:space="preserve"> Third, there are harms caused by </w:t>
      </w:r>
      <w:r>
        <w:rPr>
          <w:lang w:eastAsia="en-AU"/>
        </w:rPr>
        <w:t>a reduced revenue base to the government. The sale of illicit drugs is not subject to GST, and organised crime does not pay company tax on its profits. The reduced tax base means fewer funds are available for services such as health, education and infrastructure spending.</w:t>
      </w:r>
    </w:p>
    <w:p w14:paraId="5F83C6D4" w14:textId="77777777" w:rsidR="00CF2D46" w:rsidRDefault="00CF2D46" w:rsidP="00FA7E90">
      <w:pPr>
        <w:pStyle w:val="Heading3"/>
        <w:rPr>
          <w:lang w:eastAsia="en-AU"/>
        </w:rPr>
      </w:pPr>
      <w:r w:rsidRPr="00930A88">
        <w:rPr>
          <w:lang w:eastAsia="en-AU"/>
        </w:rPr>
        <w:t xml:space="preserve">Family and friends of drug </w:t>
      </w:r>
      <w:r>
        <w:rPr>
          <w:lang w:eastAsia="en-AU"/>
        </w:rPr>
        <w:t>users</w:t>
      </w:r>
    </w:p>
    <w:p w14:paraId="5D6FAB33" w14:textId="77777777" w:rsidR="00990768" w:rsidRDefault="00CF2D46" w:rsidP="00FA7E90">
      <w:pPr>
        <w:rPr>
          <w:lang w:eastAsia="en-AU"/>
        </w:rPr>
      </w:pPr>
      <w:r w:rsidRPr="00925402">
        <w:rPr>
          <w:lang w:eastAsia="en-AU"/>
        </w:rPr>
        <w:t>Traditionally</w:t>
      </w:r>
      <w:r w:rsidRPr="008F6E05">
        <w:rPr>
          <w:lang w:eastAsia="en-AU"/>
        </w:rPr>
        <w:t>, the literature, including advice from a range of organisations, tend</w:t>
      </w:r>
      <w:r w:rsidRPr="000649BB">
        <w:rPr>
          <w:lang w:eastAsia="en-AU"/>
        </w:rPr>
        <w:t>s to focus on the</w:t>
      </w:r>
      <w:r>
        <w:rPr>
          <w:lang w:eastAsia="en-AU"/>
        </w:rPr>
        <w:t xml:space="preserve"> role of family and friends as a conduit to alleviating or ameliorating the harms experienced by drug users. Intuitively one would think that family and friends would be significantly affected by the experience of a friend or family member who has a drug problem. There is a limited literature on the topic as well as recent evidence of renewed interest in this issue (Shanahan et al, 2015).</w:t>
      </w:r>
    </w:p>
    <w:p w14:paraId="2007AADB" w14:textId="77777777" w:rsidR="00CF2D46" w:rsidRDefault="00CF2D46" w:rsidP="00FA7E90">
      <w:pPr>
        <w:rPr>
          <w:lang w:eastAsia="en-AU"/>
        </w:rPr>
      </w:pPr>
      <w:r>
        <w:rPr>
          <w:lang w:eastAsia="en-AU"/>
        </w:rPr>
        <w:t xml:space="preserve">Nevertheless, in previous versions of the DHI, the harm to family and friends was largely absent and what was included was hidden within other categories. There is reason to believe that the harm experienced by family and friends is an important issue in its own right. </w:t>
      </w:r>
      <w:proofErr w:type="spellStart"/>
      <w:r>
        <w:rPr>
          <w:lang w:eastAsia="en-AU"/>
        </w:rPr>
        <w:t>Melberg</w:t>
      </w:r>
      <w:proofErr w:type="spellEnd"/>
      <w:r>
        <w:rPr>
          <w:lang w:eastAsia="en-AU"/>
        </w:rPr>
        <w:t xml:space="preserve"> et al (2011) conducted </w:t>
      </w:r>
      <w:r w:rsidRPr="00F353EC">
        <w:rPr>
          <w:lang w:eastAsia="en-AU"/>
        </w:rPr>
        <w:t>a representative survey of 3</w:t>
      </w:r>
      <w:r>
        <w:rPr>
          <w:lang w:eastAsia="en-AU"/>
        </w:rPr>
        <w:t>,</w:t>
      </w:r>
      <w:r w:rsidRPr="00F353EC">
        <w:rPr>
          <w:lang w:eastAsia="en-AU"/>
        </w:rPr>
        <w:t xml:space="preserve">092 </w:t>
      </w:r>
      <w:r>
        <w:rPr>
          <w:lang w:eastAsia="en-AU"/>
        </w:rPr>
        <w:t xml:space="preserve">adults in </w:t>
      </w:r>
      <w:r w:rsidRPr="00F353EC">
        <w:rPr>
          <w:lang w:eastAsia="en-AU"/>
        </w:rPr>
        <w:t xml:space="preserve">Copenhagen, Helsinki, Oslo and Stockholm. </w:t>
      </w:r>
      <w:r>
        <w:rPr>
          <w:lang w:eastAsia="en-AU"/>
        </w:rPr>
        <w:t>Almost</w:t>
      </w:r>
      <w:r w:rsidRPr="00F353EC">
        <w:rPr>
          <w:lang w:eastAsia="en-AU"/>
        </w:rPr>
        <w:t xml:space="preserve"> half of the respondents</w:t>
      </w:r>
      <w:r>
        <w:rPr>
          <w:lang w:eastAsia="en-AU"/>
        </w:rPr>
        <w:t xml:space="preserve"> had at some time known and been concerned about the drug abuse of a personal acquaintance (i.e. family or friend)</w:t>
      </w:r>
      <w:r w:rsidRPr="00F353EC">
        <w:rPr>
          <w:lang w:eastAsia="en-AU"/>
        </w:rPr>
        <w:t xml:space="preserve">. </w:t>
      </w:r>
      <w:r>
        <w:rPr>
          <w:lang w:eastAsia="en-AU"/>
        </w:rPr>
        <w:t>In Oslo, 14% of respondents indicated that they were willing to pay for the treatment of a friend. In fact, median responses across all respondents ranged from 500 euros for a friend to 13,000 euros for a child.</w:t>
      </w:r>
    </w:p>
    <w:p w14:paraId="6132598A" w14:textId="77777777" w:rsidR="00CF2D46" w:rsidRDefault="00CF2D46" w:rsidP="00FA7E90">
      <w:pPr>
        <w:rPr>
          <w:lang w:eastAsia="en-AU"/>
        </w:rPr>
      </w:pPr>
      <w:r>
        <w:rPr>
          <w:lang w:eastAsia="en-AU"/>
        </w:rPr>
        <w:t>It is argued that the amount family and friends are willing to pay is closely related to the personal harm or distress that family and friends experience as a result of another</w:t>
      </w:r>
      <w:r w:rsidR="00990768">
        <w:rPr>
          <w:lang w:eastAsia="en-AU"/>
        </w:rPr>
        <w:t>’</w:t>
      </w:r>
      <w:r>
        <w:rPr>
          <w:lang w:eastAsia="en-AU"/>
        </w:rPr>
        <w:t xml:space="preserve">s drug habits. While a proportion of respondents willing to pay for treatment might be acting entirely from altruism, indications from the </w:t>
      </w:r>
      <w:proofErr w:type="spellStart"/>
      <w:r>
        <w:rPr>
          <w:lang w:eastAsia="en-AU"/>
        </w:rPr>
        <w:t>Melberg</w:t>
      </w:r>
      <w:proofErr w:type="spellEnd"/>
      <w:r>
        <w:rPr>
          <w:lang w:eastAsia="en-AU"/>
        </w:rPr>
        <w:t xml:space="preserve"> et al study indicate that there are significant harms experienced by family and friends, with 6.5% reporting they had feared violence from the drug user and 22.5% acknowledging they had been worried in the past 12 months. From these figures it would appear that willingness to pay and incurred harm may be closely related. It is noted that the extent of the impact altruism has on the final estimates is probably more than compensated for by conservative estimates of other key variables described in the following paragraph.</w:t>
      </w:r>
    </w:p>
    <w:p w14:paraId="63A1F5FF" w14:textId="77777777" w:rsidR="00990768" w:rsidRDefault="00CF2D46" w:rsidP="00FA7E90">
      <w:pPr>
        <w:rPr>
          <w:lang w:eastAsia="en-AU"/>
        </w:rPr>
      </w:pPr>
      <w:r>
        <w:rPr>
          <w:lang w:eastAsia="en-AU"/>
        </w:rPr>
        <w:t>The current measure assumed that the proportion of the adult population willing to pay for treatment for friend or family was the same in New Zealand as in Norway. This assumption is conservative, as New Zealand</w:t>
      </w:r>
      <w:r w:rsidR="00990768">
        <w:rPr>
          <w:lang w:eastAsia="en-AU"/>
        </w:rPr>
        <w:t>’</w:t>
      </w:r>
      <w:r>
        <w:rPr>
          <w:lang w:eastAsia="en-AU"/>
        </w:rPr>
        <w:t>s adult population has a higher proportion of current drug users than Norway</w:t>
      </w:r>
      <w:r w:rsidR="00990768">
        <w:rPr>
          <w:lang w:eastAsia="en-AU"/>
        </w:rPr>
        <w:t>’</w:t>
      </w:r>
      <w:r>
        <w:rPr>
          <w:lang w:eastAsia="en-AU"/>
        </w:rPr>
        <w:t xml:space="preserve">s. It was also assumed that the average willingness-to-pay figure for family and friends was 500 euros. Again this was a conservative figure given the range of 500 to 13,000 euros in the </w:t>
      </w:r>
      <w:proofErr w:type="spellStart"/>
      <w:r>
        <w:rPr>
          <w:lang w:eastAsia="en-AU"/>
        </w:rPr>
        <w:t>Melberg</w:t>
      </w:r>
      <w:proofErr w:type="spellEnd"/>
      <w:r>
        <w:rPr>
          <w:lang w:eastAsia="en-AU"/>
        </w:rPr>
        <w:t xml:space="preserve"> study. The number of family and friends willing to pay 500 euros each was calculated as 14% of the adult New Zealand population in 2014.</w:t>
      </w:r>
    </w:p>
    <w:p w14:paraId="576722EF" w14:textId="77777777" w:rsidR="00990768" w:rsidRDefault="00CF2D46" w:rsidP="00FA7E90">
      <w:pPr>
        <w:rPr>
          <w:lang w:eastAsia="en-AU"/>
        </w:rPr>
      </w:pPr>
      <w:r>
        <w:rPr>
          <w:lang w:eastAsia="en-AU"/>
        </w:rPr>
        <w:t xml:space="preserve">It was also assumed that drug users causing significant harm to family and friends would be dependent </w:t>
      </w:r>
      <w:r w:rsidRPr="00992EEB">
        <w:rPr>
          <w:lang w:eastAsia="en-AU"/>
        </w:rPr>
        <w:t>users. The results were converted to New Zealand dollars and adjusted by the Consumer Price Index to allow for an increase in costs since the time of the study.</w:t>
      </w:r>
    </w:p>
    <w:p w14:paraId="2AB408DC" w14:textId="77777777" w:rsidR="00CF2D46" w:rsidRPr="00F353EC" w:rsidRDefault="00CF2D46" w:rsidP="00FA7E90">
      <w:pPr>
        <w:rPr>
          <w:lang w:eastAsia="en-AU"/>
        </w:rPr>
      </w:pPr>
      <w:r>
        <w:rPr>
          <w:lang w:eastAsia="en-AU"/>
        </w:rPr>
        <w:t>The results are reported in Table 7. Estimated harm was distributed by drug group according to the number of dependent users in each. This method assumes that the number of family and friends involved is constant across drug groups. As such, the annual harm per dependent user is $14,600 regardless of the drug of abuse.</w:t>
      </w:r>
    </w:p>
    <w:p w14:paraId="57C4B830" w14:textId="77777777" w:rsidR="00CF2D46" w:rsidRPr="00227298" w:rsidRDefault="00CF2D46" w:rsidP="00FA7E90">
      <w:pPr>
        <w:pStyle w:val="Table"/>
        <w:rPr>
          <w:lang w:eastAsia="en-AU"/>
        </w:rPr>
      </w:pPr>
      <w:bookmarkStart w:id="30" w:name="_Toc444941848"/>
      <w:r w:rsidRPr="00227298">
        <w:rPr>
          <w:lang w:eastAsia="en-AU"/>
        </w:rPr>
        <w:t xml:space="preserve">Table </w:t>
      </w:r>
      <w:r>
        <w:rPr>
          <w:lang w:eastAsia="en-AU"/>
        </w:rPr>
        <w:t>7</w:t>
      </w:r>
      <w:r w:rsidRPr="00227298">
        <w:rPr>
          <w:lang w:eastAsia="en-AU"/>
        </w:rPr>
        <w:t xml:space="preserve">. Estimated harm to family and friends by drug </w:t>
      </w:r>
      <w:r>
        <w:rPr>
          <w:lang w:eastAsia="en-AU"/>
        </w:rPr>
        <w:t>group</w:t>
      </w:r>
      <w:bookmarkEnd w:id="30"/>
    </w:p>
    <w:tbl>
      <w:tblPr>
        <w:tblStyle w:val="TableGrid"/>
        <w:tblW w:w="0" w:type="auto"/>
        <w:tblInd w:w="108" w:type="dxa"/>
        <w:tblLayout w:type="fixed"/>
        <w:tblLook w:val="04A0" w:firstRow="1" w:lastRow="0" w:firstColumn="1" w:lastColumn="0" w:noHBand="0" w:noVBand="1"/>
      </w:tblPr>
      <w:tblGrid>
        <w:gridCol w:w="3969"/>
        <w:gridCol w:w="1701"/>
        <w:gridCol w:w="1985"/>
        <w:gridCol w:w="1417"/>
      </w:tblGrid>
      <w:tr w:rsidR="00CF2D46" w:rsidRPr="00FA7E90" w14:paraId="6C0DA57F" w14:textId="77777777" w:rsidTr="00FA7E90">
        <w:trPr>
          <w:cantSplit/>
        </w:trPr>
        <w:tc>
          <w:tcPr>
            <w:tcW w:w="3969" w:type="dxa"/>
            <w:tcBorders>
              <w:bottom w:val="single" w:sz="4" w:space="0" w:color="auto"/>
              <w:right w:val="single" w:sz="4" w:space="0" w:color="auto"/>
            </w:tcBorders>
          </w:tcPr>
          <w:p w14:paraId="30DAE23B" w14:textId="77777777" w:rsidR="00CF2D46" w:rsidRPr="00FA7E90" w:rsidRDefault="00CF2D46" w:rsidP="00FA7E90">
            <w:pPr>
              <w:pStyle w:val="TableText"/>
              <w:rPr>
                <w:b/>
              </w:rPr>
            </w:pPr>
            <w:r w:rsidRPr="00FA7E90">
              <w:rPr>
                <w:b/>
              </w:rPr>
              <w:t>Drug group</w:t>
            </w:r>
          </w:p>
        </w:tc>
        <w:tc>
          <w:tcPr>
            <w:tcW w:w="1701" w:type="dxa"/>
            <w:tcBorders>
              <w:top w:val="single" w:sz="4" w:space="0" w:color="auto"/>
              <w:left w:val="single" w:sz="4" w:space="0" w:color="auto"/>
              <w:bottom w:val="single" w:sz="4" w:space="0" w:color="auto"/>
              <w:right w:val="nil"/>
            </w:tcBorders>
          </w:tcPr>
          <w:p w14:paraId="5825AE46" w14:textId="77777777" w:rsidR="00CF2D46" w:rsidRPr="00FA7E90" w:rsidRDefault="00CF2D46" w:rsidP="00FA7E90">
            <w:pPr>
              <w:pStyle w:val="TableText"/>
              <w:jc w:val="center"/>
              <w:rPr>
                <w:b/>
              </w:rPr>
            </w:pPr>
            <w:r w:rsidRPr="00FA7E90">
              <w:rPr>
                <w:rFonts w:ascii="Calibri" w:hAnsi="Calibri"/>
                <w:b/>
                <w:bCs/>
                <w:color w:val="000000"/>
              </w:rPr>
              <w:t>Number of dependent users</w:t>
            </w:r>
          </w:p>
        </w:tc>
        <w:tc>
          <w:tcPr>
            <w:tcW w:w="1985" w:type="dxa"/>
            <w:tcBorders>
              <w:top w:val="single" w:sz="4" w:space="0" w:color="auto"/>
              <w:left w:val="nil"/>
              <w:bottom w:val="single" w:sz="4" w:space="0" w:color="auto"/>
              <w:right w:val="nil"/>
            </w:tcBorders>
          </w:tcPr>
          <w:p w14:paraId="389BA027" w14:textId="77777777" w:rsidR="00CF2D46" w:rsidRPr="00FA7E90" w:rsidRDefault="00CF2D46" w:rsidP="00FA7E90">
            <w:pPr>
              <w:pStyle w:val="TableText"/>
              <w:jc w:val="center"/>
              <w:rPr>
                <w:b/>
              </w:rPr>
            </w:pPr>
            <w:r w:rsidRPr="00FA7E90">
              <w:rPr>
                <w:rFonts w:ascii="Calibri" w:hAnsi="Calibri"/>
                <w:b/>
                <w:bCs/>
                <w:color w:val="000000"/>
              </w:rPr>
              <w:t>Estimated number of family and friends</w:t>
            </w:r>
          </w:p>
        </w:tc>
        <w:tc>
          <w:tcPr>
            <w:tcW w:w="1417" w:type="dxa"/>
            <w:tcBorders>
              <w:top w:val="single" w:sz="4" w:space="0" w:color="auto"/>
              <w:left w:val="nil"/>
              <w:bottom w:val="single" w:sz="4" w:space="0" w:color="auto"/>
              <w:right w:val="single" w:sz="4" w:space="0" w:color="auto"/>
            </w:tcBorders>
          </w:tcPr>
          <w:p w14:paraId="455BC126" w14:textId="77777777" w:rsidR="00CF2D46" w:rsidRPr="00FA7E90" w:rsidRDefault="00CF2D46" w:rsidP="00FA7E90">
            <w:pPr>
              <w:pStyle w:val="TableText"/>
              <w:jc w:val="center"/>
              <w:rPr>
                <w:b/>
              </w:rPr>
            </w:pPr>
            <w:r w:rsidRPr="00FA7E90">
              <w:rPr>
                <w:rFonts w:ascii="Calibri" w:hAnsi="Calibri"/>
                <w:b/>
                <w:bCs/>
                <w:color w:val="000000"/>
              </w:rPr>
              <w:t>Estimated harm</w:t>
            </w:r>
            <w:r w:rsidR="00FA7E90">
              <w:rPr>
                <w:rFonts w:ascii="Calibri" w:hAnsi="Calibri"/>
                <w:b/>
                <w:bCs/>
                <w:color w:val="000000"/>
              </w:rPr>
              <w:br/>
            </w:r>
            <w:r w:rsidRPr="00FA7E90">
              <w:rPr>
                <w:rFonts w:ascii="Calibri" w:hAnsi="Calibri"/>
                <w:b/>
                <w:bCs/>
                <w:color w:val="000000"/>
              </w:rPr>
              <w:t>($m)</w:t>
            </w:r>
          </w:p>
        </w:tc>
      </w:tr>
      <w:tr w:rsidR="00CF2D46" w:rsidRPr="00FD232E" w14:paraId="123947B1" w14:textId="77777777" w:rsidTr="00FA7E90">
        <w:trPr>
          <w:cantSplit/>
        </w:trPr>
        <w:tc>
          <w:tcPr>
            <w:tcW w:w="3969" w:type="dxa"/>
            <w:tcBorders>
              <w:top w:val="single" w:sz="4" w:space="0" w:color="auto"/>
              <w:left w:val="single" w:sz="4" w:space="0" w:color="auto"/>
              <w:bottom w:val="nil"/>
              <w:right w:val="single" w:sz="4" w:space="0" w:color="auto"/>
            </w:tcBorders>
          </w:tcPr>
          <w:p w14:paraId="6292D90B" w14:textId="77777777" w:rsidR="00CF2D46" w:rsidRPr="00FD232E" w:rsidRDefault="00CF2D46" w:rsidP="00FA7E90">
            <w:pPr>
              <w:pStyle w:val="TableText"/>
            </w:pPr>
            <w:r>
              <w:t>Amphetamine-type stimulants</w:t>
            </w:r>
          </w:p>
        </w:tc>
        <w:tc>
          <w:tcPr>
            <w:tcW w:w="1701" w:type="dxa"/>
            <w:tcBorders>
              <w:top w:val="single" w:sz="4" w:space="0" w:color="auto"/>
              <w:left w:val="single" w:sz="4" w:space="0" w:color="auto"/>
              <w:bottom w:val="nil"/>
              <w:right w:val="nil"/>
            </w:tcBorders>
          </w:tcPr>
          <w:p w14:paraId="369D6805" w14:textId="77777777" w:rsidR="00CF2D46" w:rsidRPr="00FD232E" w:rsidRDefault="00CF2D46" w:rsidP="00FA7E90">
            <w:pPr>
              <w:pStyle w:val="TableText"/>
              <w:tabs>
                <w:tab w:val="decimal" w:pos="1026"/>
              </w:tabs>
            </w:pPr>
            <w:r>
              <w:t>1,400</w:t>
            </w:r>
          </w:p>
        </w:tc>
        <w:tc>
          <w:tcPr>
            <w:tcW w:w="1985" w:type="dxa"/>
            <w:tcBorders>
              <w:top w:val="single" w:sz="4" w:space="0" w:color="auto"/>
              <w:left w:val="nil"/>
              <w:bottom w:val="nil"/>
              <w:right w:val="nil"/>
            </w:tcBorders>
          </w:tcPr>
          <w:p w14:paraId="4FAC464E" w14:textId="77777777" w:rsidR="00CF2D46" w:rsidRPr="00FD232E" w:rsidRDefault="00CF2D46" w:rsidP="00FA7E90">
            <w:pPr>
              <w:pStyle w:val="TableText"/>
              <w:tabs>
                <w:tab w:val="decimal" w:pos="1168"/>
              </w:tabs>
            </w:pPr>
            <w:r>
              <w:t>19,200</w:t>
            </w:r>
          </w:p>
        </w:tc>
        <w:tc>
          <w:tcPr>
            <w:tcW w:w="1417" w:type="dxa"/>
            <w:tcBorders>
              <w:top w:val="single" w:sz="4" w:space="0" w:color="auto"/>
              <w:left w:val="nil"/>
              <w:bottom w:val="nil"/>
              <w:right w:val="single" w:sz="4" w:space="0" w:color="auto"/>
            </w:tcBorders>
          </w:tcPr>
          <w:p w14:paraId="1F120AE9" w14:textId="77777777" w:rsidR="00CF2D46" w:rsidRPr="00FD232E" w:rsidRDefault="00CF2D46" w:rsidP="00FA7E90">
            <w:pPr>
              <w:pStyle w:val="TableText"/>
              <w:tabs>
                <w:tab w:val="decimal" w:pos="624"/>
              </w:tabs>
            </w:pPr>
            <w:r>
              <w:t>20.4</w:t>
            </w:r>
          </w:p>
        </w:tc>
      </w:tr>
      <w:tr w:rsidR="00CF2D46" w:rsidRPr="00FD232E" w14:paraId="4BDD7B41" w14:textId="77777777" w:rsidTr="00FA7E90">
        <w:trPr>
          <w:cantSplit/>
        </w:trPr>
        <w:tc>
          <w:tcPr>
            <w:tcW w:w="3969" w:type="dxa"/>
            <w:tcBorders>
              <w:top w:val="nil"/>
              <w:left w:val="single" w:sz="4" w:space="0" w:color="auto"/>
              <w:bottom w:val="nil"/>
              <w:right w:val="single" w:sz="4" w:space="0" w:color="auto"/>
            </w:tcBorders>
          </w:tcPr>
          <w:p w14:paraId="3A8009DF" w14:textId="77777777" w:rsidR="00CF2D46" w:rsidRPr="00FD232E" w:rsidRDefault="00CF2D46" w:rsidP="00FA7E90">
            <w:pPr>
              <w:pStyle w:val="TableText"/>
            </w:pPr>
            <w:r>
              <w:t>Cannabinoids</w:t>
            </w:r>
          </w:p>
        </w:tc>
        <w:tc>
          <w:tcPr>
            <w:tcW w:w="1701" w:type="dxa"/>
            <w:tcBorders>
              <w:top w:val="nil"/>
              <w:left w:val="single" w:sz="4" w:space="0" w:color="auto"/>
              <w:bottom w:val="nil"/>
              <w:right w:val="nil"/>
            </w:tcBorders>
          </w:tcPr>
          <w:p w14:paraId="5D078F2B" w14:textId="77777777" w:rsidR="00CF2D46" w:rsidRPr="00FD232E" w:rsidRDefault="00CF2D46" w:rsidP="00FA7E90">
            <w:pPr>
              <w:pStyle w:val="TableText"/>
              <w:tabs>
                <w:tab w:val="decimal" w:pos="1026"/>
              </w:tabs>
            </w:pPr>
            <w:r>
              <w:t>26,000</w:t>
            </w:r>
          </w:p>
        </w:tc>
        <w:tc>
          <w:tcPr>
            <w:tcW w:w="1985" w:type="dxa"/>
            <w:tcBorders>
              <w:top w:val="nil"/>
              <w:left w:val="nil"/>
              <w:bottom w:val="nil"/>
              <w:right w:val="nil"/>
            </w:tcBorders>
          </w:tcPr>
          <w:p w14:paraId="060C58B0" w14:textId="77777777" w:rsidR="00CF2D46" w:rsidRPr="00FD232E" w:rsidRDefault="00CF2D46" w:rsidP="00FA7E90">
            <w:pPr>
              <w:pStyle w:val="TableText"/>
              <w:tabs>
                <w:tab w:val="decimal" w:pos="1168"/>
              </w:tabs>
            </w:pPr>
            <w:r>
              <w:t>359,400</w:t>
            </w:r>
          </w:p>
        </w:tc>
        <w:tc>
          <w:tcPr>
            <w:tcW w:w="1417" w:type="dxa"/>
            <w:tcBorders>
              <w:top w:val="nil"/>
              <w:left w:val="nil"/>
              <w:bottom w:val="nil"/>
              <w:right w:val="single" w:sz="4" w:space="0" w:color="auto"/>
            </w:tcBorders>
          </w:tcPr>
          <w:p w14:paraId="22B31947" w14:textId="77777777" w:rsidR="00CF2D46" w:rsidRPr="00FD232E" w:rsidRDefault="00CF2D46" w:rsidP="00FA7E90">
            <w:pPr>
              <w:pStyle w:val="TableText"/>
              <w:tabs>
                <w:tab w:val="decimal" w:pos="624"/>
              </w:tabs>
            </w:pPr>
            <w:r>
              <w:t>380.9</w:t>
            </w:r>
          </w:p>
        </w:tc>
      </w:tr>
      <w:tr w:rsidR="00CF2D46" w:rsidRPr="00FD232E" w14:paraId="60A6222C" w14:textId="77777777" w:rsidTr="00FA7E90">
        <w:trPr>
          <w:cantSplit/>
        </w:trPr>
        <w:tc>
          <w:tcPr>
            <w:tcW w:w="3969" w:type="dxa"/>
            <w:tcBorders>
              <w:top w:val="nil"/>
              <w:left w:val="single" w:sz="4" w:space="0" w:color="auto"/>
              <w:bottom w:val="nil"/>
              <w:right w:val="single" w:sz="4" w:space="0" w:color="auto"/>
            </w:tcBorders>
          </w:tcPr>
          <w:p w14:paraId="0ACE4AE0" w14:textId="6A1255AD" w:rsidR="00CF2D46" w:rsidRPr="00FD232E" w:rsidRDefault="00CF2D46">
            <w:pPr>
              <w:pStyle w:val="TableText"/>
            </w:pPr>
            <w:r>
              <w:t xml:space="preserve">Hallucinogenic </w:t>
            </w:r>
            <w:r w:rsidR="00FA7E90">
              <w:t>and</w:t>
            </w:r>
            <w:r>
              <w:t xml:space="preserve"> psychedelic drugs</w:t>
            </w:r>
          </w:p>
        </w:tc>
        <w:tc>
          <w:tcPr>
            <w:tcW w:w="1701" w:type="dxa"/>
            <w:tcBorders>
              <w:top w:val="nil"/>
              <w:left w:val="single" w:sz="4" w:space="0" w:color="auto"/>
              <w:bottom w:val="nil"/>
              <w:right w:val="nil"/>
            </w:tcBorders>
          </w:tcPr>
          <w:p w14:paraId="271B3A2F" w14:textId="77777777" w:rsidR="00CF2D46" w:rsidRPr="00FD232E" w:rsidRDefault="00CF2D46" w:rsidP="00FA7E90">
            <w:pPr>
              <w:pStyle w:val="TableText"/>
              <w:tabs>
                <w:tab w:val="decimal" w:pos="1026"/>
              </w:tabs>
            </w:pPr>
            <w:r>
              <w:t>500</w:t>
            </w:r>
          </w:p>
        </w:tc>
        <w:tc>
          <w:tcPr>
            <w:tcW w:w="1985" w:type="dxa"/>
            <w:tcBorders>
              <w:top w:val="nil"/>
              <w:left w:val="nil"/>
              <w:bottom w:val="nil"/>
              <w:right w:val="nil"/>
            </w:tcBorders>
          </w:tcPr>
          <w:p w14:paraId="5A93E980" w14:textId="77777777" w:rsidR="00CF2D46" w:rsidRPr="00FD232E" w:rsidRDefault="00CF2D46" w:rsidP="00FA7E90">
            <w:pPr>
              <w:pStyle w:val="TableText"/>
              <w:tabs>
                <w:tab w:val="decimal" w:pos="1168"/>
              </w:tabs>
            </w:pPr>
            <w:r>
              <w:t>6,200</w:t>
            </w:r>
          </w:p>
        </w:tc>
        <w:tc>
          <w:tcPr>
            <w:tcW w:w="1417" w:type="dxa"/>
            <w:tcBorders>
              <w:top w:val="nil"/>
              <w:left w:val="nil"/>
              <w:bottom w:val="nil"/>
              <w:right w:val="single" w:sz="4" w:space="0" w:color="auto"/>
            </w:tcBorders>
          </w:tcPr>
          <w:p w14:paraId="7771B7D3" w14:textId="77777777" w:rsidR="00CF2D46" w:rsidRPr="00FD232E" w:rsidRDefault="00CF2D46" w:rsidP="00FA7E90">
            <w:pPr>
              <w:pStyle w:val="TableText"/>
              <w:tabs>
                <w:tab w:val="decimal" w:pos="624"/>
              </w:tabs>
            </w:pPr>
            <w:r>
              <w:t>6.6</w:t>
            </w:r>
          </w:p>
        </w:tc>
      </w:tr>
      <w:tr w:rsidR="00CF2D46" w:rsidRPr="00FD232E" w14:paraId="71916A1A" w14:textId="77777777" w:rsidTr="00FA7E90">
        <w:trPr>
          <w:cantSplit/>
        </w:trPr>
        <w:tc>
          <w:tcPr>
            <w:tcW w:w="3969" w:type="dxa"/>
            <w:tcBorders>
              <w:top w:val="nil"/>
              <w:left w:val="single" w:sz="4" w:space="0" w:color="auto"/>
              <w:bottom w:val="single" w:sz="4" w:space="0" w:color="auto"/>
              <w:right w:val="single" w:sz="4" w:space="0" w:color="auto"/>
            </w:tcBorders>
          </w:tcPr>
          <w:p w14:paraId="6079CA06" w14:textId="5C6DBDF0" w:rsidR="00CF2D46" w:rsidRPr="00FD232E" w:rsidRDefault="00CF2D46">
            <w:pPr>
              <w:pStyle w:val="TableText"/>
            </w:pPr>
            <w:r>
              <w:t xml:space="preserve">Opioid </w:t>
            </w:r>
            <w:r w:rsidR="00FA7E90">
              <w:t>and</w:t>
            </w:r>
            <w:r>
              <w:t xml:space="preserve"> sedative drugs</w:t>
            </w:r>
          </w:p>
        </w:tc>
        <w:tc>
          <w:tcPr>
            <w:tcW w:w="1701" w:type="dxa"/>
            <w:tcBorders>
              <w:top w:val="nil"/>
              <w:left w:val="single" w:sz="4" w:space="0" w:color="auto"/>
              <w:bottom w:val="single" w:sz="4" w:space="0" w:color="auto"/>
              <w:right w:val="nil"/>
            </w:tcBorders>
          </w:tcPr>
          <w:p w14:paraId="3B48326E" w14:textId="77777777" w:rsidR="00CF2D46" w:rsidRPr="00FD232E" w:rsidRDefault="00CF2D46" w:rsidP="00FA7E90">
            <w:pPr>
              <w:pStyle w:val="TableText"/>
              <w:tabs>
                <w:tab w:val="decimal" w:pos="1026"/>
              </w:tabs>
            </w:pPr>
            <w:r>
              <w:t>2,000</w:t>
            </w:r>
          </w:p>
        </w:tc>
        <w:tc>
          <w:tcPr>
            <w:tcW w:w="1985" w:type="dxa"/>
            <w:tcBorders>
              <w:top w:val="nil"/>
              <w:left w:val="nil"/>
              <w:bottom w:val="single" w:sz="4" w:space="0" w:color="auto"/>
              <w:right w:val="nil"/>
            </w:tcBorders>
          </w:tcPr>
          <w:p w14:paraId="5BC36F2A" w14:textId="77777777" w:rsidR="00CF2D46" w:rsidRPr="00FD232E" w:rsidRDefault="00CF2D46" w:rsidP="00FA7E90">
            <w:pPr>
              <w:pStyle w:val="TableText"/>
              <w:tabs>
                <w:tab w:val="decimal" w:pos="1168"/>
              </w:tabs>
            </w:pPr>
            <w:r>
              <w:t>28,000</w:t>
            </w:r>
          </w:p>
        </w:tc>
        <w:tc>
          <w:tcPr>
            <w:tcW w:w="1417" w:type="dxa"/>
            <w:tcBorders>
              <w:top w:val="nil"/>
              <w:left w:val="nil"/>
              <w:bottom w:val="single" w:sz="4" w:space="0" w:color="auto"/>
              <w:right w:val="single" w:sz="4" w:space="0" w:color="auto"/>
            </w:tcBorders>
          </w:tcPr>
          <w:p w14:paraId="738C89DA" w14:textId="77777777" w:rsidR="00CF2D46" w:rsidRPr="00FD232E" w:rsidRDefault="00CF2D46" w:rsidP="00FA7E90">
            <w:pPr>
              <w:pStyle w:val="TableText"/>
              <w:tabs>
                <w:tab w:val="decimal" w:pos="624"/>
              </w:tabs>
            </w:pPr>
            <w:r>
              <w:t>29.6</w:t>
            </w:r>
          </w:p>
        </w:tc>
      </w:tr>
      <w:tr w:rsidR="00CF2D46" w:rsidRPr="00FA7E90" w14:paraId="518588E8" w14:textId="77777777" w:rsidTr="00FA7E90">
        <w:trPr>
          <w:cantSplit/>
        </w:trPr>
        <w:tc>
          <w:tcPr>
            <w:tcW w:w="3969" w:type="dxa"/>
            <w:tcBorders>
              <w:top w:val="single" w:sz="4" w:space="0" w:color="auto"/>
              <w:left w:val="single" w:sz="4" w:space="0" w:color="auto"/>
              <w:bottom w:val="single" w:sz="4" w:space="0" w:color="auto"/>
              <w:right w:val="single" w:sz="4" w:space="0" w:color="auto"/>
            </w:tcBorders>
          </w:tcPr>
          <w:p w14:paraId="72A055A9" w14:textId="77777777" w:rsidR="00CF2D46" w:rsidRPr="00FA7E90" w:rsidRDefault="00CF2D46" w:rsidP="00FA7E90">
            <w:pPr>
              <w:pStyle w:val="TableText"/>
              <w:ind w:right="142"/>
              <w:jc w:val="right"/>
              <w:rPr>
                <w:b/>
              </w:rPr>
            </w:pPr>
            <w:r w:rsidRPr="00FA7E90">
              <w:rPr>
                <w:b/>
              </w:rPr>
              <w:t>Total</w:t>
            </w:r>
          </w:p>
        </w:tc>
        <w:tc>
          <w:tcPr>
            <w:tcW w:w="1701" w:type="dxa"/>
            <w:tcBorders>
              <w:top w:val="single" w:sz="4" w:space="0" w:color="auto"/>
              <w:left w:val="single" w:sz="4" w:space="0" w:color="auto"/>
              <w:bottom w:val="single" w:sz="4" w:space="0" w:color="auto"/>
              <w:right w:val="nil"/>
            </w:tcBorders>
          </w:tcPr>
          <w:p w14:paraId="0C033C18" w14:textId="77777777" w:rsidR="00CF2D46" w:rsidRPr="00FA7E90" w:rsidRDefault="00CF2D46" w:rsidP="00FA7E90">
            <w:pPr>
              <w:pStyle w:val="TableText"/>
              <w:tabs>
                <w:tab w:val="decimal" w:pos="1026"/>
              </w:tabs>
              <w:rPr>
                <w:b/>
              </w:rPr>
            </w:pPr>
            <w:r w:rsidRPr="00FA7E90">
              <w:rPr>
                <w:b/>
              </w:rPr>
              <w:t>29,900</w:t>
            </w:r>
          </w:p>
        </w:tc>
        <w:tc>
          <w:tcPr>
            <w:tcW w:w="1985" w:type="dxa"/>
            <w:tcBorders>
              <w:top w:val="single" w:sz="4" w:space="0" w:color="auto"/>
              <w:left w:val="nil"/>
              <w:bottom w:val="single" w:sz="4" w:space="0" w:color="auto"/>
              <w:right w:val="nil"/>
            </w:tcBorders>
          </w:tcPr>
          <w:p w14:paraId="73251665" w14:textId="77777777" w:rsidR="00CF2D46" w:rsidRPr="00FA7E90" w:rsidRDefault="00CF2D46" w:rsidP="00FA7E90">
            <w:pPr>
              <w:pStyle w:val="TableText"/>
              <w:tabs>
                <w:tab w:val="decimal" w:pos="1168"/>
              </w:tabs>
              <w:rPr>
                <w:b/>
              </w:rPr>
            </w:pPr>
            <w:r w:rsidRPr="00FA7E90">
              <w:rPr>
                <w:b/>
              </w:rPr>
              <w:t>412,700</w:t>
            </w:r>
          </w:p>
        </w:tc>
        <w:tc>
          <w:tcPr>
            <w:tcW w:w="1417" w:type="dxa"/>
            <w:tcBorders>
              <w:top w:val="single" w:sz="4" w:space="0" w:color="auto"/>
              <w:left w:val="nil"/>
              <w:bottom w:val="single" w:sz="4" w:space="0" w:color="auto"/>
              <w:right w:val="single" w:sz="4" w:space="0" w:color="auto"/>
            </w:tcBorders>
          </w:tcPr>
          <w:p w14:paraId="70D90AF0" w14:textId="77777777" w:rsidR="00CF2D46" w:rsidRPr="00FA7E90" w:rsidRDefault="00CF2D46" w:rsidP="00FA7E90">
            <w:pPr>
              <w:pStyle w:val="TableText"/>
              <w:tabs>
                <w:tab w:val="decimal" w:pos="624"/>
              </w:tabs>
              <w:rPr>
                <w:b/>
              </w:rPr>
            </w:pPr>
            <w:r w:rsidRPr="00FA7E90">
              <w:rPr>
                <w:b/>
              </w:rPr>
              <w:t>437.5</w:t>
            </w:r>
          </w:p>
        </w:tc>
      </w:tr>
    </w:tbl>
    <w:p w14:paraId="0AE1FF88" w14:textId="77777777" w:rsidR="00CF2D46" w:rsidRDefault="00CF2D46" w:rsidP="00FA7E90">
      <w:pPr>
        <w:rPr>
          <w:lang w:eastAsia="en-AU"/>
        </w:rPr>
      </w:pPr>
      <w:r>
        <w:rPr>
          <w:lang w:eastAsia="en-AU"/>
        </w:rPr>
        <w:t>The economic value of the harm experienced by the family and friends of frequent drug users is $437.5 million. This is the largest single category of harm identified in this study and has not been previously reported in the literature. Note that this report did not take into account one significant family relationship: children. The children of drug users, especially dependent drug users, are subject to a variety of harms. There is insufficient information available to allow an estimate of the social cost borne by children of drug users.</w:t>
      </w:r>
    </w:p>
    <w:p w14:paraId="1B14B051" w14:textId="77777777" w:rsidR="00CF2D46" w:rsidRPr="00930A88" w:rsidRDefault="00CF2D46" w:rsidP="00FA7E90">
      <w:pPr>
        <w:pStyle w:val="Heading3"/>
        <w:rPr>
          <w:lang w:eastAsia="en-AU"/>
        </w:rPr>
      </w:pPr>
      <w:r>
        <w:rPr>
          <w:lang w:eastAsia="en-AU"/>
        </w:rPr>
        <w:t>Acquisitive crime</w:t>
      </w:r>
    </w:p>
    <w:p w14:paraId="03BCD7D7" w14:textId="77777777" w:rsidR="00990768" w:rsidRDefault="00CF2D46" w:rsidP="00FA7E90">
      <w:pPr>
        <w:rPr>
          <w:lang w:eastAsia="en-AU"/>
        </w:rPr>
      </w:pPr>
      <w:r>
        <w:rPr>
          <w:lang w:eastAsia="en-AU"/>
        </w:rPr>
        <w:t>Acquisitive crime as a means of funding illicit drug purchases has long been assumed and long been hotly debated. It is a difficult area. For example, based on figures for the UK DHI (Goodwin, 2007), acquisitive crime accounted for 61.9% of the 2005 index. In contrast, figures from Slack et al (2008) suggest that property losses accounted for 6.1% of the NZ DHI. There are obviously differences in method, but it is cautionary to observe that under two separate measures of drug harm the relative contribution of property crime can differ tenfold.</w:t>
      </w:r>
    </w:p>
    <w:p w14:paraId="7EB1005C" w14:textId="77777777" w:rsidR="00CF2D46" w:rsidRDefault="00CF2D46" w:rsidP="00FA7E90">
      <w:pPr>
        <w:rPr>
          <w:lang w:eastAsia="en-AU"/>
        </w:rPr>
      </w:pPr>
      <w:r>
        <w:rPr>
          <w:lang w:eastAsia="en-AU"/>
        </w:rPr>
        <w:t>The community tends to be more certain about the link between drugs and crime. It is a commonly held community belief that many dependent drugs users fund their habit through acquisitive crime. A Ministry of Health survey of community attitudes to illegal drugs provides examples of this:</w:t>
      </w:r>
    </w:p>
    <w:p w14:paraId="6767BE88" w14:textId="77777777" w:rsidR="00CF2D46" w:rsidRPr="00C942F5" w:rsidRDefault="00CF2D46" w:rsidP="00FA7E90">
      <w:pPr>
        <w:pStyle w:val="Quote"/>
        <w:rPr>
          <w:lang w:eastAsia="en-AU"/>
        </w:rPr>
      </w:pPr>
      <w:r w:rsidRPr="00C942F5">
        <w:rPr>
          <w:lang w:eastAsia="en-AU"/>
        </w:rPr>
        <w:t>Illegal drug taking to excess was associated with criminal behaviour and also generally becoming more financially stressed with the need to fund the drug habit.</w:t>
      </w:r>
    </w:p>
    <w:p w14:paraId="12056404" w14:textId="77777777" w:rsidR="00990768" w:rsidRDefault="00CF2D46" w:rsidP="000779D5">
      <w:pPr>
        <w:pStyle w:val="Quote"/>
        <w:numPr>
          <w:ilvl w:val="0"/>
          <w:numId w:val="7"/>
        </w:numPr>
        <w:spacing w:before="60"/>
        <w:ind w:left="924" w:hanging="357"/>
        <w:rPr>
          <w:lang w:eastAsia="en-AU"/>
        </w:rPr>
      </w:pPr>
      <w:r w:rsidRPr="00C942F5">
        <w:rPr>
          <w:lang w:eastAsia="en-AU"/>
        </w:rPr>
        <w:t>That</w:t>
      </w:r>
      <w:r w:rsidR="00990768">
        <w:rPr>
          <w:lang w:eastAsia="en-AU"/>
        </w:rPr>
        <w:t>’</w:t>
      </w:r>
      <w:r w:rsidRPr="00C942F5">
        <w:rPr>
          <w:lang w:eastAsia="en-AU"/>
        </w:rPr>
        <w:t xml:space="preserve">s when they start </w:t>
      </w:r>
      <w:proofErr w:type="spellStart"/>
      <w:r w:rsidRPr="00C942F5">
        <w:rPr>
          <w:lang w:eastAsia="en-AU"/>
        </w:rPr>
        <w:t>burglaring</w:t>
      </w:r>
      <w:proofErr w:type="spellEnd"/>
      <w:r w:rsidRPr="00C942F5">
        <w:rPr>
          <w:lang w:eastAsia="en-AU"/>
        </w:rPr>
        <w:t xml:space="preserve"> and bashing people just to get what they want. (Napier, </w:t>
      </w:r>
      <w:r w:rsidRPr="00925402">
        <w:rPr>
          <w:lang w:eastAsia="en-AU"/>
        </w:rPr>
        <w:t>parents</w:t>
      </w:r>
      <w:r w:rsidRPr="00C942F5">
        <w:rPr>
          <w:lang w:eastAsia="en-AU"/>
        </w:rPr>
        <w:t xml:space="preserve"> of Year 7 and 8 children, female)</w:t>
      </w:r>
    </w:p>
    <w:p w14:paraId="73DAA38C" w14:textId="77777777" w:rsidR="00990768" w:rsidRDefault="00CF2D46" w:rsidP="000779D5">
      <w:pPr>
        <w:pStyle w:val="Quote"/>
        <w:numPr>
          <w:ilvl w:val="0"/>
          <w:numId w:val="7"/>
        </w:numPr>
        <w:spacing w:before="60"/>
        <w:ind w:left="924" w:hanging="357"/>
        <w:rPr>
          <w:lang w:eastAsia="en-AU"/>
        </w:rPr>
      </w:pPr>
      <w:r w:rsidRPr="00C942F5">
        <w:rPr>
          <w:lang w:eastAsia="en-AU"/>
        </w:rPr>
        <w:t>And breaking into everybody</w:t>
      </w:r>
      <w:r w:rsidR="00990768">
        <w:rPr>
          <w:lang w:eastAsia="en-AU"/>
        </w:rPr>
        <w:t>’</w:t>
      </w:r>
      <w:r w:rsidRPr="00C942F5">
        <w:rPr>
          <w:lang w:eastAsia="en-AU"/>
        </w:rPr>
        <w:t>s cars and getting their stereos and what not and selling them off on the market. (Napier, parents of Year 7 and 8 children, female)</w:t>
      </w:r>
    </w:p>
    <w:p w14:paraId="25C1379C" w14:textId="77777777" w:rsidR="00990768" w:rsidRDefault="00CF2D46" w:rsidP="000779D5">
      <w:pPr>
        <w:pStyle w:val="Quote"/>
        <w:numPr>
          <w:ilvl w:val="0"/>
          <w:numId w:val="7"/>
        </w:numPr>
        <w:spacing w:before="60"/>
        <w:ind w:left="924" w:hanging="357"/>
        <w:rPr>
          <w:lang w:eastAsia="en-AU"/>
        </w:rPr>
      </w:pPr>
      <w:r w:rsidRPr="00C942F5">
        <w:rPr>
          <w:lang w:eastAsia="en-AU"/>
        </w:rPr>
        <w:t>Socially it can destroy you because you have to fork out all your money to get more of this. Eventually you have to go and slum and steal. (Christchurch, 17</w:t>
      </w:r>
      <w:r w:rsidR="00FA7E90">
        <w:rPr>
          <w:lang w:eastAsia="en-AU"/>
        </w:rPr>
        <w:t>–</w:t>
      </w:r>
      <w:r w:rsidRPr="00C942F5">
        <w:rPr>
          <w:lang w:eastAsia="en-AU"/>
        </w:rPr>
        <w:t>18 years, male)</w:t>
      </w:r>
    </w:p>
    <w:p w14:paraId="007F17FE" w14:textId="77777777" w:rsidR="00CF2D46" w:rsidRPr="00C942F5" w:rsidRDefault="00CF2D46" w:rsidP="000779D5">
      <w:pPr>
        <w:pStyle w:val="Quote"/>
        <w:numPr>
          <w:ilvl w:val="0"/>
          <w:numId w:val="7"/>
        </w:numPr>
        <w:spacing w:before="60"/>
        <w:ind w:left="924" w:hanging="357"/>
        <w:rPr>
          <w:lang w:eastAsia="en-AU"/>
        </w:rPr>
      </w:pPr>
      <w:r w:rsidRPr="00C942F5">
        <w:rPr>
          <w:lang w:eastAsia="en-AU"/>
        </w:rPr>
        <w:t>I guess it ends up in committing more crimes to pay off stuff for P and those things. (Auckland, Māori, student, 18</w:t>
      </w:r>
      <w:r w:rsidR="00FA7E90">
        <w:rPr>
          <w:lang w:eastAsia="en-AU"/>
        </w:rPr>
        <w:t>–</w:t>
      </w:r>
      <w:r w:rsidRPr="00C942F5">
        <w:rPr>
          <w:lang w:eastAsia="en-AU"/>
        </w:rPr>
        <w:t>24 years, male)</w:t>
      </w:r>
    </w:p>
    <w:p w14:paraId="26C82738" w14:textId="77777777" w:rsidR="00CF2D46" w:rsidRPr="00C942F5" w:rsidRDefault="00CF2D46" w:rsidP="00FA7E90">
      <w:pPr>
        <w:pStyle w:val="Quote"/>
        <w:spacing w:before="0"/>
        <w:jc w:val="right"/>
        <w:rPr>
          <w:lang w:eastAsia="en-AU"/>
        </w:rPr>
      </w:pPr>
      <w:r w:rsidRPr="00C942F5">
        <w:rPr>
          <w:lang w:eastAsia="en-AU"/>
        </w:rPr>
        <w:t>(</w:t>
      </w:r>
      <w:r>
        <w:rPr>
          <w:lang w:eastAsia="en-AU"/>
        </w:rPr>
        <w:t xml:space="preserve">Ministry of Health, 2009, </w:t>
      </w:r>
      <w:r w:rsidRPr="00C942F5">
        <w:rPr>
          <w:lang w:eastAsia="en-AU"/>
        </w:rPr>
        <w:t>p.43)</w:t>
      </w:r>
    </w:p>
    <w:p w14:paraId="67954ECF" w14:textId="77777777" w:rsidR="00CF2D46" w:rsidRDefault="00CF2D46" w:rsidP="00FA7E90">
      <w:pPr>
        <w:spacing w:before="200"/>
      </w:pPr>
      <w:r>
        <w:rPr>
          <w:lang w:eastAsia="en-AU"/>
        </w:rPr>
        <w:t xml:space="preserve">The evidence from the literature is quite different. Stevens (2008) traced the development of the political debate in the UK over drugs and crime and concluded that this link had been exaggerated. Bryan et al (2013) conducted a recent and detailed survey of the links between heroin use, cannabis only use and crime. They reported that while heroin use was related to the incidence of acquisitive crime, cannabis use was not. Furthermore, they noted that 43% of acquisitive crime by heroin users was related to the need to buy drugs. The fact that illicit drug users may be implicated in acquisitive crime is not evidence that that these crimes were committed for the purpose of purchasing drugs. </w:t>
      </w:r>
      <w:proofErr w:type="spellStart"/>
      <w:r>
        <w:t>Caulkins</w:t>
      </w:r>
      <w:proofErr w:type="spellEnd"/>
      <w:r>
        <w:t xml:space="preserve"> and </w:t>
      </w:r>
      <w:proofErr w:type="spellStart"/>
      <w:r>
        <w:t>Kleiman</w:t>
      </w:r>
      <w:proofErr w:type="spellEnd"/>
      <w:r>
        <w:t xml:space="preserve"> (2011) have covered the complexities of this area.</w:t>
      </w:r>
    </w:p>
    <w:p w14:paraId="65FD3AC5" w14:textId="77777777" w:rsidR="00990768" w:rsidRDefault="00CF2D46" w:rsidP="00FA7E90">
      <w:pPr>
        <w:spacing w:before="200"/>
      </w:pPr>
      <w:r>
        <w:t>A secondary concern relates to the extrapolation of rates of involvement of drug users in resolved acquisitive crime to unresolved crime. For example, in 2014 nearly 20% of 175,000 acquisitive crimes reported in New Zealand were resolved (based on figures provided in Attachment B). According to Bryan et al (2013), the proportion of individuals committing acquisitive crime while under the influence of drugs ranges from 52% in the case of heroin to 9% in the case of cannabis. It is perhaps a reasonable assumption that impaired individuals will be more likely to leave behind evidence of their identity and more likely to be detected in the act. Thus, the rate of drug involvement in resolved crimes may overestimate the rate of involvement in unresolved crimes. (This cannot be proven, as unresolved crime by definition has no known perpetrator.)</w:t>
      </w:r>
    </w:p>
    <w:p w14:paraId="3EC47860" w14:textId="77777777" w:rsidR="00CF2D46" w:rsidRDefault="00CF2D46" w:rsidP="00FA7E90">
      <w:pPr>
        <w:spacing w:before="200"/>
        <w:rPr>
          <w:lang w:eastAsia="en-AU"/>
        </w:rPr>
      </w:pPr>
      <w:r>
        <w:rPr>
          <w:lang w:eastAsia="en-AU"/>
        </w:rPr>
        <w:t>In a complex situation the following method was employed. The number of acquisitive crimes, the average property cost per crime and the proportion of arrestees dependent on drugs were derived from New Zealand sources. The proportion of arrestees who used major drugs in the past 12 months and claimed to be dependent (30% of arrestees) during that time was used as an indicator of the extent of drug-related acquisitive crime. Attachment B has more detail. The results are given in Table</w:t>
      </w:r>
      <w:r w:rsidR="00FA7E90">
        <w:rPr>
          <w:lang w:eastAsia="en-AU"/>
        </w:rPr>
        <w:t> </w:t>
      </w:r>
      <w:r>
        <w:rPr>
          <w:lang w:eastAsia="en-AU"/>
        </w:rPr>
        <w:t>8.</w:t>
      </w:r>
    </w:p>
    <w:p w14:paraId="124AC86E" w14:textId="77777777" w:rsidR="00CF2D46" w:rsidRPr="00227298" w:rsidRDefault="00CF2D46" w:rsidP="00FA7E90">
      <w:pPr>
        <w:pStyle w:val="Table"/>
        <w:rPr>
          <w:lang w:eastAsia="en-AU"/>
        </w:rPr>
      </w:pPr>
      <w:bookmarkStart w:id="31" w:name="_Toc444941849"/>
      <w:r w:rsidRPr="00227298">
        <w:rPr>
          <w:lang w:eastAsia="en-AU"/>
        </w:rPr>
        <w:t xml:space="preserve">Table </w:t>
      </w:r>
      <w:r>
        <w:rPr>
          <w:lang w:eastAsia="en-AU"/>
        </w:rPr>
        <w:t>8. Estimated cost to the community of drug-related acquisitive crime</w:t>
      </w:r>
      <w:bookmarkEnd w:id="31"/>
    </w:p>
    <w:tbl>
      <w:tblPr>
        <w:tblStyle w:val="TableGrid"/>
        <w:tblW w:w="0" w:type="auto"/>
        <w:tblInd w:w="108" w:type="dxa"/>
        <w:tblBorders>
          <w:insideH w:val="none" w:sz="0" w:space="0" w:color="auto"/>
          <w:insideV w:val="none" w:sz="0" w:space="0" w:color="auto"/>
        </w:tblBorders>
        <w:tblLayout w:type="fixed"/>
        <w:tblLook w:val="04A0" w:firstRow="1" w:lastRow="0" w:firstColumn="1" w:lastColumn="0" w:noHBand="0" w:noVBand="1"/>
      </w:tblPr>
      <w:tblGrid>
        <w:gridCol w:w="4395"/>
        <w:gridCol w:w="1559"/>
        <w:gridCol w:w="1559"/>
        <w:gridCol w:w="1559"/>
      </w:tblGrid>
      <w:tr w:rsidR="00CF2D46" w:rsidRPr="00FA7E90" w14:paraId="6AB869D7" w14:textId="77777777" w:rsidTr="00FA7E90">
        <w:trPr>
          <w:cantSplit/>
        </w:trPr>
        <w:tc>
          <w:tcPr>
            <w:tcW w:w="4395" w:type="dxa"/>
            <w:tcBorders>
              <w:top w:val="single" w:sz="4" w:space="0" w:color="auto"/>
              <w:bottom w:val="single" w:sz="4" w:space="0" w:color="auto"/>
              <w:right w:val="single" w:sz="4" w:space="0" w:color="auto"/>
            </w:tcBorders>
          </w:tcPr>
          <w:p w14:paraId="59F7D75C" w14:textId="77777777" w:rsidR="00CF2D46" w:rsidRPr="00FA7E90" w:rsidRDefault="00CF2D46" w:rsidP="00FA7E90">
            <w:pPr>
              <w:pStyle w:val="TableText"/>
              <w:rPr>
                <w:b/>
              </w:rPr>
            </w:pPr>
            <w:r w:rsidRPr="00FA7E90">
              <w:rPr>
                <w:b/>
              </w:rPr>
              <w:t>Drug group</w:t>
            </w:r>
          </w:p>
        </w:tc>
        <w:tc>
          <w:tcPr>
            <w:tcW w:w="1559" w:type="dxa"/>
            <w:tcBorders>
              <w:left w:val="single" w:sz="4" w:space="0" w:color="auto"/>
              <w:bottom w:val="single" w:sz="4" w:space="0" w:color="auto"/>
            </w:tcBorders>
          </w:tcPr>
          <w:p w14:paraId="140DD57E" w14:textId="77777777" w:rsidR="00CF2D46" w:rsidRPr="00FA7E90" w:rsidRDefault="00CF2D46" w:rsidP="00FA7E90">
            <w:pPr>
              <w:pStyle w:val="TableText"/>
              <w:jc w:val="center"/>
              <w:rPr>
                <w:b/>
              </w:rPr>
            </w:pPr>
            <w:r w:rsidRPr="00FA7E90">
              <w:rPr>
                <w:rFonts w:ascii="Calibri" w:hAnsi="Calibri"/>
                <w:b/>
                <w:bCs/>
                <w:color w:val="000000"/>
              </w:rPr>
              <w:t>Number of dependent users</w:t>
            </w:r>
          </w:p>
        </w:tc>
        <w:tc>
          <w:tcPr>
            <w:tcW w:w="1559" w:type="dxa"/>
            <w:tcBorders>
              <w:bottom w:val="single" w:sz="4" w:space="0" w:color="auto"/>
            </w:tcBorders>
          </w:tcPr>
          <w:p w14:paraId="71C3F9EB" w14:textId="791C9632" w:rsidR="00CF2D46" w:rsidRPr="00FA7E90" w:rsidRDefault="00CF2D46">
            <w:pPr>
              <w:pStyle w:val="TableText"/>
              <w:jc w:val="center"/>
              <w:rPr>
                <w:b/>
              </w:rPr>
            </w:pPr>
            <w:r w:rsidRPr="00FA7E90">
              <w:rPr>
                <w:rFonts w:ascii="Calibri" w:hAnsi="Calibri"/>
                <w:b/>
                <w:bCs/>
                <w:color w:val="000000"/>
              </w:rPr>
              <w:t xml:space="preserve">Estimated </w:t>
            </w:r>
            <w:r w:rsidR="00FA7E90">
              <w:rPr>
                <w:rFonts w:ascii="Calibri" w:hAnsi="Calibri"/>
                <w:b/>
                <w:bCs/>
                <w:color w:val="000000"/>
              </w:rPr>
              <w:t>h</w:t>
            </w:r>
            <w:r w:rsidRPr="00FA7E90">
              <w:rPr>
                <w:rFonts w:ascii="Calibri" w:hAnsi="Calibri"/>
                <w:b/>
                <w:bCs/>
                <w:color w:val="000000"/>
              </w:rPr>
              <w:t>arm</w:t>
            </w:r>
            <w:r w:rsidR="00FA7E90">
              <w:rPr>
                <w:rFonts w:ascii="Calibri" w:hAnsi="Calibri"/>
                <w:b/>
                <w:bCs/>
                <w:color w:val="000000"/>
              </w:rPr>
              <w:br/>
            </w:r>
            <w:r w:rsidRPr="00FA7E90">
              <w:rPr>
                <w:rFonts w:ascii="Calibri" w:hAnsi="Calibri"/>
                <w:b/>
                <w:bCs/>
                <w:color w:val="000000"/>
              </w:rPr>
              <w:t>$m</w:t>
            </w:r>
          </w:p>
        </w:tc>
        <w:tc>
          <w:tcPr>
            <w:tcW w:w="1559" w:type="dxa"/>
            <w:tcBorders>
              <w:bottom w:val="single" w:sz="4" w:space="0" w:color="auto"/>
            </w:tcBorders>
          </w:tcPr>
          <w:p w14:paraId="0657A097" w14:textId="77777777" w:rsidR="00CF2D46" w:rsidRPr="00FA7E90" w:rsidRDefault="00CF2D46" w:rsidP="00FA7E90">
            <w:pPr>
              <w:pStyle w:val="TableText"/>
              <w:jc w:val="center"/>
              <w:rPr>
                <w:rFonts w:ascii="Calibri" w:hAnsi="Calibri"/>
                <w:b/>
                <w:bCs/>
                <w:color w:val="000000"/>
              </w:rPr>
            </w:pPr>
            <w:r w:rsidRPr="00FA7E90">
              <w:rPr>
                <w:rFonts w:ascii="Calibri" w:hAnsi="Calibri"/>
                <w:b/>
                <w:bCs/>
                <w:color w:val="000000"/>
              </w:rPr>
              <w:t>Cost per dependent user $</w:t>
            </w:r>
          </w:p>
        </w:tc>
      </w:tr>
      <w:tr w:rsidR="00CF2D46" w:rsidRPr="00FD232E" w14:paraId="2E677CCC" w14:textId="77777777" w:rsidTr="00FA7E90">
        <w:trPr>
          <w:cantSplit/>
        </w:trPr>
        <w:tc>
          <w:tcPr>
            <w:tcW w:w="4395" w:type="dxa"/>
            <w:tcBorders>
              <w:top w:val="single" w:sz="4" w:space="0" w:color="auto"/>
              <w:bottom w:val="nil"/>
              <w:right w:val="single" w:sz="4" w:space="0" w:color="auto"/>
            </w:tcBorders>
          </w:tcPr>
          <w:p w14:paraId="3FC144A8" w14:textId="77777777" w:rsidR="00CF2D46" w:rsidRPr="00FD232E" w:rsidRDefault="00CF2D46" w:rsidP="00FA7E90">
            <w:pPr>
              <w:pStyle w:val="TableText"/>
            </w:pPr>
            <w:r>
              <w:t>Amphetamine-type stimulants</w:t>
            </w:r>
          </w:p>
        </w:tc>
        <w:tc>
          <w:tcPr>
            <w:tcW w:w="1559" w:type="dxa"/>
            <w:tcBorders>
              <w:top w:val="single" w:sz="4" w:space="0" w:color="auto"/>
              <w:left w:val="single" w:sz="4" w:space="0" w:color="auto"/>
              <w:bottom w:val="nil"/>
            </w:tcBorders>
          </w:tcPr>
          <w:p w14:paraId="7473BBEB" w14:textId="77777777" w:rsidR="00CF2D46" w:rsidRPr="00FD232E" w:rsidRDefault="00CF2D46" w:rsidP="00FA7E90">
            <w:pPr>
              <w:pStyle w:val="TableText"/>
              <w:tabs>
                <w:tab w:val="decimal" w:pos="992"/>
              </w:tabs>
            </w:pPr>
            <w:r>
              <w:t>1,400</w:t>
            </w:r>
          </w:p>
        </w:tc>
        <w:tc>
          <w:tcPr>
            <w:tcW w:w="1559" w:type="dxa"/>
            <w:tcBorders>
              <w:top w:val="single" w:sz="4" w:space="0" w:color="auto"/>
              <w:bottom w:val="nil"/>
            </w:tcBorders>
          </w:tcPr>
          <w:p w14:paraId="16FD0CE0" w14:textId="77777777" w:rsidR="00CF2D46" w:rsidRPr="00FD232E" w:rsidRDefault="00CF2D46" w:rsidP="00FA7E90">
            <w:pPr>
              <w:pStyle w:val="TableText"/>
              <w:tabs>
                <w:tab w:val="decimal" w:pos="680"/>
              </w:tabs>
            </w:pPr>
            <w:r>
              <w:t>32.6</w:t>
            </w:r>
          </w:p>
        </w:tc>
        <w:tc>
          <w:tcPr>
            <w:tcW w:w="1559" w:type="dxa"/>
            <w:tcBorders>
              <w:top w:val="single" w:sz="4" w:space="0" w:color="auto"/>
              <w:bottom w:val="nil"/>
            </w:tcBorders>
          </w:tcPr>
          <w:p w14:paraId="04E3B370" w14:textId="77777777" w:rsidR="00CF2D46" w:rsidRPr="00FD232E" w:rsidRDefault="00CF2D46" w:rsidP="00FA7E90">
            <w:pPr>
              <w:pStyle w:val="TableText"/>
              <w:tabs>
                <w:tab w:val="decimal" w:pos="1026"/>
              </w:tabs>
            </w:pPr>
            <w:r>
              <w:t>23,400</w:t>
            </w:r>
          </w:p>
        </w:tc>
      </w:tr>
      <w:tr w:rsidR="00CF2D46" w:rsidRPr="00FD232E" w14:paraId="1E1B03D8" w14:textId="77777777" w:rsidTr="00FA7E90">
        <w:trPr>
          <w:cantSplit/>
        </w:trPr>
        <w:tc>
          <w:tcPr>
            <w:tcW w:w="4395" w:type="dxa"/>
            <w:tcBorders>
              <w:top w:val="nil"/>
              <w:bottom w:val="nil"/>
              <w:right w:val="single" w:sz="4" w:space="0" w:color="auto"/>
            </w:tcBorders>
          </w:tcPr>
          <w:p w14:paraId="532B5EEC" w14:textId="77777777" w:rsidR="00CF2D46" w:rsidRPr="00FD232E" w:rsidRDefault="00CF2D46" w:rsidP="00FA7E90">
            <w:pPr>
              <w:pStyle w:val="TableText"/>
            </w:pPr>
            <w:r>
              <w:t>Cannabinoids</w:t>
            </w:r>
          </w:p>
        </w:tc>
        <w:tc>
          <w:tcPr>
            <w:tcW w:w="1559" w:type="dxa"/>
            <w:tcBorders>
              <w:top w:val="nil"/>
              <w:left w:val="single" w:sz="4" w:space="0" w:color="auto"/>
              <w:bottom w:val="nil"/>
            </w:tcBorders>
          </w:tcPr>
          <w:p w14:paraId="41E56225" w14:textId="77777777" w:rsidR="00CF2D46" w:rsidRPr="00FD232E" w:rsidRDefault="00CF2D46" w:rsidP="00FA7E90">
            <w:pPr>
              <w:pStyle w:val="TableText"/>
              <w:tabs>
                <w:tab w:val="decimal" w:pos="992"/>
              </w:tabs>
            </w:pPr>
            <w:r>
              <w:t>26,000</w:t>
            </w:r>
          </w:p>
        </w:tc>
        <w:tc>
          <w:tcPr>
            <w:tcW w:w="1559" w:type="dxa"/>
            <w:tcBorders>
              <w:top w:val="nil"/>
              <w:bottom w:val="nil"/>
            </w:tcBorders>
          </w:tcPr>
          <w:p w14:paraId="17F2FA30" w14:textId="77777777" w:rsidR="00CF2D46" w:rsidRPr="00FD232E" w:rsidRDefault="00CF2D46" w:rsidP="00FA7E90">
            <w:pPr>
              <w:pStyle w:val="TableText"/>
              <w:tabs>
                <w:tab w:val="decimal" w:pos="680"/>
              </w:tabs>
            </w:pPr>
            <w:r>
              <w:t>63.9</w:t>
            </w:r>
          </w:p>
        </w:tc>
        <w:tc>
          <w:tcPr>
            <w:tcW w:w="1559" w:type="dxa"/>
            <w:tcBorders>
              <w:top w:val="nil"/>
              <w:bottom w:val="nil"/>
            </w:tcBorders>
          </w:tcPr>
          <w:p w14:paraId="5F74C79F" w14:textId="77777777" w:rsidR="00CF2D46" w:rsidRPr="00FD232E" w:rsidRDefault="00CF2D46" w:rsidP="00FA7E90">
            <w:pPr>
              <w:pStyle w:val="TableText"/>
              <w:tabs>
                <w:tab w:val="decimal" w:pos="1026"/>
              </w:tabs>
            </w:pPr>
            <w:r>
              <w:t>2,500</w:t>
            </w:r>
          </w:p>
        </w:tc>
      </w:tr>
      <w:tr w:rsidR="00CF2D46" w:rsidRPr="00FD232E" w14:paraId="09822749" w14:textId="77777777" w:rsidTr="00FA7E90">
        <w:trPr>
          <w:cantSplit/>
        </w:trPr>
        <w:tc>
          <w:tcPr>
            <w:tcW w:w="4395" w:type="dxa"/>
            <w:tcBorders>
              <w:top w:val="nil"/>
              <w:bottom w:val="nil"/>
              <w:right w:val="single" w:sz="4" w:space="0" w:color="auto"/>
            </w:tcBorders>
          </w:tcPr>
          <w:p w14:paraId="0D6F2A39" w14:textId="58BAFF96" w:rsidR="00CF2D46" w:rsidRPr="00FD232E" w:rsidRDefault="00CF2D46">
            <w:pPr>
              <w:pStyle w:val="TableText"/>
            </w:pPr>
            <w:r>
              <w:t xml:space="preserve">Hallucinogenic </w:t>
            </w:r>
            <w:r w:rsidR="00FA7E90">
              <w:t>and</w:t>
            </w:r>
            <w:r>
              <w:t xml:space="preserve"> psychedelic drugs</w:t>
            </w:r>
          </w:p>
        </w:tc>
        <w:tc>
          <w:tcPr>
            <w:tcW w:w="1559" w:type="dxa"/>
            <w:tcBorders>
              <w:top w:val="nil"/>
              <w:left w:val="single" w:sz="4" w:space="0" w:color="auto"/>
              <w:bottom w:val="nil"/>
            </w:tcBorders>
          </w:tcPr>
          <w:p w14:paraId="7CB37B62" w14:textId="77777777" w:rsidR="00CF2D46" w:rsidRPr="00FD232E" w:rsidRDefault="00CF2D46" w:rsidP="00FA7E90">
            <w:pPr>
              <w:pStyle w:val="TableText"/>
              <w:tabs>
                <w:tab w:val="decimal" w:pos="992"/>
              </w:tabs>
            </w:pPr>
            <w:r>
              <w:t>500</w:t>
            </w:r>
          </w:p>
        </w:tc>
        <w:tc>
          <w:tcPr>
            <w:tcW w:w="1559" w:type="dxa"/>
            <w:tcBorders>
              <w:top w:val="nil"/>
              <w:bottom w:val="nil"/>
            </w:tcBorders>
          </w:tcPr>
          <w:p w14:paraId="0C916507" w14:textId="77777777" w:rsidR="00CF2D46" w:rsidRPr="00FD232E" w:rsidRDefault="00CF2D46" w:rsidP="00FA7E90">
            <w:pPr>
              <w:pStyle w:val="TableText"/>
              <w:tabs>
                <w:tab w:val="decimal" w:pos="680"/>
              </w:tabs>
            </w:pPr>
            <w:r>
              <w:t>1.9</w:t>
            </w:r>
          </w:p>
        </w:tc>
        <w:tc>
          <w:tcPr>
            <w:tcW w:w="1559" w:type="dxa"/>
            <w:tcBorders>
              <w:top w:val="nil"/>
              <w:bottom w:val="nil"/>
            </w:tcBorders>
          </w:tcPr>
          <w:p w14:paraId="40DD6BED" w14:textId="77777777" w:rsidR="00CF2D46" w:rsidRPr="00FD232E" w:rsidRDefault="00CF2D46" w:rsidP="00FA7E90">
            <w:pPr>
              <w:pStyle w:val="TableText"/>
              <w:tabs>
                <w:tab w:val="decimal" w:pos="1026"/>
              </w:tabs>
            </w:pPr>
            <w:r>
              <w:t>4,200</w:t>
            </w:r>
          </w:p>
        </w:tc>
      </w:tr>
      <w:tr w:rsidR="00CF2D46" w:rsidRPr="00FD232E" w14:paraId="6F5D173A" w14:textId="77777777" w:rsidTr="00FA7E90">
        <w:trPr>
          <w:cantSplit/>
        </w:trPr>
        <w:tc>
          <w:tcPr>
            <w:tcW w:w="4395" w:type="dxa"/>
            <w:tcBorders>
              <w:top w:val="nil"/>
              <w:bottom w:val="single" w:sz="4" w:space="0" w:color="auto"/>
              <w:right w:val="single" w:sz="4" w:space="0" w:color="auto"/>
            </w:tcBorders>
          </w:tcPr>
          <w:p w14:paraId="6129DA3C" w14:textId="18EC0E43" w:rsidR="00CF2D46" w:rsidRPr="00FD232E" w:rsidRDefault="00CF2D46">
            <w:pPr>
              <w:pStyle w:val="TableText"/>
            </w:pPr>
            <w:r>
              <w:t xml:space="preserve">Opioid </w:t>
            </w:r>
            <w:r w:rsidR="00FA7E90">
              <w:t>and</w:t>
            </w:r>
            <w:r>
              <w:t xml:space="preserve"> sedative drugs</w:t>
            </w:r>
          </w:p>
        </w:tc>
        <w:tc>
          <w:tcPr>
            <w:tcW w:w="1559" w:type="dxa"/>
            <w:tcBorders>
              <w:top w:val="nil"/>
              <w:left w:val="single" w:sz="4" w:space="0" w:color="auto"/>
              <w:bottom w:val="single" w:sz="4" w:space="0" w:color="auto"/>
            </w:tcBorders>
          </w:tcPr>
          <w:p w14:paraId="1DA60AE9" w14:textId="77777777" w:rsidR="00CF2D46" w:rsidRPr="00FD232E" w:rsidRDefault="00CF2D46" w:rsidP="00FA7E90">
            <w:pPr>
              <w:pStyle w:val="TableText"/>
              <w:tabs>
                <w:tab w:val="decimal" w:pos="992"/>
              </w:tabs>
            </w:pPr>
            <w:r>
              <w:t>2,000</w:t>
            </w:r>
          </w:p>
        </w:tc>
        <w:tc>
          <w:tcPr>
            <w:tcW w:w="1559" w:type="dxa"/>
            <w:tcBorders>
              <w:top w:val="nil"/>
              <w:bottom w:val="single" w:sz="4" w:space="0" w:color="auto"/>
            </w:tcBorders>
          </w:tcPr>
          <w:p w14:paraId="05FD61B1" w14:textId="77777777" w:rsidR="00CF2D46" w:rsidRPr="00FD232E" w:rsidRDefault="00CF2D46" w:rsidP="00FA7E90">
            <w:pPr>
              <w:pStyle w:val="TableText"/>
              <w:tabs>
                <w:tab w:val="decimal" w:pos="680"/>
              </w:tabs>
            </w:pPr>
            <w:r>
              <w:t>41.4</w:t>
            </w:r>
          </w:p>
        </w:tc>
        <w:tc>
          <w:tcPr>
            <w:tcW w:w="1559" w:type="dxa"/>
            <w:tcBorders>
              <w:top w:val="nil"/>
              <w:bottom w:val="single" w:sz="4" w:space="0" w:color="auto"/>
            </w:tcBorders>
          </w:tcPr>
          <w:p w14:paraId="64997CFE" w14:textId="77777777" w:rsidR="00CF2D46" w:rsidRPr="00FD232E" w:rsidRDefault="00CF2D46" w:rsidP="00FA7E90">
            <w:pPr>
              <w:pStyle w:val="TableText"/>
              <w:tabs>
                <w:tab w:val="decimal" w:pos="1026"/>
              </w:tabs>
            </w:pPr>
            <w:r>
              <w:t>20,400</w:t>
            </w:r>
          </w:p>
        </w:tc>
      </w:tr>
      <w:tr w:rsidR="00CF2D46" w:rsidRPr="00FA7E90" w14:paraId="60745E3D" w14:textId="77777777" w:rsidTr="00FA7E90">
        <w:trPr>
          <w:cantSplit/>
        </w:trPr>
        <w:tc>
          <w:tcPr>
            <w:tcW w:w="4395" w:type="dxa"/>
            <w:tcBorders>
              <w:top w:val="single" w:sz="4" w:space="0" w:color="auto"/>
              <w:bottom w:val="single" w:sz="4" w:space="0" w:color="auto"/>
              <w:right w:val="single" w:sz="4" w:space="0" w:color="auto"/>
            </w:tcBorders>
          </w:tcPr>
          <w:p w14:paraId="61510F0B" w14:textId="77777777" w:rsidR="00CF2D46" w:rsidRPr="00FA7E90" w:rsidRDefault="00CF2D46" w:rsidP="00FA7E90">
            <w:pPr>
              <w:pStyle w:val="TableText"/>
              <w:ind w:right="142"/>
              <w:jc w:val="right"/>
              <w:rPr>
                <w:b/>
              </w:rPr>
            </w:pPr>
            <w:r w:rsidRPr="00FA7E90">
              <w:rPr>
                <w:b/>
              </w:rPr>
              <w:t>Total</w:t>
            </w:r>
          </w:p>
        </w:tc>
        <w:tc>
          <w:tcPr>
            <w:tcW w:w="1559" w:type="dxa"/>
            <w:tcBorders>
              <w:top w:val="single" w:sz="4" w:space="0" w:color="auto"/>
              <w:left w:val="single" w:sz="4" w:space="0" w:color="auto"/>
            </w:tcBorders>
          </w:tcPr>
          <w:p w14:paraId="7DBB0650" w14:textId="77777777" w:rsidR="00CF2D46" w:rsidRPr="00FA7E90" w:rsidRDefault="00CF2D46" w:rsidP="00FA7E90">
            <w:pPr>
              <w:pStyle w:val="TableText"/>
              <w:tabs>
                <w:tab w:val="decimal" w:pos="992"/>
              </w:tabs>
              <w:rPr>
                <w:b/>
              </w:rPr>
            </w:pPr>
            <w:r w:rsidRPr="00FA7E90">
              <w:rPr>
                <w:b/>
              </w:rPr>
              <w:t>29,900</w:t>
            </w:r>
          </w:p>
        </w:tc>
        <w:tc>
          <w:tcPr>
            <w:tcW w:w="1559" w:type="dxa"/>
            <w:tcBorders>
              <w:top w:val="single" w:sz="4" w:space="0" w:color="auto"/>
            </w:tcBorders>
          </w:tcPr>
          <w:p w14:paraId="0AEE2BCB" w14:textId="77777777" w:rsidR="00CF2D46" w:rsidRPr="00FA7E90" w:rsidRDefault="00CF2D46" w:rsidP="00FA7E90">
            <w:pPr>
              <w:pStyle w:val="TableText"/>
              <w:tabs>
                <w:tab w:val="decimal" w:pos="680"/>
              </w:tabs>
              <w:rPr>
                <w:b/>
              </w:rPr>
            </w:pPr>
            <w:r w:rsidRPr="00FA7E90">
              <w:rPr>
                <w:b/>
              </w:rPr>
              <w:t>139.7</w:t>
            </w:r>
          </w:p>
        </w:tc>
        <w:tc>
          <w:tcPr>
            <w:tcW w:w="1559" w:type="dxa"/>
            <w:tcBorders>
              <w:top w:val="single" w:sz="4" w:space="0" w:color="auto"/>
            </w:tcBorders>
          </w:tcPr>
          <w:p w14:paraId="6E12C09E" w14:textId="77777777" w:rsidR="00CF2D46" w:rsidRPr="00FA7E90" w:rsidRDefault="00CF2D46" w:rsidP="00FA7E90">
            <w:pPr>
              <w:pStyle w:val="TableText"/>
              <w:tabs>
                <w:tab w:val="decimal" w:pos="1026"/>
              </w:tabs>
              <w:rPr>
                <w:b/>
              </w:rPr>
            </w:pPr>
            <w:r w:rsidRPr="00FA7E90">
              <w:rPr>
                <w:b/>
              </w:rPr>
              <w:t>4,700</w:t>
            </w:r>
          </w:p>
        </w:tc>
      </w:tr>
    </w:tbl>
    <w:p w14:paraId="6B503947" w14:textId="32EBE1FA" w:rsidR="00CF2D46" w:rsidRDefault="00CF2D46" w:rsidP="00FA7E90">
      <w:pPr>
        <w:rPr>
          <w:lang w:eastAsia="en-AU"/>
        </w:rPr>
      </w:pPr>
      <w:r>
        <w:rPr>
          <w:lang w:eastAsia="en-AU"/>
        </w:rPr>
        <w:t xml:space="preserve">The economic value of property lost as a result of acquisitive crime committed to fund drug use is $139.7 million. It was also assumed that acquisitive crime was committed by dependent users and </w:t>
      </w:r>
      <w:r w:rsidRPr="00E33A68">
        <w:rPr>
          <w:lang w:eastAsia="en-AU"/>
        </w:rPr>
        <w:t>not casual users. The cost per user was estimated at $4,700 for all dependent users. It is estimated</w:t>
      </w:r>
      <w:r>
        <w:rPr>
          <w:lang w:eastAsia="en-AU"/>
        </w:rPr>
        <w:t xml:space="preserve"> that dependent users of </w:t>
      </w:r>
      <w:r>
        <w:t>amphetamine</w:t>
      </w:r>
      <w:r w:rsidR="00FB17C9">
        <w:t>-</w:t>
      </w:r>
      <w:r>
        <w:t>type stimulants had the highest level of drug-related crime by value at $23,400 per user;</w:t>
      </w:r>
      <w:r w:rsidRPr="008E1446">
        <w:t xml:space="preserve"> </w:t>
      </w:r>
      <w:r>
        <w:rPr>
          <w:lang w:eastAsia="en-AU"/>
        </w:rPr>
        <w:t>t</w:t>
      </w:r>
      <w:r w:rsidRPr="008E1446">
        <w:rPr>
          <w:lang w:eastAsia="en-AU"/>
        </w:rPr>
        <w:t xml:space="preserve">his was strongly driven by the results for methamphetamine. </w:t>
      </w:r>
      <w:r w:rsidRPr="008E1446">
        <w:t>This</w:t>
      </w:r>
      <w:r>
        <w:t xml:space="preserve"> was followed by users of opioid &amp; sedative drugs at $20,400.</w:t>
      </w:r>
    </w:p>
    <w:p w14:paraId="7FB240F1" w14:textId="77777777" w:rsidR="00CF2D46" w:rsidRPr="00544C47" w:rsidRDefault="00CF2D46" w:rsidP="00FA7E90">
      <w:pPr>
        <w:pStyle w:val="Heading3"/>
        <w:rPr>
          <w:lang w:eastAsia="en-AU"/>
        </w:rPr>
      </w:pPr>
      <w:r w:rsidRPr="00544C47">
        <w:rPr>
          <w:lang w:eastAsia="en-AU"/>
        </w:rPr>
        <w:t>Organised crime</w:t>
      </w:r>
    </w:p>
    <w:p w14:paraId="747249F8" w14:textId="77777777" w:rsidR="00CF2D46" w:rsidRDefault="00CF2D46" w:rsidP="00FA7E90">
      <w:pPr>
        <w:rPr>
          <w:lang w:eastAsia="en-AU"/>
        </w:rPr>
      </w:pPr>
      <w:r>
        <w:rPr>
          <w:lang w:eastAsia="en-AU"/>
        </w:rPr>
        <w:t>Organised crime plays a significant role in drug production, importation and distribution. The majority of harms relating to drug trafficking are drug-related and dealt with in the other sections of this report. This section is concerned with harms that actually extend beyond the harms traditionally associated with illicit drugs. In part, this is due to the evolution of organised crime structures and to the diversification of business. Organised crime acts like legitimate business in attempting to lower the risk associated with activities. One strategy to reduce risk is diversification.</w:t>
      </w:r>
    </w:p>
    <w:p w14:paraId="5F8CA900" w14:textId="77777777" w:rsidR="00990768" w:rsidRDefault="00CF2D46" w:rsidP="00FA7E90">
      <w:pPr>
        <w:rPr>
          <w:lang w:eastAsia="en-AU"/>
        </w:rPr>
      </w:pPr>
      <w:r>
        <w:rPr>
          <w:lang w:eastAsia="en-AU"/>
        </w:rPr>
        <w:t xml:space="preserve">Drug crime is highly profitable but not all profits of crime are reinvested in crime. Recent work (McFadden, 2015) undertaken on behalf of the New Zealand Police suggests that 56% of the revenue from drug trafficking is reinvested in criminal activity, while the remainder is used to support a lifestyle. The majority reinvested will fund further drug trafficking; however, some will be invested in other activities such as extortion, fraud, pornography and weapons </w:t>
      </w:r>
      <w:r w:rsidRPr="00E33A68">
        <w:rPr>
          <w:lang w:eastAsia="en-AU"/>
        </w:rPr>
        <w:t>trafficking</w:t>
      </w:r>
      <w:r>
        <w:rPr>
          <w:lang w:eastAsia="en-AU"/>
        </w:rPr>
        <w:t>.</w:t>
      </w:r>
      <w:r w:rsidRPr="00E33A68">
        <w:rPr>
          <w:lang w:eastAsia="en-AU"/>
        </w:rPr>
        <w:t xml:space="preserve"> (</w:t>
      </w:r>
      <w:r>
        <w:rPr>
          <w:lang w:eastAsia="en-AU"/>
        </w:rPr>
        <w:t>Insert</w:t>
      </w:r>
      <w:r w:rsidRPr="00E33A68">
        <w:rPr>
          <w:lang w:eastAsia="en-AU"/>
        </w:rPr>
        <w:t xml:space="preserve"> 4 provides</w:t>
      </w:r>
      <w:r>
        <w:rPr>
          <w:lang w:eastAsia="en-AU"/>
        </w:rPr>
        <w:t xml:space="preserve"> an interesting example of the link between illegal fishing and drugs.) The exact proportion invested elsewhere is difficult to estimate.</w:t>
      </w:r>
    </w:p>
    <w:p w14:paraId="323C5338" w14:textId="77777777" w:rsidR="00CF2D46" w:rsidRDefault="00CF2D46" w:rsidP="00FA7E90">
      <w:pPr>
        <w:rPr>
          <w:lang w:eastAsia="en-AU"/>
        </w:rPr>
      </w:pPr>
      <w:r>
        <w:rPr>
          <w:lang w:eastAsia="en-AU"/>
        </w:rPr>
        <w:t>Hughes et al (2015) provided a network analysis of the links between major drug crimes and other types of crime in Australia. They found that 28.5% of cases in the linked network were not drug-related and that the majority of cases were associated with economic crime. There is insufficient information available to calculate the actual proportion of profits from drug trafficking reinvested in other crime. Based on the Hughes et al figures it is unlikely to exceed 28.5%. A conservative estimate of 20% was used in the model. Thus, the proportion of drug-related revenue reinvested in other crime is 20% of 56%, or approximately 11%. More detail on the method employed is provided in Attachment B. The results are provided in Tables 9 and 10.</w:t>
      </w:r>
    </w:p>
    <w:p w14:paraId="4F516C9A" w14:textId="77777777" w:rsidR="00CF2D46" w:rsidRPr="00227298" w:rsidRDefault="00CF2D46" w:rsidP="00FA7E90">
      <w:pPr>
        <w:pStyle w:val="Table"/>
        <w:rPr>
          <w:lang w:eastAsia="en-AU"/>
        </w:rPr>
      </w:pPr>
      <w:bookmarkStart w:id="32" w:name="_Toc444941850"/>
      <w:r w:rsidRPr="00227298">
        <w:rPr>
          <w:lang w:eastAsia="en-AU"/>
        </w:rPr>
        <w:t xml:space="preserve">Table </w:t>
      </w:r>
      <w:r>
        <w:rPr>
          <w:lang w:eastAsia="en-AU"/>
        </w:rPr>
        <w:t>9. Reinvestment in organised crime by drug group and user type</w:t>
      </w:r>
      <w:bookmarkEnd w:id="32"/>
    </w:p>
    <w:tbl>
      <w:tblPr>
        <w:tblStyle w:val="TableGrid"/>
        <w:tblW w:w="0" w:type="auto"/>
        <w:tblInd w:w="108" w:type="dxa"/>
        <w:tblBorders>
          <w:insideH w:val="none" w:sz="0" w:space="0" w:color="auto"/>
          <w:insideV w:val="none" w:sz="0" w:space="0" w:color="auto"/>
        </w:tblBorders>
        <w:tblLayout w:type="fixed"/>
        <w:tblLook w:val="04A0" w:firstRow="1" w:lastRow="0" w:firstColumn="1" w:lastColumn="0" w:noHBand="0" w:noVBand="1"/>
      </w:tblPr>
      <w:tblGrid>
        <w:gridCol w:w="1975"/>
        <w:gridCol w:w="1620"/>
        <w:gridCol w:w="1530"/>
        <w:gridCol w:w="1350"/>
        <w:gridCol w:w="1260"/>
        <w:gridCol w:w="1337"/>
      </w:tblGrid>
      <w:tr w:rsidR="00CF2D46" w:rsidRPr="00FA7E90" w14:paraId="5711339A" w14:textId="77777777" w:rsidTr="00FA7E90">
        <w:trPr>
          <w:cantSplit/>
        </w:trPr>
        <w:tc>
          <w:tcPr>
            <w:tcW w:w="1975" w:type="dxa"/>
            <w:tcBorders>
              <w:right w:val="single" w:sz="4" w:space="0" w:color="auto"/>
            </w:tcBorders>
          </w:tcPr>
          <w:p w14:paraId="01C020F2" w14:textId="77777777" w:rsidR="00CF2D46" w:rsidRPr="00FA7E90" w:rsidRDefault="00CF2D46" w:rsidP="00FA7E90">
            <w:pPr>
              <w:pStyle w:val="TableText"/>
              <w:keepNext/>
              <w:rPr>
                <w:b/>
                <w:lang w:eastAsia="en-AU"/>
              </w:rPr>
            </w:pPr>
          </w:p>
        </w:tc>
        <w:tc>
          <w:tcPr>
            <w:tcW w:w="3150" w:type="dxa"/>
            <w:gridSpan w:val="2"/>
            <w:tcBorders>
              <w:top w:val="single" w:sz="4" w:space="0" w:color="auto"/>
              <w:left w:val="single" w:sz="4" w:space="0" w:color="auto"/>
              <w:right w:val="single" w:sz="4" w:space="0" w:color="auto"/>
            </w:tcBorders>
          </w:tcPr>
          <w:p w14:paraId="42BCA4F4" w14:textId="77777777" w:rsidR="00CF2D46" w:rsidRPr="00FA7E90" w:rsidRDefault="00CF2D46" w:rsidP="00FA7E90">
            <w:pPr>
              <w:pStyle w:val="TableText"/>
              <w:keepNext/>
              <w:jc w:val="center"/>
              <w:rPr>
                <w:b/>
                <w:lang w:eastAsia="en-AU"/>
              </w:rPr>
            </w:pPr>
            <w:r w:rsidRPr="00FA7E90">
              <w:rPr>
                <w:b/>
                <w:lang w:eastAsia="en-AU"/>
              </w:rPr>
              <w:t>Expenditure on illicit drugs ($m)</w:t>
            </w:r>
          </w:p>
        </w:tc>
        <w:tc>
          <w:tcPr>
            <w:tcW w:w="3947" w:type="dxa"/>
            <w:gridSpan w:val="3"/>
            <w:tcBorders>
              <w:left w:val="single" w:sz="4" w:space="0" w:color="auto"/>
            </w:tcBorders>
          </w:tcPr>
          <w:p w14:paraId="5A10F198" w14:textId="77777777" w:rsidR="00CF2D46" w:rsidRPr="00FA7E90" w:rsidRDefault="00CF2D46" w:rsidP="00FA7E90">
            <w:pPr>
              <w:pStyle w:val="TableText"/>
              <w:keepNext/>
              <w:jc w:val="center"/>
              <w:rPr>
                <w:b/>
                <w:lang w:eastAsia="en-AU"/>
              </w:rPr>
            </w:pPr>
            <w:r w:rsidRPr="00FA7E90">
              <w:rPr>
                <w:b/>
                <w:lang w:eastAsia="en-AU"/>
              </w:rPr>
              <w:t>Reinvestment in organised crime ($m)</w:t>
            </w:r>
          </w:p>
        </w:tc>
      </w:tr>
      <w:tr w:rsidR="00CF2D46" w:rsidRPr="00FA7E90" w14:paraId="6C9791F2" w14:textId="77777777" w:rsidTr="00FA7E90">
        <w:trPr>
          <w:cantSplit/>
        </w:trPr>
        <w:tc>
          <w:tcPr>
            <w:tcW w:w="1975" w:type="dxa"/>
            <w:tcBorders>
              <w:bottom w:val="single" w:sz="4" w:space="0" w:color="auto"/>
              <w:right w:val="single" w:sz="4" w:space="0" w:color="auto"/>
            </w:tcBorders>
          </w:tcPr>
          <w:p w14:paraId="49F57D8D" w14:textId="77777777" w:rsidR="00CF2D46" w:rsidRPr="00FA7E90" w:rsidRDefault="00CF2D46" w:rsidP="00FA7E90">
            <w:pPr>
              <w:pStyle w:val="TableText"/>
              <w:spacing w:before="0"/>
              <w:rPr>
                <w:b/>
                <w:lang w:eastAsia="en-AU"/>
              </w:rPr>
            </w:pPr>
            <w:r w:rsidRPr="00FA7E90">
              <w:rPr>
                <w:b/>
              </w:rPr>
              <w:t>Drug group</w:t>
            </w:r>
          </w:p>
        </w:tc>
        <w:tc>
          <w:tcPr>
            <w:tcW w:w="1620" w:type="dxa"/>
            <w:tcBorders>
              <w:left w:val="single" w:sz="4" w:space="0" w:color="auto"/>
              <w:bottom w:val="single" w:sz="4" w:space="0" w:color="auto"/>
            </w:tcBorders>
          </w:tcPr>
          <w:p w14:paraId="69DE658F" w14:textId="77777777" w:rsidR="00CF2D46" w:rsidRPr="00FA7E90" w:rsidRDefault="00CF2D46" w:rsidP="00FA7E90">
            <w:pPr>
              <w:pStyle w:val="TableText"/>
              <w:spacing w:before="0"/>
              <w:jc w:val="center"/>
              <w:rPr>
                <w:b/>
                <w:lang w:eastAsia="en-AU"/>
              </w:rPr>
            </w:pPr>
            <w:r w:rsidRPr="00FA7E90">
              <w:rPr>
                <w:b/>
                <w:lang w:eastAsia="en-AU"/>
              </w:rPr>
              <w:t>Dependent</w:t>
            </w:r>
          </w:p>
        </w:tc>
        <w:tc>
          <w:tcPr>
            <w:tcW w:w="1530" w:type="dxa"/>
            <w:tcBorders>
              <w:bottom w:val="single" w:sz="4" w:space="0" w:color="auto"/>
              <w:right w:val="single" w:sz="4" w:space="0" w:color="auto"/>
            </w:tcBorders>
          </w:tcPr>
          <w:p w14:paraId="13EB08E7" w14:textId="77777777" w:rsidR="00CF2D46" w:rsidRPr="00FA7E90" w:rsidRDefault="00CF2D46" w:rsidP="00FA7E90">
            <w:pPr>
              <w:pStyle w:val="TableText"/>
              <w:spacing w:before="0"/>
              <w:jc w:val="center"/>
              <w:rPr>
                <w:b/>
                <w:lang w:eastAsia="en-AU"/>
              </w:rPr>
            </w:pPr>
            <w:r w:rsidRPr="00FA7E90">
              <w:rPr>
                <w:b/>
                <w:lang w:eastAsia="en-AU"/>
              </w:rPr>
              <w:t>Casual</w:t>
            </w:r>
          </w:p>
        </w:tc>
        <w:tc>
          <w:tcPr>
            <w:tcW w:w="1350" w:type="dxa"/>
            <w:tcBorders>
              <w:left w:val="single" w:sz="4" w:space="0" w:color="auto"/>
              <w:bottom w:val="single" w:sz="4" w:space="0" w:color="auto"/>
            </w:tcBorders>
          </w:tcPr>
          <w:p w14:paraId="3AC13340" w14:textId="77777777" w:rsidR="00CF2D46" w:rsidRPr="00FA7E90" w:rsidRDefault="00CF2D46" w:rsidP="00FA7E90">
            <w:pPr>
              <w:pStyle w:val="TableText"/>
              <w:spacing w:before="0"/>
              <w:jc w:val="center"/>
              <w:rPr>
                <w:b/>
                <w:lang w:eastAsia="en-AU"/>
              </w:rPr>
            </w:pPr>
            <w:r w:rsidRPr="00FA7E90">
              <w:rPr>
                <w:b/>
                <w:lang w:eastAsia="en-AU"/>
              </w:rPr>
              <w:t>Dependent</w:t>
            </w:r>
          </w:p>
        </w:tc>
        <w:tc>
          <w:tcPr>
            <w:tcW w:w="1260" w:type="dxa"/>
            <w:tcBorders>
              <w:bottom w:val="single" w:sz="4" w:space="0" w:color="auto"/>
            </w:tcBorders>
          </w:tcPr>
          <w:p w14:paraId="20D7F3F8" w14:textId="77777777" w:rsidR="00CF2D46" w:rsidRPr="00FA7E90" w:rsidRDefault="00CF2D46" w:rsidP="00FA7E90">
            <w:pPr>
              <w:pStyle w:val="TableText"/>
              <w:spacing w:before="0"/>
              <w:jc w:val="center"/>
              <w:rPr>
                <w:b/>
                <w:lang w:eastAsia="en-AU"/>
              </w:rPr>
            </w:pPr>
            <w:r w:rsidRPr="00FA7E90">
              <w:rPr>
                <w:b/>
                <w:lang w:eastAsia="en-AU"/>
              </w:rPr>
              <w:t>Casual</w:t>
            </w:r>
          </w:p>
        </w:tc>
        <w:tc>
          <w:tcPr>
            <w:tcW w:w="1337" w:type="dxa"/>
            <w:tcBorders>
              <w:bottom w:val="single" w:sz="4" w:space="0" w:color="auto"/>
            </w:tcBorders>
          </w:tcPr>
          <w:p w14:paraId="17B74325" w14:textId="77777777" w:rsidR="00CF2D46" w:rsidRPr="00FA7E90" w:rsidRDefault="00CF2D46" w:rsidP="00FA7E90">
            <w:pPr>
              <w:pStyle w:val="TableText"/>
              <w:spacing w:before="0"/>
              <w:jc w:val="center"/>
              <w:rPr>
                <w:b/>
                <w:lang w:eastAsia="en-AU"/>
              </w:rPr>
            </w:pPr>
            <w:r w:rsidRPr="00FA7E90">
              <w:rPr>
                <w:b/>
                <w:lang w:eastAsia="en-AU"/>
              </w:rPr>
              <w:t>Total</w:t>
            </w:r>
          </w:p>
        </w:tc>
      </w:tr>
      <w:tr w:rsidR="00CF2D46" w14:paraId="604A74AA" w14:textId="77777777" w:rsidTr="00FA7E90">
        <w:trPr>
          <w:cantSplit/>
        </w:trPr>
        <w:tc>
          <w:tcPr>
            <w:tcW w:w="1975" w:type="dxa"/>
            <w:tcBorders>
              <w:top w:val="single" w:sz="4" w:space="0" w:color="auto"/>
              <w:bottom w:val="nil"/>
              <w:right w:val="single" w:sz="4" w:space="0" w:color="auto"/>
            </w:tcBorders>
          </w:tcPr>
          <w:p w14:paraId="0DC6D0E7" w14:textId="77777777" w:rsidR="00CF2D46" w:rsidRDefault="00CF2D46" w:rsidP="00FA7E90">
            <w:pPr>
              <w:pStyle w:val="TableText"/>
              <w:rPr>
                <w:lang w:eastAsia="en-AU"/>
              </w:rPr>
            </w:pPr>
            <w:r>
              <w:t>Amphetamine-type stimulants</w:t>
            </w:r>
          </w:p>
        </w:tc>
        <w:tc>
          <w:tcPr>
            <w:tcW w:w="1620" w:type="dxa"/>
            <w:tcBorders>
              <w:top w:val="single" w:sz="4" w:space="0" w:color="auto"/>
              <w:left w:val="single" w:sz="4" w:space="0" w:color="auto"/>
              <w:bottom w:val="nil"/>
            </w:tcBorders>
          </w:tcPr>
          <w:p w14:paraId="1F48D542" w14:textId="77777777" w:rsidR="00CF2D46" w:rsidRDefault="00CF2D46" w:rsidP="00FA7E90">
            <w:pPr>
              <w:pStyle w:val="TableText"/>
              <w:tabs>
                <w:tab w:val="decimal" w:pos="744"/>
              </w:tabs>
              <w:rPr>
                <w:lang w:eastAsia="en-AU"/>
              </w:rPr>
            </w:pPr>
            <w:r>
              <w:rPr>
                <w:lang w:eastAsia="en-AU"/>
              </w:rPr>
              <w:t>34.0</w:t>
            </w:r>
          </w:p>
        </w:tc>
        <w:tc>
          <w:tcPr>
            <w:tcW w:w="1530" w:type="dxa"/>
            <w:tcBorders>
              <w:top w:val="single" w:sz="4" w:space="0" w:color="auto"/>
              <w:bottom w:val="nil"/>
              <w:right w:val="single" w:sz="4" w:space="0" w:color="auto"/>
            </w:tcBorders>
          </w:tcPr>
          <w:p w14:paraId="482A0650" w14:textId="77777777" w:rsidR="00CF2D46" w:rsidRDefault="00CF2D46" w:rsidP="00FA7E90">
            <w:pPr>
              <w:pStyle w:val="TableText"/>
              <w:tabs>
                <w:tab w:val="decimal" w:pos="744"/>
              </w:tabs>
              <w:rPr>
                <w:lang w:eastAsia="en-AU"/>
              </w:rPr>
            </w:pPr>
            <w:r>
              <w:rPr>
                <w:lang w:eastAsia="en-AU"/>
              </w:rPr>
              <w:t>42.4</w:t>
            </w:r>
          </w:p>
        </w:tc>
        <w:tc>
          <w:tcPr>
            <w:tcW w:w="1350" w:type="dxa"/>
            <w:tcBorders>
              <w:top w:val="single" w:sz="4" w:space="0" w:color="auto"/>
              <w:left w:val="single" w:sz="4" w:space="0" w:color="auto"/>
              <w:bottom w:val="nil"/>
            </w:tcBorders>
          </w:tcPr>
          <w:p w14:paraId="0F4113E4" w14:textId="77777777" w:rsidR="00CF2D46" w:rsidRDefault="00CF2D46" w:rsidP="00FA7E90">
            <w:pPr>
              <w:pStyle w:val="TableText"/>
              <w:tabs>
                <w:tab w:val="decimal" w:pos="579"/>
              </w:tabs>
              <w:rPr>
                <w:lang w:eastAsia="en-AU"/>
              </w:rPr>
            </w:pPr>
            <w:r>
              <w:rPr>
                <w:lang w:eastAsia="en-AU"/>
              </w:rPr>
              <w:t>3.8</w:t>
            </w:r>
          </w:p>
        </w:tc>
        <w:tc>
          <w:tcPr>
            <w:tcW w:w="1260" w:type="dxa"/>
            <w:tcBorders>
              <w:top w:val="single" w:sz="4" w:space="0" w:color="auto"/>
              <w:bottom w:val="nil"/>
            </w:tcBorders>
          </w:tcPr>
          <w:p w14:paraId="4EA4C9B9" w14:textId="77777777" w:rsidR="00CF2D46" w:rsidRDefault="00CF2D46" w:rsidP="00FA7E90">
            <w:pPr>
              <w:pStyle w:val="TableText"/>
              <w:tabs>
                <w:tab w:val="decimal" w:pos="579"/>
              </w:tabs>
              <w:rPr>
                <w:lang w:eastAsia="en-AU"/>
              </w:rPr>
            </w:pPr>
            <w:r>
              <w:rPr>
                <w:lang w:eastAsia="en-AU"/>
              </w:rPr>
              <w:t>4.8</w:t>
            </w:r>
          </w:p>
        </w:tc>
        <w:tc>
          <w:tcPr>
            <w:tcW w:w="1337" w:type="dxa"/>
            <w:tcBorders>
              <w:top w:val="single" w:sz="4" w:space="0" w:color="auto"/>
              <w:bottom w:val="nil"/>
            </w:tcBorders>
          </w:tcPr>
          <w:p w14:paraId="22DBAB61" w14:textId="77777777" w:rsidR="00CF2D46" w:rsidRDefault="00CF2D46" w:rsidP="00FA7E90">
            <w:pPr>
              <w:pStyle w:val="TableText"/>
              <w:tabs>
                <w:tab w:val="decimal" w:pos="579"/>
              </w:tabs>
              <w:rPr>
                <w:lang w:eastAsia="en-AU"/>
              </w:rPr>
            </w:pPr>
            <w:r>
              <w:rPr>
                <w:lang w:eastAsia="en-AU"/>
              </w:rPr>
              <w:t>8.6</w:t>
            </w:r>
          </w:p>
        </w:tc>
      </w:tr>
      <w:tr w:rsidR="00CF2D46" w14:paraId="003B1BD1" w14:textId="77777777" w:rsidTr="00FA7E90">
        <w:trPr>
          <w:cantSplit/>
        </w:trPr>
        <w:tc>
          <w:tcPr>
            <w:tcW w:w="1975" w:type="dxa"/>
            <w:tcBorders>
              <w:top w:val="nil"/>
              <w:bottom w:val="nil"/>
              <w:right w:val="single" w:sz="4" w:space="0" w:color="auto"/>
            </w:tcBorders>
          </w:tcPr>
          <w:p w14:paraId="236A8217" w14:textId="77777777" w:rsidR="00CF2D46" w:rsidRDefault="00CF2D46" w:rsidP="00FA7E90">
            <w:pPr>
              <w:pStyle w:val="TableText"/>
              <w:rPr>
                <w:lang w:eastAsia="en-AU"/>
              </w:rPr>
            </w:pPr>
            <w:r>
              <w:t>Cannabinoids</w:t>
            </w:r>
          </w:p>
        </w:tc>
        <w:tc>
          <w:tcPr>
            <w:tcW w:w="1620" w:type="dxa"/>
            <w:tcBorders>
              <w:top w:val="nil"/>
              <w:left w:val="single" w:sz="4" w:space="0" w:color="auto"/>
              <w:bottom w:val="nil"/>
            </w:tcBorders>
          </w:tcPr>
          <w:p w14:paraId="480D6826" w14:textId="77777777" w:rsidR="00CF2D46" w:rsidRDefault="00CF2D46" w:rsidP="00FA7E90">
            <w:pPr>
              <w:pStyle w:val="TableText"/>
              <w:tabs>
                <w:tab w:val="decimal" w:pos="744"/>
              </w:tabs>
              <w:rPr>
                <w:lang w:eastAsia="en-AU"/>
              </w:rPr>
            </w:pPr>
            <w:r>
              <w:rPr>
                <w:lang w:eastAsia="en-AU"/>
              </w:rPr>
              <w:t>323.7</w:t>
            </w:r>
          </w:p>
        </w:tc>
        <w:tc>
          <w:tcPr>
            <w:tcW w:w="1530" w:type="dxa"/>
            <w:tcBorders>
              <w:top w:val="nil"/>
              <w:bottom w:val="nil"/>
              <w:right w:val="single" w:sz="4" w:space="0" w:color="auto"/>
            </w:tcBorders>
          </w:tcPr>
          <w:p w14:paraId="456151B2" w14:textId="77777777" w:rsidR="00CF2D46" w:rsidRDefault="00CF2D46" w:rsidP="00FA7E90">
            <w:pPr>
              <w:pStyle w:val="TableText"/>
              <w:tabs>
                <w:tab w:val="decimal" w:pos="744"/>
              </w:tabs>
              <w:rPr>
                <w:lang w:eastAsia="en-AU"/>
              </w:rPr>
            </w:pPr>
            <w:r>
              <w:rPr>
                <w:lang w:eastAsia="en-AU"/>
              </w:rPr>
              <w:t>225.1</w:t>
            </w:r>
          </w:p>
        </w:tc>
        <w:tc>
          <w:tcPr>
            <w:tcW w:w="1350" w:type="dxa"/>
            <w:tcBorders>
              <w:top w:val="nil"/>
              <w:left w:val="single" w:sz="4" w:space="0" w:color="auto"/>
              <w:bottom w:val="nil"/>
            </w:tcBorders>
          </w:tcPr>
          <w:p w14:paraId="4187F5FA" w14:textId="77777777" w:rsidR="00CF2D46" w:rsidRDefault="00CF2D46" w:rsidP="00FA7E90">
            <w:pPr>
              <w:pStyle w:val="TableText"/>
              <w:tabs>
                <w:tab w:val="decimal" w:pos="579"/>
              </w:tabs>
              <w:rPr>
                <w:lang w:eastAsia="en-AU"/>
              </w:rPr>
            </w:pPr>
            <w:r>
              <w:rPr>
                <w:lang w:eastAsia="en-AU"/>
              </w:rPr>
              <w:t>36.3</w:t>
            </w:r>
          </w:p>
        </w:tc>
        <w:tc>
          <w:tcPr>
            <w:tcW w:w="1260" w:type="dxa"/>
            <w:tcBorders>
              <w:top w:val="nil"/>
              <w:bottom w:val="nil"/>
            </w:tcBorders>
          </w:tcPr>
          <w:p w14:paraId="17F44945" w14:textId="77777777" w:rsidR="00CF2D46" w:rsidRDefault="00CF2D46" w:rsidP="00FA7E90">
            <w:pPr>
              <w:pStyle w:val="TableText"/>
              <w:tabs>
                <w:tab w:val="decimal" w:pos="579"/>
              </w:tabs>
              <w:rPr>
                <w:lang w:eastAsia="en-AU"/>
              </w:rPr>
            </w:pPr>
            <w:r>
              <w:rPr>
                <w:lang w:eastAsia="en-AU"/>
              </w:rPr>
              <w:t>25.2</w:t>
            </w:r>
          </w:p>
        </w:tc>
        <w:tc>
          <w:tcPr>
            <w:tcW w:w="1337" w:type="dxa"/>
            <w:tcBorders>
              <w:top w:val="nil"/>
              <w:bottom w:val="nil"/>
            </w:tcBorders>
          </w:tcPr>
          <w:p w14:paraId="11ABA08E" w14:textId="77777777" w:rsidR="00CF2D46" w:rsidRDefault="00CF2D46" w:rsidP="00FA7E90">
            <w:pPr>
              <w:pStyle w:val="TableText"/>
              <w:tabs>
                <w:tab w:val="decimal" w:pos="579"/>
              </w:tabs>
              <w:rPr>
                <w:lang w:eastAsia="en-AU"/>
              </w:rPr>
            </w:pPr>
            <w:r>
              <w:rPr>
                <w:lang w:eastAsia="en-AU"/>
              </w:rPr>
              <w:t>61.5</w:t>
            </w:r>
          </w:p>
        </w:tc>
      </w:tr>
      <w:tr w:rsidR="00CF2D46" w14:paraId="254EC55F" w14:textId="77777777" w:rsidTr="00FA7E90">
        <w:trPr>
          <w:cantSplit/>
        </w:trPr>
        <w:tc>
          <w:tcPr>
            <w:tcW w:w="1975" w:type="dxa"/>
            <w:tcBorders>
              <w:top w:val="nil"/>
              <w:bottom w:val="nil"/>
              <w:right w:val="single" w:sz="4" w:space="0" w:color="auto"/>
            </w:tcBorders>
          </w:tcPr>
          <w:p w14:paraId="76A6C530" w14:textId="1E491228" w:rsidR="00CF2D46" w:rsidRDefault="00CF2D46">
            <w:pPr>
              <w:pStyle w:val="TableText"/>
              <w:rPr>
                <w:lang w:eastAsia="en-AU"/>
              </w:rPr>
            </w:pPr>
            <w:r>
              <w:t xml:space="preserve">Hallucinogenic </w:t>
            </w:r>
            <w:r w:rsidR="00FA7E90">
              <w:t>and</w:t>
            </w:r>
            <w:r>
              <w:t xml:space="preserve"> psychedelic drugs</w:t>
            </w:r>
          </w:p>
        </w:tc>
        <w:tc>
          <w:tcPr>
            <w:tcW w:w="1620" w:type="dxa"/>
            <w:tcBorders>
              <w:top w:val="nil"/>
              <w:left w:val="single" w:sz="4" w:space="0" w:color="auto"/>
              <w:bottom w:val="nil"/>
            </w:tcBorders>
          </w:tcPr>
          <w:p w14:paraId="76E7BF57" w14:textId="77777777" w:rsidR="00CF2D46" w:rsidRDefault="00CF2D46" w:rsidP="00FA7E90">
            <w:pPr>
              <w:pStyle w:val="TableText"/>
              <w:tabs>
                <w:tab w:val="decimal" w:pos="744"/>
              </w:tabs>
              <w:rPr>
                <w:lang w:eastAsia="en-AU"/>
              </w:rPr>
            </w:pPr>
            <w:r>
              <w:rPr>
                <w:lang w:eastAsia="en-AU"/>
              </w:rPr>
              <w:t>0.2</w:t>
            </w:r>
          </w:p>
        </w:tc>
        <w:tc>
          <w:tcPr>
            <w:tcW w:w="1530" w:type="dxa"/>
            <w:tcBorders>
              <w:top w:val="nil"/>
              <w:bottom w:val="nil"/>
              <w:right w:val="single" w:sz="4" w:space="0" w:color="auto"/>
            </w:tcBorders>
          </w:tcPr>
          <w:p w14:paraId="33A47367" w14:textId="77777777" w:rsidR="00CF2D46" w:rsidRDefault="00CF2D46" w:rsidP="00FA7E90">
            <w:pPr>
              <w:pStyle w:val="TableText"/>
              <w:tabs>
                <w:tab w:val="decimal" w:pos="744"/>
              </w:tabs>
              <w:rPr>
                <w:lang w:eastAsia="en-AU"/>
              </w:rPr>
            </w:pPr>
            <w:r>
              <w:rPr>
                <w:lang w:eastAsia="en-AU"/>
              </w:rPr>
              <w:t>1.6</w:t>
            </w:r>
          </w:p>
        </w:tc>
        <w:tc>
          <w:tcPr>
            <w:tcW w:w="1350" w:type="dxa"/>
            <w:tcBorders>
              <w:top w:val="nil"/>
              <w:left w:val="single" w:sz="4" w:space="0" w:color="auto"/>
              <w:bottom w:val="nil"/>
            </w:tcBorders>
          </w:tcPr>
          <w:p w14:paraId="46EC0791" w14:textId="77777777" w:rsidR="00CF2D46" w:rsidRDefault="00CF2D46" w:rsidP="00FA7E90">
            <w:pPr>
              <w:pStyle w:val="TableText"/>
              <w:tabs>
                <w:tab w:val="decimal" w:pos="579"/>
              </w:tabs>
              <w:rPr>
                <w:lang w:eastAsia="en-AU"/>
              </w:rPr>
            </w:pPr>
            <w:r>
              <w:rPr>
                <w:lang w:eastAsia="en-AU"/>
              </w:rPr>
              <w:t>0.02</w:t>
            </w:r>
          </w:p>
        </w:tc>
        <w:tc>
          <w:tcPr>
            <w:tcW w:w="1260" w:type="dxa"/>
            <w:tcBorders>
              <w:top w:val="nil"/>
              <w:bottom w:val="nil"/>
            </w:tcBorders>
          </w:tcPr>
          <w:p w14:paraId="67EB14A6" w14:textId="77777777" w:rsidR="00CF2D46" w:rsidRDefault="00CF2D46" w:rsidP="00FA7E90">
            <w:pPr>
              <w:pStyle w:val="TableText"/>
              <w:tabs>
                <w:tab w:val="decimal" w:pos="579"/>
              </w:tabs>
              <w:rPr>
                <w:lang w:eastAsia="en-AU"/>
              </w:rPr>
            </w:pPr>
            <w:r>
              <w:rPr>
                <w:lang w:eastAsia="en-AU"/>
              </w:rPr>
              <w:t>0.2</w:t>
            </w:r>
          </w:p>
        </w:tc>
        <w:tc>
          <w:tcPr>
            <w:tcW w:w="1337" w:type="dxa"/>
            <w:tcBorders>
              <w:top w:val="nil"/>
              <w:bottom w:val="nil"/>
            </w:tcBorders>
          </w:tcPr>
          <w:p w14:paraId="40840F61" w14:textId="77777777" w:rsidR="00CF2D46" w:rsidRDefault="00CF2D46" w:rsidP="00FA7E90">
            <w:pPr>
              <w:pStyle w:val="TableText"/>
              <w:tabs>
                <w:tab w:val="decimal" w:pos="579"/>
              </w:tabs>
              <w:rPr>
                <w:lang w:eastAsia="en-AU"/>
              </w:rPr>
            </w:pPr>
            <w:r>
              <w:rPr>
                <w:lang w:eastAsia="en-AU"/>
              </w:rPr>
              <w:t>0.2</w:t>
            </w:r>
          </w:p>
        </w:tc>
      </w:tr>
      <w:tr w:rsidR="00CF2D46" w14:paraId="18D04732" w14:textId="77777777" w:rsidTr="00FA7E90">
        <w:trPr>
          <w:cantSplit/>
        </w:trPr>
        <w:tc>
          <w:tcPr>
            <w:tcW w:w="1975" w:type="dxa"/>
            <w:tcBorders>
              <w:top w:val="nil"/>
              <w:bottom w:val="single" w:sz="4" w:space="0" w:color="auto"/>
              <w:right w:val="single" w:sz="4" w:space="0" w:color="auto"/>
            </w:tcBorders>
          </w:tcPr>
          <w:p w14:paraId="59F68BC7" w14:textId="744A564E" w:rsidR="00CF2D46" w:rsidRDefault="00CF2D46">
            <w:pPr>
              <w:pStyle w:val="TableText"/>
              <w:rPr>
                <w:lang w:eastAsia="en-AU"/>
              </w:rPr>
            </w:pPr>
            <w:r>
              <w:t xml:space="preserve">Opioid </w:t>
            </w:r>
            <w:r w:rsidR="00FA7E90">
              <w:t>and</w:t>
            </w:r>
            <w:r>
              <w:t xml:space="preserve"> sedative drugs</w:t>
            </w:r>
          </w:p>
        </w:tc>
        <w:tc>
          <w:tcPr>
            <w:tcW w:w="1620" w:type="dxa"/>
            <w:tcBorders>
              <w:top w:val="nil"/>
              <w:left w:val="single" w:sz="4" w:space="0" w:color="auto"/>
              <w:bottom w:val="single" w:sz="4" w:space="0" w:color="auto"/>
            </w:tcBorders>
          </w:tcPr>
          <w:p w14:paraId="625D28F5" w14:textId="77777777" w:rsidR="00CF2D46" w:rsidRDefault="00CF2D46" w:rsidP="00FA7E90">
            <w:pPr>
              <w:pStyle w:val="TableText"/>
              <w:tabs>
                <w:tab w:val="decimal" w:pos="744"/>
              </w:tabs>
              <w:rPr>
                <w:lang w:eastAsia="en-AU"/>
              </w:rPr>
            </w:pPr>
            <w:r>
              <w:rPr>
                <w:lang w:eastAsia="en-AU"/>
              </w:rPr>
              <w:t>1.0</w:t>
            </w:r>
          </w:p>
        </w:tc>
        <w:tc>
          <w:tcPr>
            <w:tcW w:w="1530" w:type="dxa"/>
            <w:tcBorders>
              <w:top w:val="nil"/>
              <w:bottom w:val="single" w:sz="4" w:space="0" w:color="auto"/>
              <w:right w:val="single" w:sz="4" w:space="0" w:color="auto"/>
            </w:tcBorders>
          </w:tcPr>
          <w:p w14:paraId="2AF92CC7" w14:textId="77777777" w:rsidR="00CF2D46" w:rsidRDefault="00CF2D46" w:rsidP="00FA7E90">
            <w:pPr>
              <w:pStyle w:val="TableText"/>
              <w:tabs>
                <w:tab w:val="decimal" w:pos="744"/>
              </w:tabs>
              <w:rPr>
                <w:lang w:eastAsia="en-AU"/>
              </w:rPr>
            </w:pPr>
            <w:r>
              <w:rPr>
                <w:lang w:eastAsia="en-AU"/>
              </w:rPr>
              <w:t>1.0</w:t>
            </w:r>
          </w:p>
        </w:tc>
        <w:tc>
          <w:tcPr>
            <w:tcW w:w="1350" w:type="dxa"/>
            <w:tcBorders>
              <w:top w:val="nil"/>
              <w:left w:val="single" w:sz="4" w:space="0" w:color="auto"/>
              <w:bottom w:val="single" w:sz="4" w:space="0" w:color="auto"/>
            </w:tcBorders>
          </w:tcPr>
          <w:p w14:paraId="343785BE" w14:textId="77777777" w:rsidR="00CF2D46" w:rsidRDefault="00CF2D46" w:rsidP="00FA7E90">
            <w:pPr>
              <w:pStyle w:val="TableText"/>
              <w:tabs>
                <w:tab w:val="decimal" w:pos="579"/>
              </w:tabs>
              <w:rPr>
                <w:lang w:eastAsia="en-AU"/>
              </w:rPr>
            </w:pPr>
            <w:r>
              <w:rPr>
                <w:lang w:eastAsia="en-AU"/>
              </w:rPr>
              <w:t>0.1</w:t>
            </w:r>
          </w:p>
        </w:tc>
        <w:tc>
          <w:tcPr>
            <w:tcW w:w="1260" w:type="dxa"/>
            <w:tcBorders>
              <w:top w:val="nil"/>
              <w:bottom w:val="single" w:sz="4" w:space="0" w:color="auto"/>
            </w:tcBorders>
          </w:tcPr>
          <w:p w14:paraId="51128D62" w14:textId="77777777" w:rsidR="00CF2D46" w:rsidRDefault="00CF2D46" w:rsidP="00FA7E90">
            <w:pPr>
              <w:pStyle w:val="TableText"/>
              <w:tabs>
                <w:tab w:val="decimal" w:pos="579"/>
              </w:tabs>
              <w:rPr>
                <w:lang w:eastAsia="en-AU"/>
              </w:rPr>
            </w:pPr>
            <w:r>
              <w:rPr>
                <w:lang w:eastAsia="en-AU"/>
              </w:rPr>
              <w:t>0.1</w:t>
            </w:r>
          </w:p>
        </w:tc>
        <w:tc>
          <w:tcPr>
            <w:tcW w:w="1337" w:type="dxa"/>
            <w:tcBorders>
              <w:top w:val="nil"/>
              <w:bottom w:val="single" w:sz="4" w:space="0" w:color="auto"/>
            </w:tcBorders>
          </w:tcPr>
          <w:p w14:paraId="4FC6CDC1" w14:textId="77777777" w:rsidR="00CF2D46" w:rsidRDefault="00CF2D46" w:rsidP="00FA7E90">
            <w:pPr>
              <w:pStyle w:val="TableText"/>
              <w:tabs>
                <w:tab w:val="decimal" w:pos="579"/>
              </w:tabs>
              <w:rPr>
                <w:lang w:eastAsia="en-AU"/>
              </w:rPr>
            </w:pPr>
            <w:r>
              <w:rPr>
                <w:lang w:eastAsia="en-AU"/>
              </w:rPr>
              <w:t>0.2</w:t>
            </w:r>
          </w:p>
        </w:tc>
      </w:tr>
      <w:tr w:rsidR="00CF2D46" w:rsidRPr="00FA7E90" w14:paraId="752EF0F6" w14:textId="77777777" w:rsidTr="00FA7E90">
        <w:trPr>
          <w:cantSplit/>
        </w:trPr>
        <w:tc>
          <w:tcPr>
            <w:tcW w:w="1975" w:type="dxa"/>
            <w:tcBorders>
              <w:top w:val="single" w:sz="4" w:space="0" w:color="auto"/>
              <w:bottom w:val="single" w:sz="4" w:space="0" w:color="auto"/>
              <w:right w:val="single" w:sz="4" w:space="0" w:color="auto"/>
            </w:tcBorders>
          </w:tcPr>
          <w:p w14:paraId="09481A17" w14:textId="77777777" w:rsidR="00CF2D46" w:rsidRPr="00FA7E90" w:rsidRDefault="00CF2D46" w:rsidP="00FA7E90">
            <w:pPr>
              <w:pStyle w:val="TableText"/>
              <w:ind w:right="142"/>
              <w:jc w:val="right"/>
              <w:rPr>
                <w:b/>
                <w:lang w:eastAsia="en-AU"/>
              </w:rPr>
            </w:pPr>
            <w:r w:rsidRPr="00FA7E90">
              <w:rPr>
                <w:b/>
              </w:rPr>
              <w:t>Total</w:t>
            </w:r>
          </w:p>
        </w:tc>
        <w:tc>
          <w:tcPr>
            <w:tcW w:w="1620" w:type="dxa"/>
            <w:tcBorders>
              <w:top w:val="single" w:sz="4" w:space="0" w:color="auto"/>
              <w:left w:val="single" w:sz="4" w:space="0" w:color="auto"/>
              <w:bottom w:val="single" w:sz="4" w:space="0" w:color="auto"/>
            </w:tcBorders>
          </w:tcPr>
          <w:p w14:paraId="2E1D9E6D" w14:textId="77777777" w:rsidR="00CF2D46" w:rsidRPr="00FA7E90" w:rsidRDefault="00CF2D46" w:rsidP="00FA7E90">
            <w:pPr>
              <w:pStyle w:val="TableText"/>
              <w:tabs>
                <w:tab w:val="decimal" w:pos="744"/>
              </w:tabs>
              <w:rPr>
                <w:b/>
                <w:lang w:eastAsia="en-AU"/>
              </w:rPr>
            </w:pPr>
            <w:r w:rsidRPr="00FA7E90">
              <w:rPr>
                <w:b/>
                <w:lang w:eastAsia="en-AU"/>
              </w:rPr>
              <w:t>358.9</w:t>
            </w:r>
          </w:p>
        </w:tc>
        <w:tc>
          <w:tcPr>
            <w:tcW w:w="1530" w:type="dxa"/>
            <w:tcBorders>
              <w:top w:val="single" w:sz="4" w:space="0" w:color="auto"/>
              <w:bottom w:val="single" w:sz="4" w:space="0" w:color="auto"/>
              <w:right w:val="single" w:sz="4" w:space="0" w:color="auto"/>
            </w:tcBorders>
          </w:tcPr>
          <w:p w14:paraId="41538CAC" w14:textId="77777777" w:rsidR="00CF2D46" w:rsidRPr="00FA7E90" w:rsidRDefault="00CF2D46" w:rsidP="00FA7E90">
            <w:pPr>
              <w:pStyle w:val="TableText"/>
              <w:tabs>
                <w:tab w:val="decimal" w:pos="744"/>
              </w:tabs>
              <w:rPr>
                <w:b/>
                <w:lang w:eastAsia="en-AU"/>
              </w:rPr>
            </w:pPr>
            <w:r w:rsidRPr="00FA7E90">
              <w:rPr>
                <w:b/>
                <w:lang w:eastAsia="en-AU"/>
              </w:rPr>
              <w:t>270.1</w:t>
            </w:r>
          </w:p>
        </w:tc>
        <w:tc>
          <w:tcPr>
            <w:tcW w:w="1350" w:type="dxa"/>
            <w:tcBorders>
              <w:top w:val="single" w:sz="4" w:space="0" w:color="auto"/>
              <w:left w:val="single" w:sz="4" w:space="0" w:color="auto"/>
            </w:tcBorders>
          </w:tcPr>
          <w:p w14:paraId="3D486A7E" w14:textId="77777777" w:rsidR="00CF2D46" w:rsidRPr="00FA7E90" w:rsidRDefault="00CF2D46" w:rsidP="00FA7E90">
            <w:pPr>
              <w:pStyle w:val="TableText"/>
              <w:tabs>
                <w:tab w:val="decimal" w:pos="579"/>
              </w:tabs>
              <w:rPr>
                <w:b/>
                <w:lang w:eastAsia="en-AU"/>
              </w:rPr>
            </w:pPr>
            <w:r w:rsidRPr="00FA7E90">
              <w:rPr>
                <w:b/>
                <w:lang w:eastAsia="en-AU"/>
              </w:rPr>
              <w:t>40.2</w:t>
            </w:r>
          </w:p>
        </w:tc>
        <w:tc>
          <w:tcPr>
            <w:tcW w:w="1260" w:type="dxa"/>
            <w:tcBorders>
              <w:top w:val="single" w:sz="4" w:space="0" w:color="auto"/>
            </w:tcBorders>
          </w:tcPr>
          <w:p w14:paraId="1E2A2C9B" w14:textId="77777777" w:rsidR="00CF2D46" w:rsidRPr="00FA7E90" w:rsidRDefault="00CF2D46" w:rsidP="00FA7E90">
            <w:pPr>
              <w:pStyle w:val="TableText"/>
              <w:tabs>
                <w:tab w:val="decimal" w:pos="579"/>
              </w:tabs>
              <w:rPr>
                <w:b/>
                <w:lang w:eastAsia="en-AU"/>
              </w:rPr>
            </w:pPr>
            <w:r w:rsidRPr="00FA7E90">
              <w:rPr>
                <w:b/>
                <w:lang w:eastAsia="en-AU"/>
              </w:rPr>
              <w:t>30.3</w:t>
            </w:r>
          </w:p>
        </w:tc>
        <w:tc>
          <w:tcPr>
            <w:tcW w:w="1337" w:type="dxa"/>
            <w:tcBorders>
              <w:top w:val="single" w:sz="4" w:space="0" w:color="auto"/>
            </w:tcBorders>
          </w:tcPr>
          <w:p w14:paraId="52FDFF10" w14:textId="77777777" w:rsidR="00CF2D46" w:rsidRPr="00FA7E90" w:rsidRDefault="00CF2D46" w:rsidP="00FA7E90">
            <w:pPr>
              <w:pStyle w:val="TableText"/>
              <w:tabs>
                <w:tab w:val="decimal" w:pos="579"/>
              </w:tabs>
              <w:rPr>
                <w:b/>
                <w:lang w:eastAsia="en-AU"/>
              </w:rPr>
            </w:pPr>
            <w:r w:rsidRPr="00FA7E90">
              <w:rPr>
                <w:b/>
                <w:lang w:eastAsia="en-AU"/>
              </w:rPr>
              <w:t>70.4</w:t>
            </w:r>
          </w:p>
        </w:tc>
      </w:tr>
    </w:tbl>
    <w:p w14:paraId="24DEF9A4" w14:textId="77777777" w:rsidR="00CF2D46" w:rsidRDefault="00CF2D46" w:rsidP="00FA7E90">
      <w:pPr>
        <w:rPr>
          <w:lang w:eastAsia="en-AU"/>
        </w:rPr>
      </w:pPr>
      <w:r>
        <w:rPr>
          <w:lang w:eastAsia="en-AU"/>
        </w:rPr>
        <w:t>Over $70 million in funding for other criminal activities is provided each year from drug trafficking. The majority of this (nearly 90%) is generated from the sale of cannabinoids. The indirect funding of other criminal activity touches all drug users. In general, the casual user does not face the range or intensity of harms endured by dependent users. Nevertheless, the casual user makes a significant contribution to the expansion of criminal activity beyond drug trafficking and into other forms of crime. Over $30 million derived from the profits of sales of illicit substances to casual users is used annually to fund a diverse range of crimes. This is over 40% of all non-drug criminal activity derived from the profits of drug trafficking.</w:t>
      </w:r>
    </w:p>
    <w:p w14:paraId="191BCE30" w14:textId="6C9E9B26" w:rsidR="00CF2D46" w:rsidRPr="00FA7E90" w:rsidRDefault="00CF2D46" w:rsidP="00FA7E90">
      <w:pPr>
        <w:pStyle w:val="Box"/>
        <w:rPr>
          <w:b/>
        </w:rPr>
      </w:pPr>
      <w:r w:rsidRPr="00FA7E90">
        <w:rPr>
          <w:b/>
        </w:rPr>
        <w:t>INSERT 4</w:t>
      </w:r>
      <w:r w:rsidR="009A61F4">
        <w:rPr>
          <w:b/>
        </w:rPr>
        <w:t>.</w:t>
      </w:r>
    </w:p>
    <w:p w14:paraId="5AC1D776" w14:textId="77777777" w:rsidR="00CF2D46" w:rsidRPr="00FA7E90" w:rsidRDefault="00CF2D46" w:rsidP="00FA7E90">
      <w:pPr>
        <w:pStyle w:val="Box"/>
        <w:rPr>
          <w:szCs w:val="24"/>
        </w:rPr>
      </w:pPr>
      <w:r w:rsidRPr="00FA7E90">
        <w:rPr>
          <w:sz w:val="20"/>
        </w:rPr>
        <w:t>http://www.fish.govt.nz/mi-nz/Press/Recidivist+paua+poacher+sentenced+on+poaching+and+drug</w:t>
      </w:r>
    </w:p>
    <w:p w14:paraId="5973A368" w14:textId="77777777" w:rsidR="00990768" w:rsidRPr="00FA7E90" w:rsidRDefault="00CF2D46" w:rsidP="00FA7E90">
      <w:pPr>
        <w:pStyle w:val="BoxHeading"/>
        <w:rPr>
          <w:b w:val="0"/>
        </w:rPr>
      </w:pPr>
      <w:r w:rsidRPr="0076639B">
        <w:t xml:space="preserve">Recidivist </w:t>
      </w:r>
      <w:proofErr w:type="spellStart"/>
      <w:r w:rsidRPr="0076639B">
        <w:t>paua</w:t>
      </w:r>
      <w:proofErr w:type="spellEnd"/>
      <w:r w:rsidRPr="0076639B">
        <w:t xml:space="preserve"> poacher sentenced on poaching and drug charges</w:t>
      </w:r>
      <w:r w:rsidR="00FA7E90">
        <w:br/>
      </w:r>
      <w:r w:rsidRPr="00FA7E90">
        <w:rPr>
          <w:b w:val="0"/>
        </w:rPr>
        <w:t>9 November 2012</w:t>
      </w:r>
    </w:p>
    <w:p w14:paraId="4450A8F1" w14:textId="74745424" w:rsidR="00990768" w:rsidRDefault="00CF2D46" w:rsidP="00FA7E90">
      <w:pPr>
        <w:pStyle w:val="Box"/>
        <w:rPr>
          <w:rFonts w:ascii="Arial" w:hAnsi="Arial"/>
          <w:color w:val="333333"/>
          <w:sz w:val="19"/>
          <w:szCs w:val="19"/>
        </w:rPr>
      </w:pPr>
      <w:r>
        <w:rPr>
          <w:rFonts w:ascii="Arial" w:hAnsi="Arial"/>
          <w:color w:val="333333"/>
          <w:sz w:val="19"/>
          <w:szCs w:val="19"/>
        </w:rPr>
        <w:t>A fifty-four</w:t>
      </w:r>
      <w:r w:rsidR="00FA7E90">
        <w:rPr>
          <w:rFonts w:ascii="Arial" w:hAnsi="Arial"/>
          <w:color w:val="333333"/>
          <w:sz w:val="19"/>
          <w:szCs w:val="19"/>
        </w:rPr>
        <w:t>-</w:t>
      </w:r>
      <w:r>
        <w:rPr>
          <w:rFonts w:ascii="Arial" w:hAnsi="Arial"/>
          <w:color w:val="333333"/>
          <w:sz w:val="19"/>
          <w:szCs w:val="19"/>
        </w:rPr>
        <w:t xml:space="preserve">year-old Upper Hutt man was sentenced in the Wellington District Court yesterday for his role in a black market </w:t>
      </w:r>
      <w:proofErr w:type="spellStart"/>
      <w:r>
        <w:rPr>
          <w:rFonts w:ascii="Arial" w:hAnsi="Arial"/>
          <w:color w:val="333333"/>
          <w:sz w:val="19"/>
          <w:szCs w:val="19"/>
        </w:rPr>
        <w:t>paua</w:t>
      </w:r>
      <w:proofErr w:type="spellEnd"/>
      <w:r>
        <w:rPr>
          <w:rFonts w:ascii="Arial" w:hAnsi="Arial"/>
          <w:color w:val="333333"/>
          <w:sz w:val="19"/>
          <w:szCs w:val="19"/>
        </w:rPr>
        <w:t xml:space="preserve"> ring and for methamphetamine offences. </w:t>
      </w:r>
      <w:proofErr w:type="spellStart"/>
      <w:r>
        <w:rPr>
          <w:rFonts w:ascii="Arial" w:hAnsi="Arial"/>
          <w:color w:val="333333"/>
          <w:sz w:val="19"/>
          <w:szCs w:val="19"/>
        </w:rPr>
        <w:t>Saravuthy</w:t>
      </w:r>
      <w:proofErr w:type="spellEnd"/>
      <w:r>
        <w:rPr>
          <w:rFonts w:ascii="Arial" w:hAnsi="Arial"/>
          <w:color w:val="333333"/>
          <w:sz w:val="19"/>
          <w:szCs w:val="19"/>
        </w:rPr>
        <w:t xml:space="preserve"> Mao was sentenced on all charges to five years and three months imprisonment and banned from fishing for three years. Mr Mao was the ringleader for a group that poached </w:t>
      </w:r>
      <w:proofErr w:type="spellStart"/>
      <w:r>
        <w:rPr>
          <w:rFonts w:ascii="Arial" w:hAnsi="Arial"/>
          <w:color w:val="333333"/>
          <w:sz w:val="19"/>
          <w:szCs w:val="19"/>
        </w:rPr>
        <w:t>paua</w:t>
      </w:r>
      <w:proofErr w:type="spellEnd"/>
      <w:r>
        <w:rPr>
          <w:rFonts w:ascii="Arial" w:hAnsi="Arial"/>
          <w:color w:val="333333"/>
          <w:sz w:val="19"/>
          <w:szCs w:val="19"/>
        </w:rPr>
        <w:t xml:space="preserve"> from the Wellington coastlines between January and March 2010. The illegal </w:t>
      </w:r>
      <w:proofErr w:type="spellStart"/>
      <w:r>
        <w:rPr>
          <w:rFonts w:ascii="Arial" w:hAnsi="Arial"/>
          <w:color w:val="333333"/>
          <w:sz w:val="19"/>
          <w:szCs w:val="19"/>
        </w:rPr>
        <w:t>paua</w:t>
      </w:r>
      <w:proofErr w:type="spellEnd"/>
      <w:r>
        <w:rPr>
          <w:rFonts w:ascii="Arial" w:hAnsi="Arial"/>
          <w:color w:val="333333"/>
          <w:sz w:val="19"/>
          <w:szCs w:val="19"/>
        </w:rPr>
        <w:t xml:space="preserve"> was on-sold into the Auckland Asian community and restaurants. Mr Mao committed these offences while on parole from prison for past poaching offences. During late 2010 Mr Mao was identified as the leader of a poaching ring which included his associate Ronald Daly. In early 2011, fishery and police officers executed a search warrant at an Upper Hutt property and found scales for measuring methamphetamine, $16,135 cash, and 6.7</w:t>
      </w:r>
      <w:r w:rsidR="00FA7E90">
        <w:rPr>
          <w:rFonts w:ascii="Arial" w:hAnsi="Arial"/>
          <w:color w:val="333333"/>
          <w:sz w:val="19"/>
          <w:szCs w:val="19"/>
        </w:rPr>
        <w:t> </w:t>
      </w:r>
      <w:r>
        <w:rPr>
          <w:rFonts w:ascii="Arial" w:hAnsi="Arial"/>
          <w:color w:val="333333"/>
          <w:sz w:val="19"/>
          <w:szCs w:val="19"/>
        </w:rPr>
        <w:t xml:space="preserve">grams of methamphetamine. A further $13,770 cash was later located at the address of another associate, </w:t>
      </w:r>
      <w:proofErr w:type="spellStart"/>
      <w:r>
        <w:rPr>
          <w:rFonts w:ascii="Arial" w:hAnsi="Arial"/>
          <w:color w:val="333333"/>
          <w:sz w:val="19"/>
          <w:szCs w:val="19"/>
        </w:rPr>
        <w:t>Harlee</w:t>
      </w:r>
      <w:proofErr w:type="spellEnd"/>
      <w:r>
        <w:rPr>
          <w:rFonts w:ascii="Arial" w:hAnsi="Arial"/>
          <w:color w:val="333333"/>
          <w:sz w:val="19"/>
          <w:szCs w:val="19"/>
        </w:rPr>
        <w:t xml:space="preserve"> </w:t>
      </w:r>
      <w:proofErr w:type="spellStart"/>
      <w:r>
        <w:rPr>
          <w:rFonts w:ascii="Arial" w:hAnsi="Arial"/>
          <w:color w:val="333333"/>
          <w:sz w:val="19"/>
          <w:szCs w:val="19"/>
        </w:rPr>
        <w:t>Watene</w:t>
      </w:r>
      <w:proofErr w:type="spellEnd"/>
      <w:r>
        <w:rPr>
          <w:rFonts w:ascii="Arial" w:hAnsi="Arial"/>
          <w:color w:val="333333"/>
          <w:sz w:val="19"/>
          <w:szCs w:val="19"/>
        </w:rPr>
        <w:t xml:space="preserve">. Ministry for Primary Industries (MPI) Manager – Operational Support Unit, </w:t>
      </w:r>
      <w:proofErr w:type="spellStart"/>
      <w:r>
        <w:rPr>
          <w:rFonts w:ascii="Arial" w:hAnsi="Arial"/>
          <w:color w:val="333333"/>
          <w:sz w:val="19"/>
          <w:szCs w:val="19"/>
        </w:rPr>
        <w:t>Gray</w:t>
      </w:r>
      <w:proofErr w:type="spellEnd"/>
      <w:r>
        <w:rPr>
          <w:rFonts w:ascii="Arial" w:hAnsi="Arial"/>
          <w:color w:val="333333"/>
          <w:sz w:val="19"/>
          <w:szCs w:val="19"/>
        </w:rPr>
        <w:t xml:space="preserve"> Harrison says the case was a MPI and Police combined effort. </w:t>
      </w:r>
      <w:r w:rsidR="00990768">
        <w:rPr>
          <w:rFonts w:ascii="Arial" w:hAnsi="Arial"/>
          <w:color w:val="333333"/>
          <w:sz w:val="19"/>
          <w:szCs w:val="19"/>
        </w:rPr>
        <w:t>“</w:t>
      </w:r>
      <w:r>
        <w:rPr>
          <w:rFonts w:ascii="Arial" w:hAnsi="Arial"/>
          <w:color w:val="333333"/>
          <w:sz w:val="19"/>
          <w:szCs w:val="19"/>
        </w:rPr>
        <w:t xml:space="preserve">The outcome of this case is a great example of </w:t>
      </w:r>
      <w:proofErr w:type="spellStart"/>
      <w:r>
        <w:rPr>
          <w:rFonts w:ascii="Arial" w:hAnsi="Arial"/>
          <w:color w:val="333333"/>
          <w:sz w:val="19"/>
          <w:szCs w:val="19"/>
        </w:rPr>
        <w:t>inter agency</w:t>
      </w:r>
      <w:proofErr w:type="spellEnd"/>
      <w:r>
        <w:rPr>
          <w:rFonts w:ascii="Arial" w:hAnsi="Arial"/>
          <w:color w:val="333333"/>
          <w:sz w:val="19"/>
          <w:szCs w:val="19"/>
        </w:rPr>
        <w:t xml:space="preserve"> co-operation on the frontline. It highlights what can be achieved by dedicated staff intent on apprehending offenders who compromise the sustainability of our fisheries and at the same time engage in serious drug offending,</w:t>
      </w:r>
      <w:r w:rsidR="00990768">
        <w:rPr>
          <w:rFonts w:ascii="Arial" w:hAnsi="Arial"/>
          <w:color w:val="333333"/>
          <w:sz w:val="19"/>
          <w:szCs w:val="19"/>
        </w:rPr>
        <w:t>”</w:t>
      </w:r>
      <w:r>
        <w:rPr>
          <w:rFonts w:ascii="Arial" w:hAnsi="Arial"/>
          <w:color w:val="333333"/>
          <w:sz w:val="19"/>
          <w:szCs w:val="19"/>
        </w:rPr>
        <w:t xml:space="preserve"> says Mr Harrison.</w:t>
      </w:r>
    </w:p>
    <w:p w14:paraId="656E0F6C" w14:textId="77777777" w:rsidR="00CF2D46" w:rsidRPr="00227298" w:rsidRDefault="00CF2D46" w:rsidP="00FA7E90">
      <w:pPr>
        <w:pStyle w:val="Table"/>
        <w:rPr>
          <w:lang w:eastAsia="en-AU"/>
        </w:rPr>
      </w:pPr>
      <w:bookmarkStart w:id="33" w:name="_Toc444941851"/>
      <w:r w:rsidRPr="00227298">
        <w:rPr>
          <w:lang w:eastAsia="en-AU"/>
        </w:rPr>
        <w:t xml:space="preserve">Table </w:t>
      </w:r>
      <w:r>
        <w:rPr>
          <w:lang w:eastAsia="en-AU"/>
        </w:rPr>
        <w:t>10. Reinvestment in organised crime per user</w:t>
      </w:r>
      <w:bookmarkEnd w:id="33"/>
    </w:p>
    <w:tbl>
      <w:tblPr>
        <w:tblStyle w:val="TableGrid"/>
        <w:tblW w:w="0" w:type="auto"/>
        <w:tblInd w:w="108" w:type="dxa"/>
        <w:tblBorders>
          <w:insideH w:val="none" w:sz="0" w:space="0" w:color="auto"/>
          <w:insideV w:val="none" w:sz="0" w:space="0" w:color="auto"/>
        </w:tblBorders>
        <w:tblLayout w:type="fixed"/>
        <w:tblLook w:val="04A0" w:firstRow="1" w:lastRow="0" w:firstColumn="1" w:lastColumn="0" w:noHBand="0" w:noVBand="1"/>
      </w:tblPr>
      <w:tblGrid>
        <w:gridCol w:w="2268"/>
        <w:gridCol w:w="1276"/>
        <w:gridCol w:w="1276"/>
        <w:gridCol w:w="1417"/>
        <w:gridCol w:w="1417"/>
        <w:gridCol w:w="1418"/>
      </w:tblGrid>
      <w:tr w:rsidR="00CF2D46" w:rsidRPr="00FA7E90" w14:paraId="39D7144E" w14:textId="77777777" w:rsidTr="00FA7E90">
        <w:trPr>
          <w:cantSplit/>
        </w:trPr>
        <w:tc>
          <w:tcPr>
            <w:tcW w:w="2268" w:type="dxa"/>
            <w:tcBorders>
              <w:right w:val="single" w:sz="4" w:space="0" w:color="auto"/>
            </w:tcBorders>
          </w:tcPr>
          <w:p w14:paraId="4A529553" w14:textId="77777777" w:rsidR="00CF2D46" w:rsidRPr="00FA7E90" w:rsidRDefault="00CF2D46" w:rsidP="00FA7E90">
            <w:pPr>
              <w:pStyle w:val="TableText"/>
              <w:keepNext/>
              <w:rPr>
                <w:b/>
                <w:lang w:eastAsia="en-AU"/>
              </w:rPr>
            </w:pPr>
          </w:p>
        </w:tc>
        <w:tc>
          <w:tcPr>
            <w:tcW w:w="2552" w:type="dxa"/>
            <w:gridSpan w:val="2"/>
            <w:tcBorders>
              <w:top w:val="single" w:sz="4" w:space="0" w:color="auto"/>
              <w:left w:val="single" w:sz="4" w:space="0" w:color="auto"/>
              <w:bottom w:val="nil"/>
              <w:right w:val="single" w:sz="4" w:space="0" w:color="auto"/>
            </w:tcBorders>
          </w:tcPr>
          <w:p w14:paraId="5D376AFD" w14:textId="77777777" w:rsidR="00CF2D46" w:rsidRPr="00FA7E90" w:rsidRDefault="00CF2D46" w:rsidP="00FA7E90">
            <w:pPr>
              <w:pStyle w:val="TableText"/>
              <w:keepNext/>
              <w:jc w:val="center"/>
              <w:rPr>
                <w:b/>
                <w:lang w:eastAsia="en-AU"/>
              </w:rPr>
            </w:pPr>
            <w:r w:rsidRPr="00FA7E90">
              <w:rPr>
                <w:b/>
                <w:lang w:eastAsia="en-AU"/>
              </w:rPr>
              <w:t>Number of users</w:t>
            </w:r>
          </w:p>
        </w:tc>
        <w:tc>
          <w:tcPr>
            <w:tcW w:w="4252" w:type="dxa"/>
            <w:gridSpan w:val="3"/>
            <w:tcBorders>
              <w:left w:val="single" w:sz="4" w:space="0" w:color="auto"/>
            </w:tcBorders>
          </w:tcPr>
          <w:p w14:paraId="321063F2" w14:textId="77777777" w:rsidR="00CF2D46" w:rsidRPr="00FA7E90" w:rsidRDefault="00CF2D46" w:rsidP="00FA7E90">
            <w:pPr>
              <w:pStyle w:val="TableText"/>
              <w:keepNext/>
              <w:jc w:val="center"/>
              <w:rPr>
                <w:b/>
                <w:lang w:eastAsia="en-AU"/>
              </w:rPr>
            </w:pPr>
            <w:r w:rsidRPr="00FA7E90">
              <w:rPr>
                <w:b/>
                <w:lang w:eastAsia="en-AU"/>
              </w:rPr>
              <w:t>Reinvestment in organised crime per user $</w:t>
            </w:r>
          </w:p>
        </w:tc>
      </w:tr>
      <w:tr w:rsidR="00CF2D46" w:rsidRPr="00FA7E90" w14:paraId="7F1E62B2" w14:textId="77777777" w:rsidTr="005D61FD">
        <w:trPr>
          <w:cantSplit/>
        </w:trPr>
        <w:tc>
          <w:tcPr>
            <w:tcW w:w="2268" w:type="dxa"/>
            <w:tcBorders>
              <w:bottom w:val="single" w:sz="4" w:space="0" w:color="auto"/>
              <w:right w:val="single" w:sz="4" w:space="0" w:color="auto"/>
            </w:tcBorders>
          </w:tcPr>
          <w:p w14:paraId="0B32C291" w14:textId="77777777" w:rsidR="00CF2D46" w:rsidRPr="00FA7E90" w:rsidRDefault="00CF2D46" w:rsidP="00FA7E90">
            <w:pPr>
              <w:pStyle w:val="TableText"/>
              <w:keepNext/>
              <w:spacing w:before="0"/>
              <w:rPr>
                <w:b/>
                <w:lang w:eastAsia="en-AU"/>
              </w:rPr>
            </w:pPr>
            <w:r w:rsidRPr="00FA7E90">
              <w:rPr>
                <w:b/>
              </w:rPr>
              <w:t>Drug group</w:t>
            </w:r>
          </w:p>
        </w:tc>
        <w:tc>
          <w:tcPr>
            <w:tcW w:w="1276" w:type="dxa"/>
            <w:tcBorders>
              <w:top w:val="nil"/>
              <w:left w:val="single" w:sz="4" w:space="0" w:color="auto"/>
              <w:bottom w:val="single" w:sz="4" w:space="0" w:color="auto"/>
            </w:tcBorders>
          </w:tcPr>
          <w:p w14:paraId="355EDA11" w14:textId="77777777" w:rsidR="00CF2D46" w:rsidRPr="00FA7E90" w:rsidRDefault="00CF2D46" w:rsidP="00FA7E90">
            <w:pPr>
              <w:pStyle w:val="TableText"/>
              <w:keepNext/>
              <w:spacing w:before="0"/>
              <w:jc w:val="center"/>
              <w:rPr>
                <w:b/>
                <w:lang w:eastAsia="en-AU"/>
              </w:rPr>
            </w:pPr>
            <w:r w:rsidRPr="00FA7E90">
              <w:rPr>
                <w:b/>
                <w:lang w:eastAsia="en-AU"/>
              </w:rPr>
              <w:t>Dependent</w:t>
            </w:r>
          </w:p>
        </w:tc>
        <w:tc>
          <w:tcPr>
            <w:tcW w:w="1276" w:type="dxa"/>
            <w:tcBorders>
              <w:top w:val="nil"/>
              <w:bottom w:val="single" w:sz="4" w:space="0" w:color="auto"/>
              <w:right w:val="single" w:sz="4" w:space="0" w:color="auto"/>
            </w:tcBorders>
          </w:tcPr>
          <w:p w14:paraId="12E08A28" w14:textId="77777777" w:rsidR="00CF2D46" w:rsidRPr="00FA7E90" w:rsidRDefault="00CF2D46" w:rsidP="00FA7E90">
            <w:pPr>
              <w:pStyle w:val="TableText"/>
              <w:keepNext/>
              <w:spacing w:before="0"/>
              <w:jc w:val="center"/>
              <w:rPr>
                <w:b/>
                <w:lang w:eastAsia="en-AU"/>
              </w:rPr>
            </w:pPr>
            <w:r w:rsidRPr="00FA7E90">
              <w:rPr>
                <w:b/>
                <w:lang w:eastAsia="en-AU"/>
              </w:rPr>
              <w:t>Casual</w:t>
            </w:r>
          </w:p>
        </w:tc>
        <w:tc>
          <w:tcPr>
            <w:tcW w:w="1417" w:type="dxa"/>
            <w:tcBorders>
              <w:left w:val="single" w:sz="4" w:space="0" w:color="auto"/>
              <w:bottom w:val="single" w:sz="4" w:space="0" w:color="auto"/>
            </w:tcBorders>
          </w:tcPr>
          <w:p w14:paraId="4B20DB0D" w14:textId="77777777" w:rsidR="00CF2D46" w:rsidRPr="00FA7E90" w:rsidRDefault="00CF2D46" w:rsidP="00FA7E90">
            <w:pPr>
              <w:pStyle w:val="TableText"/>
              <w:keepNext/>
              <w:spacing w:before="0"/>
              <w:jc w:val="center"/>
              <w:rPr>
                <w:b/>
                <w:lang w:eastAsia="en-AU"/>
              </w:rPr>
            </w:pPr>
            <w:r w:rsidRPr="00FA7E90">
              <w:rPr>
                <w:b/>
                <w:lang w:eastAsia="en-AU"/>
              </w:rPr>
              <w:t>Dependent</w:t>
            </w:r>
          </w:p>
        </w:tc>
        <w:tc>
          <w:tcPr>
            <w:tcW w:w="1417" w:type="dxa"/>
            <w:tcBorders>
              <w:bottom w:val="single" w:sz="4" w:space="0" w:color="auto"/>
            </w:tcBorders>
          </w:tcPr>
          <w:p w14:paraId="4680563E" w14:textId="77777777" w:rsidR="00CF2D46" w:rsidRPr="00FA7E90" w:rsidRDefault="00CF2D46" w:rsidP="00FA7E90">
            <w:pPr>
              <w:pStyle w:val="TableText"/>
              <w:keepNext/>
              <w:spacing w:before="0"/>
              <w:jc w:val="center"/>
              <w:rPr>
                <w:b/>
                <w:lang w:eastAsia="en-AU"/>
              </w:rPr>
            </w:pPr>
            <w:r w:rsidRPr="00FA7E90">
              <w:rPr>
                <w:b/>
                <w:lang w:eastAsia="en-AU"/>
              </w:rPr>
              <w:t>Casual</w:t>
            </w:r>
          </w:p>
        </w:tc>
        <w:tc>
          <w:tcPr>
            <w:tcW w:w="1418" w:type="dxa"/>
            <w:tcBorders>
              <w:bottom w:val="single" w:sz="4" w:space="0" w:color="auto"/>
            </w:tcBorders>
          </w:tcPr>
          <w:p w14:paraId="44795E2B" w14:textId="77777777" w:rsidR="00CF2D46" w:rsidRPr="00FA7E90" w:rsidRDefault="00CF2D46" w:rsidP="00FA7E90">
            <w:pPr>
              <w:pStyle w:val="TableText"/>
              <w:keepNext/>
              <w:spacing w:before="0"/>
              <w:jc w:val="center"/>
              <w:rPr>
                <w:b/>
                <w:lang w:eastAsia="en-AU"/>
              </w:rPr>
            </w:pPr>
            <w:r w:rsidRPr="00FA7E90">
              <w:rPr>
                <w:b/>
                <w:lang w:eastAsia="en-AU"/>
              </w:rPr>
              <w:t>All users</w:t>
            </w:r>
          </w:p>
        </w:tc>
      </w:tr>
      <w:tr w:rsidR="00CF2D46" w14:paraId="52CED6E2" w14:textId="77777777" w:rsidTr="005D61FD">
        <w:trPr>
          <w:cantSplit/>
        </w:trPr>
        <w:tc>
          <w:tcPr>
            <w:tcW w:w="2268" w:type="dxa"/>
            <w:tcBorders>
              <w:top w:val="single" w:sz="4" w:space="0" w:color="auto"/>
              <w:bottom w:val="nil"/>
              <w:right w:val="single" w:sz="4" w:space="0" w:color="auto"/>
            </w:tcBorders>
          </w:tcPr>
          <w:p w14:paraId="4BBD4704" w14:textId="77777777" w:rsidR="00CF2D46" w:rsidRDefault="00CF2D46" w:rsidP="00FA7E90">
            <w:pPr>
              <w:pStyle w:val="TableText"/>
              <w:rPr>
                <w:lang w:eastAsia="en-AU"/>
              </w:rPr>
            </w:pPr>
            <w:r>
              <w:t>Amphetamine-type stimulants</w:t>
            </w:r>
          </w:p>
        </w:tc>
        <w:tc>
          <w:tcPr>
            <w:tcW w:w="1276" w:type="dxa"/>
            <w:tcBorders>
              <w:top w:val="single" w:sz="4" w:space="0" w:color="auto"/>
              <w:left w:val="single" w:sz="4" w:space="0" w:color="auto"/>
              <w:bottom w:val="nil"/>
            </w:tcBorders>
          </w:tcPr>
          <w:p w14:paraId="375A4423" w14:textId="77777777" w:rsidR="00CF2D46" w:rsidRDefault="00CF2D46" w:rsidP="005D61FD">
            <w:pPr>
              <w:pStyle w:val="TableText"/>
              <w:tabs>
                <w:tab w:val="decimal" w:pos="885"/>
              </w:tabs>
              <w:rPr>
                <w:lang w:eastAsia="en-AU"/>
              </w:rPr>
            </w:pPr>
            <w:r>
              <w:t>1,400</w:t>
            </w:r>
          </w:p>
        </w:tc>
        <w:tc>
          <w:tcPr>
            <w:tcW w:w="1276" w:type="dxa"/>
            <w:tcBorders>
              <w:top w:val="single" w:sz="4" w:space="0" w:color="auto"/>
              <w:bottom w:val="nil"/>
              <w:right w:val="single" w:sz="4" w:space="0" w:color="auto"/>
            </w:tcBorders>
          </w:tcPr>
          <w:p w14:paraId="1CF4CAD5" w14:textId="77777777" w:rsidR="00CF2D46" w:rsidRDefault="00CF2D46" w:rsidP="005D61FD">
            <w:pPr>
              <w:pStyle w:val="TableText"/>
              <w:tabs>
                <w:tab w:val="decimal" w:pos="885"/>
              </w:tabs>
              <w:rPr>
                <w:lang w:eastAsia="en-AU"/>
              </w:rPr>
            </w:pPr>
            <w:r>
              <w:t>24,300</w:t>
            </w:r>
          </w:p>
        </w:tc>
        <w:tc>
          <w:tcPr>
            <w:tcW w:w="1417" w:type="dxa"/>
            <w:tcBorders>
              <w:top w:val="single" w:sz="4" w:space="0" w:color="auto"/>
              <w:left w:val="single" w:sz="4" w:space="0" w:color="auto"/>
              <w:bottom w:val="nil"/>
            </w:tcBorders>
          </w:tcPr>
          <w:p w14:paraId="7616183B" w14:textId="77777777" w:rsidR="00CF2D46" w:rsidRDefault="00CF2D46" w:rsidP="005D61FD">
            <w:pPr>
              <w:pStyle w:val="TableText"/>
              <w:tabs>
                <w:tab w:val="decimal" w:pos="884"/>
              </w:tabs>
              <w:rPr>
                <w:lang w:eastAsia="en-AU"/>
              </w:rPr>
            </w:pPr>
            <w:r>
              <w:rPr>
                <w:lang w:eastAsia="en-AU"/>
              </w:rPr>
              <w:t>1,200</w:t>
            </w:r>
          </w:p>
        </w:tc>
        <w:tc>
          <w:tcPr>
            <w:tcW w:w="1417" w:type="dxa"/>
            <w:tcBorders>
              <w:top w:val="single" w:sz="4" w:space="0" w:color="auto"/>
              <w:bottom w:val="nil"/>
            </w:tcBorders>
          </w:tcPr>
          <w:p w14:paraId="48AC7AE1" w14:textId="77777777" w:rsidR="00CF2D46" w:rsidRDefault="00CF2D46" w:rsidP="005D61FD">
            <w:pPr>
              <w:pStyle w:val="TableText"/>
              <w:tabs>
                <w:tab w:val="decimal" w:pos="742"/>
              </w:tabs>
              <w:rPr>
                <w:lang w:eastAsia="en-AU"/>
              </w:rPr>
            </w:pPr>
            <w:r>
              <w:rPr>
                <w:lang w:eastAsia="en-AU"/>
              </w:rPr>
              <w:t>200</w:t>
            </w:r>
          </w:p>
        </w:tc>
        <w:tc>
          <w:tcPr>
            <w:tcW w:w="1418" w:type="dxa"/>
            <w:tcBorders>
              <w:top w:val="single" w:sz="4" w:space="0" w:color="auto"/>
              <w:bottom w:val="nil"/>
            </w:tcBorders>
          </w:tcPr>
          <w:p w14:paraId="1BF2F5DD" w14:textId="77777777" w:rsidR="00CF2D46" w:rsidRDefault="00CF2D46" w:rsidP="005D61FD">
            <w:pPr>
              <w:pStyle w:val="TableText"/>
              <w:tabs>
                <w:tab w:val="decimal" w:pos="742"/>
              </w:tabs>
              <w:rPr>
                <w:lang w:eastAsia="en-AU"/>
              </w:rPr>
            </w:pPr>
            <w:r>
              <w:rPr>
                <w:lang w:eastAsia="en-AU"/>
              </w:rPr>
              <w:t>300</w:t>
            </w:r>
          </w:p>
        </w:tc>
      </w:tr>
      <w:tr w:rsidR="00CF2D46" w14:paraId="34CFCB2C" w14:textId="77777777" w:rsidTr="005D61FD">
        <w:trPr>
          <w:cantSplit/>
        </w:trPr>
        <w:tc>
          <w:tcPr>
            <w:tcW w:w="2268" w:type="dxa"/>
            <w:tcBorders>
              <w:top w:val="nil"/>
              <w:bottom w:val="nil"/>
              <w:right w:val="single" w:sz="4" w:space="0" w:color="auto"/>
            </w:tcBorders>
          </w:tcPr>
          <w:p w14:paraId="64166D66" w14:textId="77777777" w:rsidR="00CF2D46" w:rsidRDefault="00CF2D46" w:rsidP="00FA7E90">
            <w:pPr>
              <w:pStyle w:val="TableText"/>
              <w:rPr>
                <w:lang w:eastAsia="en-AU"/>
              </w:rPr>
            </w:pPr>
            <w:r>
              <w:t>Cannabinoids</w:t>
            </w:r>
          </w:p>
        </w:tc>
        <w:tc>
          <w:tcPr>
            <w:tcW w:w="1276" w:type="dxa"/>
            <w:tcBorders>
              <w:top w:val="nil"/>
              <w:left w:val="single" w:sz="4" w:space="0" w:color="auto"/>
              <w:bottom w:val="nil"/>
            </w:tcBorders>
          </w:tcPr>
          <w:p w14:paraId="4B6FBEF7" w14:textId="77777777" w:rsidR="00CF2D46" w:rsidRDefault="00CF2D46" w:rsidP="005D61FD">
            <w:pPr>
              <w:pStyle w:val="TableText"/>
              <w:tabs>
                <w:tab w:val="decimal" w:pos="885"/>
              </w:tabs>
              <w:rPr>
                <w:lang w:eastAsia="en-AU"/>
              </w:rPr>
            </w:pPr>
            <w:r>
              <w:t>26,000</w:t>
            </w:r>
          </w:p>
        </w:tc>
        <w:tc>
          <w:tcPr>
            <w:tcW w:w="1276" w:type="dxa"/>
            <w:tcBorders>
              <w:top w:val="nil"/>
              <w:bottom w:val="nil"/>
              <w:right w:val="single" w:sz="4" w:space="0" w:color="auto"/>
            </w:tcBorders>
          </w:tcPr>
          <w:p w14:paraId="18FDEC90" w14:textId="77777777" w:rsidR="00CF2D46" w:rsidRDefault="00CF2D46" w:rsidP="005D61FD">
            <w:pPr>
              <w:pStyle w:val="TableText"/>
              <w:tabs>
                <w:tab w:val="decimal" w:pos="885"/>
              </w:tabs>
              <w:rPr>
                <w:lang w:eastAsia="en-AU"/>
              </w:rPr>
            </w:pPr>
            <w:r>
              <w:t>253,300</w:t>
            </w:r>
          </w:p>
        </w:tc>
        <w:tc>
          <w:tcPr>
            <w:tcW w:w="1417" w:type="dxa"/>
            <w:tcBorders>
              <w:top w:val="nil"/>
              <w:left w:val="single" w:sz="4" w:space="0" w:color="auto"/>
              <w:bottom w:val="nil"/>
            </w:tcBorders>
          </w:tcPr>
          <w:p w14:paraId="60691A31" w14:textId="77777777" w:rsidR="00CF2D46" w:rsidRDefault="00CF2D46" w:rsidP="005D61FD">
            <w:pPr>
              <w:pStyle w:val="TableText"/>
              <w:tabs>
                <w:tab w:val="decimal" w:pos="884"/>
              </w:tabs>
              <w:rPr>
                <w:lang w:eastAsia="en-AU"/>
              </w:rPr>
            </w:pPr>
            <w:r>
              <w:rPr>
                <w:lang w:eastAsia="en-AU"/>
              </w:rPr>
              <w:t>300</w:t>
            </w:r>
          </w:p>
        </w:tc>
        <w:tc>
          <w:tcPr>
            <w:tcW w:w="1417" w:type="dxa"/>
            <w:tcBorders>
              <w:top w:val="nil"/>
              <w:bottom w:val="nil"/>
            </w:tcBorders>
          </w:tcPr>
          <w:p w14:paraId="3B1EA763" w14:textId="77777777" w:rsidR="00CF2D46" w:rsidRDefault="00CF2D46" w:rsidP="005D61FD">
            <w:pPr>
              <w:pStyle w:val="TableText"/>
              <w:tabs>
                <w:tab w:val="decimal" w:pos="742"/>
              </w:tabs>
              <w:rPr>
                <w:lang w:eastAsia="en-AU"/>
              </w:rPr>
            </w:pPr>
            <w:r>
              <w:rPr>
                <w:lang w:eastAsia="en-AU"/>
              </w:rPr>
              <w:t>200</w:t>
            </w:r>
          </w:p>
        </w:tc>
        <w:tc>
          <w:tcPr>
            <w:tcW w:w="1418" w:type="dxa"/>
            <w:tcBorders>
              <w:top w:val="nil"/>
              <w:bottom w:val="nil"/>
            </w:tcBorders>
          </w:tcPr>
          <w:p w14:paraId="220855C9" w14:textId="77777777" w:rsidR="00CF2D46" w:rsidRDefault="00CF2D46" w:rsidP="005D61FD">
            <w:pPr>
              <w:pStyle w:val="TableText"/>
              <w:tabs>
                <w:tab w:val="decimal" w:pos="742"/>
              </w:tabs>
              <w:rPr>
                <w:lang w:eastAsia="en-AU"/>
              </w:rPr>
            </w:pPr>
            <w:r>
              <w:rPr>
                <w:lang w:eastAsia="en-AU"/>
              </w:rPr>
              <w:t>200</w:t>
            </w:r>
          </w:p>
        </w:tc>
      </w:tr>
      <w:tr w:rsidR="00CF2D46" w14:paraId="05378B87" w14:textId="77777777" w:rsidTr="005D61FD">
        <w:trPr>
          <w:cantSplit/>
        </w:trPr>
        <w:tc>
          <w:tcPr>
            <w:tcW w:w="2268" w:type="dxa"/>
            <w:tcBorders>
              <w:top w:val="nil"/>
              <w:bottom w:val="nil"/>
              <w:right w:val="single" w:sz="4" w:space="0" w:color="auto"/>
            </w:tcBorders>
          </w:tcPr>
          <w:p w14:paraId="22B237F2" w14:textId="2DCCCEAF" w:rsidR="00CF2D46" w:rsidRDefault="00CF2D46">
            <w:pPr>
              <w:pStyle w:val="TableText"/>
              <w:rPr>
                <w:lang w:eastAsia="en-AU"/>
              </w:rPr>
            </w:pPr>
            <w:r>
              <w:t xml:space="preserve">Hallucinogenic </w:t>
            </w:r>
            <w:r w:rsidR="00FA7E90">
              <w:t>and</w:t>
            </w:r>
            <w:r>
              <w:t xml:space="preserve"> psychedelic drugs</w:t>
            </w:r>
          </w:p>
        </w:tc>
        <w:tc>
          <w:tcPr>
            <w:tcW w:w="1276" w:type="dxa"/>
            <w:tcBorders>
              <w:top w:val="nil"/>
              <w:left w:val="single" w:sz="4" w:space="0" w:color="auto"/>
              <w:bottom w:val="nil"/>
            </w:tcBorders>
          </w:tcPr>
          <w:p w14:paraId="2A18F40A" w14:textId="77777777" w:rsidR="00CF2D46" w:rsidRDefault="00CF2D46" w:rsidP="005D61FD">
            <w:pPr>
              <w:pStyle w:val="TableText"/>
              <w:tabs>
                <w:tab w:val="decimal" w:pos="885"/>
              </w:tabs>
              <w:rPr>
                <w:lang w:eastAsia="en-AU"/>
              </w:rPr>
            </w:pPr>
            <w:r>
              <w:t>500</w:t>
            </w:r>
          </w:p>
        </w:tc>
        <w:tc>
          <w:tcPr>
            <w:tcW w:w="1276" w:type="dxa"/>
            <w:tcBorders>
              <w:top w:val="nil"/>
              <w:bottom w:val="nil"/>
              <w:right w:val="single" w:sz="4" w:space="0" w:color="auto"/>
            </w:tcBorders>
          </w:tcPr>
          <w:p w14:paraId="1A56F528" w14:textId="77777777" w:rsidR="00CF2D46" w:rsidRDefault="00CF2D46" w:rsidP="005D61FD">
            <w:pPr>
              <w:pStyle w:val="TableText"/>
              <w:tabs>
                <w:tab w:val="decimal" w:pos="885"/>
              </w:tabs>
              <w:rPr>
                <w:lang w:eastAsia="en-AU"/>
              </w:rPr>
            </w:pPr>
            <w:r>
              <w:t>53,300</w:t>
            </w:r>
          </w:p>
        </w:tc>
        <w:tc>
          <w:tcPr>
            <w:tcW w:w="1417" w:type="dxa"/>
            <w:tcBorders>
              <w:top w:val="nil"/>
              <w:left w:val="single" w:sz="4" w:space="0" w:color="auto"/>
              <w:bottom w:val="nil"/>
            </w:tcBorders>
          </w:tcPr>
          <w:p w14:paraId="1507CAFD" w14:textId="77777777" w:rsidR="00CF2D46" w:rsidRDefault="00CF2D46" w:rsidP="005D61FD">
            <w:pPr>
              <w:pStyle w:val="TableText"/>
              <w:tabs>
                <w:tab w:val="decimal" w:pos="884"/>
              </w:tabs>
              <w:rPr>
                <w:lang w:eastAsia="en-AU"/>
              </w:rPr>
            </w:pPr>
            <w:r>
              <w:rPr>
                <w:lang w:eastAsia="en-AU"/>
              </w:rPr>
              <w:t>&gt; 20</w:t>
            </w:r>
          </w:p>
        </w:tc>
        <w:tc>
          <w:tcPr>
            <w:tcW w:w="1417" w:type="dxa"/>
            <w:tcBorders>
              <w:top w:val="nil"/>
              <w:bottom w:val="nil"/>
            </w:tcBorders>
          </w:tcPr>
          <w:p w14:paraId="6702FC03" w14:textId="77777777" w:rsidR="00CF2D46" w:rsidRDefault="00CF2D46" w:rsidP="005D61FD">
            <w:pPr>
              <w:pStyle w:val="TableText"/>
              <w:tabs>
                <w:tab w:val="decimal" w:pos="742"/>
              </w:tabs>
              <w:rPr>
                <w:lang w:eastAsia="en-AU"/>
              </w:rPr>
            </w:pPr>
            <w:r>
              <w:rPr>
                <w:lang w:eastAsia="en-AU"/>
              </w:rPr>
              <w:t>&gt; 20</w:t>
            </w:r>
          </w:p>
        </w:tc>
        <w:tc>
          <w:tcPr>
            <w:tcW w:w="1418" w:type="dxa"/>
            <w:tcBorders>
              <w:top w:val="nil"/>
              <w:bottom w:val="nil"/>
            </w:tcBorders>
          </w:tcPr>
          <w:p w14:paraId="788AF074" w14:textId="77777777" w:rsidR="00CF2D46" w:rsidRDefault="00CF2D46" w:rsidP="005D61FD">
            <w:pPr>
              <w:pStyle w:val="TableText"/>
              <w:tabs>
                <w:tab w:val="decimal" w:pos="742"/>
              </w:tabs>
              <w:rPr>
                <w:lang w:eastAsia="en-AU"/>
              </w:rPr>
            </w:pPr>
            <w:r>
              <w:rPr>
                <w:lang w:eastAsia="en-AU"/>
              </w:rPr>
              <w:t>&gt; 20</w:t>
            </w:r>
          </w:p>
        </w:tc>
      </w:tr>
      <w:tr w:rsidR="00CF2D46" w14:paraId="0315DEA0" w14:textId="77777777" w:rsidTr="005D61FD">
        <w:trPr>
          <w:cantSplit/>
        </w:trPr>
        <w:tc>
          <w:tcPr>
            <w:tcW w:w="2268" w:type="dxa"/>
            <w:tcBorders>
              <w:top w:val="nil"/>
              <w:bottom w:val="single" w:sz="4" w:space="0" w:color="auto"/>
              <w:right w:val="single" w:sz="4" w:space="0" w:color="auto"/>
            </w:tcBorders>
          </w:tcPr>
          <w:p w14:paraId="3EF07769" w14:textId="2521CEBE" w:rsidR="00CF2D46" w:rsidRDefault="00CF2D46">
            <w:pPr>
              <w:pStyle w:val="TableText"/>
              <w:rPr>
                <w:lang w:eastAsia="en-AU"/>
              </w:rPr>
            </w:pPr>
            <w:r>
              <w:t xml:space="preserve">Opioid </w:t>
            </w:r>
            <w:r w:rsidR="00FA7E90">
              <w:t>and</w:t>
            </w:r>
            <w:r>
              <w:t xml:space="preserve"> sedative drugs</w:t>
            </w:r>
          </w:p>
        </w:tc>
        <w:tc>
          <w:tcPr>
            <w:tcW w:w="1276" w:type="dxa"/>
            <w:tcBorders>
              <w:top w:val="nil"/>
              <w:left w:val="single" w:sz="4" w:space="0" w:color="auto"/>
              <w:bottom w:val="single" w:sz="4" w:space="0" w:color="auto"/>
            </w:tcBorders>
          </w:tcPr>
          <w:p w14:paraId="2A21C7EB" w14:textId="77777777" w:rsidR="00CF2D46" w:rsidRDefault="00CF2D46" w:rsidP="005D61FD">
            <w:pPr>
              <w:pStyle w:val="TableText"/>
              <w:tabs>
                <w:tab w:val="decimal" w:pos="885"/>
              </w:tabs>
              <w:rPr>
                <w:lang w:eastAsia="en-AU"/>
              </w:rPr>
            </w:pPr>
            <w:r>
              <w:t>2,000</w:t>
            </w:r>
          </w:p>
        </w:tc>
        <w:tc>
          <w:tcPr>
            <w:tcW w:w="1276" w:type="dxa"/>
            <w:tcBorders>
              <w:top w:val="nil"/>
              <w:bottom w:val="single" w:sz="4" w:space="0" w:color="auto"/>
              <w:right w:val="single" w:sz="4" w:space="0" w:color="auto"/>
            </w:tcBorders>
          </w:tcPr>
          <w:p w14:paraId="6CFF54DD" w14:textId="77777777" w:rsidR="00CF2D46" w:rsidRDefault="00CF2D46" w:rsidP="005D61FD">
            <w:pPr>
              <w:pStyle w:val="TableText"/>
              <w:tabs>
                <w:tab w:val="decimal" w:pos="885"/>
              </w:tabs>
              <w:rPr>
                <w:lang w:eastAsia="en-AU"/>
              </w:rPr>
            </w:pPr>
            <w:r>
              <w:t>27,200</w:t>
            </w:r>
          </w:p>
        </w:tc>
        <w:tc>
          <w:tcPr>
            <w:tcW w:w="1417" w:type="dxa"/>
            <w:tcBorders>
              <w:top w:val="nil"/>
              <w:left w:val="single" w:sz="4" w:space="0" w:color="auto"/>
              <w:bottom w:val="single" w:sz="4" w:space="0" w:color="auto"/>
            </w:tcBorders>
          </w:tcPr>
          <w:p w14:paraId="1A67A1F7" w14:textId="77777777" w:rsidR="00CF2D46" w:rsidRDefault="00CF2D46" w:rsidP="005D61FD">
            <w:pPr>
              <w:pStyle w:val="TableText"/>
              <w:tabs>
                <w:tab w:val="decimal" w:pos="884"/>
              </w:tabs>
              <w:rPr>
                <w:lang w:eastAsia="en-AU"/>
              </w:rPr>
            </w:pPr>
            <w:r>
              <w:rPr>
                <w:lang w:eastAsia="en-AU"/>
              </w:rPr>
              <w:t>&gt; 20</w:t>
            </w:r>
          </w:p>
        </w:tc>
        <w:tc>
          <w:tcPr>
            <w:tcW w:w="1417" w:type="dxa"/>
            <w:tcBorders>
              <w:top w:val="nil"/>
              <w:bottom w:val="single" w:sz="4" w:space="0" w:color="auto"/>
            </w:tcBorders>
          </w:tcPr>
          <w:p w14:paraId="14BD47FE" w14:textId="77777777" w:rsidR="00CF2D46" w:rsidRDefault="00CF2D46" w:rsidP="005D61FD">
            <w:pPr>
              <w:pStyle w:val="TableText"/>
              <w:tabs>
                <w:tab w:val="decimal" w:pos="742"/>
              </w:tabs>
              <w:rPr>
                <w:lang w:eastAsia="en-AU"/>
              </w:rPr>
            </w:pPr>
            <w:r>
              <w:rPr>
                <w:lang w:eastAsia="en-AU"/>
              </w:rPr>
              <w:t>&gt; 20</w:t>
            </w:r>
          </w:p>
        </w:tc>
        <w:tc>
          <w:tcPr>
            <w:tcW w:w="1418" w:type="dxa"/>
            <w:tcBorders>
              <w:top w:val="nil"/>
              <w:bottom w:val="single" w:sz="4" w:space="0" w:color="auto"/>
            </w:tcBorders>
          </w:tcPr>
          <w:p w14:paraId="3C7F84C9" w14:textId="77777777" w:rsidR="00CF2D46" w:rsidRDefault="00CF2D46" w:rsidP="005D61FD">
            <w:pPr>
              <w:pStyle w:val="TableText"/>
              <w:tabs>
                <w:tab w:val="decimal" w:pos="742"/>
              </w:tabs>
              <w:rPr>
                <w:lang w:eastAsia="en-AU"/>
              </w:rPr>
            </w:pPr>
            <w:r>
              <w:rPr>
                <w:lang w:eastAsia="en-AU"/>
              </w:rPr>
              <w:t>&gt; 20</w:t>
            </w:r>
          </w:p>
        </w:tc>
      </w:tr>
      <w:tr w:rsidR="00CF2D46" w:rsidRPr="005D61FD" w14:paraId="46146E58" w14:textId="77777777" w:rsidTr="005D61FD">
        <w:trPr>
          <w:cantSplit/>
        </w:trPr>
        <w:tc>
          <w:tcPr>
            <w:tcW w:w="2268" w:type="dxa"/>
            <w:tcBorders>
              <w:top w:val="single" w:sz="4" w:space="0" w:color="auto"/>
              <w:right w:val="single" w:sz="4" w:space="0" w:color="auto"/>
            </w:tcBorders>
          </w:tcPr>
          <w:p w14:paraId="790A5E2A" w14:textId="77777777" w:rsidR="00CF2D46" w:rsidRPr="005D61FD" w:rsidRDefault="00CF2D46" w:rsidP="005D61FD">
            <w:pPr>
              <w:pStyle w:val="TableText"/>
              <w:ind w:right="142"/>
              <w:jc w:val="right"/>
              <w:rPr>
                <w:b/>
                <w:lang w:eastAsia="en-AU"/>
              </w:rPr>
            </w:pPr>
            <w:r w:rsidRPr="005D61FD">
              <w:rPr>
                <w:b/>
              </w:rPr>
              <w:t>Total</w:t>
            </w:r>
          </w:p>
        </w:tc>
        <w:tc>
          <w:tcPr>
            <w:tcW w:w="1276" w:type="dxa"/>
            <w:tcBorders>
              <w:top w:val="single" w:sz="4" w:space="0" w:color="auto"/>
              <w:left w:val="single" w:sz="4" w:space="0" w:color="auto"/>
              <w:bottom w:val="single" w:sz="4" w:space="0" w:color="auto"/>
            </w:tcBorders>
          </w:tcPr>
          <w:p w14:paraId="1DCB5A63" w14:textId="77777777" w:rsidR="00CF2D46" w:rsidRPr="005D61FD" w:rsidRDefault="00CF2D46" w:rsidP="005D61FD">
            <w:pPr>
              <w:pStyle w:val="TableText"/>
              <w:tabs>
                <w:tab w:val="decimal" w:pos="885"/>
              </w:tabs>
              <w:rPr>
                <w:b/>
                <w:lang w:eastAsia="en-AU"/>
              </w:rPr>
            </w:pPr>
            <w:r w:rsidRPr="005D61FD">
              <w:rPr>
                <w:b/>
              </w:rPr>
              <w:t>29,900</w:t>
            </w:r>
          </w:p>
        </w:tc>
        <w:tc>
          <w:tcPr>
            <w:tcW w:w="1276" w:type="dxa"/>
            <w:tcBorders>
              <w:top w:val="single" w:sz="4" w:space="0" w:color="auto"/>
              <w:bottom w:val="single" w:sz="4" w:space="0" w:color="auto"/>
              <w:right w:val="single" w:sz="4" w:space="0" w:color="auto"/>
            </w:tcBorders>
          </w:tcPr>
          <w:p w14:paraId="1D574C60" w14:textId="77777777" w:rsidR="00CF2D46" w:rsidRPr="005D61FD" w:rsidRDefault="00CF2D46" w:rsidP="005D61FD">
            <w:pPr>
              <w:pStyle w:val="TableText"/>
              <w:tabs>
                <w:tab w:val="decimal" w:pos="885"/>
              </w:tabs>
              <w:rPr>
                <w:b/>
                <w:lang w:eastAsia="en-AU"/>
              </w:rPr>
            </w:pPr>
            <w:r w:rsidRPr="005D61FD">
              <w:rPr>
                <w:b/>
              </w:rPr>
              <w:t>358,100</w:t>
            </w:r>
          </w:p>
        </w:tc>
        <w:tc>
          <w:tcPr>
            <w:tcW w:w="1417" w:type="dxa"/>
            <w:tcBorders>
              <w:top w:val="single" w:sz="4" w:space="0" w:color="auto"/>
              <w:left w:val="single" w:sz="4" w:space="0" w:color="auto"/>
            </w:tcBorders>
          </w:tcPr>
          <w:p w14:paraId="3919D27F" w14:textId="77777777" w:rsidR="00CF2D46" w:rsidRPr="005D61FD" w:rsidRDefault="00CF2D46" w:rsidP="005D61FD">
            <w:pPr>
              <w:pStyle w:val="TableText"/>
              <w:tabs>
                <w:tab w:val="decimal" w:pos="884"/>
              </w:tabs>
              <w:rPr>
                <w:b/>
                <w:lang w:eastAsia="en-AU"/>
              </w:rPr>
            </w:pPr>
            <w:r w:rsidRPr="005D61FD">
              <w:rPr>
                <w:b/>
                <w:lang w:eastAsia="en-AU"/>
              </w:rPr>
              <w:t>300</w:t>
            </w:r>
          </w:p>
        </w:tc>
        <w:tc>
          <w:tcPr>
            <w:tcW w:w="1417" w:type="dxa"/>
            <w:tcBorders>
              <w:top w:val="single" w:sz="4" w:space="0" w:color="auto"/>
            </w:tcBorders>
          </w:tcPr>
          <w:p w14:paraId="2EAD20E3" w14:textId="77777777" w:rsidR="00CF2D46" w:rsidRPr="005D61FD" w:rsidRDefault="00CF2D46" w:rsidP="005D61FD">
            <w:pPr>
              <w:pStyle w:val="TableText"/>
              <w:tabs>
                <w:tab w:val="decimal" w:pos="742"/>
              </w:tabs>
              <w:rPr>
                <w:b/>
                <w:lang w:eastAsia="en-AU"/>
              </w:rPr>
            </w:pPr>
            <w:r w:rsidRPr="005D61FD">
              <w:rPr>
                <w:b/>
                <w:lang w:eastAsia="en-AU"/>
              </w:rPr>
              <w:t>100</w:t>
            </w:r>
          </w:p>
        </w:tc>
        <w:tc>
          <w:tcPr>
            <w:tcW w:w="1418" w:type="dxa"/>
            <w:tcBorders>
              <w:top w:val="single" w:sz="4" w:space="0" w:color="auto"/>
            </w:tcBorders>
          </w:tcPr>
          <w:p w14:paraId="42D37AA2" w14:textId="77777777" w:rsidR="00CF2D46" w:rsidRPr="005D61FD" w:rsidRDefault="00CF2D46" w:rsidP="005D61FD">
            <w:pPr>
              <w:pStyle w:val="TableText"/>
              <w:tabs>
                <w:tab w:val="decimal" w:pos="742"/>
              </w:tabs>
              <w:rPr>
                <w:b/>
                <w:lang w:eastAsia="en-AU"/>
              </w:rPr>
            </w:pPr>
            <w:r w:rsidRPr="005D61FD">
              <w:rPr>
                <w:b/>
                <w:lang w:eastAsia="en-AU"/>
              </w:rPr>
              <w:t>200</w:t>
            </w:r>
          </w:p>
        </w:tc>
      </w:tr>
    </w:tbl>
    <w:p w14:paraId="18DA097A" w14:textId="77777777" w:rsidR="00990768" w:rsidRDefault="00CF2D46" w:rsidP="005D61FD">
      <w:pPr>
        <w:rPr>
          <w:lang w:eastAsia="en-AU"/>
        </w:rPr>
      </w:pPr>
      <w:r>
        <w:rPr>
          <w:lang w:eastAsia="en-AU"/>
        </w:rPr>
        <w:t>The preceding analysis and estimates relate to the reinvestment of drug trafficking profits into other illegal activities. There is a further threat posed by drug trafficking profits entering the legitimate economy as organised crime seeks to diversify further by investing in legitimate business. This is in addition to any money laundering activities.</w:t>
      </w:r>
    </w:p>
    <w:p w14:paraId="7FAA492F" w14:textId="77777777" w:rsidR="00CF2D46" w:rsidRPr="00CC131B" w:rsidRDefault="00CF2D46" w:rsidP="005D61FD">
      <w:pPr>
        <w:rPr>
          <w:lang w:eastAsia="en-AU"/>
        </w:rPr>
      </w:pPr>
      <w:r>
        <w:rPr>
          <w:lang w:eastAsia="en-AU"/>
        </w:rPr>
        <w:t xml:space="preserve">This is not a new problem. </w:t>
      </w:r>
      <w:r w:rsidRPr="00CC131B">
        <w:rPr>
          <w:lang w:eastAsia="en-AU"/>
        </w:rPr>
        <w:t xml:space="preserve">McDowell and </w:t>
      </w:r>
      <w:proofErr w:type="spellStart"/>
      <w:r w:rsidRPr="00CC131B">
        <w:rPr>
          <w:lang w:eastAsia="en-AU"/>
        </w:rPr>
        <w:t>Novis</w:t>
      </w:r>
      <w:proofErr w:type="spellEnd"/>
      <w:r w:rsidRPr="00CC131B">
        <w:rPr>
          <w:lang w:eastAsia="en-AU"/>
        </w:rPr>
        <w:t xml:space="preserve"> (2001) describe the negative impacts of criminal </w:t>
      </w:r>
      <w:r>
        <w:rPr>
          <w:lang w:eastAsia="en-AU"/>
        </w:rPr>
        <w:t xml:space="preserve">profits being invested in the </w:t>
      </w:r>
      <w:r w:rsidRPr="00CC131B">
        <w:rPr>
          <w:lang w:eastAsia="en-AU"/>
        </w:rPr>
        <w:t>legitimate economy</w:t>
      </w:r>
      <w:r>
        <w:rPr>
          <w:lang w:eastAsia="en-AU"/>
        </w:rPr>
        <w:t xml:space="preserve"> as:</w:t>
      </w:r>
    </w:p>
    <w:p w14:paraId="42C6954C" w14:textId="77777777" w:rsidR="00CF2D46" w:rsidRPr="008266F1" w:rsidRDefault="00CF2D46" w:rsidP="005D61FD">
      <w:pPr>
        <w:pStyle w:val="Bullet"/>
        <w:rPr>
          <w:lang w:eastAsia="en-AU"/>
        </w:rPr>
      </w:pPr>
      <w:r>
        <w:rPr>
          <w:lang w:eastAsia="en-AU"/>
        </w:rPr>
        <w:t>u</w:t>
      </w:r>
      <w:r w:rsidRPr="008266F1">
        <w:rPr>
          <w:lang w:eastAsia="en-AU"/>
        </w:rPr>
        <w:t>ndermining the private sector by subsidising legitimate business with drug profits</w:t>
      </w:r>
      <w:r>
        <w:rPr>
          <w:lang w:eastAsia="en-AU"/>
        </w:rPr>
        <w:t>,</w:t>
      </w:r>
      <w:r w:rsidRPr="008266F1">
        <w:rPr>
          <w:lang w:eastAsia="en-AU"/>
        </w:rPr>
        <w:t xml:space="preserve"> thereby creating a competitive advantage over honest businesses</w:t>
      </w:r>
    </w:p>
    <w:p w14:paraId="575A5CF3" w14:textId="77777777" w:rsidR="00CF2D46" w:rsidRPr="008266F1" w:rsidRDefault="00CF2D46" w:rsidP="005D61FD">
      <w:pPr>
        <w:pStyle w:val="Bullet"/>
        <w:rPr>
          <w:lang w:eastAsia="en-AU"/>
        </w:rPr>
      </w:pPr>
      <w:r>
        <w:rPr>
          <w:lang w:eastAsia="en-AU"/>
        </w:rPr>
        <w:t>u</w:t>
      </w:r>
      <w:r w:rsidRPr="008266F1">
        <w:rPr>
          <w:lang w:eastAsia="en-AU"/>
        </w:rPr>
        <w:t>ndermining the integrity of financial markets by moving large sums of money through the international financial system</w:t>
      </w:r>
    </w:p>
    <w:p w14:paraId="40ACB609" w14:textId="77777777" w:rsidR="00CF2D46" w:rsidRPr="008266F1" w:rsidRDefault="00CF2D46" w:rsidP="005D61FD">
      <w:pPr>
        <w:pStyle w:val="Bullet"/>
        <w:rPr>
          <w:lang w:eastAsia="en-AU"/>
        </w:rPr>
      </w:pPr>
      <w:r>
        <w:rPr>
          <w:lang w:eastAsia="en-AU"/>
        </w:rPr>
        <w:t>l</w:t>
      </w:r>
      <w:r w:rsidRPr="008266F1">
        <w:rPr>
          <w:lang w:eastAsia="en-AU"/>
        </w:rPr>
        <w:t>oss of economic control that the previous point entails, especially to developing economies</w:t>
      </w:r>
    </w:p>
    <w:p w14:paraId="3CD0565B" w14:textId="77777777" w:rsidR="00CF2D46" w:rsidRDefault="00CF2D46" w:rsidP="005D61FD">
      <w:pPr>
        <w:pStyle w:val="Bullet"/>
        <w:rPr>
          <w:lang w:eastAsia="en-AU"/>
        </w:rPr>
      </w:pPr>
      <w:proofErr w:type="gramStart"/>
      <w:r>
        <w:rPr>
          <w:lang w:eastAsia="en-AU"/>
        </w:rPr>
        <w:t>the</w:t>
      </w:r>
      <w:proofErr w:type="gramEnd"/>
      <w:r>
        <w:rPr>
          <w:lang w:eastAsia="en-AU"/>
        </w:rPr>
        <w:t xml:space="preserve"> economic damage that ensues from the perception that countries are corrupt and involved in the laundering of drug profits.</w:t>
      </w:r>
    </w:p>
    <w:p w14:paraId="1F8DA7CB" w14:textId="77777777" w:rsidR="00990768" w:rsidRDefault="00CF2D46" w:rsidP="005D61FD">
      <w:pPr>
        <w:rPr>
          <w:lang w:eastAsia="en-AU"/>
        </w:rPr>
      </w:pPr>
      <w:r>
        <w:rPr>
          <w:lang w:eastAsia="en-AU"/>
        </w:rPr>
        <w:t>These threats are less likely to occur in countries with strong institutions, transparent government and appropriate checks and balances in place. Nevertheless, there has been concern in a number of developed countries about the growing threat to small business and recently the property market associated with the business diversification strategy of organised crime. No attempt was made to include a current estimate of these costs on the New Zealand economy due to the size of that task. Government and policy makers should be aware that drug trafficking is one of the primary sources of funds used by organised crime to diversify into legitimate business.</w:t>
      </w:r>
    </w:p>
    <w:p w14:paraId="186ADC35" w14:textId="77777777" w:rsidR="00CF2D46" w:rsidRPr="00544C47" w:rsidRDefault="00CF2D46" w:rsidP="005D61FD">
      <w:pPr>
        <w:pStyle w:val="Heading3"/>
        <w:rPr>
          <w:lang w:eastAsia="en-AU"/>
        </w:rPr>
      </w:pPr>
      <w:r w:rsidRPr="00544C47">
        <w:rPr>
          <w:lang w:eastAsia="en-AU"/>
        </w:rPr>
        <w:t>Reduced tax base</w:t>
      </w:r>
    </w:p>
    <w:p w14:paraId="568E9F57" w14:textId="77777777" w:rsidR="00CF2D46" w:rsidRDefault="00CF2D46" w:rsidP="005D61FD">
      <w:pPr>
        <w:rPr>
          <w:lang w:eastAsia="en-AU"/>
        </w:rPr>
      </w:pPr>
      <w:r>
        <w:rPr>
          <w:lang w:eastAsia="en-AU"/>
        </w:rPr>
        <w:t>A further aspect of the economic harm associated with organised crime</w:t>
      </w:r>
      <w:r w:rsidR="00990768">
        <w:rPr>
          <w:lang w:eastAsia="en-AU"/>
        </w:rPr>
        <w:t>’</w:t>
      </w:r>
      <w:r>
        <w:rPr>
          <w:lang w:eastAsia="en-AU"/>
        </w:rPr>
        <w:t>s involvement in drug trafficking is the loss to the tax base available to the government. Modern organised crime will seek to lower its risk through diversification and enhance its profitability by tax avoidance. Organised crime generally pays neither GST nor company tax. In doing so, it reduces the government</w:t>
      </w:r>
      <w:r w:rsidR="00990768">
        <w:rPr>
          <w:lang w:eastAsia="en-AU"/>
        </w:rPr>
        <w:t>’</w:t>
      </w:r>
      <w:r>
        <w:rPr>
          <w:lang w:eastAsia="en-AU"/>
        </w:rPr>
        <w:t>s ability to provide services to the people of New Zealand. Table 11 has details of tax avoided by drug group and source of income.</w:t>
      </w:r>
    </w:p>
    <w:p w14:paraId="3883AE63" w14:textId="77777777" w:rsidR="00CF2D46" w:rsidRPr="00255837" w:rsidRDefault="00CF2D46" w:rsidP="005D61FD">
      <w:pPr>
        <w:pStyle w:val="Table"/>
        <w:rPr>
          <w:lang w:eastAsia="en-AU"/>
        </w:rPr>
      </w:pPr>
      <w:bookmarkStart w:id="34" w:name="_Toc444941852"/>
      <w:r>
        <w:rPr>
          <w:lang w:eastAsia="en-AU"/>
        </w:rPr>
        <w:t>Table 11</w:t>
      </w:r>
      <w:r w:rsidRPr="00255837">
        <w:rPr>
          <w:lang w:eastAsia="en-AU"/>
        </w:rPr>
        <w:t xml:space="preserve">. Tax avoided by </w:t>
      </w:r>
      <w:r>
        <w:rPr>
          <w:lang w:eastAsia="en-AU"/>
        </w:rPr>
        <w:t>organised crime</w:t>
      </w:r>
      <w:r w:rsidRPr="00255837">
        <w:rPr>
          <w:lang w:eastAsia="en-AU"/>
        </w:rPr>
        <w:t xml:space="preserve"> by tax type and source of income</w:t>
      </w:r>
      <w:bookmarkEnd w:id="34"/>
    </w:p>
    <w:tbl>
      <w:tblPr>
        <w:tblStyle w:val="TableGrid"/>
        <w:tblW w:w="0" w:type="auto"/>
        <w:tblInd w:w="108" w:type="dxa"/>
        <w:tblLayout w:type="fixed"/>
        <w:tblLook w:val="04A0" w:firstRow="1" w:lastRow="0" w:firstColumn="1" w:lastColumn="0" w:noHBand="0" w:noVBand="1"/>
      </w:tblPr>
      <w:tblGrid>
        <w:gridCol w:w="1134"/>
        <w:gridCol w:w="2472"/>
        <w:gridCol w:w="1822"/>
        <w:gridCol w:w="1822"/>
        <w:gridCol w:w="1822"/>
      </w:tblGrid>
      <w:tr w:rsidR="00CF2D46" w:rsidRPr="00FC7D54" w14:paraId="4C494D88" w14:textId="77777777" w:rsidTr="00FC7D54">
        <w:trPr>
          <w:cantSplit/>
        </w:trPr>
        <w:tc>
          <w:tcPr>
            <w:tcW w:w="1134" w:type="dxa"/>
          </w:tcPr>
          <w:p w14:paraId="2EC5E761" w14:textId="77777777" w:rsidR="00CF2D46" w:rsidRPr="00FC7D54" w:rsidRDefault="00CF2D46" w:rsidP="00FC7D54">
            <w:pPr>
              <w:pStyle w:val="TableText"/>
              <w:rPr>
                <w:b/>
                <w:lang w:eastAsia="en-AU"/>
              </w:rPr>
            </w:pPr>
            <w:r w:rsidRPr="00FC7D54">
              <w:rPr>
                <w:b/>
                <w:lang w:eastAsia="en-AU"/>
              </w:rPr>
              <w:t>Tax type</w:t>
            </w:r>
          </w:p>
        </w:tc>
        <w:tc>
          <w:tcPr>
            <w:tcW w:w="2472" w:type="dxa"/>
            <w:tcBorders>
              <w:bottom w:val="single" w:sz="4" w:space="0" w:color="auto"/>
            </w:tcBorders>
          </w:tcPr>
          <w:p w14:paraId="794A3ECA" w14:textId="77777777" w:rsidR="00CF2D46" w:rsidRPr="00FC7D54" w:rsidRDefault="00CF2D46" w:rsidP="00FC7D54">
            <w:pPr>
              <w:pStyle w:val="TableText"/>
              <w:rPr>
                <w:b/>
                <w:lang w:eastAsia="en-AU"/>
              </w:rPr>
            </w:pPr>
            <w:r w:rsidRPr="00FC7D54">
              <w:rPr>
                <w:b/>
              </w:rPr>
              <w:t>Drug group</w:t>
            </w:r>
          </w:p>
        </w:tc>
        <w:tc>
          <w:tcPr>
            <w:tcW w:w="1822" w:type="dxa"/>
            <w:tcBorders>
              <w:bottom w:val="single" w:sz="4" w:space="0" w:color="auto"/>
            </w:tcBorders>
          </w:tcPr>
          <w:p w14:paraId="3057C152" w14:textId="77777777" w:rsidR="00CF2D46" w:rsidRPr="00FC7D54" w:rsidRDefault="00CF2D46" w:rsidP="00FC7D54">
            <w:pPr>
              <w:pStyle w:val="TableText"/>
              <w:jc w:val="center"/>
              <w:rPr>
                <w:b/>
                <w:lang w:eastAsia="en-AU"/>
              </w:rPr>
            </w:pPr>
            <w:r w:rsidRPr="00FC7D54">
              <w:rPr>
                <w:b/>
              </w:rPr>
              <w:t>Income derived from dependent users:</w:t>
            </w:r>
            <w:r w:rsidR="00FC7D54">
              <w:rPr>
                <w:b/>
              </w:rPr>
              <w:br/>
            </w:r>
            <w:r w:rsidRPr="00FC7D54">
              <w:rPr>
                <w:b/>
              </w:rPr>
              <w:t>tax avoided ($m)</w:t>
            </w:r>
          </w:p>
        </w:tc>
        <w:tc>
          <w:tcPr>
            <w:tcW w:w="1822" w:type="dxa"/>
            <w:tcBorders>
              <w:bottom w:val="single" w:sz="4" w:space="0" w:color="auto"/>
            </w:tcBorders>
          </w:tcPr>
          <w:p w14:paraId="31A03D08" w14:textId="77777777" w:rsidR="00CF2D46" w:rsidRPr="00FC7D54" w:rsidRDefault="00CF2D46" w:rsidP="00FC7D54">
            <w:pPr>
              <w:pStyle w:val="TableText"/>
              <w:jc w:val="center"/>
              <w:rPr>
                <w:b/>
                <w:lang w:eastAsia="en-AU"/>
              </w:rPr>
            </w:pPr>
            <w:r w:rsidRPr="00FC7D54">
              <w:rPr>
                <w:b/>
              </w:rPr>
              <w:t>Income derived from casual users:</w:t>
            </w:r>
            <w:r w:rsidRPr="00FC7D54">
              <w:rPr>
                <w:b/>
              </w:rPr>
              <w:br/>
              <w:t>tax avoided ($m)</w:t>
            </w:r>
          </w:p>
        </w:tc>
        <w:tc>
          <w:tcPr>
            <w:tcW w:w="1822" w:type="dxa"/>
            <w:tcBorders>
              <w:bottom w:val="single" w:sz="4" w:space="0" w:color="auto"/>
            </w:tcBorders>
          </w:tcPr>
          <w:p w14:paraId="6B52385E" w14:textId="77777777" w:rsidR="00CF2D46" w:rsidRPr="00FC7D54" w:rsidRDefault="00CF2D46" w:rsidP="00FC7D54">
            <w:pPr>
              <w:pStyle w:val="TableText"/>
              <w:jc w:val="center"/>
              <w:rPr>
                <w:b/>
                <w:lang w:eastAsia="en-AU"/>
              </w:rPr>
            </w:pPr>
            <w:r w:rsidRPr="00FC7D54">
              <w:rPr>
                <w:b/>
              </w:rPr>
              <w:t>Income from</w:t>
            </w:r>
            <w:r w:rsidR="00FC7D54">
              <w:rPr>
                <w:b/>
              </w:rPr>
              <w:br/>
            </w:r>
            <w:r w:rsidRPr="00FC7D54">
              <w:rPr>
                <w:b/>
              </w:rPr>
              <w:t>all users:</w:t>
            </w:r>
            <w:r w:rsidR="00FC7D54">
              <w:rPr>
                <w:b/>
              </w:rPr>
              <w:br/>
            </w:r>
            <w:r w:rsidRPr="00FC7D54">
              <w:rPr>
                <w:b/>
              </w:rPr>
              <w:br/>
              <w:t>tax avoided ($m)</w:t>
            </w:r>
          </w:p>
        </w:tc>
      </w:tr>
      <w:tr w:rsidR="00CF2D46" w14:paraId="084F6E4B" w14:textId="77777777" w:rsidTr="00FC7D54">
        <w:trPr>
          <w:cantSplit/>
        </w:trPr>
        <w:tc>
          <w:tcPr>
            <w:tcW w:w="1134" w:type="dxa"/>
            <w:vMerge w:val="restart"/>
            <w:tcBorders>
              <w:right w:val="single" w:sz="4" w:space="0" w:color="auto"/>
            </w:tcBorders>
          </w:tcPr>
          <w:p w14:paraId="33303D17" w14:textId="77777777" w:rsidR="00CF2D46" w:rsidRDefault="00CF2D46" w:rsidP="00FC7D54">
            <w:pPr>
              <w:pStyle w:val="TableText"/>
              <w:rPr>
                <w:lang w:eastAsia="en-AU"/>
              </w:rPr>
            </w:pPr>
            <w:r>
              <w:rPr>
                <w:lang w:eastAsia="en-AU"/>
              </w:rPr>
              <w:t>GST</w:t>
            </w:r>
          </w:p>
        </w:tc>
        <w:tc>
          <w:tcPr>
            <w:tcW w:w="2472" w:type="dxa"/>
            <w:tcBorders>
              <w:top w:val="single" w:sz="4" w:space="0" w:color="auto"/>
              <w:left w:val="single" w:sz="4" w:space="0" w:color="auto"/>
              <w:bottom w:val="nil"/>
              <w:right w:val="single" w:sz="4" w:space="0" w:color="auto"/>
            </w:tcBorders>
            <w:vAlign w:val="center"/>
          </w:tcPr>
          <w:p w14:paraId="5CA4574C" w14:textId="77777777" w:rsidR="00CF2D46" w:rsidRDefault="00CF2D46" w:rsidP="00FC7D54">
            <w:pPr>
              <w:pStyle w:val="TableText"/>
              <w:rPr>
                <w:lang w:eastAsia="en-AU"/>
              </w:rPr>
            </w:pPr>
            <w:r>
              <w:t>Amphetamine-type stimulants</w:t>
            </w:r>
          </w:p>
        </w:tc>
        <w:tc>
          <w:tcPr>
            <w:tcW w:w="1822" w:type="dxa"/>
            <w:tcBorders>
              <w:top w:val="single" w:sz="4" w:space="0" w:color="auto"/>
              <w:left w:val="single" w:sz="4" w:space="0" w:color="auto"/>
              <w:bottom w:val="nil"/>
              <w:right w:val="single" w:sz="4" w:space="0" w:color="auto"/>
            </w:tcBorders>
            <w:tcMar>
              <w:right w:w="454" w:type="dxa"/>
            </w:tcMar>
          </w:tcPr>
          <w:p w14:paraId="27B5E470" w14:textId="77777777" w:rsidR="00CF2D46" w:rsidRDefault="00CF2D46" w:rsidP="00F215C6">
            <w:pPr>
              <w:pStyle w:val="TableText"/>
              <w:tabs>
                <w:tab w:val="decimal" w:pos="822"/>
              </w:tabs>
              <w:rPr>
                <w:lang w:eastAsia="en-AU"/>
              </w:rPr>
            </w:pPr>
            <w:r>
              <w:rPr>
                <w:lang w:eastAsia="en-AU"/>
              </w:rPr>
              <w:t>4.2</w:t>
            </w:r>
          </w:p>
        </w:tc>
        <w:tc>
          <w:tcPr>
            <w:tcW w:w="1822" w:type="dxa"/>
            <w:tcBorders>
              <w:top w:val="single" w:sz="4" w:space="0" w:color="auto"/>
              <w:left w:val="single" w:sz="4" w:space="0" w:color="auto"/>
              <w:bottom w:val="nil"/>
              <w:right w:val="single" w:sz="4" w:space="0" w:color="auto"/>
            </w:tcBorders>
            <w:tcMar>
              <w:right w:w="454" w:type="dxa"/>
            </w:tcMar>
          </w:tcPr>
          <w:p w14:paraId="080970C3" w14:textId="77777777" w:rsidR="00CF2D46" w:rsidRDefault="00CF2D46" w:rsidP="00FC7D54">
            <w:pPr>
              <w:pStyle w:val="TableText"/>
              <w:tabs>
                <w:tab w:val="decimal" w:pos="822"/>
              </w:tabs>
              <w:rPr>
                <w:lang w:eastAsia="en-AU"/>
              </w:rPr>
            </w:pPr>
            <w:r>
              <w:rPr>
                <w:lang w:eastAsia="en-AU"/>
              </w:rPr>
              <w:t>5.3</w:t>
            </w:r>
          </w:p>
        </w:tc>
        <w:tc>
          <w:tcPr>
            <w:tcW w:w="1822" w:type="dxa"/>
            <w:tcBorders>
              <w:top w:val="single" w:sz="4" w:space="0" w:color="auto"/>
              <w:left w:val="single" w:sz="4" w:space="0" w:color="auto"/>
              <w:bottom w:val="nil"/>
              <w:right w:val="single" w:sz="4" w:space="0" w:color="auto"/>
            </w:tcBorders>
            <w:tcMar>
              <w:right w:w="454" w:type="dxa"/>
            </w:tcMar>
          </w:tcPr>
          <w:p w14:paraId="6D3794AC" w14:textId="77777777" w:rsidR="00CF2D46" w:rsidRDefault="00CF2D46" w:rsidP="00FC7D54">
            <w:pPr>
              <w:pStyle w:val="TableText"/>
              <w:tabs>
                <w:tab w:val="decimal" w:pos="822"/>
              </w:tabs>
              <w:rPr>
                <w:lang w:eastAsia="en-AU"/>
              </w:rPr>
            </w:pPr>
            <w:r>
              <w:rPr>
                <w:lang w:eastAsia="en-AU"/>
              </w:rPr>
              <w:t>9.5</w:t>
            </w:r>
          </w:p>
        </w:tc>
      </w:tr>
      <w:tr w:rsidR="00CF2D46" w14:paraId="31FE18E5" w14:textId="77777777" w:rsidTr="00FC7D54">
        <w:trPr>
          <w:cantSplit/>
        </w:trPr>
        <w:tc>
          <w:tcPr>
            <w:tcW w:w="1134" w:type="dxa"/>
            <w:vMerge/>
            <w:tcBorders>
              <w:right w:val="single" w:sz="4" w:space="0" w:color="auto"/>
            </w:tcBorders>
          </w:tcPr>
          <w:p w14:paraId="6A46E49F" w14:textId="77777777" w:rsidR="00CF2D46" w:rsidRDefault="00CF2D46" w:rsidP="00FC7D54">
            <w:pPr>
              <w:pStyle w:val="TableText"/>
              <w:rPr>
                <w:lang w:eastAsia="en-AU"/>
              </w:rPr>
            </w:pPr>
          </w:p>
        </w:tc>
        <w:tc>
          <w:tcPr>
            <w:tcW w:w="2472" w:type="dxa"/>
            <w:tcBorders>
              <w:top w:val="nil"/>
              <w:left w:val="single" w:sz="4" w:space="0" w:color="auto"/>
              <w:bottom w:val="nil"/>
              <w:right w:val="single" w:sz="4" w:space="0" w:color="auto"/>
            </w:tcBorders>
            <w:vAlign w:val="center"/>
          </w:tcPr>
          <w:p w14:paraId="3CBD9C80" w14:textId="77777777" w:rsidR="00CF2D46" w:rsidRDefault="00CF2D46" w:rsidP="00FC7D54">
            <w:pPr>
              <w:pStyle w:val="TableText"/>
              <w:spacing w:before="0"/>
              <w:rPr>
                <w:lang w:eastAsia="en-AU"/>
              </w:rPr>
            </w:pPr>
            <w:r>
              <w:t>Cannabinoids</w:t>
            </w:r>
          </w:p>
        </w:tc>
        <w:tc>
          <w:tcPr>
            <w:tcW w:w="1822" w:type="dxa"/>
            <w:tcBorders>
              <w:top w:val="nil"/>
              <w:left w:val="single" w:sz="4" w:space="0" w:color="auto"/>
              <w:bottom w:val="nil"/>
              <w:right w:val="single" w:sz="4" w:space="0" w:color="auto"/>
            </w:tcBorders>
            <w:tcMar>
              <w:right w:w="454" w:type="dxa"/>
            </w:tcMar>
          </w:tcPr>
          <w:p w14:paraId="5129B430" w14:textId="77777777" w:rsidR="00CF2D46" w:rsidRDefault="00CF2D46" w:rsidP="00F215C6">
            <w:pPr>
              <w:pStyle w:val="TableText"/>
              <w:tabs>
                <w:tab w:val="decimal" w:pos="822"/>
              </w:tabs>
              <w:spacing w:before="0"/>
              <w:rPr>
                <w:lang w:eastAsia="en-AU"/>
              </w:rPr>
            </w:pPr>
            <w:r>
              <w:rPr>
                <w:lang w:eastAsia="en-AU"/>
              </w:rPr>
              <w:t>40.3</w:t>
            </w:r>
          </w:p>
        </w:tc>
        <w:tc>
          <w:tcPr>
            <w:tcW w:w="1822" w:type="dxa"/>
            <w:tcBorders>
              <w:top w:val="nil"/>
              <w:left w:val="single" w:sz="4" w:space="0" w:color="auto"/>
              <w:bottom w:val="nil"/>
              <w:right w:val="single" w:sz="4" w:space="0" w:color="auto"/>
            </w:tcBorders>
            <w:tcMar>
              <w:right w:w="454" w:type="dxa"/>
            </w:tcMar>
          </w:tcPr>
          <w:p w14:paraId="47F27F89" w14:textId="77777777" w:rsidR="00CF2D46" w:rsidRDefault="00CF2D46" w:rsidP="00FC7D54">
            <w:pPr>
              <w:pStyle w:val="TableText"/>
              <w:tabs>
                <w:tab w:val="decimal" w:pos="822"/>
              </w:tabs>
              <w:spacing w:before="0"/>
              <w:rPr>
                <w:lang w:eastAsia="en-AU"/>
              </w:rPr>
            </w:pPr>
            <w:r>
              <w:rPr>
                <w:lang w:eastAsia="en-AU"/>
              </w:rPr>
              <w:t>28.0</w:t>
            </w:r>
          </w:p>
        </w:tc>
        <w:tc>
          <w:tcPr>
            <w:tcW w:w="1822" w:type="dxa"/>
            <w:tcBorders>
              <w:top w:val="nil"/>
              <w:left w:val="single" w:sz="4" w:space="0" w:color="auto"/>
              <w:bottom w:val="nil"/>
              <w:right w:val="single" w:sz="4" w:space="0" w:color="auto"/>
            </w:tcBorders>
            <w:tcMar>
              <w:right w:w="454" w:type="dxa"/>
            </w:tcMar>
          </w:tcPr>
          <w:p w14:paraId="3D138C67" w14:textId="77777777" w:rsidR="00CF2D46" w:rsidRDefault="00CF2D46" w:rsidP="00FC7D54">
            <w:pPr>
              <w:pStyle w:val="TableText"/>
              <w:tabs>
                <w:tab w:val="decimal" w:pos="822"/>
              </w:tabs>
              <w:spacing w:before="0"/>
              <w:rPr>
                <w:lang w:eastAsia="en-AU"/>
              </w:rPr>
            </w:pPr>
            <w:r>
              <w:rPr>
                <w:lang w:eastAsia="en-AU"/>
              </w:rPr>
              <w:t>68.3</w:t>
            </w:r>
          </w:p>
        </w:tc>
      </w:tr>
      <w:tr w:rsidR="00CF2D46" w14:paraId="2AD47235" w14:textId="77777777" w:rsidTr="00FC7D54">
        <w:trPr>
          <w:cantSplit/>
        </w:trPr>
        <w:tc>
          <w:tcPr>
            <w:tcW w:w="1134" w:type="dxa"/>
            <w:vMerge/>
            <w:tcBorders>
              <w:right w:val="single" w:sz="4" w:space="0" w:color="auto"/>
            </w:tcBorders>
          </w:tcPr>
          <w:p w14:paraId="7C0DDBFC" w14:textId="77777777" w:rsidR="00CF2D46" w:rsidRDefault="00CF2D46" w:rsidP="00FC7D54">
            <w:pPr>
              <w:pStyle w:val="TableText"/>
              <w:rPr>
                <w:lang w:eastAsia="en-AU"/>
              </w:rPr>
            </w:pPr>
          </w:p>
        </w:tc>
        <w:tc>
          <w:tcPr>
            <w:tcW w:w="2472" w:type="dxa"/>
            <w:tcBorders>
              <w:top w:val="nil"/>
              <w:left w:val="single" w:sz="4" w:space="0" w:color="auto"/>
              <w:bottom w:val="nil"/>
              <w:right w:val="single" w:sz="4" w:space="0" w:color="auto"/>
            </w:tcBorders>
            <w:vAlign w:val="center"/>
          </w:tcPr>
          <w:p w14:paraId="3ABD47BC" w14:textId="1D050739" w:rsidR="00CF2D46" w:rsidRDefault="00CF2D46" w:rsidP="00AE5A19">
            <w:pPr>
              <w:pStyle w:val="TableText"/>
              <w:spacing w:before="0"/>
              <w:rPr>
                <w:lang w:eastAsia="en-AU"/>
              </w:rPr>
            </w:pPr>
            <w:r>
              <w:t xml:space="preserve">Hallucinogenic </w:t>
            </w:r>
            <w:r w:rsidR="00FC7D54">
              <w:t>and</w:t>
            </w:r>
            <w:r>
              <w:t xml:space="preserve"> psychedelic drugs</w:t>
            </w:r>
          </w:p>
        </w:tc>
        <w:tc>
          <w:tcPr>
            <w:tcW w:w="1822" w:type="dxa"/>
            <w:tcBorders>
              <w:top w:val="nil"/>
              <w:left w:val="single" w:sz="4" w:space="0" w:color="auto"/>
              <w:bottom w:val="nil"/>
              <w:right w:val="single" w:sz="4" w:space="0" w:color="auto"/>
            </w:tcBorders>
            <w:tcMar>
              <w:right w:w="454" w:type="dxa"/>
            </w:tcMar>
          </w:tcPr>
          <w:p w14:paraId="0A75D470" w14:textId="77777777" w:rsidR="00CF2D46" w:rsidRDefault="00CF2D46" w:rsidP="00F215C6">
            <w:pPr>
              <w:pStyle w:val="TableText"/>
              <w:tabs>
                <w:tab w:val="decimal" w:pos="822"/>
              </w:tabs>
              <w:spacing w:before="0"/>
              <w:rPr>
                <w:lang w:eastAsia="en-AU"/>
              </w:rPr>
            </w:pPr>
            <w:r>
              <w:rPr>
                <w:lang w:eastAsia="en-AU"/>
              </w:rPr>
              <w:t>0.02</w:t>
            </w:r>
          </w:p>
        </w:tc>
        <w:tc>
          <w:tcPr>
            <w:tcW w:w="1822" w:type="dxa"/>
            <w:tcBorders>
              <w:top w:val="nil"/>
              <w:left w:val="single" w:sz="4" w:space="0" w:color="auto"/>
              <w:bottom w:val="nil"/>
              <w:right w:val="single" w:sz="4" w:space="0" w:color="auto"/>
            </w:tcBorders>
            <w:tcMar>
              <w:right w:w="454" w:type="dxa"/>
            </w:tcMar>
          </w:tcPr>
          <w:p w14:paraId="656377B2" w14:textId="77777777" w:rsidR="00CF2D46" w:rsidRDefault="00CF2D46" w:rsidP="00FC7D54">
            <w:pPr>
              <w:pStyle w:val="TableText"/>
              <w:tabs>
                <w:tab w:val="decimal" w:pos="822"/>
              </w:tabs>
              <w:spacing w:before="0"/>
              <w:rPr>
                <w:lang w:eastAsia="en-AU"/>
              </w:rPr>
            </w:pPr>
            <w:r>
              <w:rPr>
                <w:lang w:eastAsia="en-AU"/>
              </w:rPr>
              <w:t>0.20</w:t>
            </w:r>
          </w:p>
        </w:tc>
        <w:tc>
          <w:tcPr>
            <w:tcW w:w="1822" w:type="dxa"/>
            <w:tcBorders>
              <w:top w:val="nil"/>
              <w:left w:val="single" w:sz="4" w:space="0" w:color="auto"/>
              <w:bottom w:val="nil"/>
              <w:right w:val="single" w:sz="4" w:space="0" w:color="auto"/>
            </w:tcBorders>
            <w:tcMar>
              <w:right w:w="454" w:type="dxa"/>
            </w:tcMar>
          </w:tcPr>
          <w:p w14:paraId="33F3CB8B" w14:textId="77777777" w:rsidR="00CF2D46" w:rsidRDefault="00CF2D46" w:rsidP="00FC7D54">
            <w:pPr>
              <w:pStyle w:val="TableText"/>
              <w:tabs>
                <w:tab w:val="decimal" w:pos="822"/>
              </w:tabs>
              <w:spacing w:before="0"/>
              <w:rPr>
                <w:lang w:eastAsia="en-AU"/>
              </w:rPr>
            </w:pPr>
            <w:r>
              <w:rPr>
                <w:lang w:eastAsia="en-AU"/>
              </w:rPr>
              <w:t>0.22</w:t>
            </w:r>
          </w:p>
        </w:tc>
      </w:tr>
      <w:tr w:rsidR="00CF2D46" w14:paraId="095A5FB0" w14:textId="77777777" w:rsidTr="00FC7D54">
        <w:trPr>
          <w:cantSplit/>
        </w:trPr>
        <w:tc>
          <w:tcPr>
            <w:tcW w:w="1134" w:type="dxa"/>
            <w:vMerge/>
            <w:tcBorders>
              <w:right w:val="single" w:sz="4" w:space="0" w:color="auto"/>
            </w:tcBorders>
          </w:tcPr>
          <w:p w14:paraId="332E2582" w14:textId="77777777" w:rsidR="00CF2D46" w:rsidRDefault="00CF2D46" w:rsidP="00FC7D54">
            <w:pPr>
              <w:pStyle w:val="TableText"/>
              <w:rPr>
                <w:lang w:eastAsia="en-AU"/>
              </w:rPr>
            </w:pPr>
          </w:p>
        </w:tc>
        <w:tc>
          <w:tcPr>
            <w:tcW w:w="2472" w:type="dxa"/>
            <w:tcBorders>
              <w:top w:val="nil"/>
              <w:left w:val="single" w:sz="4" w:space="0" w:color="auto"/>
              <w:bottom w:val="nil"/>
              <w:right w:val="single" w:sz="4" w:space="0" w:color="auto"/>
            </w:tcBorders>
            <w:vAlign w:val="center"/>
          </w:tcPr>
          <w:p w14:paraId="0C61C64B" w14:textId="64F2D206" w:rsidR="00CF2D46" w:rsidRDefault="00CF2D46" w:rsidP="00AE5A19">
            <w:pPr>
              <w:pStyle w:val="TableText"/>
              <w:spacing w:before="0"/>
              <w:rPr>
                <w:lang w:eastAsia="en-AU"/>
              </w:rPr>
            </w:pPr>
            <w:r>
              <w:t xml:space="preserve">Opioid </w:t>
            </w:r>
            <w:r w:rsidR="00FC7D54">
              <w:t>and</w:t>
            </w:r>
            <w:r>
              <w:t xml:space="preserve"> sedative drugs</w:t>
            </w:r>
          </w:p>
        </w:tc>
        <w:tc>
          <w:tcPr>
            <w:tcW w:w="1822" w:type="dxa"/>
            <w:tcBorders>
              <w:top w:val="nil"/>
              <w:left w:val="single" w:sz="4" w:space="0" w:color="auto"/>
              <w:bottom w:val="nil"/>
              <w:right w:val="single" w:sz="4" w:space="0" w:color="auto"/>
            </w:tcBorders>
            <w:tcMar>
              <w:right w:w="454" w:type="dxa"/>
            </w:tcMar>
          </w:tcPr>
          <w:p w14:paraId="1E00EB76" w14:textId="77777777" w:rsidR="00CF2D46" w:rsidRDefault="00CF2D46" w:rsidP="00F215C6">
            <w:pPr>
              <w:pStyle w:val="TableText"/>
              <w:tabs>
                <w:tab w:val="decimal" w:pos="822"/>
              </w:tabs>
              <w:spacing w:before="0"/>
              <w:rPr>
                <w:lang w:eastAsia="en-AU"/>
              </w:rPr>
            </w:pPr>
            <w:r>
              <w:rPr>
                <w:lang w:eastAsia="en-AU"/>
              </w:rPr>
              <w:t>0.13</w:t>
            </w:r>
          </w:p>
        </w:tc>
        <w:tc>
          <w:tcPr>
            <w:tcW w:w="1822" w:type="dxa"/>
            <w:tcBorders>
              <w:top w:val="nil"/>
              <w:left w:val="single" w:sz="4" w:space="0" w:color="auto"/>
              <w:bottom w:val="nil"/>
              <w:right w:val="single" w:sz="4" w:space="0" w:color="auto"/>
            </w:tcBorders>
            <w:tcMar>
              <w:right w:w="454" w:type="dxa"/>
            </w:tcMar>
          </w:tcPr>
          <w:p w14:paraId="2455DAE5" w14:textId="77777777" w:rsidR="00CF2D46" w:rsidRDefault="00CF2D46" w:rsidP="00FC7D54">
            <w:pPr>
              <w:pStyle w:val="TableText"/>
              <w:tabs>
                <w:tab w:val="decimal" w:pos="822"/>
              </w:tabs>
              <w:spacing w:before="0"/>
              <w:rPr>
                <w:lang w:eastAsia="en-AU"/>
              </w:rPr>
            </w:pPr>
            <w:r>
              <w:rPr>
                <w:lang w:eastAsia="en-AU"/>
              </w:rPr>
              <w:t>0.12</w:t>
            </w:r>
          </w:p>
        </w:tc>
        <w:tc>
          <w:tcPr>
            <w:tcW w:w="1822" w:type="dxa"/>
            <w:tcBorders>
              <w:top w:val="nil"/>
              <w:left w:val="single" w:sz="4" w:space="0" w:color="auto"/>
              <w:bottom w:val="nil"/>
              <w:right w:val="single" w:sz="4" w:space="0" w:color="auto"/>
            </w:tcBorders>
            <w:tcMar>
              <w:right w:w="454" w:type="dxa"/>
            </w:tcMar>
          </w:tcPr>
          <w:p w14:paraId="0CBB528B" w14:textId="77777777" w:rsidR="00CF2D46" w:rsidRDefault="00CF2D46" w:rsidP="00FC7D54">
            <w:pPr>
              <w:pStyle w:val="TableText"/>
              <w:tabs>
                <w:tab w:val="decimal" w:pos="822"/>
              </w:tabs>
              <w:spacing w:before="0"/>
              <w:rPr>
                <w:lang w:eastAsia="en-AU"/>
              </w:rPr>
            </w:pPr>
            <w:r>
              <w:rPr>
                <w:lang w:eastAsia="en-AU"/>
              </w:rPr>
              <w:t>0.25</w:t>
            </w:r>
          </w:p>
        </w:tc>
      </w:tr>
      <w:tr w:rsidR="00CF2D46" w14:paraId="7671B5D3" w14:textId="77777777" w:rsidTr="00FC7D54">
        <w:trPr>
          <w:cantSplit/>
        </w:trPr>
        <w:tc>
          <w:tcPr>
            <w:tcW w:w="1134" w:type="dxa"/>
            <w:vMerge/>
            <w:tcBorders>
              <w:right w:val="single" w:sz="4" w:space="0" w:color="auto"/>
            </w:tcBorders>
          </w:tcPr>
          <w:p w14:paraId="6B159776" w14:textId="77777777" w:rsidR="00CF2D46" w:rsidRDefault="00CF2D46" w:rsidP="00FC7D54">
            <w:pPr>
              <w:pStyle w:val="TableText"/>
              <w:rPr>
                <w:lang w:eastAsia="en-AU"/>
              </w:rPr>
            </w:pPr>
          </w:p>
        </w:tc>
        <w:tc>
          <w:tcPr>
            <w:tcW w:w="2472" w:type="dxa"/>
            <w:tcBorders>
              <w:top w:val="nil"/>
              <w:left w:val="single" w:sz="4" w:space="0" w:color="auto"/>
              <w:bottom w:val="single" w:sz="4" w:space="0" w:color="auto"/>
              <w:right w:val="single" w:sz="4" w:space="0" w:color="auto"/>
            </w:tcBorders>
            <w:vAlign w:val="center"/>
          </w:tcPr>
          <w:p w14:paraId="3660705F" w14:textId="77777777" w:rsidR="00CF2D46" w:rsidRPr="00FC7D54" w:rsidRDefault="00CF2D46" w:rsidP="00FC7D54">
            <w:pPr>
              <w:pStyle w:val="TableText"/>
              <w:spacing w:before="0"/>
              <w:ind w:right="142"/>
              <w:jc w:val="right"/>
              <w:rPr>
                <w:b/>
                <w:lang w:eastAsia="en-AU"/>
              </w:rPr>
            </w:pPr>
            <w:r w:rsidRPr="00FC7D54">
              <w:rPr>
                <w:b/>
              </w:rPr>
              <w:t>Total</w:t>
            </w:r>
          </w:p>
        </w:tc>
        <w:tc>
          <w:tcPr>
            <w:tcW w:w="1822" w:type="dxa"/>
            <w:tcBorders>
              <w:top w:val="nil"/>
              <w:left w:val="single" w:sz="4" w:space="0" w:color="auto"/>
              <w:bottom w:val="single" w:sz="4" w:space="0" w:color="auto"/>
              <w:right w:val="single" w:sz="4" w:space="0" w:color="auto"/>
            </w:tcBorders>
            <w:tcMar>
              <w:right w:w="454" w:type="dxa"/>
            </w:tcMar>
          </w:tcPr>
          <w:p w14:paraId="2CC3B292" w14:textId="77777777" w:rsidR="00CF2D46" w:rsidRPr="00FC7D54" w:rsidRDefault="00CF2D46" w:rsidP="00F215C6">
            <w:pPr>
              <w:pStyle w:val="TableText"/>
              <w:tabs>
                <w:tab w:val="decimal" w:pos="822"/>
              </w:tabs>
              <w:spacing w:before="0"/>
              <w:rPr>
                <w:b/>
                <w:lang w:eastAsia="en-AU"/>
              </w:rPr>
            </w:pPr>
            <w:r w:rsidRPr="00FC7D54">
              <w:rPr>
                <w:b/>
                <w:lang w:eastAsia="en-AU"/>
              </w:rPr>
              <w:t>44.7</w:t>
            </w:r>
          </w:p>
        </w:tc>
        <w:tc>
          <w:tcPr>
            <w:tcW w:w="1822" w:type="dxa"/>
            <w:tcBorders>
              <w:top w:val="nil"/>
              <w:left w:val="single" w:sz="4" w:space="0" w:color="auto"/>
              <w:bottom w:val="single" w:sz="4" w:space="0" w:color="auto"/>
              <w:right w:val="single" w:sz="4" w:space="0" w:color="auto"/>
            </w:tcBorders>
            <w:tcMar>
              <w:right w:w="454" w:type="dxa"/>
            </w:tcMar>
          </w:tcPr>
          <w:p w14:paraId="6AA65E82" w14:textId="77777777" w:rsidR="00CF2D46" w:rsidRPr="00FC7D54" w:rsidRDefault="00CF2D46" w:rsidP="00FC7D54">
            <w:pPr>
              <w:pStyle w:val="TableText"/>
              <w:tabs>
                <w:tab w:val="decimal" w:pos="822"/>
              </w:tabs>
              <w:spacing w:before="0"/>
              <w:rPr>
                <w:b/>
                <w:lang w:eastAsia="en-AU"/>
              </w:rPr>
            </w:pPr>
            <w:r w:rsidRPr="00FC7D54">
              <w:rPr>
                <w:b/>
                <w:lang w:eastAsia="en-AU"/>
              </w:rPr>
              <w:t>33.6</w:t>
            </w:r>
          </w:p>
        </w:tc>
        <w:tc>
          <w:tcPr>
            <w:tcW w:w="1822" w:type="dxa"/>
            <w:tcBorders>
              <w:top w:val="nil"/>
              <w:left w:val="single" w:sz="4" w:space="0" w:color="auto"/>
              <w:bottom w:val="single" w:sz="4" w:space="0" w:color="auto"/>
              <w:right w:val="single" w:sz="4" w:space="0" w:color="auto"/>
            </w:tcBorders>
            <w:tcMar>
              <w:right w:w="454" w:type="dxa"/>
            </w:tcMar>
          </w:tcPr>
          <w:p w14:paraId="0B848868" w14:textId="77777777" w:rsidR="00CF2D46" w:rsidRPr="00FC7D54" w:rsidRDefault="00CF2D46" w:rsidP="00FC7D54">
            <w:pPr>
              <w:pStyle w:val="TableText"/>
              <w:tabs>
                <w:tab w:val="decimal" w:pos="822"/>
              </w:tabs>
              <w:spacing w:before="0"/>
              <w:rPr>
                <w:b/>
                <w:lang w:eastAsia="en-AU"/>
              </w:rPr>
            </w:pPr>
            <w:r w:rsidRPr="00FC7D54">
              <w:rPr>
                <w:b/>
                <w:lang w:eastAsia="en-AU"/>
              </w:rPr>
              <w:t>78.3</w:t>
            </w:r>
          </w:p>
        </w:tc>
      </w:tr>
      <w:tr w:rsidR="00CF2D46" w14:paraId="26D2785B" w14:textId="77777777" w:rsidTr="00FC7D54">
        <w:trPr>
          <w:cantSplit/>
        </w:trPr>
        <w:tc>
          <w:tcPr>
            <w:tcW w:w="1134" w:type="dxa"/>
            <w:vMerge w:val="restart"/>
            <w:tcBorders>
              <w:right w:val="single" w:sz="4" w:space="0" w:color="auto"/>
            </w:tcBorders>
          </w:tcPr>
          <w:p w14:paraId="03595AC3" w14:textId="77777777" w:rsidR="00CF2D46" w:rsidRDefault="00FC7D54" w:rsidP="00FC7D54">
            <w:pPr>
              <w:pStyle w:val="TableText"/>
              <w:rPr>
                <w:lang w:eastAsia="en-AU"/>
              </w:rPr>
            </w:pPr>
            <w:r>
              <w:rPr>
                <w:lang w:eastAsia="en-AU"/>
              </w:rPr>
              <w:t>Company</w:t>
            </w:r>
          </w:p>
        </w:tc>
        <w:tc>
          <w:tcPr>
            <w:tcW w:w="2472" w:type="dxa"/>
            <w:tcBorders>
              <w:top w:val="single" w:sz="4" w:space="0" w:color="auto"/>
              <w:left w:val="single" w:sz="4" w:space="0" w:color="auto"/>
              <w:bottom w:val="nil"/>
              <w:right w:val="single" w:sz="4" w:space="0" w:color="auto"/>
            </w:tcBorders>
            <w:vAlign w:val="center"/>
          </w:tcPr>
          <w:p w14:paraId="15FBAF1A" w14:textId="77777777" w:rsidR="00CF2D46" w:rsidRDefault="00CF2D46" w:rsidP="00FC7D54">
            <w:pPr>
              <w:pStyle w:val="TableText"/>
              <w:rPr>
                <w:lang w:eastAsia="en-AU"/>
              </w:rPr>
            </w:pPr>
            <w:r>
              <w:t>Amphetamine-type stimulants</w:t>
            </w:r>
          </w:p>
        </w:tc>
        <w:tc>
          <w:tcPr>
            <w:tcW w:w="1822" w:type="dxa"/>
            <w:tcBorders>
              <w:top w:val="single" w:sz="4" w:space="0" w:color="auto"/>
              <w:left w:val="single" w:sz="4" w:space="0" w:color="auto"/>
              <w:bottom w:val="nil"/>
              <w:right w:val="single" w:sz="4" w:space="0" w:color="auto"/>
            </w:tcBorders>
            <w:tcMar>
              <w:right w:w="454" w:type="dxa"/>
            </w:tcMar>
          </w:tcPr>
          <w:p w14:paraId="73793E20" w14:textId="77777777" w:rsidR="00CF2D46" w:rsidRDefault="00CF2D46" w:rsidP="00FC7D54">
            <w:pPr>
              <w:pStyle w:val="TableText"/>
              <w:tabs>
                <w:tab w:val="decimal" w:pos="822"/>
              </w:tabs>
              <w:rPr>
                <w:lang w:eastAsia="en-AU"/>
              </w:rPr>
            </w:pPr>
            <w:r>
              <w:rPr>
                <w:lang w:eastAsia="en-AU"/>
              </w:rPr>
              <w:t>9.0</w:t>
            </w:r>
          </w:p>
        </w:tc>
        <w:tc>
          <w:tcPr>
            <w:tcW w:w="1822" w:type="dxa"/>
            <w:tcBorders>
              <w:top w:val="single" w:sz="4" w:space="0" w:color="auto"/>
              <w:left w:val="single" w:sz="4" w:space="0" w:color="auto"/>
              <w:bottom w:val="nil"/>
              <w:right w:val="single" w:sz="4" w:space="0" w:color="auto"/>
            </w:tcBorders>
            <w:tcMar>
              <w:right w:w="454" w:type="dxa"/>
            </w:tcMar>
          </w:tcPr>
          <w:p w14:paraId="0D514EFC" w14:textId="77777777" w:rsidR="00CF2D46" w:rsidRDefault="00CF2D46" w:rsidP="00FC7D54">
            <w:pPr>
              <w:pStyle w:val="TableText"/>
              <w:tabs>
                <w:tab w:val="decimal" w:pos="822"/>
              </w:tabs>
              <w:rPr>
                <w:lang w:eastAsia="en-AU"/>
              </w:rPr>
            </w:pPr>
            <w:r>
              <w:rPr>
                <w:lang w:eastAsia="en-AU"/>
              </w:rPr>
              <w:t>11.3</w:t>
            </w:r>
          </w:p>
        </w:tc>
        <w:tc>
          <w:tcPr>
            <w:tcW w:w="1822" w:type="dxa"/>
            <w:tcBorders>
              <w:top w:val="single" w:sz="4" w:space="0" w:color="auto"/>
              <w:left w:val="single" w:sz="4" w:space="0" w:color="auto"/>
              <w:bottom w:val="nil"/>
              <w:right w:val="single" w:sz="4" w:space="0" w:color="auto"/>
            </w:tcBorders>
            <w:tcMar>
              <w:right w:w="454" w:type="dxa"/>
            </w:tcMar>
          </w:tcPr>
          <w:p w14:paraId="034FC8AE" w14:textId="77777777" w:rsidR="00CF2D46" w:rsidRDefault="00CF2D46" w:rsidP="00FC7D54">
            <w:pPr>
              <w:pStyle w:val="TableText"/>
              <w:tabs>
                <w:tab w:val="decimal" w:pos="822"/>
              </w:tabs>
              <w:rPr>
                <w:lang w:eastAsia="en-AU"/>
              </w:rPr>
            </w:pPr>
            <w:r>
              <w:rPr>
                <w:lang w:eastAsia="en-AU"/>
              </w:rPr>
              <w:t>20.3</w:t>
            </w:r>
          </w:p>
        </w:tc>
      </w:tr>
      <w:tr w:rsidR="00CF2D46" w14:paraId="2D6241D8" w14:textId="77777777" w:rsidTr="00FC7D54">
        <w:trPr>
          <w:cantSplit/>
        </w:trPr>
        <w:tc>
          <w:tcPr>
            <w:tcW w:w="1134" w:type="dxa"/>
            <w:vMerge/>
            <w:tcBorders>
              <w:right w:val="single" w:sz="4" w:space="0" w:color="auto"/>
            </w:tcBorders>
          </w:tcPr>
          <w:p w14:paraId="735FF6ED" w14:textId="77777777" w:rsidR="00CF2D46" w:rsidRDefault="00CF2D46" w:rsidP="00FC7D54">
            <w:pPr>
              <w:pStyle w:val="TableText"/>
              <w:rPr>
                <w:lang w:eastAsia="en-AU"/>
              </w:rPr>
            </w:pPr>
          </w:p>
        </w:tc>
        <w:tc>
          <w:tcPr>
            <w:tcW w:w="2472" w:type="dxa"/>
            <w:tcBorders>
              <w:top w:val="nil"/>
              <w:left w:val="single" w:sz="4" w:space="0" w:color="auto"/>
              <w:bottom w:val="nil"/>
              <w:right w:val="single" w:sz="4" w:space="0" w:color="auto"/>
            </w:tcBorders>
            <w:vAlign w:val="center"/>
          </w:tcPr>
          <w:p w14:paraId="4390D7F6" w14:textId="77777777" w:rsidR="00CF2D46" w:rsidRDefault="00CF2D46" w:rsidP="00FC7D54">
            <w:pPr>
              <w:pStyle w:val="TableText"/>
              <w:spacing w:before="0"/>
              <w:rPr>
                <w:lang w:eastAsia="en-AU"/>
              </w:rPr>
            </w:pPr>
            <w:r>
              <w:t>Cannabinoids</w:t>
            </w:r>
          </w:p>
        </w:tc>
        <w:tc>
          <w:tcPr>
            <w:tcW w:w="1822" w:type="dxa"/>
            <w:tcBorders>
              <w:top w:val="nil"/>
              <w:left w:val="single" w:sz="4" w:space="0" w:color="auto"/>
              <w:bottom w:val="nil"/>
              <w:right w:val="single" w:sz="4" w:space="0" w:color="auto"/>
            </w:tcBorders>
            <w:tcMar>
              <w:right w:w="454" w:type="dxa"/>
            </w:tcMar>
          </w:tcPr>
          <w:p w14:paraId="26B9C791" w14:textId="77777777" w:rsidR="00CF2D46" w:rsidRDefault="00CF2D46" w:rsidP="00FC7D54">
            <w:pPr>
              <w:pStyle w:val="TableText"/>
              <w:tabs>
                <w:tab w:val="decimal" w:pos="822"/>
              </w:tabs>
              <w:spacing w:before="0"/>
              <w:rPr>
                <w:lang w:eastAsia="en-AU"/>
              </w:rPr>
            </w:pPr>
            <w:r>
              <w:rPr>
                <w:lang w:eastAsia="en-AU"/>
              </w:rPr>
              <w:t>86.0</w:t>
            </w:r>
          </w:p>
        </w:tc>
        <w:tc>
          <w:tcPr>
            <w:tcW w:w="1822" w:type="dxa"/>
            <w:tcBorders>
              <w:top w:val="nil"/>
              <w:left w:val="single" w:sz="4" w:space="0" w:color="auto"/>
              <w:bottom w:val="nil"/>
              <w:right w:val="single" w:sz="4" w:space="0" w:color="auto"/>
            </w:tcBorders>
            <w:tcMar>
              <w:right w:w="454" w:type="dxa"/>
            </w:tcMar>
          </w:tcPr>
          <w:p w14:paraId="4029DF4A" w14:textId="77777777" w:rsidR="00CF2D46" w:rsidRDefault="00CF2D46" w:rsidP="00FC7D54">
            <w:pPr>
              <w:pStyle w:val="TableText"/>
              <w:tabs>
                <w:tab w:val="decimal" w:pos="822"/>
              </w:tabs>
              <w:spacing w:before="0"/>
              <w:rPr>
                <w:lang w:eastAsia="en-AU"/>
              </w:rPr>
            </w:pPr>
            <w:r>
              <w:rPr>
                <w:lang w:eastAsia="en-AU"/>
              </w:rPr>
              <w:t>60.0</w:t>
            </w:r>
          </w:p>
        </w:tc>
        <w:tc>
          <w:tcPr>
            <w:tcW w:w="1822" w:type="dxa"/>
            <w:tcBorders>
              <w:top w:val="nil"/>
              <w:left w:val="single" w:sz="4" w:space="0" w:color="auto"/>
              <w:bottom w:val="nil"/>
              <w:right w:val="single" w:sz="4" w:space="0" w:color="auto"/>
            </w:tcBorders>
            <w:tcMar>
              <w:right w:w="454" w:type="dxa"/>
            </w:tcMar>
          </w:tcPr>
          <w:p w14:paraId="2167FD04" w14:textId="77777777" w:rsidR="00CF2D46" w:rsidRDefault="00CF2D46" w:rsidP="00FC7D54">
            <w:pPr>
              <w:pStyle w:val="TableText"/>
              <w:tabs>
                <w:tab w:val="decimal" w:pos="822"/>
              </w:tabs>
              <w:spacing w:before="0"/>
              <w:rPr>
                <w:lang w:eastAsia="en-AU"/>
              </w:rPr>
            </w:pPr>
            <w:r>
              <w:rPr>
                <w:lang w:eastAsia="en-AU"/>
              </w:rPr>
              <w:t>145.8</w:t>
            </w:r>
          </w:p>
        </w:tc>
      </w:tr>
      <w:tr w:rsidR="00CF2D46" w14:paraId="04C5050D" w14:textId="77777777" w:rsidTr="00FC7D54">
        <w:trPr>
          <w:cantSplit/>
        </w:trPr>
        <w:tc>
          <w:tcPr>
            <w:tcW w:w="1134" w:type="dxa"/>
            <w:vMerge/>
            <w:tcBorders>
              <w:right w:val="single" w:sz="4" w:space="0" w:color="auto"/>
            </w:tcBorders>
          </w:tcPr>
          <w:p w14:paraId="2D84C892" w14:textId="77777777" w:rsidR="00CF2D46" w:rsidRDefault="00CF2D46" w:rsidP="00FC7D54">
            <w:pPr>
              <w:pStyle w:val="TableText"/>
              <w:rPr>
                <w:lang w:eastAsia="en-AU"/>
              </w:rPr>
            </w:pPr>
          </w:p>
        </w:tc>
        <w:tc>
          <w:tcPr>
            <w:tcW w:w="2472" w:type="dxa"/>
            <w:tcBorders>
              <w:top w:val="nil"/>
              <w:left w:val="single" w:sz="4" w:space="0" w:color="auto"/>
              <w:bottom w:val="nil"/>
              <w:right w:val="single" w:sz="4" w:space="0" w:color="auto"/>
            </w:tcBorders>
            <w:vAlign w:val="center"/>
          </w:tcPr>
          <w:p w14:paraId="5A0F5F5B" w14:textId="5270127C" w:rsidR="00CF2D46" w:rsidRDefault="00CF2D46" w:rsidP="00AE5A19">
            <w:pPr>
              <w:pStyle w:val="TableText"/>
              <w:spacing w:before="0"/>
              <w:rPr>
                <w:lang w:eastAsia="en-AU"/>
              </w:rPr>
            </w:pPr>
            <w:r>
              <w:t xml:space="preserve">Hallucinogenic </w:t>
            </w:r>
            <w:r w:rsidR="00FC7D54">
              <w:t>and</w:t>
            </w:r>
            <w:r>
              <w:t xml:space="preserve"> psychedelic drugs</w:t>
            </w:r>
          </w:p>
        </w:tc>
        <w:tc>
          <w:tcPr>
            <w:tcW w:w="1822" w:type="dxa"/>
            <w:tcBorders>
              <w:top w:val="nil"/>
              <w:left w:val="single" w:sz="4" w:space="0" w:color="auto"/>
              <w:bottom w:val="nil"/>
              <w:right w:val="single" w:sz="4" w:space="0" w:color="auto"/>
            </w:tcBorders>
            <w:tcMar>
              <w:right w:w="454" w:type="dxa"/>
            </w:tcMar>
          </w:tcPr>
          <w:p w14:paraId="1ACA097E" w14:textId="77777777" w:rsidR="00CF2D46" w:rsidRDefault="00CF2D46" w:rsidP="00FC7D54">
            <w:pPr>
              <w:pStyle w:val="TableText"/>
              <w:tabs>
                <w:tab w:val="decimal" w:pos="822"/>
              </w:tabs>
              <w:spacing w:before="0"/>
              <w:rPr>
                <w:lang w:eastAsia="en-AU"/>
              </w:rPr>
            </w:pPr>
            <w:r>
              <w:rPr>
                <w:lang w:eastAsia="en-AU"/>
              </w:rPr>
              <w:t>0.05</w:t>
            </w:r>
          </w:p>
        </w:tc>
        <w:tc>
          <w:tcPr>
            <w:tcW w:w="1822" w:type="dxa"/>
            <w:tcBorders>
              <w:top w:val="nil"/>
              <w:left w:val="single" w:sz="4" w:space="0" w:color="auto"/>
              <w:bottom w:val="nil"/>
              <w:right w:val="single" w:sz="4" w:space="0" w:color="auto"/>
            </w:tcBorders>
            <w:tcMar>
              <w:right w:w="454" w:type="dxa"/>
            </w:tcMar>
          </w:tcPr>
          <w:p w14:paraId="53DADBAC" w14:textId="77777777" w:rsidR="00CF2D46" w:rsidRDefault="00CF2D46" w:rsidP="00FC7D54">
            <w:pPr>
              <w:pStyle w:val="TableText"/>
              <w:tabs>
                <w:tab w:val="decimal" w:pos="822"/>
              </w:tabs>
              <w:spacing w:before="0"/>
              <w:rPr>
                <w:lang w:eastAsia="en-AU"/>
              </w:rPr>
            </w:pPr>
            <w:r>
              <w:rPr>
                <w:lang w:eastAsia="en-AU"/>
              </w:rPr>
              <w:t>0.42</w:t>
            </w:r>
          </w:p>
        </w:tc>
        <w:tc>
          <w:tcPr>
            <w:tcW w:w="1822" w:type="dxa"/>
            <w:tcBorders>
              <w:top w:val="nil"/>
              <w:left w:val="single" w:sz="4" w:space="0" w:color="auto"/>
              <w:bottom w:val="nil"/>
              <w:right w:val="single" w:sz="4" w:space="0" w:color="auto"/>
            </w:tcBorders>
            <w:tcMar>
              <w:right w:w="454" w:type="dxa"/>
            </w:tcMar>
          </w:tcPr>
          <w:p w14:paraId="0E2A3878" w14:textId="77777777" w:rsidR="00CF2D46" w:rsidRDefault="00CF2D46" w:rsidP="00FC7D54">
            <w:pPr>
              <w:pStyle w:val="TableText"/>
              <w:tabs>
                <w:tab w:val="decimal" w:pos="822"/>
              </w:tabs>
              <w:spacing w:before="0"/>
              <w:rPr>
                <w:lang w:eastAsia="en-AU"/>
              </w:rPr>
            </w:pPr>
            <w:r>
              <w:rPr>
                <w:lang w:eastAsia="en-AU"/>
              </w:rPr>
              <w:t>0.47</w:t>
            </w:r>
          </w:p>
        </w:tc>
      </w:tr>
      <w:tr w:rsidR="00CF2D46" w14:paraId="41F914D5" w14:textId="77777777" w:rsidTr="00FC7D54">
        <w:trPr>
          <w:cantSplit/>
        </w:trPr>
        <w:tc>
          <w:tcPr>
            <w:tcW w:w="1134" w:type="dxa"/>
            <w:vMerge/>
            <w:tcBorders>
              <w:right w:val="single" w:sz="4" w:space="0" w:color="auto"/>
            </w:tcBorders>
          </w:tcPr>
          <w:p w14:paraId="155F72B5" w14:textId="77777777" w:rsidR="00CF2D46" w:rsidRDefault="00CF2D46" w:rsidP="00FC7D54">
            <w:pPr>
              <w:pStyle w:val="TableText"/>
              <w:rPr>
                <w:lang w:eastAsia="en-AU"/>
              </w:rPr>
            </w:pPr>
          </w:p>
        </w:tc>
        <w:tc>
          <w:tcPr>
            <w:tcW w:w="2472" w:type="dxa"/>
            <w:tcBorders>
              <w:top w:val="nil"/>
              <w:left w:val="single" w:sz="4" w:space="0" w:color="auto"/>
              <w:bottom w:val="nil"/>
              <w:right w:val="single" w:sz="4" w:space="0" w:color="auto"/>
            </w:tcBorders>
            <w:vAlign w:val="center"/>
          </w:tcPr>
          <w:p w14:paraId="09C038F6" w14:textId="308204E0" w:rsidR="00CF2D46" w:rsidRDefault="00CF2D46" w:rsidP="00AE5A19">
            <w:pPr>
              <w:pStyle w:val="TableText"/>
              <w:spacing w:before="0"/>
              <w:rPr>
                <w:lang w:eastAsia="en-AU"/>
              </w:rPr>
            </w:pPr>
            <w:r>
              <w:t xml:space="preserve">Opioid </w:t>
            </w:r>
            <w:r w:rsidR="00FC7D54">
              <w:t>and</w:t>
            </w:r>
            <w:r>
              <w:t xml:space="preserve"> sedative drugs</w:t>
            </w:r>
          </w:p>
        </w:tc>
        <w:tc>
          <w:tcPr>
            <w:tcW w:w="1822" w:type="dxa"/>
            <w:tcBorders>
              <w:top w:val="nil"/>
              <w:left w:val="single" w:sz="4" w:space="0" w:color="auto"/>
              <w:bottom w:val="nil"/>
              <w:right w:val="single" w:sz="4" w:space="0" w:color="auto"/>
            </w:tcBorders>
            <w:tcMar>
              <w:right w:w="454" w:type="dxa"/>
            </w:tcMar>
          </w:tcPr>
          <w:p w14:paraId="2E55F97A" w14:textId="77777777" w:rsidR="00CF2D46" w:rsidRDefault="00CF2D46" w:rsidP="00FC7D54">
            <w:pPr>
              <w:pStyle w:val="TableText"/>
              <w:tabs>
                <w:tab w:val="decimal" w:pos="822"/>
              </w:tabs>
              <w:spacing w:before="0"/>
              <w:rPr>
                <w:lang w:eastAsia="en-AU"/>
              </w:rPr>
            </w:pPr>
            <w:r>
              <w:rPr>
                <w:lang w:eastAsia="en-AU"/>
              </w:rPr>
              <w:t>0.27</w:t>
            </w:r>
          </w:p>
        </w:tc>
        <w:tc>
          <w:tcPr>
            <w:tcW w:w="1822" w:type="dxa"/>
            <w:tcBorders>
              <w:top w:val="nil"/>
              <w:left w:val="single" w:sz="4" w:space="0" w:color="auto"/>
              <w:bottom w:val="nil"/>
              <w:right w:val="single" w:sz="4" w:space="0" w:color="auto"/>
            </w:tcBorders>
            <w:tcMar>
              <w:right w:w="454" w:type="dxa"/>
            </w:tcMar>
          </w:tcPr>
          <w:p w14:paraId="33509B6E" w14:textId="77777777" w:rsidR="00CF2D46" w:rsidRDefault="00CF2D46" w:rsidP="00FC7D54">
            <w:pPr>
              <w:pStyle w:val="TableText"/>
              <w:tabs>
                <w:tab w:val="decimal" w:pos="822"/>
              </w:tabs>
              <w:spacing w:before="0"/>
              <w:rPr>
                <w:lang w:eastAsia="en-AU"/>
              </w:rPr>
            </w:pPr>
            <w:r>
              <w:rPr>
                <w:lang w:eastAsia="en-AU"/>
              </w:rPr>
              <w:t>0.26</w:t>
            </w:r>
          </w:p>
        </w:tc>
        <w:tc>
          <w:tcPr>
            <w:tcW w:w="1822" w:type="dxa"/>
            <w:tcBorders>
              <w:top w:val="nil"/>
              <w:left w:val="single" w:sz="4" w:space="0" w:color="auto"/>
              <w:bottom w:val="nil"/>
              <w:right w:val="single" w:sz="4" w:space="0" w:color="auto"/>
            </w:tcBorders>
            <w:tcMar>
              <w:right w:w="454" w:type="dxa"/>
            </w:tcMar>
          </w:tcPr>
          <w:p w14:paraId="3667AA32" w14:textId="77777777" w:rsidR="00CF2D46" w:rsidRDefault="00CF2D46" w:rsidP="00FC7D54">
            <w:pPr>
              <w:pStyle w:val="TableText"/>
              <w:tabs>
                <w:tab w:val="decimal" w:pos="822"/>
              </w:tabs>
              <w:spacing w:before="0"/>
              <w:rPr>
                <w:lang w:eastAsia="en-AU"/>
              </w:rPr>
            </w:pPr>
            <w:r>
              <w:rPr>
                <w:lang w:eastAsia="en-AU"/>
              </w:rPr>
              <w:t>0.53</w:t>
            </w:r>
          </w:p>
        </w:tc>
      </w:tr>
      <w:tr w:rsidR="00CF2D46" w14:paraId="243497B0" w14:textId="77777777" w:rsidTr="00FC7D54">
        <w:trPr>
          <w:cantSplit/>
        </w:trPr>
        <w:tc>
          <w:tcPr>
            <w:tcW w:w="1134" w:type="dxa"/>
            <w:vMerge/>
            <w:tcBorders>
              <w:right w:val="single" w:sz="4" w:space="0" w:color="auto"/>
            </w:tcBorders>
          </w:tcPr>
          <w:p w14:paraId="0BA112F6" w14:textId="77777777" w:rsidR="00CF2D46" w:rsidRDefault="00CF2D46" w:rsidP="00FC7D54">
            <w:pPr>
              <w:pStyle w:val="TableText"/>
              <w:rPr>
                <w:lang w:eastAsia="en-AU"/>
              </w:rPr>
            </w:pPr>
          </w:p>
        </w:tc>
        <w:tc>
          <w:tcPr>
            <w:tcW w:w="2472" w:type="dxa"/>
            <w:tcBorders>
              <w:top w:val="nil"/>
              <w:left w:val="single" w:sz="4" w:space="0" w:color="auto"/>
              <w:bottom w:val="single" w:sz="4" w:space="0" w:color="auto"/>
              <w:right w:val="single" w:sz="4" w:space="0" w:color="auto"/>
            </w:tcBorders>
            <w:vAlign w:val="center"/>
          </w:tcPr>
          <w:p w14:paraId="3D612A34" w14:textId="77777777" w:rsidR="00CF2D46" w:rsidRPr="00FC7D54" w:rsidRDefault="00CF2D46" w:rsidP="00FC7D54">
            <w:pPr>
              <w:pStyle w:val="TableText"/>
              <w:spacing w:before="0"/>
              <w:ind w:right="142"/>
              <w:jc w:val="right"/>
              <w:rPr>
                <w:b/>
                <w:lang w:eastAsia="en-AU"/>
              </w:rPr>
            </w:pPr>
            <w:r w:rsidRPr="00FC7D54">
              <w:rPr>
                <w:b/>
              </w:rPr>
              <w:t>Total</w:t>
            </w:r>
          </w:p>
        </w:tc>
        <w:tc>
          <w:tcPr>
            <w:tcW w:w="1822" w:type="dxa"/>
            <w:tcBorders>
              <w:top w:val="nil"/>
              <w:left w:val="single" w:sz="4" w:space="0" w:color="auto"/>
              <w:bottom w:val="single" w:sz="4" w:space="0" w:color="auto"/>
              <w:right w:val="single" w:sz="4" w:space="0" w:color="auto"/>
            </w:tcBorders>
            <w:tcMar>
              <w:right w:w="454" w:type="dxa"/>
            </w:tcMar>
          </w:tcPr>
          <w:p w14:paraId="539CE7A1" w14:textId="77777777" w:rsidR="00CF2D46" w:rsidRPr="00FC7D54" w:rsidRDefault="00CF2D46" w:rsidP="00FC7D54">
            <w:pPr>
              <w:pStyle w:val="TableText"/>
              <w:tabs>
                <w:tab w:val="decimal" w:pos="822"/>
              </w:tabs>
              <w:spacing w:before="0"/>
              <w:rPr>
                <w:b/>
                <w:lang w:eastAsia="en-AU"/>
              </w:rPr>
            </w:pPr>
            <w:r w:rsidRPr="00FC7D54">
              <w:rPr>
                <w:b/>
                <w:lang w:eastAsia="en-AU"/>
              </w:rPr>
              <w:t>95.3</w:t>
            </w:r>
          </w:p>
        </w:tc>
        <w:tc>
          <w:tcPr>
            <w:tcW w:w="1822" w:type="dxa"/>
            <w:tcBorders>
              <w:top w:val="nil"/>
              <w:left w:val="single" w:sz="4" w:space="0" w:color="auto"/>
              <w:bottom w:val="single" w:sz="4" w:space="0" w:color="auto"/>
              <w:right w:val="single" w:sz="4" w:space="0" w:color="auto"/>
            </w:tcBorders>
            <w:tcMar>
              <w:right w:w="454" w:type="dxa"/>
            </w:tcMar>
          </w:tcPr>
          <w:p w14:paraId="456EE40E" w14:textId="77777777" w:rsidR="00CF2D46" w:rsidRPr="00FC7D54" w:rsidRDefault="00CF2D46" w:rsidP="00FC7D54">
            <w:pPr>
              <w:pStyle w:val="TableText"/>
              <w:tabs>
                <w:tab w:val="decimal" w:pos="822"/>
              </w:tabs>
              <w:spacing w:before="0"/>
              <w:rPr>
                <w:b/>
                <w:lang w:eastAsia="en-AU"/>
              </w:rPr>
            </w:pPr>
            <w:r w:rsidRPr="00FC7D54">
              <w:rPr>
                <w:b/>
                <w:lang w:eastAsia="en-AU"/>
              </w:rPr>
              <w:t>71.7</w:t>
            </w:r>
          </w:p>
        </w:tc>
        <w:tc>
          <w:tcPr>
            <w:tcW w:w="1822" w:type="dxa"/>
            <w:tcBorders>
              <w:top w:val="nil"/>
              <w:left w:val="single" w:sz="4" w:space="0" w:color="auto"/>
              <w:bottom w:val="single" w:sz="4" w:space="0" w:color="auto"/>
              <w:right w:val="single" w:sz="4" w:space="0" w:color="auto"/>
            </w:tcBorders>
            <w:tcMar>
              <w:right w:w="454" w:type="dxa"/>
            </w:tcMar>
          </w:tcPr>
          <w:p w14:paraId="4A2FBB63" w14:textId="77777777" w:rsidR="00CF2D46" w:rsidRPr="00FC7D54" w:rsidRDefault="00CF2D46" w:rsidP="00FC7D54">
            <w:pPr>
              <w:pStyle w:val="TableText"/>
              <w:tabs>
                <w:tab w:val="decimal" w:pos="822"/>
              </w:tabs>
              <w:spacing w:before="0"/>
              <w:rPr>
                <w:b/>
                <w:lang w:eastAsia="en-AU"/>
              </w:rPr>
            </w:pPr>
            <w:r w:rsidRPr="00FC7D54">
              <w:rPr>
                <w:b/>
                <w:lang w:eastAsia="en-AU"/>
              </w:rPr>
              <w:t>167.1</w:t>
            </w:r>
          </w:p>
        </w:tc>
      </w:tr>
      <w:tr w:rsidR="00CF2D46" w14:paraId="72509BC3" w14:textId="77777777" w:rsidTr="00FC7D54">
        <w:trPr>
          <w:cantSplit/>
        </w:trPr>
        <w:tc>
          <w:tcPr>
            <w:tcW w:w="1134" w:type="dxa"/>
            <w:vMerge w:val="restart"/>
            <w:tcBorders>
              <w:right w:val="single" w:sz="4" w:space="0" w:color="auto"/>
            </w:tcBorders>
          </w:tcPr>
          <w:p w14:paraId="10AC02CC" w14:textId="77777777" w:rsidR="00CF2D46" w:rsidRDefault="00CF2D46" w:rsidP="00FC7D54">
            <w:pPr>
              <w:pStyle w:val="TableText"/>
              <w:rPr>
                <w:lang w:eastAsia="en-AU"/>
              </w:rPr>
            </w:pPr>
            <w:r>
              <w:rPr>
                <w:lang w:eastAsia="en-AU"/>
              </w:rPr>
              <w:t>All taxes</w:t>
            </w:r>
          </w:p>
        </w:tc>
        <w:tc>
          <w:tcPr>
            <w:tcW w:w="2472" w:type="dxa"/>
            <w:tcBorders>
              <w:top w:val="single" w:sz="4" w:space="0" w:color="auto"/>
              <w:left w:val="single" w:sz="4" w:space="0" w:color="auto"/>
              <w:bottom w:val="nil"/>
              <w:right w:val="single" w:sz="4" w:space="0" w:color="auto"/>
            </w:tcBorders>
            <w:vAlign w:val="center"/>
          </w:tcPr>
          <w:p w14:paraId="31F40701" w14:textId="77777777" w:rsidR="00CF2D46" w:rsidRDefault="00CF2D46" w:rsidP="00FC7D54">
            <w:pPr>
              <w:pStyle w:val="TableText"/>
              <w:rPr>
                <w:lang w:eastAsia="en-AU"/>
              </w:rPr>
            </w:pPr>
            <w:r>
              <w:t>Amphetamine-type stimulants</w:t>
            </w:r>
          </w:p>
        </w:tc>
        <w:tc>
          <w:tcPr>
            <w:tcW w:w="1822" w:type="dxa"/>
            <w:tcBorders>
              <w:top w:val="single" w:sz="4" w:space="0" w:color="auto"/>
              <w:left w:val="single" w:sz="4" w:space="0" w:color="auto"/>
              <w:bottom w:val="nil"/>
              <w:right w:val="single" w:sz="4" w:space="0" w:color="auto"/>
            </w:tcBorders>
            <w:tcMar>
              <w:right w:w="454" w:type="dxa"/>
            </w:tcMar>
          </w:tcPr>
          <w:p w14:paraId="79BD825C" w14:textId="77777777" w:rsidR="00CF2D46" w:rsidRDefault="00CF2D46" w:rsidP="00FC7D54">
            <w:pPr>
              <w:pStyle w:val="TableText"/>
              <w:tabs>
                <w:tab w:val="decimal" w:pos="822"/>
              </w:tabs>
              <w:rPr>
                <w:lang w:eastAsia="en-AU"/>
              </w:rPr>
            </w:pPr>
            <w:r>
              <w:rPr>
                <w:lang w:eastAsia="en-AU"/>
              </w:rPr>
              <w:t>13.3</w:t>
            </w:r>
          </w:p>
        </w:tc>
        <w:tc>
          <w:tcPr>
            <w:tcW w:w="1822" w:type="dxa"/>
            <w:tcBorders>
              <w:top w:val="single" w:sz="4" w:space="0" w:color="auto"/>
              <w:left w:val="single" w:sz="4" w:space="0" w:color="auto"/>
              <w:bottom w:val="nil"/>
              <w:right w:val="single" w:sz="4" w:space="0" w:color="auto"/>
            </w:tcBorders>
            <w:tcMar>
              <w:right w:w="454" w:type="dxa"/>
            </w:tcMar>
          </w:tcPr>
          <w:p w14:paraId="763EEAD2" w14:textId="77777777" w:rsidR="00CF2D46" w:rsidRDefault="00CF2D46" w:rsidP="00FC7D54">
            <w:pPr>
              <w:pStyle w:val="TableText"/>
              <w:tabs>
                <w:tab w:val="decimal" w:pos="822"/>
              </w:tabs>
              <w:rPr>
                <w:lang w:eastAsia="en-AU"/>
              </w:rPr>
            </w:pPr>
            <w:r>
              <w:rPr>
                <w:lang w:eastAsia="en-AU"/>
              </w:rPr>
              <w:t>16.5</w:t>
            </w:r>
          </w:p>
        </w:tc>
        <w:tc>
          <w:tcPr>
            <w:tcW w:w="1822" w:type="dxa"/>
            <w:tcBorders>
              <w:top w:val="single" w:sz="4" w:space="0" w:color="auto"/>
              <w:left w:val="single" w:sz="4" w:space="0" w:color="auto"/>
              <w:bottom w:val="nil"/>
              <w:right w:val="single" w:sz="4" w:space="0" w:color="auto"/>
            </w:tcBorders>
            <w:tcMar>
              <w:right w:w="454" w:type="dxa"/>
            </w:tcMar>
          </w:tcPr>
          <w:p w14:paraId="66C36D9A" w14:textId="77777777" w:rsidR="00CF2D46" w:rsidRDefault="00CF2D46" w:rsidP="00FC7D54">
            <w:pPr>
              <w:pStyle w:val="TableText"/>
              <w:tabs>
                <w:tab w:val="decimal" w:pos="822"/>
              </w:tabs>
              <w:rPr>
                <w:lang w:eastAsia="en-AU"/>
              </w:rPr>
            </w:pPr>
            <w:r>
              <w:rPr>
                <w:lang w:eastAsia="en-AU"/>
              </w:rPr>
              <w:t>29.8</w:t>
            </w:r>
          </w:p>
        </w:tc>
      </w:tr>
      <w:tr w:rsidR="00CF2D46" w14:paraId="21945BDD" w14:textId="77777777" w:rsidTr="00FC7D54">
        <w:trPr>
          <w:cantSplit/>
        </w:trPr>
        <w:tc>
          <w:tcPr>
            <w:tcW w:w="1134" w:type="dxa"/>
            <w:vMerge/>
            <w:tcBorders>
              <w:right w:val="single" w:sz="4" w:space="0" w:color="auto"/>
            </w:tcBorders>
          </w:tcPr>
          <w:p w14:paraId="19747A7C" w14:textId="77777777" w:rsidR="00CF2D46" w:rsidRDefault="00CF2D46" w:rsidP="00FC7D54">
            <w:pPr>
              <w:pStyle w:val="TableText"/>
              <w:rPr>
                <w:lang w:eastAsia="en-AU"/>
              </w:rPr>
            </w:pPr>
          </w:p>
        </w:tc>
        <w:tc>
          <w:tcPr>
            <w:tcW w:w="2472" w:type="dxa"/>
            <w:tcBorders>
              <w:top w:val="nil"/>
              <w:left w:val="single" w:sz="4" w:space="0" w:color="auto"/>
              <w:bottom w:val="nil"/>
              <w:right w:val="single" w:sz="4" w:space="0" w:color="auto"/>
            </w:tcBorders>
            <w:vAlign w:val="center"/>
          </w:tcPr>
          <w:p w14:paraId="248B973A" w14:textId="77777777" w:rsidR="00CF2D46" w:rsidRDefault="00CF2D46" w:rsidP="00FC7D54">
            <w:pPr>
              <w:pStyle w:val="TableText"/>
              <w:spacing w:before="0"/>
              <w:rPr>
                <w:lang w:eastAsia="en-AU"/>
              </w:rPr>
            </w:pPr>
            <w:r>
              <w:t>Cannabinoids</w:t>
            </w:r>
          </w:p>
        </w:tc>
        <w:tc>
          <w:tcPr>
            <w:tcW w:w="1822" w:type="dxa"/>
            <w:tcBorders>
              <w:top w:val="nil"/>
              <w:left w:val="single" w:sz="4" w:space="0" w:color="auto"/>
              <w:bottom w:val="nil"/>
              <w:right w:val="single" w:sz="4" w:space="0" w:color="auto"/>
            </w:tcBorders>
            <w:tcMar>
              <w:right w:w="454" w:type="dxa"/>
            </w:tcMar>
          </w:tcPr>
          <w:p w14:paraId="1A355E0B" w14:textId="77777777" w:rsidR="00CF2D46" w:rsidRDefault="00CF2D46" w:rsidP="00FC7D54">
            <w:pPr>
              <w:pStyle w:val="TableText"/>
              <w:tabs>
                <w:tab w:val="decimal" w:pos="822"/>
              </w:tabs>
              <w:spacing w:before="0"/>
              <w:rPr>
                <w:lang w:eastAsia="en-AU"/>
              </w:rPr>
            </w:pPr>
            <w:r>
              <w:rPr>
                <w:lang w:eastAsia="en-AU"/>
              </w:rPr>
              <w:t>126.3</w:t>
            </w:r>
          </w:p>
        </w:tc>
        <w:tc>
          <w:tcPr>
            <w:tcW w:w="1822" w:type="dxa"/>
            <w:tcBorders>
              <w:top w:val="nil"/>
              <w:left w:val="single" w:sz="4" w:space="0" w:color="auto"/>
              <w:bottom w:val="nil"/>
              <w:right w:val="single" w:sz="4" w:space="0" w:color="auto"/>
            </w:tcBorders>
            <w:tcMar>
              <w:right w:w="454" w:type="dxa"/>
            </w:tcMar>
          </w:tcPr>
          <w:p w14:paraId="0C659AE6" w14:textId="77777777" w:rsidR="00CF2D46" w:rsidRDefault="00CF2D46" w:rsidP="00FC7D54">
            <w:pPr>
              <w:pStyle w:val="TableText"/>
              <w:tabs>
                <w:tab w:val="decimal" w:pos="822"/>
              </w:tabs>
              <w:spacing w:before="0"/>
              <w:rPr>
                <w:lang w:eastAsia="en-AU"/>
              </w:rPr>
            </w:pPr>
            <w:r>
              <w:rPr>
                <w:lang w:eastAsia="en-AU"/>
              </w:rPr>
              <w:t>87.8</w:t>
            </w:r>
          </w:p>
        </w:tc>
        <w:tc>
          <w:tcPr>
            <w:tcW w:w="1822" w:type="dxa"/>
            <w:tcBorders>
              <w:top w:val="nil"/>
              <w:left w:val="single" w:sz="4" w:space="0" w:color="auto"/>
              <w:bottom w:val="nil"/>
              <w:right w:val="single" w:sz="4" w:space="0" w:color="auto"/>
            </w:tcBorders>
            <w:tcMar>
              <w:right w:w="454" w:type="dxa"/>
            </w:tcMar>
          </w:tcPr>
          <w:p w14:paraId="30F4274C" w14:textId="77777777" w:rsidR="00CF2D46" w:rsidRDefault="00CF2D46" w:rsidP="00FC7D54">
            <w:pPr>
              <w:pStyle w:val="TableText"/>
              <w:tabs>
                <w:tab w:val="decimal" w:pos="822"/>
              </w:tabs>
              <w:spacing w:before="0"/>
              <w:rPr>
                <w:lang w:eastAsia="en-AU"/>
              </w:rPr>
            </w:pPr>
            <w:r>
              <w:rPr>
                <w:lang w:eastAsia="en-AU"/>
              </w:rPr>
              <w:t>214.1</w:t>
            </w:r>
          </w:p>
        </w:tc>
      </w:tr>
      <w:tr w:rsidR="00CF2D46" w14:paraId="2A4F91AE" w14:textId="77777777" w:rsidTr="00FC7D54">
        <w:trPr>
          <w:cantSplit/>
        </w:trPr>
        <w:tc>
          <w:tcPr>
            <w:tcW w:w="1134" w:type="dxa"/>
            <w:vMerge/>
            <w:tcBorders>
              <w:right w:val="single" w:sz="4" w:space="0" w:color="auto"/>
            </w:tcBorders>
          </w:tcPr>
          <w:p w14:paraId="5394EB2D" w14:textId="77777777" w:rsidR="00CF2D46" w:rsidRDefault="00CF2D46" w:rsidP="00FC7D54">
            <w:pPr>
              <w:pStyle w:val="TableText"/>
              <w:rPr>
                <w:lang w:eastAsia="en-AU"/>
              </w:rPr>
            </w:pPr>
          </w:p>
        </w:tc>
        <w:tc>
          <w:tcPr>
            <w:tcW w:w="2472" w:type="dxa"/>
            <w:tcBorders>
              <w:top w:val="nil"/>
              <w:left w:val="single" w:sz="4" w:space="0" w:color="auto"/>
              <w:bottom w:val="nil"/>
              <w:right w:val="single" w:sz="4" w:space="0" w:color="auto"/>
            </w:tcBorders>
            <w:vAlign w:val="center"/>
          </w:tcPr>
          <w:p w14:paraId="130EF88A" w14:textId="0701D973" w:rsidR="00CF2D46" w:rsidRDefault="00CF2D46" w:rsidP="00AE5A19">
            <w:pPr>
              <w:pStyle w:val="TableText"/>
              <w:spacing w:before="0"/>
              <w:rPr>
                <w:lang w:eastAsia="en-AU"/>
              </w:rPr>
            </w:pPr>
            <w:r>
              <w:t xml:space="preserve">Hallucinogenic </w:t>
            </w:r>
            <w:r w:rsidR="00FC7D54">
              <w:t>and</w:t>
            </w:r>
            <w:r>
              <w:t xml:space="preserve"> psychedelic drugs</w:t>
            </w:r>
          </w:p>
        </w:tc>
        <w:tc>
          <w:tcPr>
            <w:tcW w:w="1822" w:type="dxa"/>
            <w:tcBorders>
              <w:top w:val="nil"/>
              <w:left w:val="single" w:sz="4" w:space="0" w:color="auto"/>
              <w:bottom w:val="nil"/>
              <w:right w:val="single" w:sz="4" w:space="0" w:color="auto"/>
            </w:tcBorders>
            <w:tcMar>
              <w:right w:w="454" w:type="dxa"/>
            </w:tcMar>
          </w:tcPr>
          <w:p w14:paraId="40617BC8" w14:textId="77777777" w:rsidR="00CF2D46" w:rsidRDefault="00CF2D46" w:rsidP="00FC7D54">
            <w:pPr>
              <w:pStyle w:val="TableText"/>
              <w:tabs>
                <w:tab w:val="decimal" w:pos="822"/>
              </w:tabs>
              <w:spacing w:before="0"/>
              <w:rPr>
                <w:lang w:eastAsia="en-AU"/>
              </w:rPr>
            </w:pPr>
            <w:r>
              <w:rPr>
                <w:lang w:eastAsia="en-AU"/>
              </w:rPr>
              <w:t>0.07</w:t>
            </w:r>
          </w:p>
        </w:tc>
        <w:tc>
          <w:tcPr>
            <w:tcW w:w="1822" w:type="dxa"/>
            <w:tcBorders>
              <w:top w:val="nil"/>
              <w:left w:val="single" w:sz="4" w:space="0" w:color="auto"/>
              <w:bottom w:val="nil"/>
              <w:right w:val="single" w:sz="4" w:space="0" w:color="auto"/>
            </w:tcBorders>
            <w:tcMar>
              <w:right w:w="454" w:type="dxa"/>
            </w:tcMar>
          </w:tcPr>
          <w:p w14:paraId="76D68397" w14:textId="77777777" w:rsidR="00CF2D46" w:rsidRDefault="00CF2D46" w:rsidP="00FC7D54">
            <w:pPr>
              <w:pStyle w:val="TableText"/>
              <w:tabs>
                <w:tab w:val="decimal" w:pos="822"/>
              </w:tabs>
              <w:spacing w:before="0"/>
              <w:rPr>
                <w:lang w:eastAsia="en-AU"/>
              </w:rPr>
            </w:pPr>
            <w:r>
              <w:rPr>
                <w:lang w:eastAsia="en-AU"/>
              </w:rPr>
              <w:t>0.62</w:t>
            </w:r>
          </w:p>
        </w:tc>
        <w:tc>
          <w:tcPr>
            <w:tcW w:w="1822" w:type="dxa"/>
            <w:tcBorders>
              <w:top w:val="nil"/>
              <w:left w:val="single" w:sz="4" w:space="0" w:color="auto"/>
              <w:bottom w:val="nil"/>
              <w:right w:val="single" w:sz="4" w:space="0" w:color="auto"/>
            </w:tcBorders>
            <w:tcMar>
              <w:right w:w="454" w:type="dxa"/>
            </w:tcMar>
          </w:tcPr>
          <w:p w14:paraId="1E833331" w14:textId="77777777" w:rsidR="00CF2D46" w:rsidRDefault="00CF2D46" w:rsidP="00FC7D54">
            <w:pPr>
              <w:pStyle w:val="TableText"/>
              <w:tabs>
                <w:tab w:val="decimal" w:pos="822"/>
              </w:tabs>
              <w:spacing w:before="0"/>
              <w:rPr>
                <w:lang w:eastAsia="en-AU"/>
              </w:rPr>
            </w:pPr>
            <w:r>
              <w:rPr>
                <w:lang w:eastAsia="en-AU"/>
              </w:rPr>
              <w:t>0.70</w:t>
            </w:r>
          </w:p>
        </w:tc>
      </w:tr>
      <w:tr w:rsidR="00CF2D46" w14:paraId="2EAEFFF2" w14:textId="77777777" w:rsidTr="00FC7D54">
        <w:trPr>
          <w:cantSplit/>
        </w:trPr>
        <w:tc>
          <w:tcPr>
            <w:tcW w:w="1134" w:type="dxa"/>
            <w:vMerge/>
            <w:tcBorders>
              <w:right w:val="single" w:sz="4" w:space="0" w:color="auto"/>
            </w:tcBorders>
          </w:tcPr>
          <w:p w14:paraId="49948080" w14:textId="77777777" w:rsidR="00CF2D46" w:rsidRDefault="00CF2D46" w:rsidP="00FC7D54">
            <w:pPr>
              <w:pStyle w:val="TableText"/>
              <w:rPr>
                <w:lang w:eastAsia="en-AU"/>
              </w:rPr>
            </w:pPr>
          </w:p>
        </w:tc>
        <w:tc>
          <w:tcPr>
            <w:tcW w:w="2472" w:type="dxa"/>
            <w:tcBorders>
              <w:top w:val="nil"/>
              <w:left w:val="single" w:sz="4" w:space="0" w:color="auto"/>
              <w:bottom w:val="nil"/>
              <w:right w:val="single" w:sz="4" w:space="0" w:color="auto"/>
            </w:tcBorders>
            <w:vAlign w:val="center"/>
          </w:tcPr>
          <w:p w14:paraId="6112827E" w14:textId="6CFFBC9C" w:rsidR="00CF2D46" w:rsidRDefault="00CF2D46" w:rsidP="00AE5A19">
            <w:pPr>
              <w:pStyle w:val="TableText"/>
              <w:spacing w:before="0"/>
              <w:rPr>
                <w:lang w:eastAsia="en-AU"/>
              </w:rPr>
            </w:pPr>
            <w:r>
              <w:t xml:space="preserve">Opioid </w:t>
            </w:r>
            <w:r w:rsidR="00FC7D54">
              <w:t>and</w:t>
            </w:r>
            <w:r>
              <w:t xml:space="preserve"> sedative drugs</w:t>
            </w:r>
          </w:p>
        </w:tc>
        <w:tc>
          <w:tcPr>
            <w:tcW w:w="1822" w:type="dxa"/>
            <w:tcBorders>
              <w:top w:val="nil"/>
              <w:left w:val="single" w:sz="4" w:space="0" w:color="auto"/>
              <w:bottom w:val="nil"/>
              <w:right w:val="single" w:sz="4" w:space="0" w:color="auto"/>
            </w:tcBorders>
            <w:tcMar>
              <w:right w:w="454" w:type="dxa"/>
            </w:tcMar>
          </w:tcPr>
          <w:p w14:paraId="1E250D5E" w14:textId="77777777" w:rsidR="00CF2D46" w:rsidRDefault="00CF2D46" w:rsidP="00FC7D54">
            <w:pPr>
              <w:pStyle w:val="TableText"/>
              <w:tabs>
                <w:tab w:val="decimal" w:pos="822"/>
              </w:tabs>
              <w:spacing w:before="0"/>
              <w:rPr>
                <w:lang w:eastAsia="en-AU"/>
              </w:rPr>
            </w:pPr>
            <w:r>
              <w:rPr>
                <w:lang w:eastAsia="en-AU"/>
              </w:rPr>
              <w:t>0.40</w:t>
            </w:r>
          </w:p>
        </w:tc>
        <w:tc>
          <w:tcPr>
            <w:tcW w:w="1822" w:type="dxa"/>
            <w:tcBorders>
              <w:top w:val="nil"/>
              <w:left w:val="single" w:sz="4" w:space="0" w:color="auto"/>
              <w:bottom w:val="nil"/>
              <w:right w:val="single" w:sz="4" w:space="0" w:color="auto"/>
            </w:tcBorders>
            <w:tcMar>
              <w:right w:w="454" w:type="dxa"/>
            </w:tcMar>
          </w:tcPr>
          <w:p w14:paraId="0E7E90B7" w14:textId="77777777" w:rsidR="00CF2D46" w:rsidRDefault="00CF2D46" w:rsidP="00FC7D54">
            <w:pPr>
              <w:pStyle w:val="TableText"/>
              <w:tabs>
                <w:tab w:val="decimal" w:pos="822"/>
              </w:tabs>
              <w:spacing w:before="0"/>
              <w:rPr>
                <w:lang w:eastAsia="en-AU"/>
              </w:rPr>
            </w:pPr>
            <w:r>
              <w:rPr>
                <w:lang w:eastAsia="en-AU"/>
              </w:rPr>
              <w:t>0.38</w:t>
            </w:r>
          </w:p>
        </w:tc>
        <w:tc>
          <w:tcPr>
            <w:tcW w:w="1822" w:type="dxa"/>
            <w:tcBorders>
              <w:top w:val="nil"/>
              <w:left w:val="single" w:sz="4" w:space="0" w:color="auto"/>
              <w:bottom w:val="nil"/>
              <w:right w:val="single" w:sz="4" w:space="0" w:color="auto"/>
            </w:tcBorders>
            <w:tcMar>
              <w:right w:w="454" w:type="dxa"/>
            </w:tcMar>
          </w:tcPr>
          <w:p w14:paraId="28826D7C" w14:textId="77777777" w:rsidR="00CF2D46" w:rsidRDefault="00CF2D46" w:rsidP="00FC7D54">
            <w:pPr>
              <w:pStyle w:val="TableText"/>
              <w:tabs>
                <w:tab w:val="decimal" w:pos="822"/>
              </w:tabs>
              <w:spacing w:before="0"/>
              <w:rPr>
                <w:lang w:eastAsia="en-AU"/>
              </w:rPr>
            </w:pPr>
            <w:r>
              <w:rPr>
                <w:lang w:eastAsia="en-AU"/>
              </w:rPr>
              <w:t>0.78</w:t>
            </w:r>
          </w:p>
        </w:tc>
      </w:tr>
      <w:tr w:rsidR="00CF2D46" w:rsidRPr="004E2BF7" w14:paraId="77AAAD0A" w14:textId="77777777" w:rsidTr="00FC7D54">
        <w:trPr>
          <w:cantSplit/>
        </w:trPr>
        <w:tc>
          <w:tcPr>
            <w:tcW w:w="1134" w:type="dxa"/>
            <w:vMerge/>
            <w:tcBorders>
              <w:right w:val="single" w:sz="4" w:space="0" w:color="auto"/>
            </w:tcBorders>
          </w:tcPr>
          <w:p w14:paraId="0A9DAED9" w14:textId="77777777" w:rsidR="00CF2D46" w:rsidRPr="004E2BF7" w:rsidRDefault="00CF2D46" w:rsidP="00FC7D54">
            <w:pPr>
              <w:pStyle w:val="TableText"/>
              <w:rPr>
                <w:lang w:eastAsia="en-AU"/>
              </w:rPr>
            </w:pPr>
          </w:p>
        </w:tc>
        <w:tc>
          <w:tcPr>
            <w:tcW w:w="2472" w:type="dxa"/>
            <w:tcBorders>
              <w:top w:val="nil"/>
              <w:left w:val="single" w:sz="4" w:space="0" w:color="auto"/>
              <w:bottom w:val="single" w:sz="4" w:space="0" w:color="auto"/>
              <w:right w:val="single" w:sz="4" w:space="0" w:color="auto"/>
            </w:tcBorders>
            <w:vAlign w:val="center"/>
          </w:tcPr>
          <w:p w14:paraId="5E497CB1" w14:textId="77777777" w:rsidR="00CF2D46" w:rsidRPr="00FC7D54" w:rsidRDefault="00CF2D46" w:rsidP="00FC7D54">
            <w:pPr>
              <w:pStyle w:val="TableText"/>
              <w:spacing w:before="0"/>
              <w:ind w:right="142"/>
              <w:jc w:val="right"/>
              <w:rPr>
                <w:b/>
                <w:lang w:eastAsia="en-AU"/>
              </w:rPr>
            </w:pPr>
            <w:r w:rsidRPr="00FC7D54">
              <w:rPr>
                <w:b/>
              </w:rPr>
              <w:t>Total</w:t>
            </w:r>
          </w:p>
        </w:tc>
        <w:tc>
          <w:tcPr>
            <w:tcW w:w="1822" w:type="dxa"/>
            <w:tcBorders>
              <w:top w:val="nil"/>
              <w:left w:val="single" w:sz="4" w:space="0" w:color="auto"/>
              <w:bottom w:val="single" w:sz="4" w:space="0" w:color="auto"/>
              <w:right w:val="single" w:sz="4" w:space="0" w:color="auto"/>
            </w:tcBorders>
            <w:tcMar>
              <w:right w:w="454" w:type="dxa"/>
            </w:tcMar>
          </w:tcPr>
          <w:p w14:paraId="4441858A" w14:textId="77777777" w:rsidR="00CF2D46" w:rsidRPr="00FC7D54" w:rsidRDefault="00CF2D46" w:rsidP="00FC7D54">
            <w:pPr>
              <w:pStyle w:val="TableText"/>
              <w:tabs>
                <w:tab w:val="decimal" w:pos="822"/>
              </w:tabs>
              <w:spacing w:before="0"/>
              <w:rPr>
                <w:b/>
                <w:lang w:eastAsia="en-AU"/>
              </w:rPr>
            </w:pPr>
            <w:r w:rsidRPr="00FC7D54">
              <w:rPr>
                <w:b/>
                <w:lang w:eastAsia="en-AU"/>
              </w:rPr>
              <w:t>140.0</w:t>
            </w:r>
          </w:p>
        </w:tc>
        <w:tc>
          <w:tcPr>
            <w:tcW w:w="1822" w:type="dxa"/>
            <w:tcBorders>
              <w:top w:val="nil"/>
              <w:left w:val="single" w:sz="4" w:space="0" w:color="auto"/>
              <w:bottom w:val="single" w:sz="4" w:space="0" w:color="auto"/>
              <w:right w:val="single" w:sz="4" w:space="0" w:color="auto"/>
            </w:tcBorders>
            <w:tcMar>
              <w:right w:w="454" w:type="dxa"/>
            </w:tcMar>
          </w:tcPr>
          <w:p w14:paraId="20ACE6E9" w14:textId="77777777" w:rsidR="00CF2D46" w:rsidRPr="00FC7D54" w:rsidRDefault="00CF2D46" w:rsidP="00FC7D54">
            <w:pPr>
              <w:pStyle w:val="TableText"/>
              <w:tabs>
                <w:tab w:val="decimal" w:pos="822"/>
              </w:tabs>
              <w:spacing w:before="0"/>
              <w:rPr>
                <w:b/>
                <w:lang w:eastAsia="en-AU"/>
              </w:rPr>
            </w:pPr>
            <w:r w:rsidRPr="00FC7D54">
              <w:rPr>
                <w:b/>
                <w:lang w:eastAsia="en-AU"/>
              </w:rPr>
              <w:t>105.4</w:t>
            </w:r>
          </w:p>
        </w:tc>
        <w:tc>
          <w:tcPr>
            <w:tcW w:w="1822" w:type="dxa"/>
            <w:tcBorders>
              <w:top w:val="nil"/>
              <w:left w:val="single" w:sz="4" w:space="0" w:color="auto"/>
              <w:bottom w:val="single" w:sz="4" w:space="0" w:color="auto"/>
              <w:right w:val="single" w:sz="4" w:space="0" w:color="auto"/>
            </w:tcBorders>
            <w:tcMar>
              <w:right w:w="454" w:type="dxa"/>
            </w:tcMar>
          </w:tcPr>
          <w:p w14:paraId="24234214" w14:textId="77777777" w:rsidR="00CF2D46" w:rsidRPr="00FC7D54" w:rsidRDefault="00CF2D46" w:rsidP="00FC7D54">
            <w:pPr>
              <w:pStyle w:val="TableText"/>
              <w:tabs>
                <w:tab w:val="decimal" w:pos="822"/>
              </w:tabs>
              <w:spacing w:before="0"/>
              <w:rPr>
                <w:b/>
                <w:lang w:eastAsia="en-AU"/>
              </w:rPr>
            </w:pPr>
            <w:r w:rsidRPr="00FC7D54">
              <w:rPr>
                <w:b/>
                <w:lang w:eastAsia="en-AU"/>
              </w:rPr>
              <w:t>245.4</w:t>
            </w:r>
          </w:p>
        </w:tc>
      </w:tr>
    </w:tbl>
    <w:p w14:paraId="69BD462D" w14:textId="77777777" w:rsidR="00CF2D46" w:rsidRDefault="00CF2D46" w:rsidP="00FC7D54">
      <w:pPr>
        <w:rPr>
          <w:lang w:eastAsia="en-AU"/>
        </w:rPr>
      </w:pPr>
      <w:r>
        <w:rPr>
          <w:lang w:eastAsia="en-AU"/>
        </w:rPr>
        <w:t>The basis of this measure was the income derived from drug trafficking, as it was for the estimate of organised crime</w:t>
      </w:r>
      <w:r w:rsidR="00990768">
        <w:rPr>
          <w:lang w:eastAsia="en-AU"/>
        </w:rPr>
        <w:t>’</w:t>
      </w:r>
      <w:r>
        <w:rPr>
          <w:lang w:eastAsia="en-AU"/>
        </w:rPr>
        <w:t>s reinvestment in other crime. An accurate assessment of GST would be based on revenue less any GST credits. With an illegal enterprise such as drug trafficking, it is difficult to estimate the extent of GST credits. As an alternative and conservative estimate, GST was calculated against estimated profit, as company tax properly is. Tax avoided was calculated by multiplying estimated profit by income by the GST rate of 15% and by the company tax rate of 32%. McFadden (2015), using New Zealand Police data, estimated that drug-related revenue included 83% profit, with the remaining 17% reimbursing the costs of running the business.</w:t>
      </w:r>
    </w:p>
    <w:p w14:paraId="1D3A1BC5" w14:textId="77777777" w:rsidR="00CF2D46" w:rsidRDefault="00CF2D46" w:rsidP="00FC7D54">
      <w:pPr>
        <w:rPr>
          <w:lang w:eastAsia="en-AU"/>
        </w:rPr>
      </w:pPr>
      <w:r>
        <w:rPr>
          <w:lang w:eastAsia="en-AU"/>
        </w:rPr>
        <w:t>Overall, $245 million is lost to the tax base through the failure to pay appropriate taxes in relation to revenues and profit generated by illegal drug trafficking. Naturally, given the illicit nature of drug trafficking, this additional revenue could only be realised either by the legalisation of illegal drugs or by the diversion of this investment into legal forms of investment. Nevertheless, it remains a genuine social harm associated with illegal drug trafficking.</w:t>
      </w:r>
    </w:p>
    <w:p w14:paraId="59480BDD" w14:textId="77777777" w:rsidR="00CF2D46" w:rsidRPr="00544C47" w:rsidRDefault="00CF2D46" w:rsidP="00FC7D54">
      <w:pPr>
        <w:pStyle w:val="Heading3"/>
        <w:rPr>
          <w:lang w:eastAsia="en-AU"/>
        </w:rPr>
      </w:pPr>
      <w:r w:rsidRPr="00544C47">
        <w:rPr>
          <w:lang w:eastAsia="en-AU"/>
        </w:rPr>
        <w:t>Summary</w:t>
      </w:r>
    </w:p>
    <w:p w14:paraId="3BFBF913" w14:textId="77777777" w:rsidR="00CF2D46" w:rsidRDefault="00CF2D46" w:rsidP="00FC7D54">
      <w:pPr>
        <w:rPr>
          <w:lang w:eastAsia="en-AU"/>
        </w:rPr>
      </w:pPr>
      <w:r>
        <w:rPr>
          <w:lang w:eastAsia="en-AU"/>
        </w:rPr>
        <w:t>The community harms reported above are numerous and the accompanying tables complex. Table</w:t>
      </w:r>
      <w:r w:rsidR="00FC7D54">
        <w:rPr>
          <w:lang w:eastAsia="en-AU"/>
        </w:rPr>
        <w:t> </w:t>
      </w:r>
      <w:r>
        <w:rPr>
          <w:lang w:eastAsia="en-AU"/>
        </w:rPr>
        <w:t>12 has the detail of cost summarised at a higher level.</w:t>
      </w:r>
    </w:p>
    <w:p w14:paraId="4C8F14EF" w14:textId="77777777" w:rsidR="00CF2D46" w:rsidRPr="00227298" w:rsidRDefault="00CF2D46" w:rsidP="00FC7D54">
      <w:pPr>
        <w:pStyle w:val="Table"/>
        <w:rPr>
          <w:lang w:eastAsia="en-AU"/>
        </w:rPr>
      </w:pPr>
      <w:bookmarkStart w:id="35" w:name="_Toc444941853"/>
      <w:r w:rsidRPr="00227298">
        <w:rPr>
          <w:lang w:eastAsia="en-AU"/>
        </w:rPr>
        <w:t xml:space="preserve">Table </w:t>
      </w:r>
      <w:r>
        <w:rPr>
          <w:lang w:eastAsia="en-AU"/>
        </w:rPr>
        <w:t>12. Summary of specific community harms by drug group ($ million)</w:t>
      </w:r>
      <w:bookmarkEnd w:id="35"/>
    </w:p>
    <w:tbl>
      <w:tblPr>
        <w:tblStyle w:val="TableGrid"/>
        <w:tblW w:w="0" w:type="auto"/>
        <w:tblInd w:w="108" w:type="dxa"/>
        <w:tblBorders>
          <w:insideH w:val="none" w:sz="0" w:space="0" w:color="auto"/>
          <w:insideV w:val="none" w:sz="0" w:space="0" w:color="auto"/>
        </w:tblBorders>
        <w:tblLayout w:type="fixed"/>
        <w:tblLook w:val="04A0" w:firstRow="1" w:lastRow="0" w:firstColumn="1" w:lastColumn="0" w:noHBand="0" w:noVBand="1"/>
      </w:tblPr>
      <w:tblGrid>
        <w:gridCol w:w="2268"/>
        <w:gridCol w:w="1560"/>
        <w:gridCol w:w="1311"/>
        <w:gridCol w:w="1311"/>
        <w:gridCol w:w="1311"/>
        <w:gridCol w:w="1311"/>
      </w:tblGrid>
      <w:tr w:rsidR="00CF2D46" w:rsidRPr="00B46D21" w14:paraId="0393864C" w14:textId="77777777" w:rsidTr="00B46D21">
        <w:trPr>
          <w:cantSplit/>
        </w:trPr>
        <w:tc>
          <w:tcPr>
            <w:tcW w:w="2268" w:type="dxa"/>
            <w:tcBorders>
              <w:top w:val="single" w:sz="4" w:space="0" w:color="auto"/>
              <w:bottom w:val="single" w:sz="4" w:space="0" w:color="auto"/>
              <w:right w:val="single" w:sz="4" w:space="0" w:color="auto"/>
            </w:tcBorders>
          </w:tcPr>
          <w:p w14:paraId="2822F628" w14:textId="77777777" w:rsidR="00CF2D46" w:rsidRPr="00B46D21" w:rsidRDefault="00CF2D46" w:rsidP="00B46D21">
            <w:pPr>
              <w:pStyle w:val="TableText"/>
              <w:rPr>
                <w:b/>
                <w:lang w:eastAsia="en-AU"/>
              </w:rPr>
            </w:pPr>
            <w:r w:rsidRPr="00B46D21">
              <w:rPr>
                <w:b/>
                <w:lang w:eastAsia="en-AU"/>
              </w:rPr>
              <w:t>Drug group</w:t>
            </w:r>
          </w:p>
        </w:tc>
        <w:tc>
          <w:tcPr>
            <w:tcW w:w="1560" w:type="dxa"/>
            <w:tcBorders>
              <w:left w:val="single" w:sz="4" w:space="0" w:color="auto"/>
              <w:bottom w:val="single" w:sz="4" w:space="0" w:color="auto"/>
            </w:tcBorders>
          </w:tcPr>
          <w:p w14:paraId="604A347F" w14:textId="29F3907A" w:rsidR="00CF2D46" w:rsidRPr="00B46D21" w:rsidRDefault="00CF2D46" w:rsidP="00AE5A19">
            <w:pPr>
              <w:pStyle w:val="TableText"/>
              <w:jc w:val="center"/>
              <w:rPr>
                <w:b/>
                <w:lang w:eastAsia="en-AU"/>
              </w:rPr>
            </w:pPr>
            <w:r w:rsidRPr="00B46D21">
              <w:rPr>
                <w:b/>
                <w:lang w:eastAsia="en-AU"/>
              </w:rPr>
              <w:t xml:space="preserve">Family </w:t>
            </w:r>
            <w:r w:rsidR="00B46D21" w:rsidRPr="00B46D21">
              <w:rPr>
                <w:b/>
                <w:lang w:eastAsia="en-AU"/>
              </w:rPr>
              <w:t>and</w:t>
            </w:r>
            <w:r w:rsidRPr="00B46D21">
              <w:rPr>
                <w:b/>
                <w:lang w:eastAsia="en-AU"/>
              </w:rPr>
              <w:t xml:space="preserve"> friends</w:t>
            </w:r>
          </w:p>
        </w:tc>
        <w:tc>
          <w:tcPr>
            <w:tcW w:w="1311" w:type="dxa"/>
            <w:tcBorders>
              <w:bottom w:val="single" w:sz="4" w:space="0" w:color="auto"/>
            </w:tcBorders>
          </w:tcPr>
          <w:p w14:paraId="19CCCF6B" w14:textId="77777777" w:rsidR="00CF2D46" w:rsidRPr="00B46D21" w:rsidRDefault="00CF2D46" w:rsidP="00B46D21">
            <w:pPr>
              <w:pStyle w:val="TableText"/>
              <w:jc w:val="center"/>
              <w:rPr>
                <w:b/>
                <w:lang w:eastAsia="en-AU"/>
              </w:rPr>
            </w:pPr>
            <w:r w:rsidRPr="00B46D21">
              <w:rPr>
                <w:b/>
                <w:lang w:eastAsia="en-AU"/>
              </w:rPr>
              <w:t>Acquisitive crime</w:t>
            </w:r>
          </w:p>
        </w:tc>
        <w:tc>
          <w:tcPr>
            <w:tcW w:w="1311" w:type="dxa"/>
            <w:tcBorders>
              <w:bottom w:val="single" w:sz="4" w:space="0" w:color="auto"/>
            </w:tcBorders>
          </w:tcPr>
          <w:p w14:paraId="613E0932" w14:textId="77777777" w:rsidR="00CF2D46" w:rsidRPr="00B46D21" w:rsidRDefault="00CF2D46" w:rsidP="00B46D21">
            <w:pPr>
              <w:pStyle w:val="TableText"/>
              <w:jc w:val="center"/>
              <w:rPr>
                <w:b/>
                <w:lang w:eastAsia="en-AU"/>
              </w:rPr>
            </w:pPr>
            <w:r w:rsidRPr="00B46D21">
              <w:rPr>
                <w:b/>
                <w:lang w:eastAsia="en-AU"/>
              </w:rPr>
              <w:t>Organised crime</w:t>
            </w:r>
          </w:p>
        </w:tc>
        <w:tc>
          <w:tcPr>
            <w:tcW w:w="1311" w:type="dxa"/>
            <w:tcBorders>
              <w:bottom w:val="single" w:sz="4" w:space="0" w:color="auto"/>
            </w:tcBorders>
          </w:tcPr>
          <w:p w14:paraId="23F3AE63" w14:textId="77777777" w:rsidR="00CF2D46" w:rsidRPr="00B46D21" w:rsidRDefault="00CF2D46" w:rsidP="00B46D21">
            <w:pPr>
              <w:pStyle w:val="TableText"/>
              <w:jc w:val="center"/>
              <w:rPr>
                <w:b/>
                <w:lang w:eastAsia="en-AU"/>
              </w:rPr>
            </w:pPr>
            <w:r w:rsidRPr="00B46D21">
              <w:rPr>
                <w:b/>
                <w:lang w:eastAsia="en-AU"/>
              </w:rPr>
              <w:t>Reduced tax base</w:t>
            </w:r>
          </w:p>
        </w:tc>
        <w:tc>
          <w:tcPr>
            <w:tcW w:w="1311" w:type="dxa"/>
            <w:tcBorders>
              <w:bottom w:val="single" w:sz="4" w:space="0" w:color="auto"/>
            </w:tcBorders>
          </w:tcPr>
          <w:p w14:paraId="5675E308" w14:textId="77777777" w:rsidR="00CF2D46" w:rsidRPr="00B46D21" w:rsidRDefault="00CF2D46" w:rsidP="00B46D21">
            <w:pPr>
              <w:pStyle w:val="TableText"/>
              <w:jc w:val="center"/>
              <w:rPr>
                <w:b/>
                <w:lang w:eastAsia="en-AU"/>
              </w:rPr>
            </w:pPr>
            <w:r w:rsidRPr="00B46D21">
              <w:rPr>
                <w:b/>
                <w:lang w:eastAsia="en-AU"/>
              </w:rPr>
              <w:t>Total</w:t>
            </w:r>
          </w:p>
        </w:tc>
      </w:tr>
      <w:tr w:rsidR="00CF2D46" w14:paraId="1946E476" w14:textId="77777777" w:rsidTr="00B46D21">
        <w:trPr>
          <w:cantSplit/>
        </w:trPr>
        <w:tc>
          <w:tcPr>
            <w:tcW w:w="2268" w:type="dxa"/>
            <w:tcBorders>
              <w:top w:val="single" w:sz="4" w:space="0" w:color="auto"/>
              <w:bottom w:val="nil"/>
              <w:right w:val="single" w:sz="4" w:space="0" w:color="auto"/>
            </w:tcBorders>
          </w:tcPr>
          <w:p w14:paraId="4D93C3A9" w14:textId="77777777" w:rsidR="00CF2D46" w:rsidRDefault="00CF2D46" w:rsidP="00B46D21">
            <w:pPr>
              <w:pStyle w:val="TableText"/>
              <w:rPr>
                <w:lang w:eastAsia="en-AU"/>
              </w:rPr>
            </w:pPr>
            <w:r>
              <w:t>Amphetamine-type stimulants</w:t>
            </w:r>
          </w:p>
        </w:tc>
        <w:tc>
          <w:tcPr>
            <w:tcW w:w="1560" w:type="dxa"/>
            <w:tcBorders>
              <w:top w:val="single" w:sz="4" w:space="0" w:color="auto"/>
              <w:left w:val="single" w:sz="4" w:space="0" w:color="auto"/>
              <w:bottom w:val="nil"/>
              <w:right w:val="nil"/>
            </w:tcBorders>
          </w:tcPr>
          <w:p w14:paraId="38C6111F" w14:textId="77777777" w:rsidR="00CF2D46" w:rsidRDefault="00CF2D46" w:rsidP="00B46D21">
            <w:pPr>
              <w:pStyle w:val="TableText"/>
              <w:tabs>
                <w:tab w:val="decimal" w:pos="743"/>
              </w:tabs>
              <w:rPr>
                <w:lang w:eastAsia="en-AU"/>
              </w:rPr>
            </w:pPr>
            <w:r>
              <w:t>20.4</w:t>
            </w:r>
          </w:p>
        </w:tc>
        <w:tc>
          <w:tcPr>
            <w:tcW w:w="1311" w:type="dxa"/>
            <w:tcBorders>
              <w:top w:val="single" w:sz="4" w:space="0" w:color="auto"/>
              <w:left w:val="nil"/>
              <w:bottom w:val="nil"/>
            </w:tcBorders>
          </w:tcPr>
          <w:p w14:paraId="218BAD3A" w14:textId="77777777" w:rsidR="00CF2D46" w:rsidRDefault="00CF2D46" w:rsidP="00B46D21">
            <w:pPr>
              <w:pStyle w:val="TableText"/>
              <w:tabs>
                <w:tab w:val="decimal" w:pos="630"/>
              </w:tabs>
              <w:rPr>
                <w:lang w:eastAsia="en-AU"/>
              </w:rPr>
            </w:pPr>
            <w:r>
              <w:t>32.6</w:t>
            </w:r>
          </w:p>
        </w:tc>
        <w:tc>
          <w:tcPr>
            <w:tcW w:w="1311" w:type="dxa"/>
            <w:tcBorders>
              <w:top w:val="single" w:sz="4" w:space="0" w:color="auto"/>
              <w:bottom w:val="nil"/>
            </w:tcBorders>
          </w:tcPr>
          <w:p w14:paraId="0681512E" w14:textId="77777777" w:rsidR="00CF2D46" w:rsidRDefault="00CF2D46" w:rsidP="00B46D21">
            <w:pPr>
              <w:pStyle w:val="TableText"/>
              <w:tabs>
                <w:tab w:val="decimal" w:pos="630"/>
              </w:tabs>
              <w:rPr>
                <w:lang w:eastAsia="en-AU"/>
              </w:rPr>
            </w:pPr>
            <w:r>
              <w:rPr>
                <w:lang w:eastAsia="en-AU"/>
              </w:rPr>
              <w:t>8.6</w:t>
            </w:r>
          </w:p>
        </w:tc>
        <w:tc>
          <w:tcPr>
            <w:tcW w:w="1311" w:type="dxa"/>
            <w:tcBorders>
              <w:top w:val="single" w:sz="4" w:space="0" w:color="auto"/>
              <w:bottom w:val="nil"/>
            </w:tcBorders>
          </w:tcPr>
          <w:p w14:paraId="2A1413A6" w14:textId="77777777" w:rsidR="00CF2D46" w:rsidRDefault="00CF2D46" w:rsidP="00B46D21">
            <w:pPr>
              <w:pStyle w:val="TableText"/>
              <w:tabs>
                <w:tab w:val="decimal" w:pos="630"/>
              </w:tabs>
              <w:rPr>
                <w:lang w:eastAsia="en-AU"/>
              </w:rPr>
            </w:pPr>
            <w:r>
              <w:rPr>
                <w:lang w:eastAsia="en-AU"/>
              </w:rPr>
              <w:t>29.8</w:t>
            </w:r>
          </w:p>
        </w:tc>
        <w:tc>
          <w:tcPr>
            <w:tcW w:w="1311" w:type="dxa"/>
            <w:tcBorders>
              <w:top w:val="single" w:sz="4" w:space="0" w:color="auto"/>
              <w:bottom w:val="nil"/>
            </w:tcBorders>
          </w:tcPr>
          <w:p w14:paraId="5F429B26" w14:textId="77777777" w:rsidR="00CF2D46" w:rsidRDefault="00CF2D46" w:rsidP="00B46D21">
            <w:pPr>
              <w:pStyle w:val="TableText"/>
              <w:tabs>
                <w:tab w:val="decimal" w:pos="630"/>
              </w:tabs>
              <w:rPr>
                <w:lang w:eastAsia="en-AU"/>
              </w:rPr>
            </w:pPr>
            <w:r>
              <w:rPr>
                <w:lang w:eastAsia="en-AU"/>
              </w:rPr>
              <w:t>91.4</w:t>
            </w:r>
          </w:p>
        </w:tc>
      </w:tr>
      <w:tr w:rsidR="00CF2D46" w14:paraId="72BE84DD" w14:textId="77777777" w:rsidTr="00B46D21">
        <w:trPr>
          <w:cantSplit/>
        </w:trPr>
        <w:tc>
          <w:tcPr>
            <w:tcW w:w="2268" w:type="dxa"/>
            <w:tcBorders>
              <w:top w:val="nil"/>
              <w:bottom w:val="nil"/>
              <w:right w:val="single" w:sz="4" w:space="0" w:color="auto"/>
            </w:tcBorders>
          </w:tcPr>
          <w:p w14:paraId="4FB74CAC" w14:textId="77777777" w:rsidR="00CF2D46" w:rsidRDefault="00CF2D46" w:rsidP="00B46D21">
            <w:pPr>
              <w:pStyle w:val="TableText"/>
              <w:rPr>
                <w:lang w:eastAsia="en-AU"/>
              </w:rPr>
            </w:pPr>
            <w:r>
              <w:t>Cannabinoids</w:t>
            </w:r>
          </w:p>
        </w:tc>
        <w:tc>
          <w:tcPr>
            <w:tcW w:w="1560" w:type="dxa"/>
            <w:tcBorders>
              <w:top w:val="nil"/>
              <w:left w:val="single" w:sz="4" w:space="0" w:color="auto"/>
              <w:bottom w:val="nil"/>
              <w:right w:val="nil"/>
            </w:tcBorders>
          </w:tcPr>
          <w:p w14:paraId="4605391A" w14:textId="77777777" w:rsidR="00CF2D46" w:rsidRDefault="00CF2D46" w:rsidP="00B46D21">
            <w:pPr>
              <w:pStyle w:val="TableText"/>
              <w:tabs>
                <w:tab w:val="decimal" w:pos="743"/>
              </w:tabs>
              <w:rPr>
                <w:lang w:eastAsia="en-AU"/>
              </w:rPr>
            </w:pPr>
            <w:r>
              <w:t>380.9</w:t>
            </w:r>
          </w:p>
        </w:tc>
        <w:tc>
          <w:tcPr>
            <w:tcW w:w="1311" w:type="dxa"/>
            <w:tcBorders>
              <w:top w:val="nil"/>
              <w:left w:val="nil"/>
              <w:bottom w:val="nil"/>
            </w:tcBorders>
          </w:tcPr>
          <w:p w14:paraId="516C7362" w14:textId="77777777" w:rsidR="00CF2D46" w:rsidRDefault="00CF2D46" w:rsidP="00B46D21">
            <w:pPr>
              <w:pStyle w:val="TableText"/>
              <w:tabs>
                <w:tab w:val="decimal" w:pos="630"/>
              </w:tabs>
              <w:rPr>
                <w:lang w:eastAsia="en-AU"/>
              </w:rPr>
            </w:pPr>
            <w:r>
              <w:t>63.9</w:t>
            </w:r>
          </w:p>
        </w:tc>
        <w:tc>
          <w:tcPr>
            <w:tcW w:w="1311" w:type="dxa"/>
            <w:tcBorders>
              <w:top w:val="nil"/>
              <w:bottom w:val="nil"/>
            </w:tcBorders>
          </w:tcPr>
          <w:p w14:paraId="489367BE" w14:textId="77777777" w:rsidR="00CF2D46" w:rsidRDefault="00CF2D46" w:rsidP="00B46D21">
            <w:pPr>
              <w:pStyle w:val="TableText"/>
              <w:tabs>
                <w:tab w:val="decimal" w:pos="630"/>
              </w:tabs>
              <w:rPr>
                <w:lang w:eastAsia="en-AU"/>
              </w:rPr>
            </w:pPr>
            <w:r>
              <w:rPr>
                <w:lang w:eastAsia="en-AU"/>
              </w:rPr>
              <w:t>61.5</w:t>
            </w:r>
          </w:p>
        </w:tc>
        <w:tc>
          <w:tcPr>
            <w:tcW w:w="1311" w:type="dxa"/>
            <w:tcBorders>
              <w:top w:val="nil"/>
              <w:bottom w:val="nil"/>
            </w:tcBorders>
          </w:tcPr>
          <w:p w14:paraId="59FFC880" w14:textId="77777777" w:rsidR="00CF2D46" w:rsidRDefault="00CF2D46" w:rsidP="00B46D21">
            <w:pPr>
              <w:pStyle w:val="TableText"/>
              <w:tabs>
                <w:tab w:val="decimal" w:pos="630"/>
              </w:tabs>
              <w:rPr>
                <w:lang w:eastAsia="en-AU"/>
              </w:rPr>
            </w:pPr>
            <w:r>
              <w:rPr>
                <w:lang w:eastAsia="en-AU"/>
              </w:rPr>
              <w:t>214.1</w:t>
            </w:r>
          </w:p>
        </w:tc>
        <w:tc>
          <w:tcPr>
            <w:tcW w:w="1311" w:type="dxa"/>
            <w:tcBorders>
              <w:top w:val="nil"/>
              <w:bottom w:val="nil"/>
            </w:tcBorders>
          </w:tcPr>
          <w:p w14:paraId="44BBC698" w14:textId="77777777" w:rsidR="00CF2D46" w:rsidRDefault="00CF2D46" w:rsidP="00B46D21">
            <w:pPr>
              <w:pStyle w:val="TableText"/>
              <w:tabs>
                <w:tab w:val="decimal" w:pos="630"/>
              </w:tabs>
              <w:rPr>
                <w:lang w:eastAsia="en-AU"/>
              </w:rPr>
            </w:pPr>
            <w:r>
              <w:rPr>
                <w:lang w:eastAsia="en-AU"/>
              </w:rPr>
              <w:t>720.3</w:t>
            </w:r>
          </w:p>
        </w:tc>
      </w:tr>
      <w:tr w:rsidR="00CF2D46" w14:paraId="30B032E9" w14:textId="77777777" w:rsidTr="00B46D21">
        <w:trPr>
          <w:cantSplit/>
        </w:trPr>
        <w:tc>
          <w:tcPr>
            <w:tcW w:w="2268" w:type="dxa"/>
            <w:tcBorders>
              <w:top w:val="nil"/>
              <w:bottom w:val="nil"/>
              <w:right w:val="single" w:sz="4" w:space="0" w:color="auto"/>
            </w:tcBorders>
          </w:tcPr>
          <w:p w14:paraId="11FC15B6" w14:textId="7FFA700F" w:rsidR="00CF2D46" w:rsidRDefault="00CF2D46">
            <w:pPr>
              <w:pStyle w:val="TableText"/>
              <w:rPr>
                <w:lang w:eastAsia="en-AU"/>
              </w:rPr>
            </w:pPr>
            <w:r>
              <w:t xml:space="preserve">Hallucinogenic </w:t>
            </w:r>
            <w:r w:rsidR="00B46D21">
              <w:t>and</w:t>
            </w:r>
            <w:r>
              <w:t xml:space="preserve"> psychedelic drugs</w:t>
            </w:r>
          </w:p>
        </w:tc>
        <w:tc>
          <w:tcPr>
            <w:tcW w:w="1560" w:type="dxa"/>
            <w:tcBorders>
              <w:top w:val="nil"/>
              <w:left w:val="single" w:sz="4" w:space="0" w:color="auto"/>
              <w:bottom w:val="nil"/>
              <w:right w:val="nil"/>
            </w:tcBorders>
          </w:tcPr>
          <w:p w14:paraId="0ED9B1AD" w14:textId="77777777" w:rsidR="00CF2D46" w:rsidRDefault="00CF2D46" w:rsidP="00B46D21">
            <w:pPr>
              <w:pStyle w:val="TableText"/>
              <w:tabs>
                <w:tab w:val="decimal" w:pos="743"/>
              </w:tabs>
              <w:rPr>
                <w:lang w:eastAsia="en-AU"/>
              </w:rPr>
            </w:pPr>
            <w:r>
              <w:t>6.6</w:t>
            </w:r>
          </w:p>
        </w:tc>
        <w:tc>
          <w:tcPr>
            <w:tcW w:w="1311" w:type="dxa"/>
            <w:tcBorders>
              <w:top w:val="nil"/>
              <w:left w:val="nil"/>
              <w:bottom w:val="nil"/>
            </w:tcBorders>
          </w:tcPr>
          <w:p w14:paraId="5081E30F" w14:textId="77777777" w:rsidR="00CF2D46" w:rsidRDefault="00CF2D46" w:rsidP="00B46D21">
            <w:pPr>
              <w:pStyle w:val="TableText"/>
              <w:tabs>
                <w:tab w:val="decimal" w:pos="630"/>
              </w:tabs>
              <w:rPr>
                <w:lang w:eastAsia="en-AU"/>
              </w:rPr>
            </w:pPr>
            <w:r>
              <w:t>1.9</w:t>
            </w:r>
          </w:p>
        </w:tc>
        <w:tc>
          <w:tcPr>
            <w:tcW w:w="1311" w:type="dxa"/>
            <w:tcBorders>
              <w:top w:val="nil"/>
              <w:bottom w:val="nil"/>
            </w:tcBorders>
          </w:tcPr>
          <w:p w14:paraId="21F08C8B" w14:textId="77777777" w:rsidR="00CF2D46" w:rsidRDefault="00CF2D46" w:rsidP="00B46D21">
            <w:pPr>
              <w:pStyle w:val="TableText"/>
              <w:tabs>
                <w:tab w:val="decimal" w:pos="630"/>
              </w:tabs>
              <w:rPr>
                <w:lang w:eastAsia="en-AU"/>
              </w:rPr>
            </w:pPr>
            <w:r>
              <w:rPr>
                <w:lang w:eastAsia="en-AU"/>
              </w:rPr>
              <w:t>0.2</w:t>
            </w:r>
          </w:p>
        </w:tc>
        <w:tc>
          <w:tcPr>
            <w:tcW w:w="1311" w:type="dxa"/>
            <w:tcBorders>
              <w:top w:val="nil"/>
              <w:bottom w:val="nil"/>
            </w:tcBorders>
          </w:tcPr>
          <w:p w14:paraId="244C7F06" w14:textId="77777777" w:rsidR="00CF2D46" w:rsidRDefault="00CF2D46" w:rsidP="00B46D21">
            <w:pPr>
              <w:pStyle w:val="TableText"/>
              <w:tabs>
                <w:tab w:val="decimal" w:pos="630"/>
              </w:tabs>
              <w:rPr>
                <w:lang w:eastAsia="en-AU"/>
              </w:rPr>
            </w:pPr>
            <w:r>
              <w:rPr>
                <w:lang w:eastAsia="en-AU"/>
              </w:rPr>
              <w:t>0.70</w:t>
            </w:r>
          </w:p>
        </w:tc>
        <w:tc>
          <w:tcPr>
            <w:tcW w:w="1311" w:type="dxa"/>
            <w:tcBorders>
              <w:top w:val="nil"/>
              <w:bottom w:val="nil"/>
            </w:tcBorders>
          </w:tcPr>
          <w:p w14:paraId="25B1CA72" w14:textId="77777777" w:rsidR="00CF2D46" w:rsidRDefault="00CF2D46" w:rsidP="00B46D21">
            <w:pPr>
              <w:pStyle w:val="TableText"/>
              <w:tabs>
                <w:tab w:val="decimal" w:pos="630"/>
              </w:tabs>
              <w:rPr>
                <w:lang w:eastAsia="en-AU"/>
              </w:rPr>
            </w:pPr>
            <w:r>
              <w:rPr>
                <w:lang w:eastAsia="en-AU"/>
              </w:rPr>
              <w:t>9.0</w:t>
            </w:r>
          </w:p>
        </w:tc>
      </w:tr>
      <w:tr w:rsidR="00CF2D46" w14:paraId="0B2D54E2" w14:textId="77777777" w:rsidTr="00B46D21">
        <w:trPr>
          <w:cantSplit/>
        </w:trPr>
        <w:tc>
          <w:tcPr>
            <w:tcW w:w="2268" w:type="dxa"/>
            <w:tcBorders>
              <w:top w:val="nil"/>
              <w:bottom w:val="single" w:sz="4" w:space="0" w:color="auto"/>
              <w:right w:val="single" w:sz="4" w:space="0" w:color="auto"/>
            </w:tcBorders>
          </w:tcPr>
          <w:p w14:paraId="729DD0A9" w14:textId="45A9E430" w:rsidR="00CF2D46" w:rsidRDefault="00CF2D46">
            <w:pPr>
              <w:pStyle w:val="TableText"/>
              <w:rPr>
                <w:lang w:eastAsia="en-AU"/>
              </w:rPr>
            </w:pPr>
            <w:r>
              <w:t xml:space="preserve">Opioid </w:t>
            </w:r>
            <w:r w:rsidR="00B46D21">
              <w:t>and</w:t>
            </w:r>
            <w:r>
              <w:t xml:space="preserve"> sedative drugs</w:t>
            </w:r>
          </w:p>
        </w:tc>
        <w:tc>
          <w:tcPr>
            <w:tcW w:w="1560" w:type="dxa"/>
            <w:tcBorders>
              <w:top w:val="nil"/>
              <w:left w:val="single" w:sz="4" w:space="0" w:color="auto"/>
              <w:bottom w:val="single" w:sz="4" w:space="0" w:color="auto"/>
              <w:right w:val="nil"/>
            </w:tcBorders>
          </w:tcPr>
          <w:p w14:paraId="2B5AD031" w14:textId="77777777" w:rsidR="00CF2D46" w:rsidRDefault="00CF2D46" w:rsidP="00B46D21">
            <w:pPr>
              <w:pStyle w:val="TableText"/>
              <w:tabs>
                <w:tab w:val="decimal" w:pos="743"/>
              </w:tabs>
              <w:rPr>
                <w:lang w:eastAsia="en-AU"/>
              </w:rPr>
            </w:pPr>
            <w:r>
              <w:t>29.6</w:t>
            </w:r>
          </w:p>
        </w:tc>
        <w:tc>
          <w:tcPr>
            <w:tcW w:w="1311" w:type="dxa"/>
            <w:tcBorders>
              <w:top w:val="nil"/>
              <w:left w:val="nil"/>
              <w:bottom w:val="single" w:sz="4" w:space="0" w:color="auto"/>
            </w:tcBorders>
          </w:tcPr>
          <w:p w14:paraId="55F1B7C0" w14:textId="77777777" w:rsidR="00CF2D46" w:rsidRDefault="00CF2D46" w:rsidP="00B46D21">
            <w:pPr>
              <w:pStyle w:val="TableText"/>
              <w:tabs>
                <w:tab w:val="decimal" w:pos="630"/>
              </w:tabs>
              <w:rPr>
                <w:lang w:eastAsia="en-AU"/>
              </w:rPr>
            </w:pPr>
            <w:r>
              <w:t>41.4</w:t>
            </w:r>
          </w:p>
        </w:tc>
        <w:tc>
          <w:tcPr>
            <w:tcW w:w="1311" w:type="dxa"/>
            <w:tcBorders>
              <w:top w:val="nil"/>
              <w:bottom w:val="single" w:sz="4" w:space="0" w:color="auto"/>
            </w:tcBorders>
          </w:tcPr>
          <w:p w14:paraId="35231352" w14:textId="77777777" w:rsidR="00CF2D46" w:rsidRDefault="00CF2D46" w:rsidP="00B46D21">
            <w:pPr>
              <w:pStyle w:val="TableText"/>
              <w:tabs>
                <w:tab w:val="decimal" w:pos="630"/>
              </w:tabs>
              <w:rPr>
                <w:lang w:eastAsia="en-AU"/>
              </w:rPr>
            </w:pPr>
            <w:r>
              <w:rPr>
                <w:lang w:eastAsia="en-AU"/>
              </w:rPr>
              <w:t>0.2</w:t>
            </w:r>
          </w:p>
        </w:tc>
        <w:tc>
          <w:tcPr>
            <w:tcW w:w="1311" w:type="dxa"/>
            <w:tcBorders>
              <w:top w:val="nil"/>
              <w:bottom w:val="single" w:sz="4" w:space="0" w:color="auto"/>
            </w:tcBorders>
          </w:tcPr>
          <w:p w14:paraId="1DA91113" w14:textId="77777777" w:rsidR="00CF2D46" w:rsidRDefault="00CF2D46" w:rsidP="00B46D21">
            <w:pPr>
              <w:pStyle w:val="TableText"/>
              <w:tabs>
                <w:tab w:val="decimal" w:pos="630"/>
              </w:tabs>
              <w:rPr>
                <w:lang w:eastAsia="en-AU"/>
              </w:rPr>
            </w:pPr>
            <w:r>
              <w:rPr>
                <w:lang w:eastAsia="en-AU"/>
              </w:rPr>
              <w:t>0.78</w:t>
            </w:r>
          </w:p>
        </w:tc>
        <w:tc>
          <w:tcPr>
            <w:tcW w:w="1311" w:type="dxa"/>
            <w:tcBorders>
              <w:top w:val="nil"/>
              <w:bottom w:val="single" w:sz="4" w:space="0" w:color="auto"/>
            </w:tcBorders>
          </w:tcPr>
          <w:p w14:paraId="7A00C909" w14:textId="77777777" w:rsidR="00CF2D46" w:rsidRDefault="00CF2D46" w:rsidP="00B46D21">
            <w:pPr>
              <w:pStyle w:val="TableText"/>
              <w:tabs>
                <w:tab w:val="decimal" w:pos="630"/>
              </w:tabs>
              <w:rPr>
                <w:lang w:eastAsia="en-AU"/>
              </w:rPr>
            </w:pPr>
            <w:r>
              <w:rPr>
                <w:lang w:eastAsia="en-AU"/>
              </w:rPr>
              <w:t>72.0</w:t>
            </w:r>
          </w:p>
        </w:tc>
      </w:tr>
      <w:tr w:rsidR="00CF2D46" w:rsidRPr="00B46D21" w14:paraId="558E8E54" w14:textId="77777777" w:rsidTr="00B46D21">
        <w:trPr>
          <w:cantSplit/>
        </w:trPr>
        <w:tc>
          <w:tcPr>
            <w:tcW w:w="2268" w:type="dxa"/>
            <w:tcBorders>
              <w:top w:val="single" w:sz="4" w:space="0" w:color="auto"/>
              <w:bottom w:val="single" w:sz="4" w:space="0" w:color="auto"/>
              <w:right w:val="single" w:sz="4" w:space="0" w:color="auto"/>
            </w:tcBorders>
          </w:tcPr>
          <w:p w14:paraId="651E2A41" w14:textId="77777777" w:rsidR="00CF2D46" w:rsidRPr="00B46D21" w:rsidRDefault="00CF2D46" w:rsidP="00B46D21">
            <w:pPr>
              <w:pStyle w:val="TableText"/>
              <w:ind w:right="142"/>
              <w:jc w:val="right"/>
              <w:rPr>
                <w:b/>
                <w:lang w:eastAsia="en-AU"/>
              </w:rPr>
            </w:pPr>
            <w:r w:rsidRPr="00B46D21">
              <w:rPr>
                <w:b/>
              </w:rPr>
              <w:t>Total</w:t>
            </w:r>
          </w:p>
        </w:tc>
        <w:tc>
          <w:tcPr>
            <w:tcW w:w="1560" w:type="dxa"/>
            <w:tcBorders>
              <w:top w:val="single" w:sz="4" w:space="0" w:color="auto"/>
              <w:left w:val="single" w:sz="4" w:space="0" w:color="auto"/>
              <w:bottom w:val="single" w:sz="4" w:space="0" w:color="auto"/>
              <w:right w:val="nil"/>
            </w:tcBorders>
          </w:tcPr>
          <w:p w14:paraId="5147FCBE" w14:textId="77777777" w:rsidR="00CF2D46" w:rsidRPr="00B46D21" w:rsidRDefault="00CF2D46" w:rsidP="00B46D21">
            <w:pPr>
              <w:pStyle w:val="TableText"/>
              <w:tabs>
                <w:tab w:val="decimal" w:pos="743"/>
              </w:tabs>
              <w:rPr>
                <w:b/>
                <w:lang w:eastAsia="en-AU"/>
              </w:rPr>
            </w:pPr>
            <w:r w:rsidRPr="00B46D21">
              <w:rPr>
                <w:b/>
              </w:rPr>
              <w:t>437.5</w:t>
            </w:r>
          </w:p>
        </w:tc>
        <w:tc>
          <w:tcPr>
            <w:tcW w:w="1311" w:type="dxa"/>
            <w:tcBorders>
              <w:top w:val="single" w:sz="4" w:space="0" w:color="auto"/>
              <w:left w:val="nil"/>
              <w:bottom w:val="single" w:sz="4" w:space="0" w:color="auto"/>
            </w:tcBorders>
          </w:tcPr>
          <w:p w14:paraId="51B7EBE6" w14:textId="77777777" w:rsidR="00CF2D46" w:rsidRPr="00B46D21" w:rsidRDefault="00CF2D46" w:rsidP="00B46D21">
            <w:pPr>
              <w:pStyle w:val="TableText"/>
              <w:tabs>
                <w:tab w:val="decimal" w:pos="630"/>
              </w:tabs>
              <w:rPr>
                <w:b/>
                <w:lang w:eastAsia="en-AU"/>
              </w:rPr>
            </w:pPr>
            <w:r w:rsidRPr="00B46D21">
              <w:rPr>
                <w:b/>
              </w:rPr>
              <w:t>139.7</w:t>
            </w:r>
          </w:p>
        </w:tc>
        <w:tc>
          <w:tcPr>
            <w:tcW w:w="1311" w:type="dxa"/>
            <w:tcBorders>
              <w:top w:val="single" w:sz="4" w:space="0" w:color="auto"/>
              <w:bottom w:val="single" w:sz="4" w:space="0" w:color="auto"/>
            </w:tcBorders>
          </w:tcPr>
          <w:p w14:paraId="17E1BF75" w14:textId="77777777" w:rsidR="00CF2D46" w:rsidRPr="00B46D21" w:rsidRDefault="00CF2D46" w:rsidP="00B46D21">
            <w:pPr>
              <w:pStyle w:val="TableText"/>
              <w:tabs>
                <w:tab w:val="decimal" w:pos="630"/>
              </w:tabs>
              <w:rPr>
                <w:b/>
                <w:lang w:eastAsia="en-AU"/>
              </w:rPr>
            </w:pPr>
            <w:r w:rsidRPr="00B46D21">
              <w:rPr>
                <w:b/>
                <w:lang w:eastAsia="en-AU"/>
              </w:rPr>
              <w:t>70.4</w:t>
            </w:r>
          </w:p>
        </w:tc>
        <w:tc>
          <w:tcPr>
            <w:tcW w:w="1311" w:type="dxa"/>
            <w:tcBorders>
              <w:top w:val="single" w:sz="4" w:space="0" w:color="auto"/>
              <w:bottom w:val="single" w:sz="4" w:space="0" w:color="auto"/>
            </w:tcBorders>
          </w:tcPr>
          <w:p w14:paraId="4A7AAA5E" w14:textId="77777777" w:rsidR="00CF2D46" w:rsidRPr="00B46D21" w:rsidRDefault="00CF2D46" w:rsidP="00B46D21">
            <w:pPr>
              <w:pStyle w:val="TableText"/>
              <w:tabs>
                <w:tab w:val="decimal" w:pos="630"/>
              </w:tabs>
              <w:rPr>
                <w:b/>
                <w:lang w:eastAsia="en-AU"/>
              </w:rPr>
            </w:pPr>
            <w:r w:rsidRPr="00B46D21">
              <w:rPr>
                <w:b/>
                <w:lang w:eastAsia="en-AU"/>
              </w:rPr>
              <w:t>245.4</w:t>
            </w:r>
          </w:p>
        </w:tc>
        <w:tc>
          <w:tcPr>
            <w:tcW w:w="1311" w:type="dxa"/>
            <w:tcBorders>
              <w:top w:val="single" w:sz="4" w:space="0" w:color="auto"/>
              <w:bottom w:val="single" w:sz="4" w:space="0" w:color="auto"/>
            </w:tcBorders>
          </w:tcPr>
          <w:p w14:paraId="5EE6C132" w14:textId="77777777" w:rsidR="00CF2D46" w:rsidRPr="00B46D21" w:rsidRDefault="00CF2D46" w:rsidP="00B46D21">
            <w:pPr>
              <w:pStyle w:val="TableText"/>
              <w:tabs>
                <w:tab w:val="decimal" w:pos="630"/>
              </w:tabs>
              <w:rPr>
                <w:b/>
                <w:lang w:eastAsia="en-AU"/>
              </w:rPr>
            </w:pPr>
            <w:r w:rsidRPr="00B46D21">
              <w:rPr>
                <w:b/>
                <w:lang w:eastAsia="en-AU"/>
              </w:rPr>
              <w:t>892.7</w:t>
            </w:r>
          </w:p>
        </w:tc>
      </w:tr>
    </w:tbl>
    <w:p w14:paraId="58F70D52" w14:textId="77777777" w:rsidR="00CF2D46" w:rsidRDefault="00CF2D46" w:rsidP="00B46D21">
      <w:pPr>
        <w:rPr>
          <w:lang w:eastAsia="en-AU"/>
        </w:rPr>
      </w:pPr>
      <w:r>
        <w:rPr>
          <w:lang w:eastAsia="en-AU"/>
        </w:rPr>
        <w:t>In total, the cost to the community of harms associated with drug abuse was $892.7 million in 2014, which exceeds the collective harms to the drug users themselves ($601.0 million). The single largest contributor to this result was harm to family and friends at $437.5 million. There is at least a suggestion that more attention could be given to this group. Whether that is required or not is difficult to assess as this group collectively is probably more interested in the outcomes for drug users. Certainly, information on harm to family and friends is largely absent from public statistics globally.</w:t>
      </w:r>
    </w:p>
    <w:p w14:paraId="18C6F6B5" w14:textId="77777777" w:rsidR="00CF2D46" w:rsidRDefault="00CF2D46" w:rsidP="0032784D">
      <w:pPr>
        <w:rPr>
          <w:lang w:eastAsia="en-AU"/>
        </w:rPr>
      </w:pPr>
      <w:r>
        <w:rPr>
          <w:lang w:eastAsia="en-AU"/>
        </w:rPr>
        <w:t>The contribution of crime in its various forms is also significant, accounting for another $455.2</w:t>
      </w:r>
      <w:r w:rsidR="0032784D">
        <w:rPr>
          <w:lang w:eastAsia="en-AU"/>
        </w:rPr>
        <w:t> </w:t>
      </w:r>
      <w:r>
        <w:rPr>
          <w:lang w:eastAsia="en-AU"/>
        </w:rPr>
        <w:t>million. The role income from drug trafficking plays in a wider network of crime is almost certainly underestimated. On the other hand, tax avoided in terms of GST or company tax is unlikely to be recovered in full under any circumstances. Nevertheless, it remains a quantifiable source of harm to the community.</w:t>
      </w:r>
    </w:p>
    <w:p w14:paraId="23F33128" w14:textId="77777777" w:rsidR="00CF2D46" w:rsidRPr="00BC2CC8" w:rsidRDefault="00CF2D46" w:rsidP="0032784D">
      <w:pPr>
        <w:pStyle w:val="Heading2"/>
        <w:rPr>
          <w:lang w:eastAsia="en-AU"/>
        </w:rPr>
      </w:pPr>
      <w:bookmarkStart w:id="36" w:name="_Toc444941796"/>
      <w:r w:rsidRPr="00BC2CC8">
        <w:rPr>
          <w:lang w:eastAsia="en-AU"/>
        </w:rPr>
        <w:t>Cost of interventions</w:t>
      </w:r>
      <w:bookmarkEnd w:id="36"/>
    </w:p>
    <w:p w14:paraId="43B1963C" w14:textId="77777777" w:rsidR="00990768" w:rsidRDefault="00CF2D46" w:rsidP="0032784D">
      <w:pPr>
        <w:rPr>
          <w:lang w:eastAsia="en-AU"/>
        </w:rPr>
      </w:pPr>
      <w:r w:rsidRPr="00BC2CC8">
        <w:rPr>
          <w:lang w:eastAsia="en-AU"/>
        </w:rPr>
        <w:t xml:space="preserve">The report </w:t>
      </w:r>
      <w:r>
        <w:rPr>
          <w:lang w:eastAsia="en-AU"/>
        </w:rPr>
        <w:t>so far has been concerned with the harms to both users and the community that can be attributed to drug use. As noted earlier, traditionally the costs of treatment, law enforcement, courts and corrections have been included somewhat indiscriminately with the direct harms caused by drug use. This has the unfortunate implication that costs associated with addressing the problem become part of the problem itself.</w:t>
      </w:r>
    </w:p>
    <w:p w14:paraId="0EDD5950" w14:textId="77777777" w:rsidR="00CF2D46" w:rsidRDefault="00CF2D46" w:rsidP="0032784D">
      <w:pPr>
        <w:rPr>
          <w:lang w:eastAsia="en-AU"/>
        </w:rPr>
      </w:pPr>
      <w:r>
        <w:rPr>
          <w:lang w:eastAsia="en-AU"/>
        </w:rPr>
        <w:t>It was argued earlier that a proper analysis of the social costs of illegal drugs will distinguish between the actual harms and attempts to address them. It had been intended to estimate the cost of intervention according to the class of intervention, including:</w:t>
      </w:r>
    </w:p>
    <w:p w14:paraId="5CB7F98C" w14:textId="77777777" w:rsidR="00CF2D46" w:rsidRPr="00930A88" w:rsidRDefault="00CF2D46" w:rsidP="0032784D">
      <w:pPr>
        <w:pStyle w:val="Bullet"/>
      </w:pPr>
      <w:r>
        <w:t>e</w:t>
      </w:r>
      <w:r w:rsidRPr="00930A88">
        <w:t>ducation program</w:t>
      </w:r>
      <w:r>
        <w:t>me</w:t>
      </w:r>
      <w:r w:rsidRPr="00930A88">
        <w:t>s to deter future drug use</w:t>
      </w:r>
    </w:p>
    <w:p w14:paraId="18ED6580" w14:textId="77777777" w:rsidR="00CF2D46" w:rsidRPr="00930A88" w:rsidRDefault="00CF2D46" w:rsidP="0032784D">
      <w:pPr>
        <w:pStyle w:val="Bullet"/>
      </w:pPr>
      <w:r>
        <w:t>t</w:t>
      </w:r>
      <w:r w:rsidRPr="00930A88">
        <w:t>reatment and counselling services</w:t>
      </w:r>
    </w:p>
    <w:p w14:paraId="665B99B8" w14:textId="77777777" w:rsidR="00CF2D46" w:rsidRPr="00930A88" w:rsidRDefault="00CF2D46" w:rsidP="0032784D">
      <w:pPr>
        <w:pStyle w:val="Bullet"/>
      </w:pPr>
      <w:r>
        <w:t>h</w:t>
      </w:r>
      <w:r w:rsidRPr="00930A88">
        <w:t>ospital admissions, emergency treatment and ambulance attendance</w:t>
      </w:r>
    </w:p>
    <w:p w14:paraId="632506DA" w14:textId="77777777" w:rsidR="00CF2D46" w:rsidRPr="00930A88" w:rsidRDefault="00CF2D46" w:rsidP="0032784D">
      <w:pPr>
        <w:pStyle w:val="Bullet"/>
      </w:pPr>
      <w:r>
        <w:t>p</w:t>
      </w:r>
      <w:r w:rsidRPr="00930A88">
        <w:t>olice</w:t>
      </w:r>
      <w:r>
        <w:t>, customs</w:t>
      </w:r>
      <w:r w:rsidRPr="00930A88">
        <w:t xml:space="preserve"> and other law enforcement activities</w:t>
      </w:r>
      <w:r>
        <w:t xml:space="preserve"> addressing supply</w:t>
      </w:r>
    </w:p>
    <w:p w14:paraId="1E84BF53" w14:textId="77777777" w:rsidR="00CF2D46" w:rsidRPr="00930A88" w:rsidRDefault="00CF2D46" w:rsidP="0032784D">
      <w:pPr>
        <w:pStyle w:val="Bullet"/>
      </w:pPr>
      <w:proofErr w:type="gramStart"/>
      <w:r>
        <w:t>c</w:t>
      </w:r>
      <w:r w:rsidRPr="00930A88">
        <w:t>ourts</w:t>
      </w:r>
      <w:proofErr w:type="gramEnd"/>
      <w:r w:rsidRPr="00930A88">
        <w:t xml:space="preserve"> and prisons.</w:t>
      </w:r>
    </w:p>
    <w:p w14:paraId="65AC9CBB" w14:textId="77777777" w:rsidR="00990768" w:rsidRDefault="00CF2D46" w:rsidP="0032784D">
      <w:pPr>
        <w:rPr>
          <w:lang w:eastAsia="en-AU"/>
        </w:rPr>
      </w:pPr>
      <w:r>
        <w:rPr>
          <w:lang w:eastAsia="en-AU"/>
        </w:rPr>
        <w:t>At this point, however, it is not possible to distribute costs across this framework. As an alternative, the traditional activity-based methods of allocating intervention costs against the sponsor agency was used. Complications remained. Many interventions are general and do not target specific drug types. In fact, a number of interventions address alcohol, tobacco and illegal drugs under the one programme. On the other hand, some programmes are drug specific, but it is difficult to draw strict boundaries and the problem remains: what to do with general intervention costs?</w:t>
      </w:r>
    </w:p>
    <w:p w14:paraId="2A059A03" w14:textId="77777777" w:rsidR="00CF2D46" w:rsidRDefault="00CF2D46" w:rsidP="0032784D">
      <w:r>
        <w:rPr>
          <w:lang w:eastAsia="en-AU"/>
        </w:rPr>
        <w:t xml:space="preserve">It would appear from discussions with agency representatives that general interventions are more common than drug-specific ones. </w:t>
      </w:r>
      <w:r>
        <w:t xml:space="preserve">This is especially true of activities that are preventive or educational, or more broadly based on lifestyle or community. </w:t>
      </w:r>
      <w:r>
        <w:rPr>
          <w:lang w:eastAsia="en-AU"/>
        </w:rPr>
        <w:t>Given that the majority of harms accrue to dependent users, it was decided to allocate intervention costs to drug groups by the number of dependent users. This approach is based on expediency given the general nature of much of this work.</w:t>
      </w:r>
    </w:p>
    <w:p w14:paraId="33F22408" w14:textId="77777777" w:rsidR="00CF2D46" w:rsidRDefault="00CF2D46" w:rsidP="0032784D">
      <w:r w:rsidRPr="00B15C0F">
        <w:t>The Ministry of Health, New Zealand Police, Customs and Corrections were approached to provide</w:t>
      </w:r>
      <w:r>
        <w:t xml:space="preserve"> direct estimates of their expenditure on drug-related issues. Court costs were calculated by estimating the proportion of appearances before court where illicit drugs or drug-related acquisitive crime were the principal offence. (See </w:t>
      </w:r>
      <w:r w:rsidR="00990768">
        <w:t>‘</w:t>
      </w:r>
      <w:r>
        <w:t>Acquisitive Crime</w:t>
      </w:r>
      <w:r w:rsidR="00990768">
        <w:t>’</w:t>
      </w:r>
      <w:r>
        <w:t xml:space="preserve">, above, for details of the estimation of drug-related cases.) This rate was applied to the 2014/15 court budget. Table 13 has details of costs by government agencies. </w:t>
      </w:r>
      <w:r w:rsidRPr="008E1446">
        <w:t>The total cost of interventions was $</w:t>
      </w:r>
      <w:r>
        <w:t>351.4</w:t>
      </w:r>
      <w:r w:rsidRPr="008E1446">
        <w:t xml:space="preserve"> million. In effect, the </w:t>
      </w:r>
      <w:r>
        <w:t>government</w:t>
      </w:r>
      <w:r w:rsidRPr="008E1446">
        <w:t xml:space="preserve"> has invested this amount in addressing a problem that causes $1.5 billion of harm to the community each year.</w:t>
      </w:r>
    </w:p>
    <w:p w14:paraId="6B5D108F" w14:textId="77777777" w:rsidR="00CF2D46" w:rsidRPr="00227298" w:rsidRDefault="00CF2D46" w:rsidP="0032784D">
      <w:pPr>
        <w:pStyle w:val="Table"/>
        <w:rPr>
          <w:lang w:eastAsia="en-AU"/>
        </w:rPr>
      </w:pPr>
      <w:bookmarkStart w:id="37" w:name="_Toc444941854"/>
      <w:r w:rsidRPr="00227298">
        <w:rPr>
          <w:lang w:eastAsia="en-AU"/>
        </w:rPr>
        <w:t xml:space="preserve">Table </w:t>
      </w:r>
      <w:r>
        <w:rPr>
          <w:lang w:eastAsia="en-AU"/>
        </w:rPr>
        <w:t>13. Cost of intervention by drug group and intervention type ($ million)</w:t>
      </w:r>
      <w:bookmarkEnd w:id="37"/>
    </w:p>
    <w:tbl>
      <w:tblPr>
        <w:tblW w:w="0" w:type="auto"/>
        <w:tblInd w:w="108" w:type="dxa"/>
        <w:tblLayout w:type="fixed"/>
        <w:tblLook w:val="04A0" w:firstRow="1" w:lastRow="0" w:firstColumn="1" w:lastColumn="0" w:noHBand="0" w:noVBand="1"/>
      </w:tblPr>
      <w:tblGrid>
        <w:gridCol w:w="3119"/>
        <w:gridCol w:w="1488"/>
        <w:gridCol w:w="1488"/>
        <w:gridCol w:w="1488"/>
        <w:gridCol w:w="1489"/>
      </w:tblGrid>
      <w:tr w:rsidR="00CF2D46" w:rsidRPr="0032784D" w14:paraId="428514B0" w14:textId="77777777" w:rsidTr="0032784D">
        <w:trPr>
          <w:cantSplit/>
        </w:trPr>
        <w:tc>
          <w:tcPr>
            <w:tcW w:w="3119" w:type="dxa"/>
            <w:tcBorders>
              <w:top w:val="single" w:sz="4" w:space="0" w:color="auto"/>
              <w:left w:val="single" w:sz="4" w:space="0" w:color="auto"/>
              <w:bottom w:val="nil"/>
              <w:right w:val="nil"/>
            </w:tcBorders>
            <w:shd w:val="clear" w:color="auto" w:fill="auto"/>
            <w:hideMark/>
          </w:tcPr>
          <w:p w14:paraId="6C512CFE" w14:textId="77777777" w:rsidR="00CF2D46" w:rsidRPr="0032784D" w:rsidRDefault="00CF2D46" w:rsidP="0032784D">
            <w:pPr>
              <w:pStyle w:val="TableText"/>
              <w:rPr>
                <w:b/>
                <w:lang w:eastAsia="en-AU"/>
              </w:rPr>
            </w:pPr>
            <w:r w:rsidRPr="0032784D">
              <w:rPr>
                <w:b/>
                <w:lang w:eastAsia="en-AU"/>
              </w:rPr>
              <w:t>Drug group</w:t>
            </w:r>
          </w:p>
        </w:tc>
        <w:tc>
          <w:tcPr>
            <w:tcW w:w="1488" w:type="dxa"/>
            <w:tcBorders>
              <w:top w:val="single" w:sz="4" w:space="0" w:color="auto"/>
              <w:left w:val="nil"/>
              <w:bottom w:val="nil"/>
              <w:right w:val="nil"/>
            </w:tcBorders>
            <w:shd w:val="clear" w:color="auto" w:fill="auto"/>
            <w:hideMark/>
          </w:tcPr>
          <w:p w14:paraId="0137ED9C" w14:textId="77777777" w:rsidR="00CF2D46" w:rsidRPr="0032784D" w:rsidRDefault="00CF2D46" w:rsidP="0032784D">
            <w:pPr>
              <w:pStyle w:val="TableText"/>
              <w:jc w:val="center"/>
              <w:rPr>
                <w:b/>
                <w:lang w:eastAsia="en-AU"/>
              </w:rPr>
            </w:pPr>
            <w:r w:rsidRPr="0032784D">
              <w:rPr>
                <w:b/>
                <w:lang w:eastAsia="en-AU"/>
              </w:rPr>
              <w:t>Health</w:t>
            </w:r>
          </w:p>
        </w:tc>
        <w:tc>
          <w:tcPr>
            <w:tcW w:w="1488" w:type="dxa"/>
            <w:tcBorders>
              <w:top w:val="single" w:sz="4" w:space="0" w:color="auto"/>
              <w:left w:val="nil"/>
              <w:bottom w:val="nil"/>
              <w:right w:val="nil"/>
            </w:tcBorders>
            <w:shd w:val="clear" w:color="auto" w:fill="auto"/>
            <w:hideMark/>
          </w:tcPr>
          <w:p w14:paraId="59A32B59" w14:textId="77777777" w:rsidR="00CF2D46" w:rsidRPr="0032784D" w:rsidRDefault="00CF2D46" w:rsidP="0032784D">
            <w:pPr>
              <w:pStyle w:val="TableText"/>
              <w:jc w:val="center"/>
              <w:rPr>
                <w:b/>
                <w:lang w:eastAsia="en-AU"/>
              </w:rPr>
            </w:pPr>
            <w:r w:rsidRPr="0032784D">
              <w:rPr>
                <w:b/>
                <w:lang w:eastAsia="en-AU"/>
              </w:rPr>
              <w:t>Police/ Customs*</w:t>
            </w:r>
          </w:p>
        </w:tc>
        <w:tc>
          <w:tcPr>
            <w:tcW w:w="1488" w:type="dxa"/>
            <w:tcBorders>
              <w:top w:val="single" w:sz="4" w:space="0" w:color="auto"/>
              <w:left w:val="nil"/>
              <w:bottom w:val="nil"/>
              <w:right w:val="nil"/>
            </w:tcBorders>
            <w:shd w:val="clear" w:color="auto" w:fill="auto"/>
            <w:hideMark/>
          </w:tcPr>
          <w:p w14:paraId="63C2DF94" w14:textId="77777777" w:rsidR="00CF2D46" w:rsidRPr="0032784D" w:rsidRDefault="00CF2D46" w:rsidP="0032784D">
            <w:pPr>
              <w:pStyle w:val="TableText"/>
              <w:jc w:val="center"/>
              <w:rPr>
                <w:b/>
                <w:lang w:eastAsia="en-AU"/>
              </w:rPr>
            </w:pPr>
            <w:r w:rsidRPr="0032784D">
              <w:rPr>
                <w:b/>
                <w:lang w:eastAsia="en-AU"/>
              </w:rPr>
              <w:t>Courts/ Corrections</w:t>
            </w:r>
          </w:p>
        </w:tc>
        <w:tc>
          <w:tcPr>
            <w:tcW w:w="1489" w:type="dxa"/>
            <w:tcBorders>
              <w:top w:val="single" w:sz="4" w:space="0" w:color="auto"/>
              <w:left w:val="nil"/>
              <w:bottom w:val="nil"/>
              <w:right w:val="single" w:sz="4" w:space="0" w:color="auto"/>
            </w:tcBorders>
            <w:shd w:val="clear" w:color="auto" w:fill="auto"/>
            <w:hideMark/>
          </w:tcPr>
          <w:p w14:paraId="46082BCC" w14:textId="77777777" w:rsidR="00CF2D46" w:rsidRPr="0032784D" w:rsidRDefault="00CF2D46" w:rsidP="0032784D">
            <w:pPr>
              <w:pStyle w:val="TableText"/>
              <w:jc w:val="center"/>
              <w:rPr>
                <w:b/>
                <w:lang w:eastAsia="en-AU"/>
              </w:rPr>
            </w:pPr>
            <w:r w:rsidRPr="0032784D">
              <w:rPr>
                <w:b/>
                <w:lang w:eastAsia="en-AU"/>
              </w:rPr>
              <w:t>Total</w:t>
            </w:r>
          </w:p>
        </w:tc>
      </w:tr>
      <w:tr w:rsidR="00CF2D46" w:rsidRPr="008C6D1A" w14:paraId="187F1E0F" w14:textId="77777777" w:rsidTr="0032784D">
        <w:trPr>
          <w:cantSplit/>
        </w:trPr>
        <w:tc>
          <w:tcPr>
            <w:tcW w:w="3119" w:type="dxa"/>
            <w:tcBorders>
              <w:top w:val="single" w:sz="4" w:space="0" w:color="auto"/>
              <w:left w:val="single" w:sz="4" w:space="0" w:color="auto"/>
              <w:bottom w:val="nil"/>
              <w:right w:val="nil"/>
            </w:tcBorders>
            <w:shd w:val="clear" w:color="auto" w:fill="auto"/>
            <w:hideMark/>
          </w:tcPr>
          <w:p w14:paraId="06778D24" w14:textId="77777777" w:rsidR="00CF2D46" w:rsidRPr="008C6D1A" w:rsidRDefault="00CF2D46" w:rsidP="0032784D">
            <w:pPr>
              <w:pStyle w:val="TableText"/>
              <w:rPr>
                <w:lang w:eastAsia="en-AU"/>
              </w:rPr>
            </w:pPr>
            <w:r w:rsidRPr="008C6D1A">
              <w:rPr>
                <w:lang w:eastAsia="en-AU"/>
              </w:rPr>
              <w:t>Amphetamine</w:t>
            </w:r>
            <w:r>
              <w:rPr>
                <w:lang w:eastAsia="en-AU"/>
              </w:rPr>
              <w:t>-</w:t>
            </w:r>
            <w:r w:rsidRPr="008C6D1A">
              <w:rPr>
                <w:lang w:eastAsia="en-AU"/>
              </w:rPr>
              <w:t>type stimulants</w:t>
            </w:r>
          </w:p>
        </w:tc>
        <w:tc>
          <w:tcPr>
            <w:tcW w:w="1488" w:type="dxa"/>
            <w:tcBorders>
              <w:top w:val="single" w:sz="4" w:space="0" w:color="auto"/>
              <w:left w:val="nil"/>
              <w:bottom w:val="nil"/>
              <w:right w:val="nil"/>
            </w:tcBorders>
            <w:shd w:val="clear" w:color="auto" w:fill="auto"/>
            <w:hideMark/>
          </w:tcPr>
          <w:p w14:paraId="336E5274" w14:textId="77777777" w:rsidR="00CF2D46" w:rsidRPr="008C6D1A" w:rsidRDefault="00CF2D46" w:rsidP="0032784D">
            <w:pPr>
              <w:pStyle w:val="TableText"/>
              <w:tabs>
                <w:tab w:val="decimal" w:pos="648"/>
              </w:tabs>
              <w:rPr>
                <w:lang w:eastAsia="en-AU"/>
              </w:rPr>
            </w:pPr>
            <w:r w:rsidRPr="008C6D1A">
              <w:rPr>
                <w:lang w:eastAsia="en-AU"/>
              </w:rPr>
              <w:t>3.6</w:t>
            </w:r>
          </w:p>
        </w:tc>
        <w:tc>
          <w:tcPr>
            <w:tcW w:w="1488" w:type="dxa"/>
            <w:tcBorders>
              <w:top w:val="single" w:sz="4" w:space="0" w:color="auto"/>
              <w:left w:val="nil"/>
              <w:bottom w:val="nil"/>
              <w:right w:val="nil"/>
            </w:tcBorders>
            <w:shd w:val="clear" w:color="auto" w:fill="auto"/>
            <w:hideMark/>
          </w:tcPr>
          <w:p w14:paraId="2A5E04B5" w14:textId="77777777" w:rsidR="00CF2D46" w:rsidRPr="008C6D1A" w:rsidRDefault="00CF2D46" w:rsidP="0032784D">
            <w:pPr>
              <w:pStyle w:val="TableText"/>
              <w:tabs>
                <w:tab w:val="decimal" w:pos="648"/>
              </w:tabs>
              <w:rPr>
                <w:lang w:eastAsia="en-AU"/>
              </w:rPr>
            </w:pPr>
            <w:r w:rsidRPr="008C6D1A">
              <w:rPr>
                <w:lang w:eastAsia="en-AU"/>
              </w:rPr>
              <w:t>4.8</w:t>
            </w:r>
          </w:p>
        </w:tc>
        <w:tc>
          <w:tcPr>
            <w:tcW w:w="1488" w:type="dxa"/>
            <w:tcBorders>
              <w:top w:val="single" w:sz="4" w:space="0" w:color="auto"/>
              <w:left w:val="nil"/>
              <w:bottom w:val="nil"/>
              <w:right w:val="nil"/>
            </w:tcBorders>
            <w:shd w:val="clear" w:color="auto" w:fill="auto"/>
            <w:hideMark/>
          </w:tcPr>
          <w:p w14:paraId="73E7620D" w14:textId="77777777" w:rsidR="00CF2D46" w:rsidRPr="008C6D1A" w:rsidRDefault="00CF2D46" w:rsidP="0032784D">
            <w:pPr>
              <w:pStyle w:val="TableText"/>
              <w:tabs>
                <w:tab w:val="decimal" w:pos="648"/>
              </w:tabs>
              <w:rPr>
                <w:lang w:eastAsia="en-AU"/>
              </w:rPr>
            </w:pPr>
            <w:r>
              <w:rPr>
                <w:lang w:eastAsia="en-AU"/>
              </w:rPr>
              <w:t>52.1</w:t>
            </w:r>
          </w:p>
        </w:tc>
        <w:tc>
          <w:tcPr>
            <w:tcW w:w="1489" w:type="dxa"/>
            <w:tcBorders>
              <w:top w:val="single" w:sz="4" w:space="0" w:color="auto"/>
              <w:left w:val="nil"/>
              <w:bottom w:val="nil"/>
              <w:right w:val="single" w:sz="4" w:space="0" w:color="auto"/>
            </w:tcBorders>
            <w:shd w:val="clear" w:color="auto" w:fill="auto"/>
            <w:hideMark/>
          </w:tcPr>
          <w:p w14:paraId="0EA985CF" w14:textId="77777777" w:rsidR="00CF2D46" w:rsidRPr="008C6D1A" w:rsidRDefault="00CF2D46" w:rsidP="0032784D">
            <w:pPr>
              <w:pStyle w:val="TableText"/>
              <w:tabs>
                <w:tab w:val="decimal" w:pos="648"/>
              </w:tabs>
              <w:rPr>
                <w:lang w:eastAsia="en-AU"/>
              </w:rPr>
            </w:pPr>
            <w:r w:rsidRPr="008C6D1A">
              <w:rPr>
                <w:lang w:eastAsia="en-AU"/>
              </w:rPr>
              <w:t>1</w:t>
            </w:r>
            <w:r>
              <w:rPr>
                <w:lang w:eastAsia="en-AU"/>
              </w:rPr>
              <w:t>6</w:t>
            </w:r>
            <w:r w:rsidRPr="008C6D1A">
              <w:rPr>
                <w:lang w:eastAsia="en-AU"/>
              </w:rPr>
              <w:t>.</w:t>
            </w:r>
            <w:r>
              <w:rPr>
                <w:lang w:eastAsia="en-AU"/>
              </w:rPr>
              <w:t>4</w:t>
            </w:r>
          </w:p>
        </w:tc>
      </w:tr>
      <w:tr w:rsidR="00CF2D46" w:rsidRPr="008C6D1A" w14:paraId="7104B426" w14:textId="77777777" w:rsidTr="0032784D">
        <w:trPr>
          <w:cantSplit/>
        </w:trPr>
        <w:tc>
          <w:tcPr>
            <w:tcW w:w="3119" w:type="dxa"/>
            <w:tcBorders>
              <w:top w:val="nil"/>
              <w:left w:val="single" w:sz="4" w:space="0" w:color="auto"/>
              <w:bottom w:val="nil"/>
              <w:right w:val="nil"/>
            </w:tcBorders>
            <w:shd w:val="clear" w:color="auto" w:fill="auto"/>
            <w:hideMark/>
          </w:tcPr>
          <w:p w14:paraId="5FB0E057" w14:textId="77777777" w:rsidR="00CF2D46" w:rsidRPr="008C6D1A" w:rsidRDefault="00CF2D46" w:rsidP="0032784D">
            <w:pPr>
              <w:pStyle w:val="TableText"/>
              <w:rPr>
                <w:lang w:eastAsia="en-AU"/>
              </w:rPr>
            </w:pPr>
            <w:r w:rsidRPr="008C6D1A">
              <w:rPr>
                <w:lang w:eastAsia="en-AU"/>
              </w:rPr>
              <w:t>Cannabinoids</w:t>
            </w:r>
          </w:p>
        </w:tc>
        <w:tc>
          <w:tcPr>
            <w:tcW w:w="1488" w:type="dxa"/>
            <w:tcBorders>
              <w:top w:val="nil"/>
              <w:left w:val="nil"/>
              <w:bottom w:val="nil"/>
              <w:right w:val="nil"/>
            </w:tcBorders>
            <w:shd w:val="clear" w:color="auto" w:fill="auto"/>
            <w:hideMark/>
          </w:tcPr>
          <w:p w14:paraId="1F9B60F8" w14:textId="77777777" w:rsidR="00CF2D46" w:rsidRPr="008C6D1A" w:rsidRDefault="00CF2D46" w:rsidP="0032784D">
            <w:pPr>
              <w:pStyle w:val="TableText"/>
              <w:tabs>
                <w:tab w:val="decimal" w:pos="648"/>
              </w:tabs>
              <w:rPr>
                <w:lang w:eastAsia="en-AU"/>
              </w:rPr>
            </w:pPr>
            <w:r w:rsidRPr="008C6D1A">
              <w:rPr>
                <w:lang w:eastAsia="en-AU"/>
              </w:rPr>
              <w:t>68.2</w:t>
            </w:r>
          </w:p>
        </w:tc>
        <w:tc>
          <w:tcPr>
            <w:tcW w:w="1488" w:type="dxa"/>
            <w:tcBorders>
              <w:top w:val="nil"/>
              <w:left w:val="nil"/>
              <w:bottom w:val="nil"/>
              <w:right w:val="nil"/>
            </w:tcBorders>
            <w:shd w:val="clear" w:color="auto" w:fill="auto"/>
            <w:hideMark/>
          </w:tcPr>
          <w:p w14:paraId="26E3CB22" w14:textId="77777777" w:rsidR="00CF2D46" w:rsidRPr="008C6D1A" w:rsidRDefault="00CF2D46" w:rsidP="0032784D">
            <w:pPr>
              <w:pStyle w:val="TableText"/>
              <w:tabs>
                <w:tab w:val="decimal" w:pos="648"/>
              </w:tabs>
              <w:rPr>
                <w:lang w:eastAsia="en-AU"/>
              </w:rPr>
            </w:pPr>
            <w:r w:rsidRPr="008C6D1A">
              <w:rPr>
                <w:lang w:eastAsia="en-AU"/>
              </w:rPr>
              <w:t>89.8</w:t>
            </w:r>
          </w:p>
        </w:tc>
        <w:tc>
          <w:tcPr>
            <w:tcW w:w="1488" w:type="dxa"/>
            <w:tcBorders>
              <w:top w:val="nil"/>
              <w:left w:val="nil"/>
              <w:bottom w:val="nil"/>
              <w:right w:val="nil"/>
            </w:tcBorders>
            <w:shd w:val="clear" w:color="auto" w:fill="auto"/>
            <w:hideMark/>
          </w:tcPr>
          <w:p w14:paraId="0BF4A44E" w14:textId="77777777" w:rsidR="00CF2D46" w:rsidRPr="008C6D1A" w:rsidRDefault="00CF2D46" w:rsidP="0032784D">
            <w:pPr>
              <w:pStyle w:val="TableText"/>
              <w:tabs>
                <w:tab w:val="decimal" w:pos="648"/>
              </w:tabs>
              <w:rPr>
                <w:lang w:eastAsia="en-AU"/>
              </w:rPr>
            </w:pPr>
            <w:r>
              <w:rPr>
                <w:lang w:eastAsia="en-AU"/>
              </w:rPr>
              <w:t>108.5</w:t>
            </w:r>
          </w:p>
        </w:tc>
        <w:tc>
          <w:tcPr>
            <w:tcW w:w="1489" w:type="dxa"/>
            <w:tcBorders>
              <w:top w:val="nil"/>
              <w:left w:val="nil"/>
              <w:bottom w:val="nil"/>
              <w:right w:val="single" w:sz="4" w:space="0" w:color="auto"/>
            </w:tcBorders>
            <w:shd w:val="clear" w:color="auto" w:fill="auto"/>
            <w:hideMark/>
          </w:tcPr>
          <w:p w14:paraId="43500CB7" w14:textId="77777777" w:rsidR="00CF2D46" w:rsidRPr="008C6D1A" w:rsidRDefault="00CF2D46" w:rsidP="0032784D">
            <w:pPr>
              <w:pStyle w:val="TableText"/>
              <w:tabs>
                <w:tab w:val="decimal" w:pos="648"/>
              </w:tabs>
              <w:rPr>
                <w:lang w:eastAsia="en-AU"/>
              </w:rPr>
            </w:pPr>
            <w:r>
              <w:rPr>
                <w:lang w:eastAsia="en-AU"/>
              </w:rPr>
              <w:t>305.9</w:t>
            </w:r>
          </w:p>
        </w:tc>
      </w:tr>
      <w:tr w:rsidR="00CF2D46" w:rsidRPr="008C6D1A" w14:paraId="130E2704" w14:textId="77777777" w:rsidTr="0032784D">
        <w:trPr>
          <w:cantSplit/>
        </w:trPr>
        <w:tc>
          <w:tcPr>
            <w:tcW w:w="3119" w:type="dxa"/>
            <w:tcBorders>
              <w:top w:val="nil"/>
              <w:left w:val="single" w:sz="4" w:space="0" w:color="auto"/>
              <w:bottom w:val="nil"/>
              <w:right w:val="nil"/>
            </w:tcBorders>
            <w:shd w:val="clear" w:color="auto" w:fill="auto"/>
            <w:hideMark/>
          </w:tcPr>
          <w:p w14:paraId="5C8016AE" w14:textId="21A3DF21" w:rsidR="00CF2D46" w:rsidRPr="008C6D1A" w:rsidRDefault="00CF2D46">
            <w:pPr>
              <w:pStyle w:val="TableText"/>
              <w:rPr>
                <w:lang w:eastAsia="en-AU"/>
              </w:rPr>
            </w:pPr>
            <w:r w:rsidRPr="008C6D1A">
              <w:rPr>
                <w:lang w:eastAsia="en-AU"/>
              </w:rPr>
              <w:t xml:space="preserve">Hallucinogenic </w:t>
            </w:r>
            <w:r w:rsidR="0032784D">
              <w:rPr>
                <w:lang w:eastAsia="en-AU"/>
              </w:rPr>
              <w:t>and</w:t>
            </w:r>
            <w:r w:rsidRPr="008C6D1A">
              <w:rPr>
                <w:lang w:eastAsia="en-AU"/>
              </w:rPr>
              <w:t xml:space="preserve"> psychedelic drugs</w:t>
            </w:r>
          </w:p>
        </w:tc>
        <w:tc>
          <w:tcPr>
            <w:tcW w:w="1488" w:type="dxa"/>
            <w:tcBorders>
              <w:top w:val="nil"/>
              <w:left w:val="nil"/>
              <w:bottom w:val="nil"/>
              <w:right w:val="nil"/>
            </w:tcBorders>
            <w:shd w:val="clear" w:color="auto" w:fill="auto"/>
            <w:hideMark/>
          </w:tcPr>
          <w:p w14:paraId="38F2FB3C" w14:textId="77777777" w:rsidR="00CF2D46" w:rsidRPr="008C6D1A" w:rsidRDefault="00CF2D46" w:rsidP="0032784D">
            <w:pPr>
              <w:pStyle w:val="TableText"/>
              <w:tabs>
                <w:tab w:val="decimal" w:pos="648"/>
              </w:tabs>
              <w:rPr>
                <w:lang w:eastAsia="en-AU"/>
              </w:rPr>
            </w:pPr>
            <w:r w:rsidRPr="008C6D1A">
              <w:rPr>
                <w:lang w:eastAsia="en-AU"/>
              </w:rPr>
              <w:t>1.2</w:t>
            </w:r>
          </w:p>
        </w:tc>
        <w:tc>
          <w:tcPr>
            <w:tcW w:w="1488" w:type="dxa"/>
            <w:tcBorders>
              <w:top w:val="nil"/>
              <w:left w:val="nil"/>
              <w:bottom w:val="nil"/>
              <w:right w:val="nil"/>
            </w:tcBorders>
            <w:shd w:val="clear" w:color="auto" w:fill="auto"/>
            <w:hideMark/>
          </w:tcPr>
          <w:p w14:paraId="5C9D0775" w14:textId="77777777" w:rsidR="00CF2D46" w:rsidRPr="008C6D1A" w:rsidRDefault="00CF2D46" w:rsidP="0032784D">
            <w:pPr>
              <w:pStyle w:val="TableText"/>
              <w:tabs>
                <w:tab w:val="decimal" w:pos="648"/>
              </w:tabs>
              <w:rPr>
                <w:lang w:eastAsia="en-AU"/>
              </w:rPr>
            </w:pPr>
            <w:r w:rsidRPr="008C6D1A">
              <w:rPr>
                <w:lang w:eastAsia="en-AU"/>
              </w:rPr>
              <w:t>1.6</w:t>
            </w:r>
          </w:p>
        </w:tc>
        <w:tc>
          <w:tcPr>
            <w:tcW w:w="1488" w:type="dxa"/>
            <w:tcBorders>
              <w:top w:val="nil"/>
              <w:left w:val="nil"/>
              <w:bottom w:val="nil"/>
              <w:right w:val="nil"/>
            </w:tcBorders>
            <w:shd w:val="clear" w:color="auto" w:fill="auto"/>
            <w:hideMark/>
          </w:tcPr>
          <w:p w14:paraId="0F340B78" w14:textId="77777777" w:rsidR="00CF2D46" w:rsidRPr="008C6D1A" w:rsidRDefault="00CF2D46" w:rsidP="0032784D">
            <w:pPr>
              <w:pStyle w:val="TableText"/>
              <w:tabs>
                <w:tab w:val="decimal" w:pos="648"/>
              </w:tabs>
              <w:rPr>
                <w:lang w:eastAsia="en-AU"/>
              </w:rPr>
            </w:pPr>
            <w:r>
              <w:rPr>
                <w:lang w:eastAsia="en-AU"/>
              </w:rPr>
              <w:t>3.0</w:t>
            </w:r>
          </w:p>
        </w:tc>
        <w:tc>
          <w:tcPr>
            <w:tcW w:w="1489" w:type="dxa"/>
            <w:tcBorders>
              <w:top w:val="nil"/>
              <w:left w:val="nil"/>
              <w:bottom w:val="nil"/>
              <w:right w:val="single" w:sz="4" w:space="0" w:color="auto"/>
            </w:tcBorders>
            <w:shd w:val="clear" w:color="auto" w:fill="auto"/>
            <w:hideMark/>
          </w:tcPr>
          <w:p w14:paraId="5AA8A6A6" w14:textId="77777777" w:rsidR="00CF2D46" w:rsidRPr="008C6D1A" w:rsidRDefault="00CF2D46" w:rsidP="0032784D">
            <w:pPr>
              <w:pStyle w:val="TableText"/>
              <w:tabs>
                <w:tab w:val="decimal" w:pos="648"/>
              </w:tabs>
              <w:rPr>
                <w:lang w:eastAsia="en-AU"/>
              </w:rPr>
            </w:pPr>
            <w:r>
              <w:rPr>
                <w:lang w:eastAsia="en-AU"/>
              </w:rPr>
              <w:t>5</w:t>
            </w:r>
            <w:r w:rsidRPr="008C6D1A">
              <w:rPr>
                <w:lang w:eastAsia="en-AU"/>
              </w:rPr>
              <w:t>.</w:t>
            </w:r>
            <w:r>
              <w:rPr>
                <w:lang w:eastAsia="en-AU"/>
              </w:rPr>
              <w:t>3</w:t>
            </w:r>
          </w:p>
        </w:tc>
      </w:tr>
      <w:tr w:rsidR="00CF2D46" w:rsidRPr="008C6D1A" w14:paraId="3B71035E" w14:textId="77777777" w:rsidTr="0032784D">
        <w:trPr>
          <w:cantSplit/>
        </w:trPr>
        <w:tc>
          <w:tcPr>
            <w:tcW w:w="3119" w:type="dxa"/>
            <w:tcBorders>
              <w:top w:val="nil"/>
              <w:left w:val="single" w:sz="4" w:space="0" w:color="auto"/>
              <w:bottom w:val="single" w:sz="4" w:space="0" w:color="auto"/>
              <w:right w:val="nil"/>
            </w:tcBorders>
            <w:shd w:val="clear" w:color="auto" w:fill="auto"/>
            <w:hideMark/>
          </w:tcPr>
          <w:p w14:paraId="20FB8FD5" w14:textId="26B3B8BA" w:rsidR="00CF2D46" w:rsidRPr="008C6D1A" w:rsidRDefault="00CF2D46">
            <w:pPr>
              <w:pStyle w:val="TableText"/>
              <w:rPr>
                <w:lang w:eastAsia="en-AU"/>
              </w:rPr>
            </w:pPr>
            <w:r>
              <w:rPr>
                <w:lang w:eastAsia="en-AU"/>
              </w:rPr>
              <w:t xml:space="preserve">Opioid </w:t>
            </w:r>
            <w:r w:rsidR="0032784D">
              <w:rPr>
                <w:lang w:eastAsia="en-AU"/>
              </w:rPr>
              <w:t>and</w:t>
            </w:r>
            <w:r>
              <w:rPr>
                <w:lang w:eastAsia="en-AU"/>
              </w:rPr>
              <w:t xml:space="preserve"> sedative drugs</w:t>
            </w:r>
          </w:p>
        </w:tc>
        <w:tc>
          <w:tcPr>
            <w:tcW w:w="1488" w:type="dxa"/>
            <w:tcBorders>
              <w:top w:val="nil"/>
              <w:left w:val="nil"/>
              <w:bottom w:val="single" w:sz="4" w:space="0" w:color="auto"/>
              <w:right w:val="nil"/>
            </w:tcBorders>
            <w:shd w:val="clear" w:color="auto" w:fill="auto"/>
            <w:hideMark/>
          </w:tcPr>
          <w:p w14:paraId="6DC9ADE0" w14:textId="77777777" w:rsidR="00CF2D46" w:rsidRPr="008C6D1A" w:rsidRDefault="00CF2D46" w:rsidP="0032784D">
            <w:pPr>
              <w:pStyle w:val="TableText"/>
              <w:tabs>
                <w:tab w:val="decimal" w:pos="648"/>
              </w:tabs>
              <w:rPr>
                <w:lang w:eastAsia="en-AU"/>
              </w:rPr>
            </w:pPr>
            <w:r w:rsidRPr="008C6D1A">
              <w:rPr>
                <w:lang w:eastAsia="en-AU"/>
              </w:rPr>
              <w:t>5.3</w:t>
            </w:r>
          </w:p>
        </w:tc>
        <w:tc>
          <w:tcPr>
            <w:tcW w:w="1488" w:type="dxa"/>
            <w:tcBorders>
              <w:top w:val="nil"/>
              <w:left w:val="nil"/>
              <w:bottom w:val="single" w:sz="4" w:space="0" w:color="auto"/>
              <w:right w:val="nil"/>
            </w:tcBorders>
            <w:shd w:val="clear" w:color="auto" w:fill="auto"/>
            <w:hideMark/>
          </w:tcPr>
          <w:p w14:paraId="6D205FDC" w14:textId="77777777" w:rsidR="00CF2D46" w:rsidRPr="008C6D1A" w:rsidRDefault="00CF2D46" w:rsidP="0032784D">
            <w:pPr>
              <w:pStyle w:val="TableText"/>
              <w:tabs>
                <w:tab w:val="decimal" w:pos="648"/>
              </w:tabs>
              <w:rPr>
                <w:lang w:eastAsia="en-AU"/>
              </w:rPr>
            </w:pPr>
            <w:r w:rsidRPr="008C6D1A">
              <w:rPr>
                <w:lang w:eastAsia="en-AU"/>
              </w:rPr>
              <w:t>7.0</w:t>
            </w:r>
          </w:p>
        </w:tc>
        <w:tc>
          <w:tcPr>
            <w:tcW w:w="1488" w:type="dxa"/>
            <w:tcBorders>
              <w:top w:val="nil"/>
              <w:left w:val="nil"/>
              <w:bottom w:val="single" w:sz="4" w:space="0" w:color="auto"/>
              <w:right w:val="nil"/>
            </w:tcBorders>
            <w:shd w:val="clear" w:color="auto" w:fill="auto"/>
            <w:hideMark/>
          </w:tcPr>
          <w:p w14:paraId="0E0A73EF" w14:textId="77777777" w:rsidR="00CF2D46" w:rsidRPr="008C6D1A" w:rsidRDefault="00CF2D46" w:rsidP="0032784D">
            <w:pPr>
              <w:pStyle w:val="TableText"/>
              <w:tabs>
                <w:tab w:val="decimal" w:pos="648"/>
              </w:tabs>
              <w:rPr>
                <w:lang w:eastAsia="en-AU"/>
              </w:rPr>
            </w:pPr>
            <w:r>
              <w:rPr>
                <w:lang w:eastAsia="en-AU"/>
              </w:rPr>
              <w:t>6</w:t>
            </w:r>
            <w:r w:rsidRPr="008C6D1A">
              <w:rPr>
                <w:lang w:eastAsia="en-AU"/>
              </w:rPr>
              <w:t>.</w:t>
            </w:r>
            <w:r>
              <w:rPr>
                <w:lang w:eastAsia="en-AU"/>
              </w:rPr>
              <w:t>3</w:t>
            </w:r>
          </w:p>
        </w:tc>
        <w:tc>
          <w:tcPr>
            <w:tcW w:w="1489" w:type="dxa"/>
            <w:tcBorders>
              <w:top w:val="nil"/>
              <w:left w:val="nil"/>
              <w:bottom w:val="single" w:sz="4" w:space="0" w:color="auto"/>
              <w:right w:val="single" w:sz="4" w:space="0" w:color="auto"/>
            </w:tcBorders>
            <w:shd w:val="clear" w:color="auto" w:fill="auto"/>
            <w:hideMark/>
          </w:tcPr>
          <w:p w14:paraId="420E58CA" w14:textId="77777777" w:rsidR="00CF2D46" w:rsidRPr="008C6D1A" w:rsidRDefault="00CF2D46" w:rsidP="0032784D">
            <w:pPr>
              <w:pStyle w:val="TableText"/>
              <w:tabs>
                <w:tab w:val="decimal" w:pos="648"/>
              </w:tabs>
              <w:rPr>
                <w:lang w:eastAsia="en-AU"/>
              </w:rPr>
            </w:pPr>
            <w:r>
              <w:rPr>
                <w:lang w:eastAsia="en-AU"/>
              </w:rPr>
              <w:t>23.8</w:t>
            </w:r>
          </w:p>
        </w:tc>
      </w:tr>
      <w:tr w:rsidR="00CF2D46" w:rsidRPr="0032784D" w14:paraId="70DEB3E1" w14:textId="77777777" w:rsidTr="0032784D">
        <w:trPr>
          <w:cantSplit/>
        </w:trPr>
        <w:tc>
          <w:tcPr>
            <w:tcW w:w="3119" w:type="dxa"/>
            <w:tcBorders>
              <w:top w:val="nil"/>
              <w:left w:val="single" w:sz="4" w:space="0" w:color="auto"/>
              <w:bottom w:val="single" w:sz="4" w:space="0" w:color="auto"/>
              <w:right w:val="nil"/>
            </w:tcBorders>
            <w:shd w:val="clear" w:color="auto" w:fill="auto"/>
            <w:hideMark/>
          </w:tcPr>
          <w:p w14:paraId="799AF9A6" w14:textId="77777777" w:rsidR="00CF2D46" w:rsidRPr="0032784D" w:rsidRDefault="00CF2D46" w:rsidP="0032784D">
            <w:pPr>
              <w:pStyle w:val="TableText"/>
              <w:ind w:right="142"/>
              <w:jc w:val="right"/>
              <w:rPr>
                <w:b/>
                <w:lang w:eastAsia="en-AU"/>
              </w:rPr>
            </w:pPr>
            <w:r w:rsidRPr="0032784D">
              <w:rPr>
                <w:b/>
                <w:lang w:eastAsia="en-AU"/>
              </w:rPr>
              <w:t>Total</w:t>
            </w:r>
          </w:p>
        </w:tc>
        <w:tc>
          <w:tcPr>
            <w:tcW w:w="1488" w:type="dxa"/>
            <w:tcBorders>
              <w:top w:val="nil"/>
              <w:left w:val="nil"/>
              <w:bottom w:val="single" w:sz="4" w:space="0" w:color="auto"/>
              <w:right w:val="nil"/>
            </w:tcBorders>
            <w:shd w:val="clear" w:color="auto" w:fill="auto"/>
            <w:hideMark/>
          </w:tcPr>
          <w:p w14:paraId="4968409A" w14:textId="77777777" w:rsidR="00CF2D46" w:rsidRPr="0032784D" w:rsidRDefault="00CF2D46" w:rsidP="0032784D">
            <w:pPr>
              <w:pStyle w:val="TableText"/>
              <w:tabs>
                <w:tab w:val="decimal" w:pos="648"/>
              </w:tabs>
              <w:rPr>
                <w:b/>
                <w:lang w:eastAsia="en-AU"/>
              </w:rPr>
            </w:pPr>
            <w:r w:rsidRPr="0032784D">
              <w:rPr>
                <w:b/>
                <w:lang w:eastAsia="en-AU"/>
              </w:rPr>
              <w:t>78.3</w:t>
            </w:r>
          </w:p>
        </w:tc>
        <w:tc>
          <w:tcPr>
            <w:tcW w:w="1488" w:type="dxa"/>
            <w:tcBorders>
              <w:top w:val="nil"/>
              <w:left w:val="nil"/>
              <w:bottom w:val="single" w:sz="4" w:space="0" w:color="auto"/>
              <w:right w:val="nil"/>
            </w:tcBorders>
            <w:shd w:val="clear" w:color="auto" w:fill="auto"/>
            <w:hideMark/>
          </w:tcPr>
          <w:p w14:paraId="3F8331FB" w14:textId="77777777" w:rsidR="00CF2D46" w:rsidRPr="0032784D" w:rsidRDefault="00CF2D46" w:rsidP="0032784D">
            <w:pPr>
              <w:pStyle w:val="TableText"/>
              <w:tabs>
                <w:tab w:val="decimal" w:pos="648"/>
              </w:tabs>
              <w:rPr>
                <w:b/>
                <w:lang w:eastAsia="en-AU"/>
              </w:rPr>
            </w:pPr>
            <w:r w:rsidRPr="0032784D">
              <w:rPr>
                <w:b/>
                <w:lang w:eastAsia="en-AU"/>
              </w:rPr>
              <w:t>103.1</w:t>
            </w:r>
          </w:p>
        </w:tc>
        <w:tc>
          <w:tcPr>
            <w:tcW w:w="1488" w:type="dxa"/>
            <w:tcBorders>
              <w:top w:val="nil"/>
              <w:left w:val="nil"/>
              <w:bottom w:val="single" w:sz="4" w:space="0" w:color="auto"/>
              <w:right w:val="nil"/>
            </w:tcBorders>
            <w:shd w:val="clear" w:color="auto" w:fill="auto"/>
            <w:hideMark/>
          </w:tcPr>
          <w:p w14:paraId="27214273" w14:textId="77777777" w:rsidR="00CF2D46" w:rsidRPr="0032784D" w:rsidRDefault="00CF2D46" w:rsidP="0032784D">
            <w:pPr>
              <w:pStyle w:val="TableText"/>
              <w:tabs>
                <w:tab w:val="decimal" w:pos="648"/>
              </w:tabs>
              <w:rPr>
                <w:b/>
                <w:lang w:eastAsia="en-AU"/>
              </w:rPr>
            </w:pPr>
            <w:r w:rsidRPr="0032784D">
              <w:rPr>
                <w:b/>
                <w:lang w:eastAsia="en-AU"/>
              </w:rPr>
              <w:t>170.0</w:t>
            </w:r>
          </w:p>
        </w:tc>
        <w:tc>
          <w:tcPr>
            <w:tcW w:w="1489" w:type="dxa"/>
            <w:tcBorders>
              <w:top w:val="nil"/>
              <w:left w:val="nil"/>
              <w:bottom w:val="single" w:sz="4" w:space="0" w:color="auto"/>
              <w:right w:val="single" w:sz="4" w:space="0" w:color="auto"/>
            </w:tcBorders>
            <w:shd w:val="clear" w:color="auto" w:fill="auto"/>
            <w:hideMark/>
          </w:tcPr>
          <w:p w14:paraId="41FF0E91" w14:textId="77777777" w:rsidR="00CF2D46" w:rsidRPr="0032784D" w:rsidRDefault="00CF2D46" w:rsidP="0032784D">
            <w:pPr>
              <w:pStyle w:val="TableText"/>
              <w:tabs>
                <w:tab w:val="decimal" w:pos="648"/>
              </w:tabs>
              <w:rPr>
                <w:b/>
                <w:lang w:eastAsia="en-AU"/>
              </w:rPr>
            </w:pPr>
            <w:r w:rsidRPr="0032784D">
              <w:rPr>
                <w:b/>
                <w:lang w:eastAsia="en-AU"/>
              </w:rPr>
              <w:t>351.4</w:t>
            </w:r>
          </w:p>
        </w:tc>
      </w:tr>
    </w:tbl>
    <w:p w14:paraId="2AA7AB76" w14:textId="77777777" w:rsidR="00CF2D46" w:rsidRPr="00742F36" w:rsidRDefault="00CF2D46" w:rsidP="0032784D">
      <w:pPr>
        <w:pStyle w:val="Note"/>
      </w:pPr>
      <w:r w:rsidRPr="00742F36">
        <w:t>*</w:t>
      </w:r>
      <w:r w:rsidR="0032784D">
        <w:tab/>
      </w:r>
      <w:r w:rsidRPr="00742F36">
        <w:t xml:space="preserve">Customs estimates </w:t>
      </w:r>
      <w:r>
        <w:t xml:space="preserve">are </w:t>
      </w:r>
      <w:r w:rsidRPr="00742F36">
        <w:t>not available at this point</w:t>
      </w:r>
      <w:r>
        <w:t>.</w:t>
      </w:r>
    </w:p>
    <w:p w14:paraId="7D6996EB" w14:textId="77777777" w:rsidR="00CF2D46" w:rsidRDefault="00CF2D46" w:rsidP="0032784D">
      <w:pPr>
        <w:rPr>
          <w:lang w:eastAsia="en-AU"/>
        </w:rPr>
      </w:pPr>
      <w:r>
        <w:rPr>
          <w:lang w:eastAsia="en-AU"/>
        </w:rPr>
        <w:t>These figures should be treated as preliminary. In the long term, it is hoped that a more uniform and centralised method of reporting intervention costs can be developed.</w:t>
      </w:r>
    </w:p>
    <w:p w14:paraId="56CFB965" w14:textId="77777777" w:rsidR="00CF2D46" w:rsidRPr="000F0CCD" w:rsidRDefault="00CF2D46" w:rsidP="0032784D">
      <w:pPr>
        <w:pStyle w:val="BoxHeading"/>
        <w:keepNext/>
        <w:rPr>
          <w:lang w:eastAsia="en-AU"/>
        </w:rPr>
      </w:pPr>
      <w:r>
        <w:rPr>
          <w:lang w:eastAsia="en-AU"/>
        </w:rPr>
        <w:t>INSERT 5.</w:t>
      </w:r>
    </w:p>
    <w:p w14:paraId="7A0833A0" w14:textId="77777777" w:rsidR="00CF2D46" w:rsidRDefault="00CF2D46" w:rsidP="0032784D">
      <w:pPr>
        <w:pStyle w:val="Box"/>
        <w:rPr>
          <w:lang w:eastAsia="en-AU"/>
        </w:rPr>
      </w:pPr>
      <w:r>
        <w:rPr>
          <w:lang w:eastAsia="en-AU"/>
        </w:rPr>
        <w:t>The interaction between agencies and the type of intervention is nicely illustrated in the case of Corrections. Corrections spend approximately $5 million each year on rehabilitation and treatment programmes for those serving custodial and non-custodial sentences.</w:t>
      </w:r>
    </w:p>
    <w:p w14:paraId="27B17C75" w14:textId="77777777" w:rsidR="00CF2D46" w:rsidRPr="00930A88" w:rsidRDefault="00CF2D46" w:rsidP="0032784D">
      <w:pPr>
        <w:pStyle w:val="Heading2"/>
      </w:pPr>
      <w:bookmarkStart w:id="38" w:name="_Toc444941797"/>
      <w:r w:rsidRPr="00930A88">
        <w:t>Expert evaluation</w:t>
      </w:r>
      <w:bookmarkEnd w:id="38"/>
    </w:p>
    <w:p w14:paraId="5F006DBE" w14:textId="77777777" w:rsidR="00CF2D46" w:rsidRDefault="00CF2D46" w:rsidP="0032784D">
      <w:r>
        <w:t>The method relating to the expert panel has been described above. In all, 25 identified experts in the field were approached to participate. One declined to participate, 12 responded and 12 failed to respond. The questionnaire was, to some extent, exploratory and there is the potential to build a more substantial survey from these beginnings.</w:t>
      </w:r>
    </w:p>
    <w:p w14:paraId="2E7EF8AD" w14:textId="77777777" w:rsidR="00CF2D46" w:rsidRDefault="00CF2D46" w:rsidP="0032784D">
      <w:r>
        <w:t>Participants were asked to rank drugs listed in the 2012/13 Heath Survey for both dependent and casual users according to the following scale:</w:t>
      </w:r>
    </w:p>
    <w:p w14:paraId="5816D8D7" w14:textId="77777777" w:rsidR="00CF2D46" w:rsidRDefault="0032784D" w:rsidP="0032784D">
      <w:pPr>
        <w:spacing w:before="90"/>
        <w:ind w:left="850" w:hanging="425"/>
      </w:pPr>
      <w:r>
        <w:t>1</w:t>
      </w:r>
      <w:r>
        <w:tab/>
      </w:r>
      <w:r w:rsidR="00CF2D46">
        <w:t>Very low harm</w:t>
      </w:r>
    </w:p>
    <w:p w14:paraId="7F89A1B1" w14:textId="77777777" w:rsidR="00CF2D46" w:rsidRDefault="0032784D" w:rsidP="0032784D">
      <w:pPr>
        <w:spacing w:before="90"/>
        <w:ind w:left="850" w:hanging="425"/>
      </w:pPr>
      <w:r>
        <w:t>2</w:t>
      </w:r>
      <w:r>
        <w:tab/>
      </w:r>
      <w:r w:rsidR="00CF2D46">
        <w:t>Low</w:t>
      </w:r>
    </w:p>
    <w:p w14:paraId="5E0D1197" w14:textId="77777777" w:rsidR="00CF2D46" w:rsidRDefault="0032784D" w:rsidP="0032784D">
      <w:pPr>
        <w:spacing w:before="90"/>
        <w:ind w:left="850" w:hanging="425"/>
      </w:pPr>
      <w:r>
        <w:t>3</w:t>
      </w:r>
      <w:r>
        <w:tab/>
      </w:r>
      <w:r w:rsidR="00CF2D46">
        <w:t>Medium</w:t>
      </w:r>
    </w:p>
    <w:p w14:paraId="3668A54C" w14:textId="77777777" w:rsidR="00CF2D46" w:rsidRDefault="0032784D" w:rsidP="0032784D">
      <w:pPr>
        <w:spacing w:before="90"/>
        <w:ind w:left="850" w:hanging="425"/>
      </w:pPr>
      <w:r>
        <w:t>4</w:t>
      </w:r>
      <w:r>
        <w:tab/>
      </w:r>
      <w:r w:rsidR="00CF2D46">
        <w:t>High</w:t>
      </w:r>
    </w:p>
    <w:p w14:paraId="679A2D79" w14:textId="77777777" w:rsidR="00CF2D46" w:rsidRDefault="0032784D" w:rsidP="0032784D">
      <w:pPr>
        <w:spacing w:before="90"/>
        <w:ind w:left="850" w:hanging="425"/>
      </w:pPr>
      <w:r>
        <w:t>5</w:t>
      </w:r>
      <w:r>
        <w:tab/>
      </w:r>
      <w:r w:rsidR="00CF2D46">
        <w:t>Very high harm</w:t>
      </w:r>
    </w:p>
    <w:p w14:paraId="20CF6522" w14:textId="77777777" w:rsidR="00CF2D46" w:rsidRDefault="00CF2D46" w:rsidP="0032784D">
      <w:r>
        <w:t xml:space="preserve">Averages for personal and community harms were calculated separately and in aggregate for both dependent and casual users. In addition, expert rankings were correlated with drug harms known from other sources. </w:t>
      </w:r>
      <w:r w:rsidRPr="00F73F75">
        <w:t>Overall, the</w:t>
      </w:r>
      <w:r>
        <w:t xml:space="preserve"> results are similar to those reported elsewhere in this report. The two figures on the following page have details of the results.</w:t>
      </w:r>
    </w:p>
    <w:p w14:paraId="4F678B96" w14:textId="77777777" w:rsidR="00990768" w:rsidRDefault="00CF2D46" w:rsidP="0032784D">
      <w:r>
        <w:t>Methamphetamine was ranked as the most harmful drug for dependent users, followed closely by heroin/</w:t>
      </w:r>
      <w:proofErr w:type="spellStart"/>
      <w:r>
        <w:t>homebake</w:t>
      </w:r>
      <w:proofErr w:type="spellEnd"/>
      <w:r>
        <w:t>. Methamphetamine was ranked as being responsible for high to very high harm for dependent users. Ecstasy and LSD were ranked as contributing a lower level of harm to dependent users, with a median ranking of medium harm. Harms were generally lower for casual users.</w:t>
      </w:r>
    </w:p>
    <w:p w14:paraId="5262E936" w14:textId="77777777" w:rsidR="00CF2D46" w:rsidRDefault="00CF2D46" w:rsidP="0032784D">
      <w:r>
        <w:t>Rankings for personal harm tended to be higher than those for community harm. This differs from the harms assigned in this report. Note that the report includes several harms that have not been previously reported, and that these all relate to community harms.</w:t>
      </w:r>
    </w:p>
    <w:p w14:paraId="37998FCA" w14:textId="59BC6F95" w:rsidR="00CF2D46" w:rsidRDefault="00CF2D46" w:rsidP="0032784D">
      <w:r w:rsidRPr="006E4661">
        <w:t>The primary purpose of including the expert panel was to provide estimates of harm for individual drugs that have not be</w:t>
      </w:r>
      <w:r>
        <w:t>en</w:t>
      </w:r>
      <w:r w:rsidRPr="006E4661">
        <w:t xml:space="preserve"> reported </w:t>
      </w:r>
      <w:r>
        <w:t xml:space="preserve">on </w:t>
      </w:r>
      <w:r w:rsidRPr="006E4661">
        <w:t>directly in this report. This has been done for specific drugs in the 2012</w:t>
      </w:r>
      <w:r>
        <w:t>/</w:t>
      </w:r>
      <w:r w:rsidRPr="006E4661">
        <w:t>13 Health Survey</w:t>
      </w:r>
      <w:r>
        <w:t xml:space="preserve">. The process involved calculating harm for specific drug types where this was not known by interpolating points between known values using the relative rankings. The known social cost per dependent and casual drug user for each drug group used in this report was assigned to the major drug in that class. Thus, the social cost for amphetamine-type stimulants was assigned to methamphetamine, that for the cannabinoids to cannabis, hallucinogenic </w:t>
      </w:r>
      <w:r w:rsidR="0032784D">
        <w:t>and</w:t>
      </w:r>
      <w:r>
        <w:t xml:space="preserve"> psychedelic drugs to Ecstasy, and opioid </w:t>
      </w:r>
      <w:r w:rsidR="0032784D">
        <w:t>and</w:t>
      </w:r>
      <w:r>
        <w:t xml:space="preserve"> sedative drugs to the pharma-opioids.</w:t>
      </w:r>
    </w:p>
    <w:p w14:paraId="192E03B0" w14:textId="77777777" w:rsidR="00CF2D46" w:rsidRPr="00F73F75" w:rsidRDefault="00CF2D46" w:rsidP="00EA562A">
      <w:pPr>
        <w:pStyle w:val="Figure"/>
      </w:pPr>
      <w:bookmarkStart w:id="39" w:name="_Toc444941876"/>
      <w:r>
        <w:t xml:space="preserve">Figure 2. </w:t>
      </w:r>
      <w:r w:rsidRPr="00B15C0F">
        <w:t>Expert rankings of personal and community harms for dependent users</w:t>
      </w:r>
      <w:bookmarkEnd w:id="39"/>
    </w:p>
    <w:p w14:paraId="15503F79" w14:textId="77777777" w:rsidR="00CF2D46" w:rsidRDefault="00CF2D46" w:rsidP="00EA562A">
      <w:pPr>
        <w:spacing w:before="120"/>
      </w:pPr>
      <w:r>
        <w:rPr>
          <w:noProof/>
          <w:lang w:eastAsia="en-NZ"/>
        </w:rPr>
        <w:drawing>
          <wp:inline distT="0" distB="0" distL="0" distR="0" wp14:anchorId="252F4806" wp14:editId="21EAD5E3">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29FB1D7" w14:textId="77777777" w:rsidR="00CF2D46" w:rsidRPr="00F73F75" w:rsidRDefault="00CF2D46" w:rsidP="00EA562A">
      <w:pPr>
        <w:pStyle w:val="Figure"/>
      </w:pPr>
      <w:bookmarkStart w:id="40" w:name="_Toc444941877"/>
      <w:r>
        <w:t xml:space="preserve">Figure 3. </w:t>
      </w:r>
      <w:r w:rsidRPr="00F27977">
        <w:t>Expert rankings of personal and community harms for casual users</w:t>
      </w:r>
      <w:bookmarkEnd w:id="40"/>
    </w:p>
    <w:p w14:paraId="03765761" w14:textId="77777777" w:rsidR="00CF2D46" w:rsidRDefault="00CF2D46" w:rsidP="00EA562A">
      <w:pPr>
        <w:spacing w:before="120"/>
      </w:pPr>
      <w:r>
        <w:rPr>
          <w:noProof/>
          <w:lang w:eastAsia="en-NZ"/>
        </w:rPr>
        <w:drawing>
          <wp:inline distT="0" distB="0" distL="0" distR="0" wp14:anchorId="491C38C9" wp14:editId="5ABB5042">
            <wp:extent cx="45720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E02E8A5" w14:textId="77777777" w:rsidR="00990768" w:rsidRDefault="00CF2D46" w:rsidP="00EA562A">
      <w:r>
        <w:t xml:space="preserve">The results are presented in Table 14 by drug user type. </w:t>
      </w:r>
      <w:r w:rsidRPr="003C7365">
        <w:t>Note that drug types with a known value are shown in bold.</w:t>
      </w:r>
      <w:r>
        <w:t xml:space="preserve"> Intervention costs have been included in the social cost estimates. Total harm and social cost are equivalent for casual users because intervention costs, as mentioned earlier, were distributed against dependent users only. Figures have been rounded. There was a reasonable fit between the rankings and known values for dependent users. The fit for casual users was not quite as close, perhaps reflecting the difficulty in assessing harm where the level of harm is low. The procedure for interpolating results could be developed further.</w:t>
      </w:r>
    </w:p>
    <w:p w14:paraId="00A3FBEE" w14:textId="77777777" w:rsidR="00990768" w:rsidRDefault="00CF2D46" w:rsidP="00EA562A">
      <w:r>
        <w:t xml:space="preserve">Overall, the results would appear to validate the use of this method, although further fine tuning is recommended, mainly with respect to technical issues. Now that a baseline has been successfully established, the method can be used to derive estimates </w:t>
      </w:r>
      <w:r w:rsidRPr="00F27977">
        <w:t>for NBOMEs</w:t>
      </w:r>
      <w:r>
        <w:t xml:space="preserve"> and other emerging drugs.</w:t>
      </w:r>
    </w:p>
    <w:p w14:paraId="2E0481D9" w14:textId="77777777" w:rsidR="00CF2D46" w:rsidRDefault="00CF2D46" w:rsidP="00EA562A">
      <w:pPr>
        <w:pStyle w:val="Table"/>
      </w:pPr>
      <w:bookmarkStart w:id="41" w:name="_Toc444941855"/>
      <w:r w:rsidRPr="00F27977">
        <w:t>Table 14. Estimated social cost and total harm per annum by drug user and specific drug type</w:t>
      </w:r>
      <w:bookmarkEnd w:id="41"/>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7"/>
        <w:gridCol w:w="1148"/>
        <w:gridCol w:w="1148"/>
        <w:gridCol w:w="1148"/>
        <w:gridCol w:w="1148"/>
        <w:gridCol w:w="1148"/>
        <w:gridCol w:w="1149"/>
      </w:tblGrid>
      <w:tr w:rsidR="00EA562A" w:rsidRPr="00EA562A" w14:paraId="67003A0B" w14:textId="77777777" w:rsidTr="004835E4">
        <w:trPr>
          <w:cantSplit/>
        </w:trPr>
        <w:tc>
          <w:tcPr>
            <w:tcW w:w="2127" w:type="dxa"/>
            <w:tcBorders>
              <w:right w:val="single" w:sz="4" w:space="0" w:color="auto"/>
            </w:tcBorders>
            <w:shd w:val="clear" w:color="auto" w:fill="auto"/>
            <w:noWrap/>
            <w:hideMark/>
          </w:tcPr>
          <w:p w14:paraId="7DF637FF" w14:textId="77777777" w:rsidR="00EA562A" w:rsidRPr="00EA562A" w:rsidRDefault="00EA562A" w:rsidP="00EA562A">
            <w:pPr>
              <w:pStyle w:val="TableText"/>
              <w:rPr>
                <w:b/>
                <w:lang w:eastAsia="en-AU"/>
              </w:rPr>
            </w:pPr>
          </w:p>
        </w:tc>
        <w:tc>
          <w:tcPr>
            <w:tcW w:w="3444" w:type="dxa"/>
            <w:gridSpan w:val="3"/>
            <w:tcBorders>
              <w:top w:val="single" w:sz="4" w:space="0" w:color="auto"/>
              <w:left w:val="single" w:sz="4" w:space="0" w:color="auto"/>
              <w:right w:val="single" w:sz="4" w:space="0" w:color="auto"/>
            </w:tcBorders>
            <w:shd w:val="clear" w:color="auto" w:fill="auto"/>
            <w:noWrap/>
            <w:hideMark/>
          </w:tcPr>
          <w:p w14:paraId="69CF38FE" w14:textId="77777777" w:rsidR="00EA562A" w:rsidRPr="00EA562A" w:rsidRDefault="00EA562A" w:rsidP="00EA562A">
            <w:pPr>
              <w:pStyle w:val="TableText"/>
              <w:jc w:val="center"/>
              <w:rPr>
                <w:rFonts w:cs="Arial"/>
                <w:b/>
                <w:color w:val="000000"/>
                <w:lang w:eastAsia="en-AU"/>
              </w:rPr>
            </w:pPr>
            <w:r w:rsidRPr="00EA562A">
              <w:rPr>
                <w:rFonts w:cs="Arial"/>
                <w:b/>
                <w:color w:val="000000"/>
              </w:rPr>
              <w:t>Dependent</w:t>
            </w:r>
          </w:p>
        </w:tc>
        <w:tc>
          <w:tcPr>
            <w:tcW w:w="3445" w:type="dxa"/>
            <w:gridSpan w:val="3"/>
            <w:tcBorders>
              <w:left w:val="single" w:sz="4" w:space="0" w:color="auto"/>
            </w:tcBorders>
            <w:shd w:val="clear" w:color="auto" w:fill="auto"/>
            <w:noWrap/>
            <w:hideMark/>
          </w:tcPr>
          <w:p w14:paraId="4DCA5A8A" w14:textId="77777777" w:rsidR="00EA562A" w:rsidRPr="00EA562A" w:rsidRDefault="00EA562A" w:rsidP="00EA562A">
            <w:pPr>
              <w:pStyle w:val="TableText"/>
              <w:jc w:val="center"/>
              <w:rPr>
                <w:rFonts w:cs="Arial"/>
                <w:b/>
                <w:color w:val="000000"/>
                <w:lang w:eastAsia="en-AU"/>
              </w:rPr>
            </w:pPr>
            <w:r w:rsidRPr="00EA562A">
              <w:rPr>
                <w:rFonts w:cs="Arial"/>
                <w:b/>
                <w:color w:val="000000"/>
              </w:rPr>
              <w:t>Casual</w:t>
            </w:r>
          </w:p>
        </w:tc>
      </w:tr>
      <w:tr w:rsidR="00CF2D46" w:rsidRPr="00EA562A" w14:paraId="56F45F64" w14:textId="77777777" w:rsidTr="004835E4">
        <w:trPr>
          <w:cantSplit/>
        </w:trPr>
        <w:tc>
          <w:tcPr>
            <w:tcW w:w="2127" w:type="dxa"/>
            <w:tcBorders>
              <w:bottom w:val="single" w:sz="4" w:space="0" w:color="auto"/>
              <w:right w:val="single" w:sz="4" w:space="0" w:color="auto"/>
            </w:tcBorders>
            <w:shd w:val="clear" w:color="auto" w:fill="auto"/>
            <w:hideMark/>
          </w:tcPr>
          <w:p w14:paraId="0EBFB701" w14:textId="77777777" w:rsidR="00CF2D46" w:rsidRPr="00EA562A" w:rsidRDefault="00CF2D46" w:rsidP="00EA562A">
            <w:pPr>
              <w:pStyle w:val="TableText"/>
              <w:spacing w:before="0"/>
              <w:rPr>
                <w:rFonts w:cs="Arial"/>
                <w:b/>
                <w:color w:val="000000"/>
                <w:lang w:eastAsia="en-AU"/>
              </w:rPr>
            </w:pPr>
            <w:r w:rsidRPr="00EA562A">
              <w:rPr>
                <w:rFonts w:cs="Arial"/>
                <w:b/>
                <w:color w:val="000000"/>
                <w:lang w:eastAsia="en-AU"/>
              </w:rPr>
              <w:t>Drug type</w:t>
            </w:r>
          </w:p>
        </w:tc>
        <w:tc>
          <w:tcPr>
            <w:tcW w:w="1148" w:type="dxa"/>
            <w:tcBorders>
              <w:left w:val="single" w:sz="4" w:space="0" w:color="auto"/>
              <w:bottom w:val="single" w:sz="4" w:space="0" w:color="auto"/>
            </w:tcBorders>
            <w:shd w:val="clear" w:color="auto" w:fill="auto"/>
            <w:hideMark/>
          </w:tcPr>
          <w:p w14:paraId="6BDC5044" w14:textId="77777777" w:rsidR="00CF2D46" w:rsidRPr="00EA562A" w:rsidRDefault="00CF2D46" w:rsidP="00EA562A">
            <w:pPr>
              <w:pStyle w:val="TableText"/>
              <w:spacing w:before="0"/>
              <w:jc w:val="center"/>
              <w:rPr>
                <w:rFonts w:cs="Arial"/>
                <w:b/>
                <w:color w:val="000000"/>
                <w:lang w:eastAsia="en-AU"/>
              </w:rPr>
            </w:pPr>
            <w:r w:rsidRPr="00EA562A">
              <w:rPr>
                <w:rFonts w:cs="Arial"/>
                <w:b/>
                <w:color w:val="000000"/>
              </w:rPr>
              <w:t>Harm ranking</w:t>
            </w:r>
          </w:p>
        </w:tc>
        <w:tc>
          <w:tcPr>
            <w:tcW w:w="1148" w:type="dxa"/>
            <w:tcBorders>
              <w:bottom w:val="single" w:sz="4" w:space="0" w:color="auto"/>
            </w:tcBorders>
          </w:tcPr>
          <w:p w14:paraId="7E0035AA" w14:textId="77777777" w:rsidR="00CF2D46" w:rsidRPr="00EA562A" w:rsidRDefault="00CF2D46" w:rsidP="00EA562A">
            <w:pPr>
              <w:pStyle w:val="TableText"/>
              <w:spacing w:before="0"/>
              <w:jc w:val="center"/>
              <w:rPr>
                <w:rFonts w:cs="Arial"/>
                <w:b/>
                <w:color w:val="000000"/>
              </w:rPr>
            </w:pPr>
            <w:r w:rsidRPr="00EA562A">
              <w:rPr>
                <w:rFonts w:cs="Arial"/>
                <w:b/>
                <w:color w:val="000000"/>
              </w:rPr>
              <w:t>Total harm per user</w:t>
            </w:r>
          </w:p>
        </w:tc>
        <w:tc>
          <w:tcPr>
            <w:tcW w:w="1148" w:type="dxa"/>
            <w:tcBorders>
              <w:bottom w:val="single" w:sz="4" w:space="0" w:color="auto"/>
              <w:right w:val="single" w:sz="4" w:space="0" w:color="auto"/>
            </w:tcBorders>
            <w:shd w:val="clear" w:color="auto" w:fill="auto"/>
            <w:hideMark/>
          </w:tcPr>
          <w:p w14:paraId="6917A96D" w14:textId="77777777" w:rsidR="00CF2D46" w:rsidRPr="00EA562A" w:rsidRDefault="00CF2D46" w:rsidP="00EA562A">
            <w:pPr>
              <w:pStyle w:val="TableText"/>
              <w:spacing w:before="0"/>
              <w:jc w:val="center"/>
              <w:rPr>
                <w:rFonts w:cs="Arial"/>
                <w:b/>
                <w:color w:val="000000"/>
                <w:lang w:eastAsia="en-AU"/>
              </w:rPr>
            </w:pPr>
            <w:r w:rsidRPr="00EA562A">
              <w:rPr>
                <w:rFonts w:cs="Arial"/>
                <w:b/>
                <w:color w:val="000000"/>
              </w:rPr>
              <w:t>Social cost per user</w:t>
            </w:r>
          </w:p>
        </w:tc>
        <w:tc>
          <w:tcPr>
            <w:tcW w:w="1148" w:type="dxa"/>
            <w:tcBorders>
              <w:left w:val="single" w:sz="4" w:space="0" w:color="auto"/>
              <w:bottom w:val="single" w:sz="4" w:space="0" w:color="auto"/>
            </w:tcBorders>
            <w:shd w:val="clear" w:color="auto" w:fill="auto"/>
            <w:hideMark/>
          </w:tcPr>
          <w:p w14:paraId="4BCB9F60" w14:textId="77777777" w:rsidR="00CF2D46" w:rsidRPr="00EA562A" w:rsidRDefault="00CF2D46" w:rsidP="00EA562A">
            <w:pPr>
              <w:pStyle w:val="TableText"/>
              <w:spacing w:before="0"/>
              <w:jc w:val="center"/>
              <w:rPr>
                <w:rFonts w:cs="Arial"/>
                <w:b/>
                <w:color w:val="000000"/>
                <w:lang w:eastAsia="en-AU"/>
              </w:rPr>
            </w:pPr>
            <w:r w:rsidRPr="00EA562A">
              <w:rPr>
                <w:rFonts w:cs="Arial"/>
                <w:b/>
                <w:color w:val="000000"/>
              </w:rPr>
              <w:t>Harm ranking</w:t>
            </w:r>
          </w:p>
        </w:tc>
        <w:tc>
          <w:tcPr>
            <w:tcW w:w="1148" w:type="dxa"/>
            <w:tcBorders>
              <w:bottom w:val="single" w:sz="4" w:space="0" w:color="auto"/>
            </w:tcBorders>
          </w:tcPr>
          <w:p w14:paraId="5DAE0B7A" w14:textId="77777777" w:rsidR="00CF2D46" w:rsidRPr="00EA562A" w:rsidRDefault="00CF2D46" w:rsidP="00EA562A">
            <w:pPr>
              <w:pStyle w:val="TableText"/>
              <w:spacing w:before="0"/>
              <w:jc w:val="center"/>
              <w:rPr>
                <w:rFonts w:cs="Arial"/>
                <w:b/>
                <w:color w:val="000000"/>
              </w:rPr>
            </w:pPr>
            <w:r w:rsidRPr="00EA562A">
              <w:rPr>
                <w:rFonts w:cs="Arial"/>
                <w:b/>
                <w:color w:val="000000"/>
              </w:rPr>
              <w:t>Total harm per user</w:t>
            </w:r>
          </w:p>
        </w:tc>
        <w:tc>
          <w:tcPr>
            <w:tcW w:w="1149" w:type="dxa"/>
            <w:tcBorders>
              <w:bottom w:val="single" w:sz="4" w:space="0" w:color="auto"/>
            </w:tcBorders>
            <w:shd w:val="clear" w:color="auto" w:fill="auto"/>
            <w:hideMark/>
          </w:tcPr>
          <w:p w14:paraId="78FB2CD8" w14:textId="77777777" w:rsidR="00CF2D46" w:rsidRPr="00EA562A" w:rsidRDefault="00CF2D46" w:rsidP="00EA562A">
            <w:pPr>
              <w:pStyle w:val="TableText"/>
              <w:spacing w:before="0"/>
              <w:jc w:val="center"/>
              <w:rPr>
                <w:rFonts w:cs="Arial"/>
                <w:b/>
                <w:color w:val="000000"/>
                <w:lang w:eastAsia="en-AU"/>
              </w:rPr>
            </w:pPr>
            <w:r w:rsidRPr="00EA562A">
              <w:rPr>
                <w:rFonts w:cs="Arial"/>
                <w:b/>
                <w:color w:val="000000"/>
              </w:rPr>
              <w:t>Social cost per user</w:t>
            </w:r>
          </w:p>
        </w:tc>
      </w:tr>
      <w:tr w:rsidR="00CF2D46" w:rsidRPr="00E74C35" w14:paraId="49CD5785" w14:textId="77777777" w:rsidTr="004835E4">
        <w:trPr>
          <w:cantSplit/>
        </w:trPr>
        <w:tc>
          <w:tcPr>
            <w:tcW w:w="2127" w:type="dxa"/>
            <w:tcBorders>
              <w:top w:val="single" w:sz="4" w:space="0" w:color="auto"/>
              <w:bottom w:val="nil"/>
              <w:right w:val="single" w:sz="4" w:space="0" w:color="auto"/>
            </w:tcBorders>
            <w:shd w:val="clear" w:color="auto" w:fill="auto"/>
            <w:noWrap/>
            <w:hideMark/>
          </w:tcPr>
          <w:p w14:paraId="77FC6228" w14:textId="77777777" w:rsidR="00CF2D46" w:rsidRPr="00E74C35" w:rsidRDefault="00CF2D46" w:rsidP="00EA562A">
            <w:pPr>
              <w:pStyle w:val="TableText"/>
              <w:rPr>
                <w:rFonts w:cs="Arial"/>
                <w:color w:val="000000"/>
                <w:lang w:eastAsia="en-AU"/>
              </w:rPr>
            </w:pPr>
            <w:r w:rsidRPr="00E74C35">
              <w:t>Methamphetamine</w:t>
            </w:r>
          </w:p>
        </w:tc>
        <w:tc>
          <w:tcPr>
            <w:tcW w:w="1148" w:type="dxa"/>
            <w:tcBorders>
              <w:top w:val="single" w:sz="4" w:space="0" w:color="auto"/>
              <w:left w:val="single" w:sz="4" w:space="0" w:color="auto"/>
              <w:bottom w:val="nil"/>
            </w:tcBorders>
            <w:shd w:val="clear" w:color="auto" w:fill="auto"/>
            <w:noWrap/>
            <w:hideMark/>
          </w:tcPr>
          <w:p w14:paraId="284E88C7" w14:textId="77777777" w:rsidR="00CF2D46" w:rsidRPr="00E74C35" w:rsidRDefault="00CF2D46" w:rsidP="004835E4">
            <w:pPr>
              <w:pStyle w:val="TableText"/>
              <w:jc w:val="center"/>
              <w:rPr>
                <w:rFonts w:cs="Arial"/>
                <w:color w:val="000000"/>
                <w:lang w:eastAsia="en-AU"/>
              </w:rPr>
            </w:pPr>
            <w:r w:rsidRPr="00E74C35">
              <w:rPr>
                <w:rFonts w:cs="Arial"/>
                <w:color w:val="000000"/>
              </w:rPr>
              <w:t>4.</w:t>
            </w:r>
            <w:r>
              <w:rPr>
                <w:rFonts w:cs="Arial"/>
                <w:color w:val="000000"/>
              </w:rPr>
              <w:t>3</w:t>
            </w:r>
          </w:p>
        </w:tc>
        <w:tc>
          <w:tcPr>
            <w:tcW w:w="1148" w:type="dxa"/>
            <w:tcBorders>
              <w:top w:val="single" w:sz="4" w:space="0" w:color="auto"/>
              <w:bottom w:val="nil"/>
            </w:tcBorders>
          </w:tcPr>
          <w:p w14:paraId="67E1F1AA" w14:textId="77777777" w:rsidR="00CF2D46" w:rsidRPr="000A6E86" w:rsidRDefault="00CF2D46" w:rsidP="004835E4">
            <w:pPr>
              <w:pStyle w:val="TableText"/>
              <w:tabs>
                <w:tab w:val="decimal" w:pos="794"/>
              </w:tabs>
              <w:rPr>
                <w:rFonts w:cs="Arial"/>
                <w:b/>
                <w:bCs/>
              </w:rPr>
            </w:pPr>
            <w:r w:rsidRPr="000A6E86">
              <w:rPr>
                <w:rFonts w:cs="Arial"/>
                <w:b/>
                <w:bCs/>
              </w:rPr>
              <w:t>111,300</w:t>
            </w:r>
          </w:p>
        </w:tc>
        <w:tc>
          <w:tcPr>
            <w:tcW w:w="1148" w:type="dxa"/>
            <w:tcBorders>
              <w:top w:val="single" w:sz="4" w:space="0" w:color="auto"/>
              <w:bottom w:val="nil"/>
              <w:right w:val="single" w:sz="4" w:space="0" w:color="auto"/>
            </w:tcBorders>
            <w:shd w:val="clear" w:color="auto" w:fill="auto"/>
            <w:noWrap/>
            <w:hideMark/>
          </w:tcPr>
          <w:p w14:paraId="6200E983" w14:textId="77777777" w:rsidR="00CF2D46" w:rsidRPr="000A6E86" w:rsidRDefault="00CF2D46" w:rsidP="004835E4">
            <w:pPr>
              <w:pStyle w:val="TableText"/>
              <w:tabs>
                <w:tab w:val="decimal" w:pos="794"/>
              </w:tabs>
              <w:rPr>
                <w:rFonts w:cs="Arial"/>
                <w:b/>
                <w:bCs/>
                <w:lang w:eastAsia="en-AU"/>
              </w:rPr>
            </w:pPr>
            <w:r w:rsidRPr="000A6E86">
              <w:rPr>
                <w:rFonts w:cs="Arial"/>
                <w:b/>
                <w:bCs/>
              </w:rPr>
              <w:t>116,600</w:t>
            </w:r>
          </w:p>
        </w:tc>
        <w:tc>
          <w:tcPr>
            <w:tcW w:w="1148" w:type="dxa"/>
            <w:tcBorders>
              <w:top w:val="single" w:sz="4" w:space="0" w:color="auto"/>
              <w:left w:val="single" w:sz="4" w:space="0" w:color="auto"/>
              <w:bottom w:val="nil"/>
            </w:tcBorders>
            <w:shd w:val="clear" w:color="auto" w:fill="auto"/>
            <w:noWrap/>
            <w:hideMark/>
          </w:tcPr>
          <w:p w14:paraId="580B2FDD" w14:textId="77777777" w:rsidR="00CF2D46" w:rsidRPr="00E74C35" w:rsidRDefault="00CF2D46" w:rsidP="004835E4">
            <w:pPr>
              <w:pStyle w:val="TableText"/>
              <w:jc w:val="center"/>
              <w:rPr>
                <w:rFonts w:cs="Arial"/>
                <w:lang w:eastAsia="en-AU"/>
              </w:rPr>
            </w:pPr>
            <w:r w:rsidRPr="00E74C35">
              <w:rPr>
                <w:rFonts w:cs="Arial"/>
              </w:rPr>
              <w:t>2.</w:t>
            </w:r>
            <w:r>
              <w:rPr>
                <w:rFonts w:cs="Arial"/>
              </w:rPr>
              <w:t>9</w:t>
            </w:r>
          </w:p>
        </w:tc>
        <w:tc>
          <w:tcPr>
            <w:tcW w:w="1148" w:type="dxa"/>
            <w:tcBorders>
              <w:top w:val="single" w:sz="4" w:space="0" w:color="auto"/>
              <w:bottom w:val="nil"/>
            </w:tcBorders>
          </w:tcPr>
          <w:p w14:paraId="403812FE" w14:textId="77777777" w:rsidR="00CF2D46" w:rsidRPr="000A6E86" w:rsidRDefault="00CF2D46" w:rsidP="004835E4">
            <w:pPr>
              <w:pStyle w:val="TableText"/>
              <w:tabs>
                <w:tab w:val="decimal" w:pos="737"/>
              </w:tabs>
              <w:rPr>
                <w:rFonts w:cs="Arial"/>
                <w:b/>
                <w:bCs/>
              </w:rPr>
            </w:pPr>
            <w:r w:rsidRPr="000A6E86">
              <w:rPr>
                <w:rFonts w:cs="Arial"/>
                <w:b/>
                <w:bCs/>
              </w:rPr>
              <w:t>8,300</w:t>
            </w:r>
          </w:p>
        </w:tc>
        <w:tc>
          <w:tcPr>
            <w:tcW w:w="1149" w:type="dxa"/>
            <w:tcBorders>
              <w:top w:val="single" w:sz="4" w:space="0" w:color="auto"/>
              <w:bottom w:val="nil"/>
            </w:tcBorders>
            <w:shd w:val="clear" w:color="auto" w:fill="auto"/>
            <w:noWrap/>
            <w:hideMark/>
          </w:tcPr>
          <w:p w14:paraId="423D6EB8" w14:textId="77777777" w:rsidR="00CF2D46" w:rsidRPr="000A6E86" w:rsidRDefault="00CF2D46" w:rsidP="004835E4">
            <w:pPr>
              <w:pStyle w:val="TableText"/>
              <w:tabs>
                <w:tab w:val="decimal" w:pos="737"/>
              </w:tabs>
              <w:rPr>
                <w:rFonts w:cs="Arial"/>
                <w:b/>
                <w:bCs/>
                <w:lang w:eastAsia="en-AU"/>
              </w:rPr>
            </w:pPr>
            <w:r w:rsidRPr="000A6E86">
              <w:rPr>
                <w:rFonts w:cs="Arial"/>
                <w:b/>
                <w:bCs/>
              </w:rPr>
              <w:t>8,300</w:t>
            </w:r>
          </w:p>
        </w:tc>
      </w:tr>
      <w:tr w:rsidR="00CF2D46" w:rsidRPr="00E74C35" w14:paraId="753EBC9A" w14:textId="77777777" w:rsidTr="004835E4">
        <w:trPr>
          <w:cantSplit/>
        </w:trPr>
        <w:tc>
          <w:tcPr>
            <w:tcW w:w="2127" w:type="dxa"/>
            <w:tcBorders>
              <w:top w:val="nil"/>
              <w:bottom w:val="nil"/>
              <w:right w:val="single" w:sz="4" w:space="0" w:color="auto"/>
            </w:tcBorders>
            <w:shd w:val="clear" w:color="auto" w:fill="auto"/>
            <w:noWrap/>
            <w:hideMark/>
          </w:tcPr>
          <w:p w14:paraId="65A35883" w14:textId="77777777" w:rsidR="00CF2D46" w:rsidRPr="00E74C35" w:rsidRDefault="00CF2D46" w:rsidP="00EA562A">
            <w:pPr>
              <w:pStyle w:val="TableText"/>
              <w:rPr>
                <w:rFonts w:cs="Arial"/>
                <w:color w:val="000000"/>
                <w:lang w:eastAsia="en-AU"/>
              </w:rPr>
            </w:pPr>
            <w:r w:rsidRPr="00E74C35">
              <w:t>Heroin/</w:t>
            </w:r>
            <w:proofErr w:type="spellStart"/>
            <w:r w:rsidRPr="00E74C35">
              <w:t>homebake</w:t>
            </w:r>
            <w:proofErr w:type="spellEnd"/>
          </w:p>
        </w:tc>
        <w:tc>
          <w:tcPr>
            <w:tcW w:w="1148" w:type="dxa"/>
            <w:tcBorders>
              <w:top w:val="nil"/>
              <w:left w:val="single" w:sz="4" w:space="0" w:color="auto"/>
              <w:bottom w:val="nil"/>
            </w:tcBorders>
            <w:shd w:val="clear" w:color="auto" w:fill="auto"/>
            <w:noWrap/>
            <w:hideMark/>
          </w:tcPr>
          <w:p w14:paraId="46879991" w14:textId="77777777" w:rsidR="00CF2D46" w:rsidRPr="00E74C35" w:rsidRDefault="00CF2D46" w:rsidP="004835E4">
            <w:pPr>
              <w:pStyle w:val="TableText"/>
              <w:jc w:val="center"/>
              <w:rPr>
                <w:rFonts w:cs="Arial"/>
                <w:color w:val="000000"/>
                <w:lang w:eastAsia="en-AU"/>
              </w:rPr>
            </w:pPr>
            <w:r w:rsidRPr="00E74C35">
              <w:rPr>
                <w:rFonts w:cs="Arial"/>
                <w:color w:val="000000"/>
              </w:rPr>
              <w:t>4.</w:t>
            </w:r>
            <w:r>
              <w:rPr>
                <w:rFonts w:cs="Arial"/>
                <w:color w:val="000000"/>
              </w:rPr>
              <w:t>1</w:t>
            </w:r>
          </w:p>
        </w:tc>
        <w:tc>
          <w:tcPr>
            <w:tcW w:w="1148" w:type="dxa"/>
            <w:tcBorders>
              <w:top w:val="nil"/>
              <w:bottom w:val="nil"/>
            </w:tcBorders>
          </w:tcPr>
          <w:p w14:paraId="5B1B32CE" w14:textId="77777777" w:rsidR="00CF2D46" w:rsidRDefault="00CF2D46" w:rsidP="004835E4">
            <w:pPr>
              <w:pStyle w:val="TableText"/>
              <w:tabs>
                <w:tab w:val="decimal" w:pos="794"/>
              </w:tabs>
              <w:rPr>
                <w:rFonts w:cs="Arial"/>
              </w:rPr>
            </w:pPr>
            <w:r>
              <w:rPr>
                <w:rFonts w:cs="Arial"/>
              </w:rPr>
              <w:t>98,600</w:t>
            </w:r>
          </w:p>
        </w:tc>
        <w:tc>
          <w:tcPr>
            <w:tcW w:w="1148" w:type="dxa"/>
            <w:tcBorders>
              <w:top w:val="nil"/>
              <w:bottom w:val="nil"/>
              <w:right w:val="single" w:sz="4" w:space="0" w:color="auto"/>
            </w:tcBorders>
            <w:shd w:val="clear" w:color="auto" w:fill="auto"/>
            <w:noWrap/>
            <w:hideMark/>
          </w:tcPr>
          <w:p w14:paraId="3D78EE97" w14:textId="77777777" w:rsidR="00CF2D46" w:rsidRPr="00E74C35" w:rsidRDefault="00CF2D46" w:rsidP="004835E4">
            <w:pPr>
              <w:pStyle w:val="TableText"/>
              <w:tabs>
                <w:tab w:val="decimal" w:pos="794"/>
              </w:tabs>
              <w:rPr>
                <w:rFonts w:cs="Arial"/>
                <w:bCs/>
                <w:lang w:eastAsia="en-AU"/>
              </w:rPr>
            </w:pPr>
            <w:r>
              <w:rPr>
                <w:rFonts w:cs="Arial"/>
              </w:rPr>
              <w:t>104,000</w:t>
            </w:r>
          </w:p>
        </w:tc>
        <w:tc>
          <w:tcPr>
            <w:tcW w:w="1148" w:type="dxa"/>
            <w:tcBorders>
              <w:top w:val="nil"/>
              <w:left w:val="single" w:sz="4" w:space="0" w:color="auto"/>
              <w:bottom w:val="nil"/>
            </w:tcBorders>
            <w:shd w:val="clear" w:color="auto" w:fill="auto"/>
            <w:noWrap/>
            <w:hideMark/>
          </w:tcPr>
          <w:p w14:paraId="6365E3F4" w14:textId="77777777" w:rsidR="00CF2D46" w:rsidRPr="00E74C35" w:rsidRDefault="00CF2D46" w:rsidP="004835E4">
            <w:pPr>
              <w:pStyle w:val="TableText"/>
              <w:jc w:val="center"/>
              <w:rPr>
                <w:rFonts w:cs="Arial"/>
                <w:lang w:eastAsia="en-AU"/>
              </w:rPr>
            </w:pPr>
            <w:r w:rsidRPr="00E74C35">
              <w:rPr>
                <w:rFonts w:cs="Arial"/>
              </w:rPr>
              <w:t>3.2</w:t>
            </w:r>
          </w:p>
        </w:tc>
        <w:tc>
          <w:tcPr>
            <w:tcW w:w="1148" w:type="dxa"/>
            <w:tcBorders>
              <w:top w:val="nil"/>
              <w:bottom w:val="nil"/>
            </w:tcBorders>
          </w:tcPr>
          <w:p w14:paraId="56E70452" w14:textId="77777777" w:rsidR="00CF2D46" w:rsidRDefault="00CF2D46" w:rsidP="004835E4">
            <w:pPr>
              <w:pStyle w:val="TableText"/>
              <w:tabs>
                <w:tab w:val="decimal" w:pos="737"/>
              </w:tabs>
              <w:rPr>
                <w:rFonts w:cs="Arial"/>
              </w:rPr>
            </w:pPr>
            <w:r>
              <w:rPr>
                <w:rFonts w:cs="Arial"/>
              </w:rPr>
              <w:t>9,300</w:t>
            </w:r>
          </w:p>
        </w:tc>
        <w:tc>
          <w:tcPr>
            <w:tcW w:w="1149" w:type="dxa"/>
            <w:tcBorders>
              <w:top w:val="nil"/>
              <w:bottom w:val="nil"/>
            </w:tcBorders>
            <w:shd w:val="clear" w:color="auto" w:fill="auto"/>
            <w:noWrap/>
            <w:hideMark/>
          </w:tcPr>
          <w:p w14:paraId="779DA137" w14:textId="77777777" w:rsidR="00CF2D46" w:rsidRPr="00E74C35" w:rsidRDefault="00CF2D46" w:rsidP="004835E4">
            <w:pPr>
              <w:pStyle w:val="TableText"/>
              <w:tabs>
                <w:tab w:val="decimal" w:pos="737"/>
              </w:tabs>
              <w:rPr>
                <w:rFonts w:cs="Arial"/>
                <w:bCs/>
                <w:lang w:eastAsia="en-AU"/>
              </w:rPr>
            </w:pPr>
            <w:r>
              <w:rPr>
                <w:rFonts w:cs="Arial"/>
              </w:rPr>
              <w:t>9,300</w:t>
            </w:r>
          </w:p>
        </w:tc>
      </w:tr>
      <w:tr w:rsidR="00CF2D46" w:rsidRPr="00E74C35" w14:paraId="36616ACB" w14:textId="77777777" w:rsidTr="004835E4">
        <w:trPr>
          <w:cantSplit/>
        </w:trPr>
        <w:tc>
          <w:tcPr>
            <w:tcW w:w="2127" w:type="dxa"/>
            <w:tcBorders>
              <w:top w:val="nil"/>
              <w:bottom w:val="nil"/>
              <w:right w:val="single" w:sz="4" w:space="0" w:color="auto"/>
            </w:tcBorders>
            <w:shd w:val="clear" w:color="auto" w:fill="auto"/>
            <w:noWrap/>
            <w:hideMark/>
          </w:tcPr>
          <w:p w14:paraId="02D66971" w14:textId="77777777" w:rsidR="00CF2D46" w:rsidRPr="00E74C35" w:rsidRDefault="00CF2D46" w:rsidP="00EA562A">
            <w:pPr>
              <w:pStyle w:val="TableText"/>
              <w:rPr>
                <w:rFonts w:cs="Arial"/>
                <w:color w:val="000000"/>
                <w:lang w:eastAsia="en-AU"/>
              </w:rPr>
            </w:pPr>
            <w:r w:rsidRPr="00E74C35">
              <w:t>Pharma-opioids</w:t>
            </w:r>
          </w:p>
        </w:tc>
        <w:tc>
          <w:tcPr>
            <w:tcW w:w="1148" w:type="dxa"/>
            <w:tcBorders>
              <w:top w:val="nil"/>
              <w:left w:val="single" w:sz="4" w:space="0" w:color="auto"/>
              <w:bottom w:val="nil"/>
            </w:tcBorders>
            <w:shd w:val="clear" w:color="auto" w:fill="auto"/>
            <w:noWrap/>
            <w:hideMark/>
          </w:tcPr>
          <w:p w14:paraId="7697D383" w14:textId="77777777" w:rsidR="00CF2D46" w:rsidRPr="00E74C35" w:rsidRDefault="00CF2D46" w:rsidP="004835E4">
            <w:pPr>
              <w:pStyle w:val="TableText"/>
              <w:jc w:val="center"/>
              <w:rPr>
                <w:rFonts w:cs="Arial"/>
                <w:color w:val="000000"/>
                <w:lang w:eastAsia="en-AU"/>
              </w:rPr>
            </w:pPr>
            <w:r w:rsidRPr="00E74C35">
              <w:rPr>
                <w:rFonts w:cs="Arial"/>
                <w:color w:val="000000"/>
              </w:rPr>
              <w:t>3.</w:t>
            </w:r>
            <w:r>
              <w:rPr>
                <w:rFonts w:cs="Arial"/>
                <w:color w:val="000000"/>
              </w:rPr>
              <w:t>3</w:t>
            </w:r>
          </w:p>
        </w:tc>
        <w:tc>
          <w:tcPr>
            <w:tcW w:w="1148" w:type="dxa"/>
            <w:tcBorders>
              <w:top w:val="nil"/>
              <w:bottom w:val="nil"/>
            </w:tcBorders>
          </w:tcPr>
          <w:p w14:paraId="399A4307" w14:textId="77777777" w:rsidR="00CF2D46" w:rsidRPr="000A6E86" w:rsidRDefault="00CF2D46" w:rsidP="004835E4">
            <w:pPr>
              <w:pStyle w:val="TableText"/>
              <w:tabs>
                <w:tab w:val="decimal" w:pos="794"/>
              </w:tabs>
              <w:rPr>
                <w:rFonts w:cs="Arial"/>
                <w:b/>
                <w:bCs/>
              </w:rPr>
            </w:pPr>
            <w:r w:rsidRPr="000A6E86">
              <w:rPr>
                <w:rFonts w:cs="Arial"/>
                <w:b/>
                <w:bCs/>
              </w:rPr>
              <w:t>38,300</w:t>
            </w:r>
          </w:p>
        </w:tc>
        <w:tc>
          <w:tcPr>
            <w:tcW w:w="1148" w:type="dxa"/>
            <w:tcBorders>
              <w:top w:val="nil"/>
              <w:bottom w:val="nil"/>
              <w:right w:val="single" w:sz="4" w:space="0" w:color="auto"/>
            </w:tcBorders>
            <w:shd w:val="clear" w:color="auto" w:fill="auto"/>
            <w:noWrap/>
            <w:hideMark/>
          </w:tcPr>
          <w:p w14:paraId="6E0A2674" w14:textId="77777777" w:rsidR="00CF2D46" w:rsidRPr="000A6E86" w:rsidRDefault="00CF2D46" w:rsidP="004835E4">
            <w:pPr>
              <w:pStyle w:val="TableText"/>
              <w:tabs>
                <w:tab w:val="decimal" w:pos="794"/>
              </w:tabs>
              <w:rPr>
                <w:rFonts w:cs="Arial"/>
                <w:b/>
                <w:lang w:eastAsia="en-AU"/>
              </w:rPr>
            </w:pPr>
            <w:r w:rsidRPr="000A6E86">
              <w:rPr>
                <w:rFonts w:cs="Arial"/>
                <w:b/>
                <w:bCs/>
              </w:rPr>
              <w:t>44,300</w:t>
            </w:r>
          </w:p>
        </w:tc>
        <w:tc>
          <w:tcPr>
            <w:tcW w:w="1148" w:type="dxa"/>
            <w:tcBorders>
              <w:top w:val="nil"/>
              <w:left w:val="single" w:sz="4" w:space="0" w:color="auto"/>
              <w:bottom w:val="nil"/>
            </w:tcBorders>
            <w:shd w:val="clear" w:color="auto" w:fill="auto"/>
            <w:noWrap/>
            <w:hideMark/>
          </w:tcPr>
          <w:p w14:paraId="167211DA" w14:textId="77777777" w:rsidR="00CF2D46" w:rsidRPr="00E74C35" w:rsidRDefault="00CF2D46" w:rsidP="004835E4">
            <w:pPr>
              <w:pStyle w:val="TableText"/>
              <w:jc w:val="center"/>
              <w:rPr>
                <w:rFonts w:cs="Arial"/>
                <w:lang w:eastAsia="en-AU"/>
              </w:rPr>
            </w:pPr>
            <w:r w:rsidRPr="00E74C35">
              <w:rPr>
                <w:rFonts w:cs="Arial"/>
              </w:rPr>
              <w:t>2.5</w:t>
            </w:r>
          </w:p>
        </w:tc>
        <w:tc>
          <w:tcPr>
            <w:tcW w:w="1148" w:type="dxa"/>
            <w:tcBorders>
              <w:top w:val="nil"/>
              <w:bottom w:val="nil"/>
            </w:tcBorders>
          </w:tcPr>
          <w:p w14:paraId="31238647" w14:textId="77777777" w:rsidR="00CF2D46" w:rsidRPr="000A6E86" w:rsidRDefault="00CF2D46" w:rsidP="004835E4">
            <w:pPr>
              <w:pStyle w:val="TableText"/>
              <w:tabs>
                <w:tab w:val="decimal" w:pos="737"/>
              </w:tabs>
              <w:rPr>
                <w:rFonts w:cs="Arial"/>
                <w:b/>
                <w:bCs/>
              </w:rPr>
            </w:pPr>
            <w:r w:rsidRPr="000A6E86">
              <w:rPr>
                <w:rFonts w:cs="Arial"/>
                <w:b/>
                <w:bCs/>
              </w:rPr>
              <w:t>3,200</w:t>
            </w:r>
          </w:p>
        </w:tc>
        <w:tc>
          <w:tcPr>
            <w:tcW w:w="1149" w:type="dxa"/>
            <w:tcBorders>
              <w:top w:val="nil"/>
              <w:bottom w:val="nil"/>
            </w:tcBorders>
            <w:shd w:val="clear" w:color="auto" w:fill="auto"/>
            <w:noWrap/>
            <w:hideMark/>
          </w:tcPr>
          <w:p w14:paraId="3AE32078" w14:textId="77777777" w:rsidR="00CF2D46" w:rsidRPr="000A6E86" w:rsidRDefault="00CF2D46" w:rsidP="004835E4">
            <w:pPr>
              <w:pStyle w:val="TableText"/>
              <w:tabs>
                <w:tab w:val="decimal" w:pos="737"/>
              </w:tabs>
              <w:rPr>
                <w:rFonts w:cs="Arial"/>
                <w:b/>
                <w:lang w:eastAsia="en-AU"/>
              </w:rPr>
            </w:pPr>
            <w:r w:rsidRPr="000A6E86">
              <w:rPr>
                <w:rFonts w:cs="Arial"/>
                <w:b/>
                <w:bCs/>
              </w:rPr>
              <w:t>3,200</w:t>
            </w:r>
          </w:p>
        </w:tc>
      </w:tr>
      <w:tr w:rsidR="00CF2D46" w:rsidRPr="00E74C35" w14:paraId="1D7ACFF2" w14:textId="77777777" w:rsidTr="004835E4">
        <w:trPr>
          <w:cantSplit/>
        </w:trPr>
        <w:tc>
          <w:tcPr>
            <w:tcW w:w="2127" w:type="dxa"/>
            <w:tcBorders>
              <w:top w:val="nil"/>
              <w:bottom w:val="nil"/>
              <w:right w:val="single" w:sz="4" w:space="0" w:color="auto"/>
            </w:tcBorders>
            <w:shd w:val="clear" w:color="auto" w:fill="auto"/>
            <w:noWrap/>
            <w:hideMark/>
          </w:tcPr>
          <w:p w14:paraId="524AC75C" w14:textId="77777777" w:rsidR="00CF2D46" w:rsidRPr="00E74C35" w:rsidRDefault="00CF2D46" w:rsidP="00EA562A">
            <w:pPr>
              <w:pStyle w:val="TableText"/>
              <w:rPr>
                <w:rFonts w:cs="Arial"/>
                <w:color w:val="000000"/>
                <w:lang w:eastAsia="en-AU"/>
              </w:rPr>
            </w:pPr>
            <w:r w:rsidRPr="00E74C35">
              <w:t>Cocaine</w:t>
            </w:r>
          </w:p>
        </w:tc>
        <w:tc>
          <w:tcPr>
            <w:tcW w:w="1148" w:type="dxa"/>
            <w:tcBorders>
              <w:top w:val="nil"/>
              <w:left w:val="single" w:sz="4" w:space="0" w:color="auto"/>
              <w:bottom w:val="nil"/>
            </w:tcBorders>
            <w:shd w:val="clear" w:color="auto" w:fill="auto"/>
            <w:noWrap/>
            <w:hideMark/>
          </w:tcPr>
          <w:p w14:paraId="19CEF78E" w14:textId="77777777" w:rsidR="00CF2D46" w:rsidRPr="00E74C35" w:rsidRDefault="00CF2D46" w:rsidP="004835E4">
            <w:pPr>
              <w:pStyle w:val="TableText"/>
              <w:jc w:val="center"/>
              <w:rPr>
                <w:rFonts w:cs="Arial"/>
                <w:color w:val="000000"/>
                <w:lang w:eastAsia="en-AU"/>
              </w:rPr>
            </w:pPr>
            <w:r w:rsidRPr="00E74C35">
              <w:rPr>
                <w:rFonts w:cs="Arial"/>
                <w:color w:val="000000"/>
              </w:rPr>
              <w:t>3.</w:t>
            </w:r>
            <w:r>
              <w:rPr>
                <w:rFonts w:cs="Arial"/>
                <w:color w:val="000000"/>
              </w:rPr>
              <w:t>3</w:t>
            </w:r>
          </w:p>
        </w:tc>
        <w:tc>
          <w:tcPr>
            <w:tcW w:w="1148" w:type="dxa"/>
            <w:tcBorders>
              <w:top w:val="nil"/>
              <w:bottom w:val="nil"/>
            </w:tcBorders>
          </w:tcPr>
          <w:p w14:paraId="33FBC1FA" w14:textId="77777777" w:rsidR="00CF2D46" w:rsidRDefault="00CF2D46" w:rsidP="004835E4">
            <w:pPr>
              <w:pStyle w:val="TableText"/>
              <w:tabs>
                <w:tab w:val="decimal" w:pos="794"/>
              </w:tabs>
              <w:rPr>
                <w:rFonts w:cs="Arial"/>
              </w:rPr>
            </w:pPr>
            <w:r>
              <w:rPr>
                <w:rFonts w:cs="Arial"/>
              </w:rPr>
              <w:t>36,200</w:t>
            </w:r>
          </w:p>
        </w:tc>
        <w:tc>
          <w:tcPr>
            <w:tcW w:w="1148" w:type="dxa"/>
            <w:tcBorders>
              <w:top w:val="nil"/>
              <w:bottom w:val="nil"/>
              <w:right w:val="single" w:sz="4" w:space="0" w:color="auto"/>
            </w:tcBorders>
            <w:shd w:val="clear" w:color="auto" w:fill="auto"/>
            <w:noWrap/>
            <w:hideMark/>
          </w:tcPr>
          <w:p w14:paraId="5C4D60EC" w14:textId="77777777" w:rsidR="00CF2D46" w:rsidRPr="00E74C35" w:rsidRDefault="00CF2D46" w:rsidP="004835E4">
            <w:pPr>
              <w:pStyle w:val="TableText"/>
              <w:tabs>
                <w:tab w:val="decimal" w:pos="794"/>
              </w:tabs>
              <w:rPr>
                <w:rFonts w:cs="Arial"/>
                <w:lang w:eastAsia="en-AU"/>
              </w:rPr>
            </w:pPr>
            <w:r>
              <w:rPr>
                <w:rFonts w:cs="Arial"/>
              </w:rPr>
              <w:t>42,300</w:t>
            </w:r>
          </w:p>
        </w:tc>
        <w:tc>
          <w:tcPr>
            <w:tcW w:w="1148" w:type="dxa"/>
            <w:tcBorders>
              <w:top w:val="nil"/>
              <w:left w:val="single" w:sz="4" w:space="0" w:color="auto"/>
              <w:bottom w:val="nil"/>
            </w:tcBorders>
            <w:shd w:val="clear" w:color="auto" w:fill="auto"/>
            <w:noWrap/>
            <w:hideMark/>
          </w:tcPr>
          <w:p w14:paraId="1F8C140E" w14:textId="77777777" w:rsidR="00CF2D46" w:rsidRPr="00E74C35" w:rsidRDefault="00CF2D46" w:rsidP="004835E4">
            <w:pPr>
              <w:pStyle w:val="TableText"/>
              <w:jc w:val="center"/>
              <w:rPr>
                <w:rFonts w:cs="Arial"/>
                <w:lang w:eastAsia="en-AU"/>
              </w:rPr>
            </w:pPr>
            <w:r>
              <w:rPr>
                <w:rFonts w:cs="Arial"/>
              </w:rPr>
              <w:t>2.1</w:t>
            </w:r>
          </w:p>
        </w:tc>
        <w:tc>
          <w:tcPr>
            <w:tcW w:w="1148" w:type="dxa"/>
            <w:tcBorders>
              <w:top w:val="nil"/>
              <w:bottom w:val="nil"/>
            </w:tcBorders>
          </w:tcPr>
          <w:p w14:paraId="5BEA1A27" w14:textId="77777777" w:rsidR="00CF2D46" w:rsidRDefault="00CF2D46" w:rsidP="004835E4">
            <w:pPr>
              <w:pStyle w:val="TableText"/>
              <w:tabs>
                <w:tab w:val="decimal" w:pos="737"/>
              </w:tabs>
              <w:rPr>
                <w:rFonts w:cs="Arial"/>
              </w:rPr>
            </w:pPr>
            <w:r>
              <w:rPr>
                <w:rFonts w:cs="Arial"/>
              </w:rPr>
              <w:t>2,700</w:t>
            </w:r>
          </w:p>
        </w:tc>
        <w:tc>
          <w:tcPr>
            <w:tcW w:w="1149" w:type="dxa"/>
            <w:tcBorders>
              <w:top w:val="nil"/>
              <w:bottom w:val="nil"/>
            </w:tcBorders>
            <w:shd w:val="clear" w:color="auto" w:fill="auto"/>
            <w:noWrap/>
            <w:hideMark/>
          </w:tcPr>
          <w:p w14:paraId="3EFA256E" w14:textId="77777777" w:rsidR="00CF2D46" w:rsidRPr="00E74C35" w:rsidRDefault="00CF2D46" w:rsidP="004835E4">
            <w:pPr>
              <w:pStyle w:val="TableText"/>
              <w:tabs>
                <w:tab w:val="decimal" w:pos="737"/>
              </w:tabs>
              <w:rPr>
                <w:rFonts w:cs="Arial"/>
                <w:lang w:eastAsia="en-AU"/>
              </w:rPr>
            </w:pPr>
            <w:r>
              <w:rPr>
                <w:rFonts w:cs="Arial"/>
              </w:rPr>
              <w:t>2,700</w:t>
            </w:r>
          </w:p>
        </w:tc>
      </w:tr>
      <w:tr w:rsidR="00CF2D46" w:rsidRPr="00E74C35" w14:paraId="152535B6" w14:textId="77777777" w:rsidTr="004835E4">
        <w:trPr>
          <w:cantSplit/>
        </w:trPr>
        <w:tc>
          <w:tcPr>
            <w:tcW w:w="2127" w:type="dxa"/>
            <w:tcBorders>
              <w:top w:val="nil"/>
              <w:bottom w:val="nil"/>
              <w:right w:val="single" w:sz="4" w:space="0" w:color="auto"/>
            </w:tcBorders>
            <w:shd w:val="clear" w:color="auto" w:fill="auto"/>
            <w:noWrap/>
            <w:hideMark/>
          </w:tcPr>
          <w:p w14:paraId="0B88285F" w14:textId="77777777" w:rsidR="00CF2D46" w:rsidRPr="00E74C35" w:rsidRDefault="00CF2D46" w:rsidP="00EA562A">
            <w:pPr>
              <w:pStyle w:val="TableText"/>
              <w:rPr>
                <w:rFonts w:cs="Arial"/>
                <w:color w:val="000000"/>
                <w:lang w:eastAsia="en-AU"/>
              </w:rPr>
            </w:pPr>
            <w:r w:rsidRPr="00E74C35">
              <w:t>Synthetic cannabis</w:t>
            </w:r>
          </w:p>
        </w:tc>
        <w:tc>
          <w:tcPr>
            <w:tcW w:w="1148" w:type="dxa"/>
            <w:tcBorders>
              <w:top w:val="nil"/>
              <w:left w:val="single" w:sz="4" w:space="0" w:color="auto"/>
              <w:bottom w:val="nil"/>
            </w:tcBorders>
            <w:shd w:val="clear" w:color="auto" w:fill="auto"/>
            <w:noWrap/>
            <w:hideMark/>
          </w:tcPr>
          <w:p w14:paraId="0181737F" w14:textId="77777777" w:rsidR="00CF2D46" w:rsidRPr="00E74C35" w:rsidRDefault="00CF2D46" w:rsidP="004835E4">
            <w:pPr>
              <w:pStyle w:val="TableText"/>
              <w:jc w:val="center"/>
              <w:rPr>
                <w:rFonts w:cs="Arial"/>
                <w:color w:val="000000"/>
                <w:lang w:eastAsia="en-AU"/>
              </w:rPr>
            </w:pPr>
            <w:r>
              <w:rPr>
                <w:rFonts w:cs="Arial"/>
                <w:color w:val="000000"/>
              </w:rPr>
              <w:t>3.2</w:t>
            </w:r>
          </w:p>
        </w:tc>
        <w:tc>
          <w:tcPr>
            <w:tcW w:w="1148" w:type="dxa"/>
            <w:tcBorders>
              <w:top w:val="nil"/>
              <w:bottom w:val="nil"/>
            </w:tcBorders>
          </w:tcPr>
          <w:p w14:paraId="5E387E57" w14:textId="77777777" w:rsidR="00CF2D46" w:rsidRDefault="00CF2D46" w:rsidP="004835E4">
            <w:pPr>
              <w:pStyle w:val="TableText"/>
              <w:tabs>
                <w:tab w:val="decimal" w:pos="794"/>
              </w:tabs>
              <w:rPr>
                <w:rFonts w:cs="Arial"/>
              </w:rPr>
            </w:pPr>
            <w:r>
              <w:rPr>
                <w:rFonts w:cs="Arial"/>
              </w:rPr>
              <w:t>35,900</w:t>
            </w:r>
          </w:p>
        </w:tc>
        <w:tc>
          <w:tcPr>
            <w:tcW w:w="1148" w:type="dxa"/>
            <w:tcBorders>
              <w:top w:val="nil"/>
              <w:bottom w:val="nil"/>
              <w:right w:val="single" w:sz="4" w:space="0" w:color="auto"/>
            </w:tcBorders>
            <w:shd w:val="clear" w:color="auto" w:fill="auto"/>
            <w:noWrap/>
            <w:hideMark/>
          </w:tcPr>
          <w:p w14:paraId="3853BA15" w14:textId="77777777" w:rsidR="00CF2D46" w:rsidRPr="00E74C35" w:rsidRDefault="00CF2D46" w:rsidP="004835E4">
            <w:pPr>
              <w:pStyle w:val="TableText"/>
              <w:tabs>
                <w:tab w:val="decimal" w:pos="794"/>
              </w:tabs>
              <w:rPr>
                <w:rFonts w:cs="Arial"/>
                <w:lang w:eastAsia="en-AU"/>
              </w:rPr>
            </w:pPr>
            <w:r>
              <w:rPr>
                <w:rFonts w:cs="Arial"/>
              </w:rPr>
              <w:t>42,000</w:t>
            </w:r>
          </w:p>
        </w:tc>
        <w:tc>
          <w:tcPr>
            <w:tcW w:w="1148" w:type="dxa"/>
            <w:tcBorders>
              <w:top w:val="nil"/>
              <w:left w:val="single" w:sz="4" w:space="0" w:color="auto"/>
              <w:bottom w:val="nil"/>
            </w:tcBorders>
            <w:shd w:val="clear" w:color="auto" w:fill="auto"/>
            <w:noWrap/>
            <w:hideMark/>
          </w:tcPr>
          <w:p w14:paraId="7F167AD6" w14:textId="77777777" w:rsidR="00CF2D46" w:rsidRPr="00E74C35" w:rsidRDefault="00CF2D46" w:rsidP="004835E4">
            <w:pPr>
              <w:pStyle w:val="TableText"/>
              <w:jc w:val="center"/>
              <w:rPr>
                <w:rFonts w:cs="Arial"/>
                <w:lang w:eastAsia="en-AU"/>
              </w:rPr>
            </w:pPr>
            <w:r w:rsidRPr="00E74C35">
              <w:rPr>
                <w:rFonts w:cs="Arial"/>
              </w:rPr>
              <w:t>2.2</w:t>
            </w:r>
          </w:p>
        </w:tc>
        <w:tc>
          <w:tcPr>
            <w:tcW w:w="1148" w:type="dxa"/>
            <w:tcBorders>
              <w:top w:val="nil"/>
              <w:bottom w:val="nil"/>
            </w:tcBorders>
          </w:tcPr>
          <w:p w14:paraId="1C736153" w14:textId="77777777" w:rsidR="00CF2D46" w:rsidRPr="00E74C35" w:rsidRDefault="00CF2D46" w:rsidP="004835E4">
            <w:pPr>
              <w:pStyle w:val="TableText"/>
              <w:tabs>
                <w:tab w:val="decimal" w:pos="737"/>
              </w:tabs>
              <w:rPr>
                <w:rFonts w:cs="Arial"/>
              </w:rPr>
            </w:pPr>
            <w:r>
              <w:rPr>
                <w:rFonts w:cs="Arial"/>
              </w:rPr>
              <w:t>2,800</w:t>
            </w:r>
          </w:p>
        </w:tc>
        <w:tc>
          <w:tcPr>
            <w:tcW w:w="1149" w:type="dxa"/>
            <w:tcBorders>
              <w:top w:val="nil"/>
              <w:bottom w:val="nil"/>
            </w:tcBorders>
            <w:shd w:val="clear" w:color="auto" w:fill="auto"/>
            <w:noWrap/>
            <w:hideMark/>
          </w:tcPr>
          <w:p w14:paraId="1169711E" w14:textId="77777777" w:rsidR="00CF2D46" w:rsidRPr="00E74C35" w:rsidRDefault="00CF2D46" w:rsidP="004835E4">
            <w:pPr>
              <w:pStyle w:val="TableText"/>
              <w:tabs>
                <w:tab w:val="decimal" w:pos="737"/>
              </w:tabs>
              <w:rPr>
                <w:rFonts w:cs="Arial"/>
                <w:lang w:eastAsia="en-AU"/>
              </w:rPr>
            </w:pPr>
            <w:r w:rsidRPr="00E74C35">
              <w:rPr>
                <w:rFonts w:cs="Arial"/>
              </w:rPr>
              <w:t>2,</w:t>
            </w:r>
            <w:r>
              <w:rPr>
                <w:rFonts w:cs="Arial"/>
              </w:rPr>
              <w:t>800</w:t>
            </w:r>
          </w:p>
        </w:tc>
      </w:tr>
      <w:tr w:rsidR="00CF2D46" w:rsidRPr="00E74C35" w14:paraId="1019744A" w14:textId="77777777" w:rsidTr="004835E4">
        <w:trPr>
          <w:cantSplit/>
        </w:trPr>
        <w:tc>
          <w:tcPr>
            <w:tcW w:w="2127" w:type="dxa"/>
            <w:tcBorders>
              <w:top w:val="nil"/>
              <w:bottom w:val="nil"/>
              <w:right w:val="single" w:sz="4" w:space="0" w:color="auto"/>
            </w:tcBorders>
            <w:shd w:val="clear" w:color="auto" w:fill="auto"/>
            <w:noWrap/>
            <w:hideMark/>
          </w:tcPr>
          <w:p w14:paraId="4F8A483B" w14:textId="77777777" w:rsidR="00CF2D46" w:rsidRPr="00E74C35" w:rsidRDefault="00CF2D46" w:rsidP="00EA562A">
            <w:pPr>
              <w:pStyle w:val="TableText"/>
              <w:rPr>
                <w:rFonts w:cs="Arial"/>
                <w:color w:val="000000"/>
                <w:lang w:eastAsia="en-AU"/>
              </w:rPr>
            </w:pPr>
            <w:r w:rsidRPr="00E74C35">
              <w:t>Pharma-sedatives</w:t>
            </w:r>
          </w:p>
        </w:tc>
        <w:tc>
          <w:tcPr>
            <w:tcW w:w="1148" w:type="dxa"/>
            <w:tcBorders>
              <w:top w:val="nil"/>
              <w:left w:val="single" w:sz="4" w:space="0" w:color="auto"/>
              <w:bottom w:val="nil"/>
            </w:tcBorders>
            <w:shd w:val="clear" w:color="auto" w:fill="auto"/>
            <w:noWrap/>
            <w:hideMark/>
          </w:tcPr>
          <w:p w14:paraId="0701D35B" w14:textId="77777777" w:rsidR="00CF2D46" w:rsidRPr="00E74C35" w:rsidRDefault="00CF2D46" w:rsidP="004835E4">
            <w:pPr>
              <w:pStyle w:val="TableText"/>
              <w:jc w:val="center"/>
              <w:rPr>
                <w:rFonts w:cs="Arial"/>
                <w:color w:val="000000"/>
                <w:lang w:eastAsia="en-AU"/>
              </w:rPr>
            </w:pPr>
            <w:r>
              <w:rPr>
                <w:rFonts w:cs="Arial"/>
                <w:color w:val="000000"/>
              </w:rPr>
              <w:t>3.0</w:t>
            </w:r>
          </w:p>
        </w:tc>
        <w:tc>
          <w:tcPr>
            <w:tcW w:w="1148" w:type="dxa"/>
            <w:tcBorders>
              <w:top w:val="nil"/>
              <w:bottom w:val="nil"/>
            </w:tcBorders>
          </w:tcPr>
          <w:p w14:paraId="6C160E51" w14:textId="77777777" w:rsidR="00CF2D46" w:rsidRDefault="00CF2D46" w:rsidP="004835E4">
            <w:pPr>
              <w:pStyle w:val="TableText"/>
              <w:tabs>
                <w:tab w:val="decimal" w:pos="794"/>
              </w:tabs>
              <w:rPr>
                <w:rFonts w:cs="Arial"/>
              </w:rPr>
            </w:pPr>
            <w:r>
              <w:rPr>
                <w:rFonts w:cs="Arial"/>
              </w:rPr>
              <w:t>31,800</w:t>
            </w:r>
          </w:p>
        </w:tc>
        <w:tc>
          <w:tcPr>
            <w:tcW w:w="1148" w:type="dxa"/>
            <w:tcBorders>
              <w:top w:val="nil"/>
              <w:bottom w:val="nil"/>
              <w:right w:val="single" w:sz="4" w:space="0" w:color="auto"/>
            </w:tcBorders>
            <w:shd w:val="clear" w:color="auto" w:fill="auto"/>
            <w:noWrap/>
            <w:hideMark/>
          </w:tcPr>
          <w:p w14:paraId="25302579" w14:textId="77777777" w:rsidR="00CF2D46" w:rsidRPr="00E74C35" w:rsidRDefault="00CF2D46" w:rsidP="004835E4">
            <w:pPr>
              <w:pStyle w:val="TableText"/>
              <w:tabs>
                <w:tab w:val="decimal" w:pos="794"/>
              </w:tabs>
              <w:rPr>
                <w:rFonts w:cs="Arial"/>
                <w:lang w:eastAsia="en-AU"/>
              </w:rPr>
            </w:pPr>
            <w:r>
              <w:rPr>
                <w:rFonts w:cs="Arial"/>
              </w:rPr>
              <w:t>38,</w:t>
            </w:r>
            <w:r w:rsidRPr="00E74C35">
              <w:rPr>
                <w:rFonts w:cs="Arial"/>
              </w:rPr>
              <w:t>2</w:t>
            </w:r>
            <w:r>
              <w:rPr>
                <w:rFonts w:cs="Arial"/>
              </w:rPr>
              <w:t>00</w:t>
            </w:r>
          </w:p>
        </w:tc>
        <w:tc>
          <w:tcPr>
            <w:tcW w:w="1148" w:type="dxa"/>
            <w:tcBorders>
              <w:top w:val="nil"/>
              <w:left w:val="single" w:sz="4" w:space="0" w:color="auto"/>
              <w:bottom w:val="nil"/>
            </w:tcBorders>
            <w:shd w:val="clear" w:color="auto" w:fill="auto"/>
            <w:noWrap/>
            <w:hideMark/>
          </w:tcPr>
          <w:p w14:paraId="431A6A19" w14:textId="77777777" w:rsidR="00CF2D46" w:rsidRPr="00E74C35" w:rsidRDefault="00CF2D46" w:rsidP="004835E4">
            <w:pPr>
              <w:pStyle w:val="TableText"/>
              <w:jc w:val="center"/>
              <w:rPr>
                <w:rFonts w:cs="Arial"/>
                <w:lang w:eastAsia="en-AU"/>
              </w:rPr>
            </w:pPr>
            <w:r w:rsidRPr="00E74C35">
              <w:rPr>
                <w:rFonts w:cs="Arial"/>
              </w:rPr>
              <w:t>2.0</w:t>
            </w:r>
          </w:p>
        </w:tc>
        <w:tc>
          <w:tcPr>
            <w:tcW w:w="1148" w:type="dxa"/>
            <w:tcBorders>
              <w:top w:val="nil"/>
              <w:bottom w:val="nil"/>
            </w:tcBorders>
          </w:tcPr>
          <w:p w14:paraId="6765246F" w14:textId="77777777" w:rsidR="00CF2D46" w:rsidRPr="00E74C35" w:rsidRDefault="00CF2D46" w:rsidP="004835E4">
            <w:pPr>
              <w:pStyle w:val="TableText"/>
              <w:tabs>
                <w:tab w:val="decimal" w:pos="737"/>
              </w:tabs>
              <w:rPr>
                <w:rFonts w:cs="Arial"/>
              </w:rPr>
            </w:pPr>
            <w:r>
              <w:rPr>
                <w:rFonts w:cs="Arial"/>
              </w:rPr>
              <w:t>2,600</w:t>
            </w:r>
          </w:p>
        </w:tc>
        <w:tc>
          <w:tcPr>
            <w:tcW w:w="1149" w:type="dxa"/>
            <w:tcBorders>
              <w:top w:val="nil"/>
              <w:bottom w:val="nil"/>
            </w:tcBorders>
            <w:shd w:val="clear" w:color="auto" w:fill="auto"/>
            <w:noWrap/>
            <w:hideMark/>
          </w:tcPr>
          <w:p w14:paraId="2E33B0FC" w14:textId="77777777" w:rsidR="00CF2D46" w:rsidRPr="00E74C35" w:rsidRDefault="00CF2D46" w:rsidP="004835E4">
            <w:pPr>
              <w:pStyle w:val="TableText"/>
              <w:tabs>
                <w:tab w:val="decimal" w:pos="737"/>
              </w:tabs>
              <w:rPr>
                <w:rFonts w:cs="Arial"/>
                <w:lang w:eastAsia="en-AU"/>
              </w:rPr>
            </w:pPr>
            <w:r w:rsidRPr="00E74C35">
              <w:rPr>
                <w:rFonts w:cs="Arial"/>
              </w:rPr>
              <w:t>2,</w:t>
            </w:r>
            <w:r>
              <w:rPr>
                <w:rFonts w:cs="Arial"/>
              </w:rPr>
              <w:t>600</w:t>
            </w:r>
          </w:p>
        </w:tc>
      </w:tr>
      <w:tr w:rsidR="00CF2D46" w:rsidRPr="00E74C35" w14:paraId="6A2FA8FC" w14:textId="77777777" w:rsidTr="004835E4">
        <w:trPr>
          <w:cantSplit/>
        </w:trPr>
        <w:tc>
          <w:tcPr>
            <w:tcW w:w="2127" w:type="dxa"/>
            <w:tcBorders>
              <w:top w:val="nil"/>
              <w:bottom w:val="nil"/>
              <w:right w:val="single" w:sz="4" w:space="0" w:color="auto"/>
            </w:tcBorders>
            <w:shd w:val="clear" w:color="auto" w:fill="auto"/>
            <w:noWrap/>
            <w:hideMark/>
          </w:tcPr>
          <w:p w14:paraId="3B8EEBF6" w14:textId="77777777" w:rsidR="00CF2D46" w:rsidRPr="00E74C35" w:rsidRDefault="00CF2D46" w:rsidP="00EA562A">
            <w:pPr>
              <w:pStyle w:val="TableText"/>
              <w:rPr>
                <w:rFonts w:cs="Arial"/>
                <w:color w:val="000000"/>
                <w:lang w:eastAsia="en-AU"/>
              </w:rPr>
            </w:pPr>
            <w:r w:rsidRPr="00E74C35">
              <w:t>Amphetamine</w:t>
            </w:r>
          </w:p>
        </w:tc>
        <w:tc>
          <w:tcPr>
            <w:tcW w:w="1148" w:type="dxa"/>
            <w:tcBorders>
              <w:top w:val="nil"/>
              <w:left w:val="single" w:sz="4" w:space="0" w:color="auto"/>
              <w:bottom w:val="nil"/>
            </w:tcBorders>
            <w:shd w:val="clear" w:color="auto" w:fill="auto"/>
            <w:noWrap/>
            <w:hideMark/>
          </w:tcPr>
          <w:p w14:paraId="74FF153B" w14:textId="77777777" w:rsidR="00CF2D46" w:rsidRPr="00E74C35" w:rsidRDefault="00CF2D46" w:rsidP="004835E4">
            <w:pPr>
              <w:pStyle w:val="TableText"/>
              <w:jc w:val="center"/>
              <w:rPr>
                <w:rFonts w:cs="Arial"/>
                <w:color w:val="000000"/>
                <w:lang w:eastAsia="en-AU"/>
              </w:rPr>
            </w:pPr>
            <w:r>
              <w:rPr>
                <w:rFonts w:cs="Arial"/>
                <w:color w:val="000000"/>
              </w:rPr>
              <w:t>2.9</w:t>
            </w:r>
          </w:p>
        </w:tc>
        <w:tc>
          <w:tcPr>
            <w:tcW w:w="1148" w:type="dxa"/>
            <w:tcBorders>
              <w:top w:val="nil"/>
              <w:bottom w:val="nil"/>
            </w:tcBorders>
          </w:tcPr>
          <w:p w14:paraId="78DE629B" w14:textId="77777777" w:rsidR="00CF2D46" w:rsidRDefault="00CF2D46" w:rsidP="004835E4">
            <w:pPr>
              <w:pStyle w:val="TableText"/>
              <w:tabs>
                <w:tab w:val="decimal" w:pos="794"/>
              </w:tabs>
              <w:rPr>
                <w:rFonts w:cs="Arial"/>
              </w:rPr>
            </w:pPr>
            <w:r>
              <w:rPr>
                <w:rFonts w:cs="Arial"/>
              </w:rPr>
              <w:t>31,000</w:t>
            </w:r>
          </w:p>
        </w:tc>
        <w:tc>
          <w:tcPr>
            <w:tcW w:w="1148" w:type="dxa"/>
            <w:tcBorders>
              <w:top w:val="nil"/>
              <w:bottom w:val="nil"/>
              <w:right w:val="single" w:sz="4" w:space="0" w:color="auto"/>
            </w:tcBorders>
            <w:shd w:val="clear" w:color="auto" w:fill="auto"/>
            <w:noWrap/>
            <w:hideMark/>
          </w:tcPr>
          <w:p w14:paraId="0679BCFD" w14:textId="77777777" w:rsidR="00CF2D46" w:rsidRPr="00E74C35" w:rsidRDefault="00CF2D46" w:rsidP="004835E4">
            <w:pPr>
              <w:pStyle w:val="TableText"/>
              <w:tabs>
                <w:tab w:val="decimal" w:pos="794"/>
              </w:tabs>
              <w:rPr>
                <w:rFonts w:cs="Arial"/>
                <w:lang w:eastAsia="en-AU"/>
              </w:rPr>
            </w:pPr>
            <w:r>
              <w:rPr>
                <w:rFonts w:cs="Arial"/>
              </w:rPr>
              <w:t>37,500</w:t>
            </w:r>
          </w:p>
        </w:tc>
        <w:tc>
          <w:tcPr>
            <w:tcW w:w="1148" w:type="dxa"/>
            <w:tcBorders>
              <w:top w:val="nil"/>
              <w:left w:val="single" w:sz="4" w:space="0" w:color="auto"/>
              <w:bottom w:val="nil"/>
            </w:tcBorders>
            <w:shd w:val="clear" w:color="auto" w:fill="auto"/>
            <w:noWrap/>
            <w:hideMark/>
          </w:tcPr>
          <w:p w14:paraId="0753DFF3" w14:textId="77777777" w:rsidR="00CF2D46" w:rsidRPr="00E74C35" w:rsidRDefault="00CF2D46" w:rsidP="004835E4">
            <w:pPr>
              <w:pStyle w:val="TableText"/>
              <w:jc w:val="center"/>
              <w:rPr>
                <w:rFonts w:cs="Arial"/>
                <w:lang w:eastAsia="en-AU"/>
              </w:rPr>
            </w:pPr>
            <w:r w:rsidRPr="00E74C35">
              <w:rPr>
                <w:rFonts w:cs="Arial"/>
              </w:rPr>
              <w:t>1.8</w:t>
            </w:r>
          </w:p>
        </w:tc>
        <w:tc>
          <w:tcPr>
            <w:tcW w:w="1148" w:type="dxa"/>
            <w:tcBorders>
              <w:top w:val="nil"/>
              <w:bottom w:val="nil"/>
            </w:tcBorders>
          </w:tcPr>
          <w:p w14:paraId="37C31CEF" w14:textId="77777777" w:rsidR="00CF2D46" w:rsidRPr="00E74C35" w:rsidRDefault="00CF2D46" w:rsidP="004835E4">
            <w:pPr>
              <w:pStyle w:val="TableText"/>
              <w:tabs>
                <w:tab w:val="decimal" w:pos="737"/>
              </w:tabs>
              <w:rPr>
                <w:rFonts w:cs="Arial"/>
              </w:rPr>
            </w:pPr>
            <w:r>
              <w:rPr>
                <w:rFonts w:cs="Arial"/>
              </w:rPr>
              <w:t>2,500</w:t>
            </w:r>
          </w:p>
        </w:tc>
        <w:tc>
          <w:tcPr>
            <w:tcW w:w="1149" w:type="dxa"/>
            <w:tcBorders>
              <w:top w:val="nil"/>
              <w:bottom w:val="nil"/>
            </w:tcBorders>
            <w:shd w:val="clear" w:color="auto" w:fill="auto"/>
            <w:noWrap/>
            <w:hideMark/>
          </w:tcPr>
          <w:p w14:paraId="5339C461" w14:textId="77777777" w:rsidR="00CF2D46" w:rsidRPr="00E74C35" w:rsidRDefault="00CF2D46" w:rsidP="004835E4">
            <w:pPr>
              <w:pStyle w:val="TableText"/>
              <w:tabs>
                <w:tab w:val="decimal" w:pos="737"/>
              </w:tabs>
              <w:rPr>
                <w:rFonts w:cs="Arial"/>
                <w:lang w:eastAsia="en-AU"/>
              </w:rPr>
            </w:pPr>
            <w:r w:rsidRPr="00E74C35">
              <w:rPr>
                <w:rFonts w:cs="Arial"/>
              </w:rPr>
              <w:t>2,</w:t>
            </w:r>
            <w:r>
              <w:rPr>
                <w:rFonts w:cs="Arial"/>
              </w:rPr>
              <w:t>500</w:t>
            </w:r>
          </w:p>
        </w:tc>
      </w:tr>
      <w:tr w:rsidR="00CF2D46" w:rsidRPr="00E74C35" w14:paraId="7C697B71" w14:textId="77777777" w:rsidTr="004835E4">
        <w:trPr>
          <w:cantSplit/>
        </w:trPr>
        <w:tc>
          <w:tcPr>
            <w:tcW w:w="2127" w:type="dxa"/>
            <w:tcBorders>
              <w:top w:val="nil"/>
              <w:bottom w:val="nil"/>
              <w:right w:val="single" w:sz="4" w:space="0" w:color="auto"/>
            </w:tcBorders>
            <w:shd w:val="clear" w:color="auto" w:fill="auto"/>
            <w:noWrap/>
            <w:hideMark/>
          </w:tcPr>
          <w:p w14:paraId="4172AD07" w14:textId="77777777" w:rsidR="00CF2D46" w:rsidRPr="00E74C35" w:rsidRDefault="00CF2D46" w:rsidP="00EA562A">
            <w:pPr>
              <w:pStyle w:val="TableText"/>
              <w:rPr>
                <w:rFonts w:cs="Arial"/>
                <w:color w:val="000000"/>
                <w:lang w:eastAsia="en-AU"/>
              </w:rPr>
            </w:pPr>
            <w:r w:rsidRPr="00E74C35">
              <w:t>Dexamphetamine</w:t>
            </w:r>
          </w:p>
        </w:tc>
        <w:tc>
          <w:tcPr>
            <w:tcW w:w="1148" w:type="dxa"/>
            <w:tcBorders>
              <w:top w:val="nil"/>
              <w:left w:val="single" w:sz="4" w:space="0" w:color="auto"/>
              <w:bottom w:val="nil"/>
            </w:tcBorders>
            <w:shd w:val="clear" w:color="auto" w:fill="auto"/>
            <w:noWrap/>
            <w:hideMark/>
          </w:tcPr>
          <w:p w14:paraId="6764CB72" w14:textId="77777777" w:rsidR="00CF2D46" w:rsidRPr="00E74C35" w:rsidRDefault="00CF2D46" w:rsidP="004835E4">
            <w:pPr>
              <w:pStyle w:val="TableText"/>
              <w:jc w:val="center"/>
              <w:rPr>
                <w:rFonts w:cs="Arial"/>
                <w:color w:val="000000"/>
                <w:lang w:eastAsia="en-AU"/>
              </w:rPr>
            </w:pPr>
            <w:r w:rsidRPr="00E74C35">
              <w:rPr>
                <w:rFonts w:cs="Arial"/>
                <w:color w:val="000000"/>
              </w:rPr>
              <w:t>2.7</w:t>
            </w:r>
          </w:p>
        </w:tc>
        <w:tc>
          <w:tcPr>
            <w:tcW w:w="1148" w:type="dxa"/>
            <w:tcBorders>
              <w:top w:val="nil"/>
              <w:bottom w:val="nil"/>
            </w:tcBorders>
          </w:tcPr>
          <w:p w14:paraId="20DDAF74" w14:textId="77777777" w:rsidR="00CF2D46" w:rsidRDefault="00CF2D46" w:rsidP="004835E4">
            <w:pPr>
              <w:pStyle w:val="TableText"/>
              <w:tabs>
                <w:tab w:val="decimal" w:pos="794"/>
              </w:tabs>
              <w:rPr>
                <w:rFonts w:cs="Arial"/>
              </w:rPr>
            </w:pPr>
            <w:r>
              <w:rPr>
                <w:rFonts w:cs="Arial"/>
              </w:rPr>
              <w:t>27,000</w:t>
            </w:r>
          </w:p>
        </w:tc>
        <w:tc>
          <w:tcPr>
            <w:tcW w:w="1148" w:type="dxa"/>
            <w:tcBorders>
              <w:top w:val="nil"/>
              <w:bottom w:val="nil"/>
              <w:right w:val="single" w:sz="4" w:space="0" w:color="auto"/>
            </w:tcBorders>
            <w:shd w:val="clear" w:color="auto" w:fill="auto"/>
            <w:noWrap/>
            <w:hideMark/>
          </w:tcPr>
          <w:p w14:paraId="73A0C337" w14:textId="77777777" w:rsidR="00CF2D46" w:rsidRPr="00E74C35" w:rsidRDefault="00CF2D46" w:rsidP="004835E4">
            <w:pPr>
              <w:pStyle w:val="TableText"/>
              <w:tabs>
                <w:tab w:val="decimal" w:pos="794"/>
              </w:tabs>
              <w:rPr>
                <w:rFonts w:cs="Arial"/>
                <w:lang w:eastAsia="en-AU"/>
              </w:rPr>
            </w:pPr>
            <w:r>
              <w:rPr>
                <w:rFonts w:cs="Arial"/>
              </w:rPr>
              <w:t>33,600</w:t>
            </w:r>
          </w:p>
        </w:tc>
        <w:tc>
          <w:tcPr>
            <w:tcW w:w="1148" w:type="dxa"/>
            <w:tcBorders>
              <w:top w:val="nil"/>
              <w:left w:val="single" w:sz="4" w:space="0" w:color="auto"/>
              <w:bottom w:val="nil"/>
            </w:tcBorders>
            <w:shd w:val="clear" w:color="auto" w:fill="auto"/>
            <w:noWrap/>
            <w:hideMark/>
          </w:tcPr>
          <w:p w14:paraId="796DF928" w14:textId="77777777" w:rsidR="00CF2D46" w:rsidRPr="00E74C35" w:rsidRDefault="00CF2D46" w:rsidP="004835E4">
            <w:pPr>
              <w:pStyle w:val="TableText"/>
              <w:jc w:val="center"/>
              <w:rPr>
                <w:rFonts w:cs="Arial"/>
                <w:lang w:eastAsia="en-AU"/>
              </w:rPr>
            </w:pPr>
            <w:r>
              <w:rPr>
                <w:rFonts w:cs="Arial"/>
              </w:rPr>
              <w:t>1.8</w:t>
            </w:r>
          </w:p>
        </w:tc>
        <w:tc>
          <w:tcPr>
            <w:tcW w:w="1148" w:type="dxa"/>
            <w:tcBorders>
              <w:top w:val="nil"/>
              <w:bottom w:val="nil"/>
            </w:tcBorders>
          </w:tcPr>
          <w:p w14:paraId="0AFC6E31" w14:textId="77777777" w:rsidR="00CF2D46" w:rsidRPr="00E74C35" w:rsidRDefault="00CF2D46" w:rsidP="004835E4">
            <w:pPr>
              <w:pStyle w:val="TableText"/>
              <w:tabs>
                <w:tab w:val="decimal" w:pos="737"/>
              </w:tabs>
              <w:rPr>
                <w:rFonts w:cs="Arial"/>
              </w:rPr>
            </w:pPr>
            <w:r>
              <w:rPr>
                <w:rFonts w:cs="Arial"/>
              </w:rPr>
              <w:t>2,400</w:t>
            </w:r>
          </w:p>
        </w:tc>
        <w:tc>
          <w:tcPr>
            <w:tcW w:w="1149" w:type="dxa"/>
            <w:tcBorders>
              <w:top w:val="nil"/>
              <w:bottom w:val="nil"/>
            </w:tcBorders>
            <w:shd w:val="clear" w:color="auto" w:fill="auto"/>
            <w:noWrap/>
            <w:hideMark/>
          </w:tcPr>
          <w:p w14:paraId="111C0E9E" w14:textId="77777777" w:rsidR="00CF2D46" w:rsidRPr="00E74C35" w:rsidRDefault="00CF2D46" w:rsidP="004835E4">
            <w:pPr>
              <w:pStyle w:val="TableText"/>
              <w:tabs>
                <w:tab w:val="decimal" w:pos="737"/>
              </w:tabs>
              <w:rPr>
                <w:rFonts w:cs="Arial"/>
                <w:lang w:eastAsia="en-AU"/>
              </w:rPr>
            </w:pPr>
            <w:r w:rsidRPr="00E74C35">
              <w:rPr>
                <w:rFonts w:cs="Arial"/>
              </w:rPr>
              <w:t>2,</w:t>
            </w:r>
            <w:r>
              <w:rPr>
                <w:rFonts w:cs="Arial"/>
              </w:rPr>
              <w:t>400</w:t>
            </w:r>
          </w:p>
        </w:tc>
      </w:tr>
      <w:tr w:rsidR="00CF2D46" w:rsidRPr="00E74C35" w14:paraId="23085653" w14:textId="77777777" w:rsidTr="004835E4">
        <w:trPr>
          <w:cantSplit/>
        </w:trPr>
        <w:tc>
          <w:tcPr>
            <w:tcW w:w="2127" w:type="dxa"/>
            <w:tcBorders>
              <w:top w:val="nil"/>
              <w:bottom w:val="nil"/>
              <w:right w:val="single" w:sz="4" w:space="0" w:color="auto"/>
            </w:tcBorders>
            <w:shd w:val="clear" w:color="auto" w:fill="auto"/>
            <w:noWrap/>
            <w:hideMark/>
          </w:tcPr>
          <w:p w14:paraId="75B19928" w14:textId="77777777" w:rsidR="00CF2D46" w:rsidRPr="00E74C35" w:rsidRDefault="00CF2D46" w:rsidP="00EA562A">
            <w:pPr>
              <w:pStyle w:val="TableText"/>
              <w:rPr>
                <w:rFonts w:cs="Arial"/>
                <w:color w:val="000000"/>
                <w:lang w:eastAsia="en-AU"/>
              </w:rPr>
            </w:pPr>
            <w:r w:rsidRPr="00E74C35">
              <w:t>Ketamine</w:t>
            </w:r>
          </w:p>
        </w:tc>
        <w:tc>
          <w:tcPr>
            <w:tcW w:w="1148" w:type="dxa"/>
            <w:tcBorders>
              <w:top w:val="nil"/>
              <w:left w:val="single" w:sz="4" w:space="0" w:color="auto"/>
              <w:bottom w:val="nil"/>
            </w:tcBorders>
            <w:shd w:val="clear" w:color="auto" w:fill="auto"/>
            <w:noWrap/>
            <w:hideMark/>
          </w:tcPr>
          <w:p w14:paraId="394D7E28" w14:textId="77777777" w:rsidR="00CF2D46" w:rsidRPr="00E74C35" w:rsidRDefault="00CF2D46" w:rsidP="004835E4">
            <w:pPr>
              <w:pStyle w:val="TableText"/>
              <w:jc w:val="center"/>
              <w:rPr>
                <w:rFonts w:cs="Arial"/>
                <w:color w:val="000000"/>
                <w:lang w:eastAsia="en-AU"/>
              </w:rPr>
            </w:pPr>
            <w:r>
              <w:rPr>
                <w:rFonts w:cs="Arial"/>
                <w:color w:val="000000"/>
              </w:rPr>
              <w:t>2.</w:t>
            </w:r>
            <w:r w:rsidRPr="00E74C35">
              <w:rPr>
                <w:rFonts w:cs="Arial"/>
                <w:color w:val="000000"/>
              </w:rPr>
              <w:t>7</w:t>
            </w:r>
          </w:p>
        </w:tc>
        <w:tc>
          <w:tcPr>
            <w:tcW w:w="1148" w:type="dxa"/>
            <w:tcBorders>
              <w:top w:val="nil"/>
              <w:bottom w:val="nil"/>
            </w:tcBorders>
          </w:tcPr>
          <w:p w14:paraId="6CED8A49" w14:textId="77777777" w:rsidR="00CF2D46" w:rsidRDefault="00CF2D46" w:rsidP="004835E4">
            <w:pPr>
              <w:pStyle w:val="TableText"/>
              <w:tabs>
                <w:tab w:val="decimal" w:pos="794"/>
              </w:tabs>
              <w:rPr>
                <w:rFonts w:cs="Arial"/>
              </w:rPr>
            </w:pPr>
            <w:r>
              <w:rPr>
                <w:rFonts w:cs="Arial"/>
              </w:rPr>
              <w:t>26,200</w:t>
            </w:r>
          </w:p>
        </w:tc>
        <w:tc>
          <w:tcPr>
            <w:tcW w:w="1148" w:type="dxa"/>
            <w:tcBorders>
              <w:top w:val="nil"/>
              <w:bottom w:val="nil"/>
              <w:right w:val="single" w:sz="4" w:space="0" w:color="auto"/>
            </w:tcBorders>
            <w:shd w:val="clear" w:color="auto" w:fill="auto"/>
            <w:noWrap/>
            <w:hideMark/>
          </w:tcPr>
          <w:p w14:paraId="6FDF16D7" w14:textId="77777777" w:rsidR="00CF2D46" w:rsidRPr="00E74C35" w:rsidRDefault="00CF2D46" w:rsidP="004835E4">
            <w:pPr>
              <w:pStyle w:val="TableText"/>
              <w:tabs>
                <w:tab w:val="decimal" w:pos="794"/>
              </w:tabs>
              <w:rPr>
                <w:rFonts w:cs="Arial"/>
                <w:lang w:eastAsia="en-AU"/>
              </w:rPr>
            </w:pPr>
            <w:r>
              <w:rPr>
                <w:rFonts w:cs="Arial"/>
              </w:rPr>
              <w:t>32,900</w:t>
            </w:r>
          </w:p>
        </w:tc>
        <w:tc>
          <w:tcPr>
            <w:tcW w:w="1148" w:type="dxa"/>
            <w:tcBorders>
              <w:top w:val="nil"/>
              <w:left w:val="single" w:sz="4" w:space="0" w:color="auto"/>
              <w:bottom w:val="nil"/>
            </w:tcBorders>
            <w:shd w:val="clear" w:color="auto" w:fill="auto"/>
            <w:noWrap/>
            <w:hideMark/>
          </w:tcPr>
          <w:p w14:paraId="5C7C2DEA" w14:textId="77777777" w:rsidR="00CF2D46" w:rsidRPr="00E74C35" w:rsidRDefault="00CF2D46" w:rsidP="004835E4">
            <w:pPr>
              <w:pStyle w:val="TableText"/>
              <w:jc w:val="center"/>
              <w:rPr>
                <w:rFonts w:cs="Arial"/>
                <w:lang w:eastAsia="en-AU"/>
              </w:rPr>
            </w:pPr>
            <w:r>
              <w:rPr>
                <w:rFonts w:cs="Arial"/>
              </w:rPr>
              <w:t>1.8</w:t>
            </w:r>
          </w:p>
        </w:tc>
        <w:tc>
          <w:tcPr>
            <w:tcW w:w="1148" w:type="dxa"/>
            <w:tcBorders>
              <w:top w:val="nil"/>
              <w:bottom w:val="nil"/>
            </w:tcBorders>
          </w:tcPr>
          <w:p w14:paraId="22FA54EF" w14:textId="77777777" w:rsidR="00CF2D46" w:rsidRPr="00E74C35" w:rsidRDefault="00CF2D46" w:rsidP="004835E4">
            <w:pPr>
              <w:pStyle w:val="TableText"/>
              <w:tabs>
                <w:tab w:val="decimal" w:pos="737"/>
              </w:tabs>
              <w:rPr>
                <w:rFonts w:cs="Arial"/>
              </w:rPr>
            </w:pPr>
            <w:r>
              <w:rPr>
                <w:rFonts w:cs="Arial"/>
              </w:rPr>
              <w:t>2,500</w:t>
            </w:r>
          </w:p>
        </w:tc>
        <w:tc>
          <w:tcPr>
            <w:tcW w:w="1149" w:type="dxa"/>
            <w:tcBorders>
              <w:top w:val="nil"/>
              <w:bottom w:val="nil"/>
            </w:tcBorders>
            <w:shd w:val="clear" w:color="auto" w:fill="auto"/>
            <w:noWrap/>
            <w:hideMark/>
          </w:tcPr>
          <w:p w14:paraId="78991004" w14:textId="77777777" w:rsidR="00CF2D46" w:rsidRPr="00E74C35" w:rsidRDefault="00CF2D46" w:rsidP="004835E4">
            <w:pPr>
              <w:pStyle w:val="TableText"/>
              <w:tabs>
                <w:tab w:val="decimal" w:pos="737"/>
              </w:tabs>
              <w:rPr>
                <w:rFonts w:cs="Arial"/>
                <w:lang w:eastAsia="en-AU"/>
              </w:rPr>
            </w:pPr>
            <w:r w:rsidRPr="00E74C35">
              <w:rPr>
                <w:rFonts w:cs="Arial"/>
              </w:rPr>
              <w:t>2,</w:t>
            </w:r>
            <w:r>
              <w:rPr>
                <w:rFonts w:cs="Arial"/>
              </w:rPr>
              <w:t>500</w:t>
            </w:r>
          </w:p>
        </w:tc>
      </w:tr>
      <w:tr w:rsidR="00CF2D46" w:rsidRPr="00E74C35" w14:paraId="605317C7" w14:textId="77777777" w:rsidTr="004835E4">
        <w:trPr>
          <w:cantSplit/>
        </w:trPr>
        <w:tc>
          <w:tcPr>
            <w:tcW w:w="2127" w:type="dxa"/>
            <w:tcBorders>
              <w:top w:val="nil"/>
              <w:bottom w:val="nil"/>
              <w:right w:val="single" w:sz="4" w:space="0" w:color="auto"/>
            </w:tcBorders>
            <w:shd w:val="clear" w:color="auto" w:fill="auto"/>
            <w:noWrap/>
            <w:hideMark/>
          </w:tcPr>
          <w:p w14:paraId="11E48526" w14:textId="77777777" w:rsidR="00CF2D46" w:rsidRPr="00E74C35" w:rsidRDefault="00CF2D46" w:rsidP="00EA562A">
            <w:pPr>
              <w:pStyle w:val="TableText"/>
              <w:rPr>
                <w:rFonts w:cs="Arial"/>
                <w:color w:val="000000"/>
                <w:lang w:eastAsia="en-AU"/>
              </w:rPr>
            </w:pPr>
            <w:r w:rsidRPr="00E74C35">
              <w:t>GHB</w:t>
            </w:r>
          </w:p>
        </w:tc>
        <w:tc>
          <w:tcPr>
            <w:tcW w:w="1148" w:type="dxa"/>
            <w:tcBorders>
              <w:top w:val="nil"/>
              <w:left w:val="single" w:sz="4" w:space="0" w:color="auto"/>
              <w:bottom w:val="nil"/>
            </w:tcBorders>
            <w:shd w:val="clear" w:color="auto" w:fill="auto"/>
            <w:noWrap/>
            <w:hideMark/>
          </w:tcPr>
          <w:p w14:paraId="06D4B1DD" w14:textId="77777777" w:rsidR="00CF2D46" w:rsidRPr="00E74C35" w:rsidRDefault="00CF2D46" w:rsidP="004835E4">
            <w:pPr>
              <w:pStyle w:val="TableText"/>
              <w:jc w:val="center"/>
              <w:rPr>
                <w:rFonts w:cs="Arial"/>
                <w:color w:val="000000"/>
                <w:lang w:eastAsia="en-AU"/>
              </w:rPr>
            </w:pPr>
            <w:r w:rsidRPr="00E74C35">
              <w:rPr>
                <w:rFonts w:cs="Arial"/>
                <w:color w:val="000000"/>
              </w:rPr>
              <w:t>2.6</w:t>
            </w:r>
          </w:p>
        </w:tc>
        <w:tc>
          <w:tcPr>
            <w:tcW w:w="1148" w:type="dxa"/>
            <w:tcBorders>
              <w:top w:val="nil"/>
              <w:bottom w:val="nil"/>
            </w:tcBorders>
          </w:tcPr>
          <w:p w14:paraId="28B82176" w14:textId="77777777" w:rsidR="00CF2D46" w:rsidRDefault="00CF2D46" w:rsidP="004835E4">
            <w:pPr>
              <w:pStyle w:val="TableText"/>
              <w:tabs>
                <w:tab w:val="decimal" w:pos="794"/>
              </w:tabs>
              <w:rPr>
                <w:rFonts w:cs="Arial"/>
              </w:rPr>
            </w:pPr>
            <w:r>
              <w:rPr>
                <w:rFonts w:cs="Arial"/>
              </w:rPr>
              <w:t>25,400</w:t>
            </w:r>
          </w:p>
        </w:tc>
        <w:tc>
          <w:tcPr>
            <w:tcW w:w="1148" w:type="dxa"/>
            <w:tcBorders>
              <w:top w:val="nil"/>
              <w:bottom w:val="nil"/>
              <w:right w:val="single" w:sz="4" w:space="0" w:color="auto"/>
            </w:tcBorders>
            <w:shd w:val="clear" w:color="auto" w:fill="auto"/>
            <w:noWrap/>
            <w:hideMark/>
          </w:tcPr>
          <w:p w14:paraId="3AE86BDB" w14:textId="77777777" w:rsidR="00CF2D46" w:rsidRPr="00E74C35" w:rsidRDefault="00CF2D46" w:rsidP="004835E4">
            <w:pPr>
              <w:pStyle w:val="TableText"/>
              <w:tabs>
                <w:tab w:val="decimal" w:pos="794"/>
              </w:tabs>
              <w:rPr>
                <w:rFonts w:cs="Arial"/>
                <w:lang w:eastAsia="en-AU"/>
              </w:rPr>
            </w:pPr>
            <w:r>
              <w:rPr>
                <w:rFonts w:cs="Arial"/>
              </w:rPr>
              <w:t>32,100</w:t>
            </w:r>
          </w:p>
        </w:tc>
        <w:tc>
          <w:tcPr>
            <w:tcW w:w="1148" w:type="dxa"/>
            <w:tcBorders>
              <w:top w:val="nil"/>
              <w:left w:val="single" w:sz="4" w:space="0" w:color="auto"/>
              <w:bottom w:val="nil"/>
            </w:tcBorders>
            <w:shd w:val="clear" w:color="auto" w:fill="auto"/>
            <w:noWrap/>
            <w:hideMark/>
          </w:tcPr>
          <w:p w14:paraId="017E8F0C" w14:textId="77777777" w:rsidR="00CF2D46" w:rsidRPr="00E74C35" w:rsidRDefault="00CF2D46" w:rsidP="004835E4">
            <w:pPr>
              <w:pStyle w:val="TableText"/>
              <w:jc w:val="center"/>
              <w:rPr>
                <w:rFonts w:cs="Arial"/>
                <w:lang w:eastAsia="en-AU"/>
              </w:rPr>
            </w:pPr>
            <w:r>
              <w:rPr>
                <w:rFonts w:cs="Arial"/>
              </w:rPr>
              <w:t>2.0</w:t>
            </w:r>
          </w:p>
        </w:tc>
        <w:tc>
          <w:tcPr>
            <w:tcW w:w="1148" w:type="dxa"/>
            <w:tcBorders>
              <w:top w:val="nil"/>
              <w:bottom w:val="nil"/>
            </w:tcBorders>
          </w:tcPr>
          <w:p w14:paraId="6F4274B5" w14:textId="77777777" w:rsidR="00CF2D46" w:rsidRPr="00E74C35" w:rsidRDefault="00CF2D46" w:rsidP="004835E4">
            <w:pPr>
              <w:pStyle w:val="TableText"/>
              <w:tabs>
                <w:tab w:val="decimal" w:pos="737"/>
              </w:tabs>
              <w:rPr>
                <w:rFonts w:cs="Arial"/>
              </w:rPr>
            </w:pPr>
            <w:r>
              <w:rPr>
                <w:rFonts w:cs="Arial"/>
              </w:rPr>
              <w:t>2,600</w:t>
            </w:r>
          </w:p>
        </w:tc>
        <w:tc>
          <w:tcPr>
            <w:tcW w:w="1149" w:type="dxa"/>
            <w:tcBorders>
              <w:top w:val="nil"/>
              <w:bottom w:val="nil"/>
            </w:tcBorders>
            <w:shd w:val="clear" w:color="auto" w:fill="auto"/>
            <w:noWrap/>
            <w:hideMark/>
          </w:tcPr>
          <w:p w14:paraId="63842A2E" w14:textId="77777777" w:rsidR="00CF2D46" w:rsidRPr="00E74C35" w:rsidRDefault="00CF2D46" w:rsidP="004835E4">
            <w:pPr>
              <w:pStyle w:val="TableText"/>
              <w:tabs>
                <w:tab w:val="decimal" w:pos="737"/>
              </w:tabs>
              <w:rPr>
                <w:rFonts w:cs="Arial"/>
                <w:lang w:eastAsia="en-AU"/>
              </w:rPr>
            </w:pPr>
            <w:r w:rsidRPr="00E74C35">
              <w:rPr>
                <w:rFonts w:cs="Arial"/>
              </w:rPr>
              <w:t>2,</w:t>
            </w:r>
            <w:r>
              <w:rPr>
                <w:rFonts w:cs="Arial"/>
              </w:rPr>
              <w:t>600</w:t>
            </w:r>
          </w:p>
        </w:tc>
      </w:tr>
      <w:tr w:rsidR="00CF2D46" w:rsidRPr="00E74C35" w14:paraId="1E3F74B4" w14:textId="77777777" w:rsidTr="004835E4">
        <w:trPr>
          <w:cantSplit/>
        </w:trPr>
        <w:tc>
          <w:tcPr>
            <w:tcW w:w="2127" w:type="dxa"/>
            <w:tcBorders>
              <w:top w:val="nil"/>
              <w:bottom w:val="nil"/>
              <w:right w:val="single" w:sz="4" w:space="0" w:color="auto"/>
            </w:tcBorders>
            <w:shd w:val="clear" w:color="auto" w:fill="auto"/>
            <w:noWrap/>
            <w:hideMark/>
          </w:tcPr>
          <w:p w14:paraId="6EC40ACD" w14:textId="77777777" w:rsidR="00CF2D46" w:rsidRPr="00E74C35" w:rsidRDefault="00CF2D46" w:rsidP="00EA562A">
            <w:pPr>
              <w:pStyle w:val="TableText"/>
              <w:rPr>
                <w:rFonts w:cs="Arial"/>
                <w:color w:val="000000"/>
                <w:lang w:eastAsia="en-AU"/>
              </w:rPr>
            </w:pPr>
            <w:r>
              <w:t>Pharma-</w:t>
            </w:r>
            <w:r w:rsidRPr="00E74C35">
              <w:t>stimulants</w:t>
            </w:r>
          </w:p>
        </w:tc>
        <w:tc>
          <w:tcPr>
            <w:tcW w:w="1148" w:type="dxa"/>
            <w:tcBorders>
              <w:top w:val="nil"/>
              <w:left w:val="single" w:sz="4" w:space="0" w:color="auto"/>
              <w:bottom w:val="nil"/>
            </w:tcBorders>
            <w:shd w:val="clear" w:color="auto" w:fill="auto"/>
            <w:noWrap/>
            <w:hideMark/>
          </w:tcPr>
          <w:p w14:paraId="71DF4EAF" w14:textId="77777777" w:rsidR="00CF2D46" w:rsidRPr="00E74C35" w:rsidRDefault="00CF2D46" w:rsidP="004835E4">
            <w:pPr>
              <w:pStyle w:val="TableText"/>
              <w:jc w:val="center"/>
              <w:rPr>
                <w:rFonts w:cs="Arial"/>
                <w:color w:val="000000"/>
                <w:lang w:eastAsia="en-AU"/>
              </w:rPr>
            </w:pPr>
            <w:r w:rsidRPr="00E74C35">
              <w:rPr>
                <w:rFonts w:cs="Arial"/>
                <w:color w:val="000000"/>
              </w:rPr>
              <w:t>2.</w:t>
            </w:r>
            <w:r>
              <w:rPr>
                <w:rFonts w:cs="Arial"/>
                <w:color w:val="000000"/>
              </w:rPr>
              <w:t>6</w:t>
            </w:r>
          </w:p>
        </w:tc>
        <w:tc>
          <w:tcPr>
            <w:tcW w:w="1148" w:type="dxa"/>
            <w:tcBorders>
              <w:top w:val="nil"/>
              <w:bottom w:val="nil"/>
            </w:tcBorders>
          </w:tcPr>
          <w:p w14:paraId="1EDA854A" w14:textId="77777777" w:rsidR="00CF2D46" w:rsidRDefault="00CF2D46" w:rsidP="004835E4">
            <w:pPr>
              <w:pStyle w:val="TableText"/>
              <w:tabs>
                <w:tab w:val="decimal" w:pos="794"/>
              </w:tabs>
              <w:rPr>
                <w:rFonts w:cs="Arial"/>
              </w:rPr>
            </w:pPr>
            <w:r>
              <w:rPr>
                <w:rFonts w:cs="Arial"/>
              </w:rPr>
              <w:t>24,600</w:t>
            </w:r>
          </w:p>
        </w:tc>
        <w:tc>
          <w:tcPr>
            <w:tcW w:w="1148" w:type="dxa"/>
            <w:tcBorders>
              <w:top w:val="nil"/>
              <w:bottom w:val="nil"/>
              <w:right w:val="single" w:sz="4" w:space="0" w:color="auto"/>
            </w:tcBorders>
            <w:shd w:val="clear" w:color="auto" w:fill="auto"/>
            <w:noWrap/>
            <w:hideMark/>
          </w:tcPr>
          <w:p w14:paraId="40382925" w14:textId="77777777" w:rsidR="00CF2D46" w:rsidRPr="00E74C35" w:rsidRDefault="00CF2D46" w:rsidP="004835E4">
            <w:pPr>
              <w:pStyle w:val="TableText"/>
              <w:tabs>
                <w:tab w:val="decimal" w:pos="794"/>
              </w:tabs>
              <w:rPr>
                <w:rFonts w:cs="Arial"/>
                <w:lang w:eastAsia="en-AU"/>
              </w:rPr>
            </w:pPr>
            <w:r>
              <w:rPr>
                <w:rFonts w:cs="Arial"/>
              </w:rPr>
              <w:t>31,400</w:t>
            </w:r>
          </w:p>
        </w:tc>
        <w:tc>
          <w:tcPr>
            <w:tcW w:w="1148" w:type="dxa"/>
            <w:tcBorders>
              <w:top w:val="nil"/>
              <w:left w:val="single" w:sz="4" w:space="0" w:color="auto"/>
              <w:bottom w:val="nil"/>
            </w:tcBorders>
            <w:shd w:val="clear" w:color="auto" w:fill="auto"/>
            <w:noWrap/>
            <w:hideMark/>
          </w:tcPr>
          <w:p w14:paraId="458F524C" w14:textId="77777777" w:rsidR="00CF2D46" w:rsidRPr="00E74C35" w:rsidRDefault="00CF2D46" w:rsidP="004835E4">
            <w:pPr>
              <w:pStyle w:val="TableText"/>
              <w:jc w:val="center"/>
              <w:rPr>
                <w:rFonts w:cs="Arial"/>
                <w:lang w:eastAsia="en-AU"/>
              </w:rPr>
            </w:pPr>
            <w:r>
              <w:rPr>
                <w:rFonts w:cs="Arial"/>
              </w:rPr>
              <w:t>1.6</w:t>
            </w:r>
          </w:p>
        </w:tc>
        <w:tc>
          <w:tcPr>
            <w:tcW w:w="1148" w:type="dxa"/>
            <w:tcBorders>
              <w:top w:val="nil"/>
              <w:bottom w:val="nil"/>
            </w:tcBorders>
          </w:tcPr>
          <w:p w14:paraId="26550FFE" w14:textId="77777777" w:rsidR="00CF2D46" w:rsidRPr="00E74C35" w:rsidRDefault="00CF2D46" w:rsidP="004835E4">
            <w:pPr>
              <w:pStyle w:val="TableText"/>
              <w:tabs>
                <w:tab w:val="decimal" w:pos="737"/>
              </w:tabs>
              <w:rPr>
                <w:rFonts w:cs="Arial"/>
              </w:rPr>
            </w:pPr>
            <w:r>
              <w:rPr>
                <w:rFonts w:cs="Arial"/>
              </w:rPr>
              <w:t>2,200</w:t>
            </w:r>
          </w:p>
        </w:tc>
        <w:tc>
          <w:tcPr>
            <w:tcW w:w="1149" w:type="dxa"/>
            <w:tcBorders>
              <w:top w:val="nil"/>
              <w:bottom w:val="nil"/>
            </w:tcBorders>
            <w:shd w:val="clear" w:color="auto" w:fill="auto"/>
            <w:noWrap/>
            <w:hideMark/>
          </w:tcPr>
          <w:p w14:paraId="285349B5" w14:textId="77777777" w:rsidR="00CF2D46" w:rsidRPr="00E74C35" w:rsidRDefault="00CF2D46" w:rsidP="004835E4">
            <w:pPr>
              <w:pStyle w:val="TableText"/>
              <w:tabs>
                <w:tab w:val="decimal" w:pos="737"/>
              </w:tabs>
              <w:rPr>
                <w:rFonts w:cs="Arial"/>
                <w:lang w:eastAsia="en-AU"/>
              </w:rPr>
            </w:pPr>
            <w:r w:rsidRPr="00E74C35">
              <w:rPr>
                <w:rFonts w:cs="Arial"/>
              </w:rPr>
              <w:t>2,</w:t>
            </w:r>
            <w:r>
              <w:rPr>
                <w:rFonts w:cs="Arial"/>
              </w:rPr>
              <w:t>200</w:t>
            </w:r>
          </w:p>
        </w:tc>
      </w:tr>
      <w:tr w:rsidR="00CF2D46" w:rsidRPr="00E74C35" w14:paraId="61BB24B4" w14:textId="77777777" w:rsidTr="004835E4">
        <w:trPr>
          <w:cantSplit/>
        </w:trPr>
        <w:tc>
          <w:tcPr>
            <w:tcW w:w="2127" w:type="dxa"/>
            <w:tcBorders>
              <w:top w:val="nil"/>
              <w:bottom w:val="nil"/>
              <w:right w:val="single" w:sz="4" w:space="0" w:color="auto"/>
            </w:tcBorders>
            <w:shd w:val="clear" w:color="auto" w:fill="auto"/>
            <w:noWrap/>
            <w:hideMark/>
          </w:tcPr>
          <w:p w14:paraId="036CEFF7" w14:textId="77777777" w:rsidR="00CF2D46" w:rsidRPr="00E74C35" w:rsidRDefault="00CF2D46" w:rsidP="00EA562A">
            <w:pPr>
              <w:pStyle w:val="TableText"/>
              <w:rPr>
                <w:rFonts w:cs="Arial"/>
                <w:color w:val="000000"/>
                <w:lang w:eastAsia="en-AU"/>
              </w:rPr>
            </w:pPr>
            <w:r w:rsidRPr="00E74C35">
              <w:t>Cannabis</w:t>
            </w:r>
          </w:p>
        </w:tc>
        <w:tc>
          <w:tcPr>
            <w:tcW w:w="1148" w:type="dxa"/>
            <w:tcBorders>
              <w:top w:val="nil"/>
              <w:left w:val="single" w:sz="4" w:space="0" w:color="auto"/>
              <w:bottom w:val="nil"/>
            </w:tcBorders>
            <w:shd w:val="clear" w:color="auto" w:fill="auto"/>
            <w:noWrap/>
            <w:hideMark/>
          </w:tcPr>
          <w:p w14:paraId="053E90A7" w14:textId="77777777" w:rsidR="00CF2D46" w:rsidRPr="00E74C35" w:rsidRDefault="00CF2D46" w:rsidP="004835E4">
            <w:pPr>
              <w:pStyle w:val="TableText"/>
              <w:jc w:val="center"/>
              <w:rPr>
                <w:rFonts w:cs="Arial"/>
                <w:color w:val="000000"/>
                <w:lang w:eastAsia="en-AU"/>
              </w:rPr>
            </w:pPr>
            <w:r>
              <w:rPr>
                <w:rFonts w:cs="Arial"/>
                <w:color w:val="000000"/>
              </w:rPr>
              <w:t>2.5</w:t>
            </w:r>
          </w:p>
        </w:tc>
        <w:tc>
          <w:tcPr>
            <w:tcW w:w="1148" w:type="dxa"/>
            <w:tcBorders>
              <w:top w:val="nil"/>
              <w:bottom w:val="nil"/>
            </w:tcBorders>
          </w:tcPr>
          <w:p w14:paraId="4C4019CE" w14:textId="77777777" w:rsidR="00CF2D46" w:rsidRPr="000A6E86" w:rsidRDefault="00CF2D46" w:rsidP="004835E4">
            <w:pPr>
              <w:pStyle w:val="TableText"/>
              <w:tabs>
                <w:tab w:val="decimal" w:pos="794"/>
              </w:tabs>
              <w:rPr>
                <w:rFonts w:cs="Arial"/>
                <w:b/>
                <w:bCs/>
              </w:rPr>
            </w:pPr>
            <w:r w:rsidRPr="000A6E86">
              <w:rPr>
                <w:rFonts w:cs="Arial"/>
                <w:b/>
                <w:bCs/>
              </w:rPr>
              <w:t>22,100</w:t>
            </w:r>
          </w:p>
        </w:tc>
        <w:tc>
          <w:tcPr>
            <w:tcW w:w="1148" w:type="dxa"/>
            <w:tcBorders>
              <w:top w:val="nil"/>
              <w:bottom w:val="nil"/>
              <w:right w:val="single" w:sz="4" w:space="0" w:color="auto"/>
            </w:tcBorders>
            <w:shd w:val="clear" w:color="auto" w:fill="auto"/>
            <w:noWrap/>
            <w:hideMark/>
          </w:tcPr>
          <w:p w14:paraId="522AC415" w14:textId="77777777" w:rsidR="00CF2D46" w:rsidRPr="000A6E86" w:rsidRDefault="00CF2D46" w:rsidP="004835E4">
            <w:pPr>
              <w:pStyle w:val="TableText"/>
              <w:tabs>
                <w:tab w:val="decimal" w:pos="794"/>
              </w:tabs>
              <w:rPr>
                <w:rFonts w:cs="Arial"/>
                <w:b/>
                <w:bCs/>
                <w:lang w:eastAsia="en-AU"/>
              </w:rPr>
            </w:pPr>
            <w:r w:rsidRPr="000A6E86">
              <w:rPr>
                <w:rFonts w:cs="Arial"/>
                <w:b/>
                <w:bCs/>
              </w:rPr>
              <w:t>29,100</w:t>
            </w:r>
          </w:p>
        </w:tc>
        <w:tc>
          <w:tcPr>
            <w:tcW w:w="1148" w:type="dxa"/>
            <w:tcBorders>
              <w:top w:val="nil"/>
              <w:left w:val="single" w:sz="4" w:space="0" w:color="auto"/>
              <w:bottom w:val="nil"/>
            </w:tcBorders>
            <w:shd w:val="clear" w:color="auto" w:fill="auto"/>
            <w:noWrap/>
            <w:hideMark/>
          </w:tcPr>
          <w:p w14:paraId="4DB14813" w14:textId="77777777" w:rsidR="00CF2D46" w:rsidRPr="00E74C35" w:rsidRDefault="00CF2D46" w:rsidP="004835E4">
            <w:pPr>
              <w:pStyle w:val="TableText"/>
              <w:jc w:val="center"/>
              <w:rPr>
                <w:rFonts w:cs="Arial"/>
                <w:lang w:eastAsia="en-AU"/>
              </w:rPr>
            </w:pPr>
            <w:r>
              <w:rPr>
                <w:rFonts w:cs="Arial"/>
              </w:rPr>
              <w:t>1.5</w:t>
            </w:r>
          </w:p>
        </w:tc>
        <w:tc>
          <w:tcPr>
            <w:tcW w:w="1148" w:type="dxa"/>
            <w:tcBorders>
              <w:top w:val="nil"/>
              <w:bottom w:val="nil"/>
            </w:tcBorders>
          </w:tcPr>
          <w:p w14:paraId="2526D0B4" w14:textId="77777777" w:rsidR="00CF2D46" w:rsidRPr="000A6E86" w:rsidRDefault="00CF2D46" w:rsidP="004835E4">
            <w:pPr>
              <w:pStyle w:val="TableText"/>
              <w:tabs>
                <w:tab w:val="decimal" w:pos="737"/>
              </w:tabs>
              <w:rPr>
                <w:rFonts w:cs="Arial"/>
                <w:b/>
                <w:bCs/>
              </w:rPr>
            </w:pPr>
            <w:r w:rsidRPr="000A6E86">
              <w:rPr>
                <w:rFonts w:cs="Arial"/>
                <w:b/>
                <w:bCs/>
              </w:rPr>
              <w:t>2,100</w:t>
            </w:r>
          </w:p>
        </w:tc>
        <w:tc>
          <w:tcPr>
            <w:tcW w:w="1149" w:type="dxa"/>
            <w:tcBorders>
              <w:top w:val="nil"/>
              <w:bottom w:val="nil"/>
            </w:tcBorders>
            <w:shd w:val="clear" w:color="auto" w:fill="auto"/>
            <w:noWrap/>
            <w:hideMark/>
          </w:tcPr>
          <w:p w14:paraId="5D214E06" w14:textId="77777777" w:rsidR="00CF2D46" w:rsidRPr="000A6E86" w:rsidRDefault="00CF2D46" w:rsidP="004835E4">
            <w:pPr>
              <w:pStyle w:val="TableText"/>
              <w:tabs>
                <w:tab w:val="decimal" w:pos="737"/>
              </w:tabs>
              <w:rPr>
                <w:rFonts w:cs="Arial"/>
                <w:b/>
                <w:bCs/>
                <w:lang w:eastAsia="en-AU"/>
              </w:rPr>
            </w:pPr>
            <w:r w:rsidRPr="000A6E86">
              <w:rPr>
                <w:rFonts w:cs="Arial"/>
                <w:b/>
                <w:bCs/>
              </w:rPr>
              <w:t>2,100</w:t>
            </w:r>
          </w:p>
        </w:tc>
      </w:tr>
      <w:tr w:rsidR="00CF2D46" w:rsidRPr="00E74C35" w14:paraId="05B199BA" w14:textId="77777777" w:rsidTr="004835E4">
        <w:trPr>
          <w:cantSplit/>
        </w:trPr>
        <w:tc>
          <w:tcPr>
            <w:tcW w:w="2127" w:type="dxa"/>
            <w:tcBorders>
              <w:top w:val="nil"/>
              <w:bottom w:val="nil"/>
              <w:right w:val="single" w:sz="4" w:space="0" w:color="auto"/>
            </w:tcBorders>
            <w:shd w:val="clear" w:color="auto" w:fill="auto"/>
            <w:noWrap/>
            <w:hideMark/>
          </w:tcPr>
          <w:p w14:paraId="637BF623" w14:textId="77777777" w:rsidR="00CF2D46" w:rsidRPr="00E74C35" w:rsidRDefault="00CF2D46" w:rsidP="00EA562A">
            <w:pPr>
              <w:pStyle w:val="TableText"/>
              <w:rPr>
                <w:rFonts w:cs="Arial"/>
                <w:color w:val="000000"/>
                <w:lang w:eastAsia="en-AU"/>
              </w:rPr>
            </w:pPr>
            <w:r w:rsidRPr="00E74C35">
              <w:t>LSD</w:t>
            </w:r>
          </w:p>
        </w:tc>
        <w:tc>
          <w:tcPr>
            <w:tcW w:w="1148" w:type="dxa"/>
            <w:tcBorders>
              <w:top w:val="nil"/>
              <w:left w:val="single" w:sz="4" w:space="0" w:color="auto"/>
              <w:bottom w:val="nil"/>
            </w:tcBorders>
            <w:shd w:val="clear" w:color="auto" w:fill="auto"/>
            <w:noWrap/>
            <w:hideMark/>
          </w:tcPr>
          <w:p w14:paraId="259E9A5F" w14:textId="77777777" w:rsidR="00CF2D46" w:rsidRPr="00E74C35" w:rsidRDefault="00CF2D46" w:rsidP="004835E4">
            <w:pPr>
              <w:pStyle w:val="TableText"/>
              <w:jc w:val="center"/>
              <w:rPr>
                <w:rFonts w:cs="Arial"/>
                <w:color w:val="000000"/>
                <w:lang w:eastAsia="en-AU"/>
              </w:rPr>
            </w:pPr>
            <w:r>
              <w:rPr>
                <w:rFonts w:cs="Arial"/>
                <w:color w:val="000000"/>
              </w:rPr>
              <w:t>2.3</w:t>
            </w:r>
          </w:p>
        </w:tc>
        <w:tc>
          <w:tcPr>
            <w:tcW w:w="1148" w:type="dxa"/>
            <w:tcBorders>
              <w:top w:val="nil"/>
              <w:bottom w:val="nil"/>
            </w:tcBorders>
          </w:tcPr>
          <w:p w14:paraId="5094F970" w14:textId="77777777" w:rsidR="00CF2D46" w:rsidRDefault="00CF2D46" w:rsidP="004835E4">
            <w:pPr>
              <w:pStyle w:val="TableText"/>
              <w:tabs>
                <w:tab w:val="decimal" w:pos="794"/>
              </w:tabs>
              <w:rPr>
                <w:rFonts w:cs="Arial"/>
              </w:rPr>
            </w:pPr>
            <w:r>
              <w:rPr>
                <w:rFonts w:cs="Arial"/>
              </w:rPr>
              <w:t>4,700</w:t>
            </w:r>
          </w:p>
        </w:tc>
        <w:tc>
          <w:tcPr>
            <w:tcW w:w="1148" w:type="dxa"/>
            <w:tcBorders>
              <w:top w:val="nil"/>
              <w:bottom w:val="nil"/>
              <w:right w:val="single" w:sz="4" w:space="0" w:color="auto"/>
            </w:tcBorders>
            <w:shd w:val="clear" w:color="auto" w:fill="auto"/>
            <w:noWrap/>
            <w:hideMark/>
          </w:tcPr>
          <w:p w14:paraId="7E323019" w14:textId="77777777" w:rsidR="00CF2D46" w:rsidRPr="00E74C35" w:rsidRDefault="00CF2D46" w:rsidP="004835E4">
            <w:pPr>
              <w:pStyle w:val="TableText"/>
              <w:tabs>
                <w:tab w:val="decimal" w:pos="794"/>
              </w:tabs>
              <w:rPr>
                <w:rFonts w:cs="Arial"/>
                <w:bCs/>
                <w:lang w:eastAsia="en-AU"/>
              </w:rPr>
            </w:pPr>
            <w:r>
              <w:rPr>
                <w:rFonts w:cs="Arial"/>
              </w:rPr>
              <w:t>6,200</w:t>
            </w:r>
          </w:p>
        </w:tc>
        <w:tc>
          <w:tcPr>
            <w:tcW w:w="1148" w:type="dxa"/>
            <w:tcBorders>
              <w:top w:val="nil"/>
              <w:left w:val="single" w:sz="4" w:space="0" w:color="auto"/>
              <w:bottom w:val="nil"/>
            </w:tcBorders>
            <w:shd w:val="clear" w:color="auto" w:fill="auto"/>
            <w:noWrap/>
            <w:hideMark/>
          </w:tcPr>
          <w:p w14:paraId="666C3D4B" w14:textId="77777777" w:rsidR="00CF2D46" w:rsidRPr="00E74C35" w:rsidRDefault="00CF2D46" w:rsidP="004835E4">
            <w:pPr>
              <w:pStyle w:val="TableText"/>
              <w:jc w:val="center"/>
              <w:rPr>
                <w:rFonts w:cs="Arial"/>
                <w:lang w:eastAsia="en-AU"/>
              </w:rPr>
            </w:pPr>
            <w:r>
              <w:rPr>
                <w:rFonts w:cs="Arial"/>
              </w:rPr>
              <w:t>1.6</w:t>
            </w:r>
          </w:p>
        </w:tc>
        <w:tc>
          <w:tcPr>
            <w:tcW w:w="1148" w:type="dxa"/>
            <w:tcBorders>
              <w:top w:val="nil"/>
              <w:bottom w:val="nil"/>
            </w:tcBorders>
          </w:tcPr>
          <w:p w14:paraId="61785D28" w14:textId="77777777" w:rsidR="00CF2D46" w:rsidRPr="00E74C35" w:rsidRDefault="00CF2D46" w:rsidP="004835E4">
            <w:pPr>
              <w:pStyle w:val="TableText"/>
              <w:tabs>
                <w:tab w:val="decimal" w:pos="737"/>
              </w:tabs>
              <w:rPr>
                <w:rFonts w:cs="Arial"/>
              </w:rPr>
            </w:pPr>
            <w:r>
              <w:rPr>
                <w:rFonts w:cs="Arial"/>
              </w:rPr>
              <w:t>2,200</w:t>
            </w:r>
          </w:p>
        </w:tc>
        <w:tc>
          <w:tcPr>
            <w:tcW w:w="1149" w:type="dxa"/>
            <w:tcBorders>
              <w:top w:val="nil"/>
              <w:bottom w:val="nil"/>
            </w:tcBorders>
            <w:shd w:val="clear" w:color="auto" w:fill="auto"/>
            <w:noWrap/>
            <w:hideMark/>
          </w:tcPr>
          <w:p w14:paraId="619AAB7C" w14:textId="77777777" w:rsidR="00CF2D46" w:rsidRPr="00E74C35" w:rsidRDefault="00CF2D46" w:rsidP="004835E4">
            <w:pPr>
              <w:pStyle w:val="TableText"/>
              <w:tabs>
                <w:tab w:val="decimal" w:pos="737"/>
              </w:tabs>
              <w:rPr>
                <w:rFonts w:cs="Arial"/>
                <w:bCs/>
                <w:lang w:eastAsia="en-AU"/>
              </w:rPr>
            </w:pPr>
            <w:r w:rsidRPr="00E74C35">
              <w:rPr>
                <w:rFonts w:cs="Arial"/>
              </w:rPr>
              <w:t>2,</w:t>
            </w:r>
            <w:r>
              <w:rPr>
                <w:rFonts w:cs="Arial"/>
              </w:rPr>
              <w:t>200</w:t>
            </w:r>
          </w:p>
        </w:tc>
      </w:tr>
      <w:tr w:rsidR="00CF2D46" w:rsidRPr="00E74C35" w14:paraId="2CAD5C3F" w14:textId="77777777" w:rsidTr="004835E4">
        <w:trPr>
          <w:cantSplit/>
        </w:trPr>
        <w:tc>
          <w:tcPr>
            <w:tcW w:w="2127" w:type="dxa"/>
            <w:tcBorders>
              <w:top w:val="nil"/>
              <w:bottom w:val="single" w:sz="4" w:space="0" w:color="auto"/>
              <w:right w:val="single" w:sz="4" w:space="0" w:color="auto"/>
            </w:tcBorders>
            <w:shd w:val="clear" w:color="auto" w:fill="auto"/>
            <w:noWrap/>
            <w:hideMark/>
          </w:tcPr>
          <w:p w14:paraId="09633AB5" w14:textId="77777777" w:rsidR="00CF2D46" w:rsidRPr="00E74C35" w:rsidRDefault="00CF2D46" w:rsidP="00EA562A">
            <w:pPr>
              <w:pStyle w:val="TableText"/>
              <w:rPr>
                <w:rFonts w:cs="Arial"/>
                <w:color w:val="000000"/>
                <w:lang w:eastAsia="en-AU"/>
              </w:rPr>
            </w:pPr>
            <w:r w:rsidRPr="00E74C35">
              <w:t>Ecstasy</w:t>
            </w:r>
          </w:p>
        </w:tc>
        <w:tc>
          <w:tcPr>
            <w:tcW w:w="1148" w:type="dxa"/>
            <w:tcBorders>
              <w:top w:val="nil"/>
              <w:left w:val="single" w:sz="4" w:space="0" w:color="auto"/>
              <w:bottom w:val="single" w:sz="4" w:space="0" w:color="auto"/>
            </w:tcBorders>
            <w:shd w:val="clear" w:color="auto" w:fill="auto"/>
            <w:noWrap/>
            <w:hideMark/>
          </w:tcPr>
          <w:p w14:paraId="3ECFE5D4" w14:textId="77777777" w:rsidR="00CF2D46" w:rsidRPr="00E74C35" w:rsidRDefault="00CF2D46" w:rsidP="004835E4">
            <w:pPr>
              <w:pStyle w:val="TableText"/>
              <w:jc w:val="center"/>
              <w:rPr>
                <w:rFonts w:cs="Arial"/>
                <w:color w:val="000000"/>
                <w:lang w:eastAsia="en-AU"/>
              </w:rPr>
            </w:pPr>
            <w:r>
              <w:rPr>
                <w:rFonts w:cs="Arial"/>
                <w:color w:val="000000"/>
              </w:rPr>
              <w:t>2.3</w:t>
            </w:r>
          </w:p>
        </w:tc>
        <w:tc>
          <w:tcPr>
            <w:tcW w:w="1148" w:type="dxa"/>
            <w:tcBorders>
              <w:top w:val="nil"/>
              <w:bottom w:val="single" w:sz="4" w:space="0" w:color="auto"/>
            </w:tcBorders>
          </w:tcPr>
          <w:p w14:paraId="48B0D912" w14:textId="77777777" w:rsidR="00CF2D46" w:rsidRPr="000A6E86" w:rsidRDefault="00CF2D46" w:rsidP="004835E4">
            <w:pPr>
              <w:pStyle w:val="TableText"/>
              <w:tabs>
                <w:tab w:val="decimal" w:pos="794"/>
              </w:tabs>
              <w:rPr>
                <w:rFonts w:cs="Arial"/>
                <w:b/>
                <w:bCs/>
              </w:rPr>
            </w:pPr>
            <w:r w:rsidRPr="000A6E86">
              <w:rPr>
                <w:rFonts w:cs="Arial"/>
                <w:b/>
                <w:bCs/>
              </w:rPr>
              <w:t>4,700</w:t>
            </w:r>
          </w:p>
        </w:tc>
        <w:tc>
          <w:tcPr>
            <w:tcW w:w="1148" w:type="dxa"/>
            <w:tcBorders>
              <w:top w:val="nil"/>
              <w:bottom w:val="single" w:sz="4" w:space="0" w:color="auto"/>
              <w:right w:val="single" w:sz="4" w:space="0" w:color="auto"/>
            </w:tcBorders>
            <w:shd w:val="clear" w:color="auto" w:fill="auto"/>
            <w:noWrap/>
            <w:hideMark/>
          </w:tcPr>
          <w:p w14:paraId="43846653" w14:textId="77777777" w:rsidR="00CF2D46" w:rsidRPr="000A6E86" w:rsidRDefault="00CF2D46" w:rsidP="004835E4">
            <w:pPr>
              <w:pStyle w:val="TableText"/>
              <w:tabs>
                <w:tab w:val="decimal" w:pos="794"/>
              </w:tabs>
              <w:rPr>
                <w:rFonts w:cs="Arial"/>
                <w:b/>
                <w:lang w:eastAsia="en-AU"/>
              </w:rPr>
            </w:pPr>
            <w:r w:rsidRPr="000A6E86">
              <w:rPr>
                <w:rFonts w:cs="Arial"/>
                <w:b/>
                <w:bCs/>
              </w:rPr>
              <w:t>6,200</w:t>
            </w:r>
          </w:p>
        </w:tc>
        <w:tc>
          <w:tcPr>
            <w:tcW w:w="1148" w:type="dxa"/>
            <w:tcBorders>
              <w:top w:val="nil"/>
              <w:left w:val="single" w:sz="4" w:space="0" w:color="auto"/>
              <w:bottom w:val="single" w:sz="4" w:space="0" w:color="auto"/>
            </w:tcBorders>
            <w:shd w:val="clear" w:color="auto" w:fill="auto"/>
            <w:noWrap/>
            <w:hideMark/>
          </w:tcPr>
          <w:p w14:paraId="49564F60" w14:textId="77777777" w:rsidR="00CF2D46" w:rsidRPr="00E74C35" w:rsidRDefault="00CF2D46" w:rsidP="004835E4">
            <w:pPr>
              <w:pStyle w:val="TableText"/>
              <w:jc w:val="center"/>
              <w:rPr>
                <w:rFonts w:cs="Arial"/>
                <w:lang w:eastAsia="en-AU"/>
              </w:rPr>
            </w:pPr>
            <w:r>
              <w:rPr>
                <w:rFonts w:cs="Arial"/>
              </w:rPr>
              <w:t>1.5</w:t>
            </w:r>
          </w:p>
        </w:tc>
        <w:tc>
          <w:tcPr>
            <w:tcW w:w="1148" w:type="dxa"/>
            <w:tcBorders>
              <w:top w:val="nil"/>
              <w:bottom w:val="single" w:sz="4" w:space="0" w:color="auto"/>
            </w:tcBorders>
          </w:tcPr>
          <w:p w14:paraId="0F2FEBD2" w14:textId="77777777" w:rsidR="00CF2D46" w:rsidRPr="000A6E86" w:rsidRDefault="00CF2D46" w:rsidP="004835E4">
            <w:pPr>
              <w:pStyle w:val="TableText"/>
              <w:tabs>
                <w:tab w:val="decimal" w:pos="737"/>
              </w:tabs>
              <w:rPr>
                <w:rFonts w:cs="Arial"/>
                <w:b/>
                <w:bCs/>
              </w:rPr>
            </w:pPr>
            <w:r w:rsidRPr="000A6E86">
              <w:rPr>
                <w:rFonts w:cs="Arial"/>
                <w:b/>
                <w:bCs/>
              </w:rPr>
              <w:t>400</w:t>
            </w:r>
          </w:p>
        </w:tc>
        <w:tc>
          <w:tcPr>
            <w:tcW w:w="1149" w:type="dxa"/>
            <w:tcBorders>
              <w:top w:val="nil"/>
              <w:bottom w:val="single" w:sz="4" w:space="0" w:color="auto"/>
            </w:tcBorders>
            <w:shd w:val="clear" w:color="auto" w:fill="auto"/>
            <w:noWrap/>
            <w:hideMark/>
          </w:tcPr>
          <w:p w14:paraId="3C7697E1" w14:textId="77777777" w:rsidR="00CF2D46" w:rsidRPr="000A6E86" w:rsidRDefault="00CF2D46" w:rsidP="004835E4">
            <w:pPr>
              <w:pStyle w:val="TableText"/>
              <w:tabs>
                <w:tab w:val="decimal" w:pos="737"/>
              </w:tabs>
              <w:rPr>
                <w:rFonts w:cs="Arial"/>
                <w:b/>
                <w:lang w:eastAsia="en-AU"/>
              </w:rPr>
            </w:pPr>
            <w:r w:rsidRPr="000A6E86">
              <w:rPr>
                <w:rFonts w:cs="Arial"/>
                <w:b/>
                <w:bCs/>
              </w:rPr>
              <w:t>400</w:t>
            </w:r>
          </w:p>
        </w:tc>
      </w:tr>
    </w:tbl>
    <w:p w14:paraId="11B897A2" w14:textId="77777777" w:rsidR="00CF2D46" w:rsidRDefault="00CF2D46" w:rsidP="004835E4">
      <w:r>
        <w:t>Table 14 represents the preliminary findings of a new method, so caution is advised in using these estimates. More detail of the method is available from the author.</w:t>
      </w:r>
    </w:p>
    <w:p w14:paraId="719DE4E9" w14:textId="77777777" w:rsidR="004835E4" w:rsidRDefault="004835E4" w:rsidP="004835E4">
      <w:pPr>
        <w:rPr>
          <w:lang w:eastAsia="en-AU"/>
        </w:rPr>
      </w:pPr>
      <w:r>
        <w:rPr>
          <w:lang w:eastAsia="en-AU"/>
        </w:rPr>
        <w:br w:type="page"/>
      </w:r>
    </w:p>
    <w:p w14:paraId="5163AE49" w14:textId="77777777" w:rsidR="00CF2D46" w:rsidRPr="00930A88" w:rsidRDefault="00CF2D46" w:rsidP="004835E4">
      <w:pPr>
        <w:pStyle w:val="Heading1"/>
        <w:rPr>
          <w:lang w:eastAsia="en-AU"/>
        </w:rPr>
      </w:pPr>
      <w:bookmarkStart w:id="42" w:name="_Toc444941798"/>
      <w:r>
        <w:rPr>
          <w:lang w:eastAsia="en-AU"/>
        </w:rPr>
        <w:t>M</w:t>
      </w:r>
      <w:r w:rsidR="004835E4">
        <w:rPr>
          <w:lang w:eastAsia="en-AU"/>
        </w:rPr>
        <w:t>ain results</w:t>
      </w:r>
      <w:bookmarkEnd w:id="42"/>
    </w:p>
    <w:p w14:paraId="7822193B" w14:textId="77777777" w:rsidR="00CF2D46" w:rsidRPr="00930A88" w:rsidRDefault="00CF2D46" w:rsidP="000A6E86">
      <w:pPr>
        <w:rPr>
          <w:lang w:eastAsia="en-AU"/>
        </w:rPr>
      </w:pPr>
      <w:r w:rsidRPr="00930A88">
        <w:rPr>
          <w:lang w:eastAsia="en-AU"/>
        </w:rPr>
        <w:t>This section summarises estimated drug</w:t>
      </w:r>
      <w:r>
        <w:rPr>
          <w:lang w:eastAsia="en-AU"/>
        </w:rPr>
        <w:t xml:space="preserve">-related costs incurred </w:t>
      </w:r>
      <w:r w:rsidRPr="00930A88">
        <w:rPr>
          <w:lang w:eastAsia="en-AU"/>
        </w:rPr>
        <w:t xml:space="preserve">by drugs users and the community in </w:t>
      </w:r>
      <w:r w:rsidRPr="001D1AE7">
        <w:rPr>
          <w:lang w:eastAsia="en-AU"/>
        </w:rPr>
        <w:t xml:space="preserve">2014 </w:t>
      </w:r>
      <w:r>
        <w:rPr>
          <w:lang w:eastAsia="en-AU"/>
        </w:rPr>
        <w:t>dollar</w:t>
      </w:r>
      <w:r w:rsidRPr="001D1AE7">
        <w:rPr>
          <w:lang w:eastAsia="en-AU"/>
        </w:rPr>
        <w:t xml:space="preserve"> figures using the most recent data available</w:t>
      </w:r>
      <w:r w:rsidRPr="00930A88">
        <w:rPr>
          <w:lang w:eastAsia="en-AU"/>
        </w:rPr>
        <w:t>.</w:t>
      </w:r>
      <w:r>
        <w:rPr>
          <w:lang w:eastAsia="en-AU"/>
        </w:rPr>
        <w:t xml:space="preserve"> Note that these tables relate to the total social cost and include the costs of interventions.</w:t>
      </w:r>
    </w:p>
    <w:p w14:paraId="4F2EF028" w14:textId="77777777" w:rsidR="00CF2D46" w:rsidRPr="00227298" w:rsidRDefault="00CF2D46" w:rsidP="009B7394">
      <w:pPr>
        <w:pStyle w:val="Table"/>
        <w:rPr>
          <w:lang w:eastAsia="en-AU"/>
        </w:rPr>
      </w:pPr>
      <w:bookmarkStart w:id="43" w:name="_Toc444941856"/>
      <w:r>
        <w:rPr>
          <w:lang w:eastAsia="en-AU"/>
        </w:rPr>
        <w:t>Table 15. Summary of social costs, by drug group ($ million)</w:t>
      </w:r>
      <w:bookmarkEnd w:id="43"/>
    </w:p>
    <w:tbl>
      <w:tblPr>
        <w:tblStyle w:val="TableGrid"/>
        <w:tblW w:w="0" w:type="auto"/>
        <w:tblInd w:w="108" w:type="dxa"/>
        <w:tblBorders>
          <w:insideH w:val="none" w:sz="0" w:space="0" w:color="auto"/>
          <w:insideV w:val="none" w:sz="0" w:space="0" w:color="auto"/>
        </w:tblBorders>
        <w:tblLayout w:type="fixed"/>
        <w:tblLook w:val="04A0" w:firstRow="1" w:lastRow="0" w:firstColumn="1" w:lastColumn="0" w:noHBand="0" w:noVBand="1"/>
      </w:tblPr>
      <w:tblGrid>
        <w:gridCol w:w="2835"/>
        <w:gridCol w:w="1559"/>
        <w:gridCol w:w="1559"/>
        <w:gridCol w:w="1559"/>
        <w:gridCol w:w="1560"/>
      </w:tblGrid>
      <w:tr w:rsidR="00CF2D46" w:rsidRPr="009B7394" w14:paraId="05F7613D" w14:textId="77777777" w:rsidTr="009B7394">
        <w:trPr>
          <w:cantSplit/>
        </w:trPr>
        <w:tc>
          <w:tcPr>
            <w:tcW w:w="2835" w:type="dxa"/>
            <w:tcBorders>
              <w:bottom w:val="single" w:sz="4" w:space="0" w:color="auto"/>
            </w:tcBorders>
          </w:tcPr>
          <w:p w14:paraId="56C014F5" w14:textId="77777777" w:rsidR="00CF2D46" w:rsidRPr="009B7394" w:rsidRDefault="00CF2D46" w:rsidP="009B7394">
            <w:pPr>
              <w:pStyle w:val="TableText"/>
              <w:rPr>
                <w:b/>
                <w:lang w:eastAsia="en-AU"/>
              </w:rPr>
            </w:pPr>
            <w:r w:rsidRPr="009B7394">
              <w:rPr>
                <w:b/>
                <w:lang w:eastAsia="en-AU"/>
              </w:rPr>
              <w:t>Drug group</w:t>
            </w:r>
          </w:p>
        </w:tc>
        <w:tc>
          <w:tcPr>
            <w:tcW w:w="1559" w:type="dxa"/>
            <w:tcBorders>
              <w:bottom w:val="single" w:sz="4" w:space="0" w:color="auto"/>
            </w:tcBorders>
          </w:tcPr>
          <w:p w14:paraId="21F0E075" w14:textId="77777777" w:rsidR="00CF2D46" w:rsidRPr="009B7394" w:rsidRDefault="00CF2D46" w:rsidP="009B7394">
            <w:pPr>
              <w:pStyle w:val="TableText"/>
              <w:jc w:val="center"/>
              <w:rPr>
                <w:b/>
                <w:lang w:eastAsia="en-AU"/>
              </w:rPr>
            </w:pPr>
            <w:r w:rsidRPr="009B7394">
              <w:rPr>
                <w:b/>
                <w:lang w:eastAsia="en-AU"/>
              </w:rPr>
              <w:t>Personal harm ($m)</w:t>
            </w:r>
          </w:p>
        </w:tc>
        <w:tc>
          <w:tcPr>
            <w:tcW w:w="1559" w:type="dxa"/>
            <w:tcBorders>
              <w:bottom w:val="single" w:sz="4" w:space="0" w:color="auto"/>
            </w:tcBorders>
          </w:tcPr>
          <w:p w14:paraId="30DFC019" w14:textId="77777777" w:rsidR="00CF2D46" w:rsidRPr="009B7394" w:rsidRDefault="00CF2D46" w:rsidP="009B7394">
            <w:pPr>
              <w:pStyle w:val="TableText"/>
              <w:jc w:val="center"/>
              <w:rPr>
                <w:b/>
                <w:lang w:eastAsia="en-AU"/>
              </w:rPr>
            </w:pPr>
            <w:r w:rsidRPr="009B7394">
              <w:rPr>
                <w:b/>
                <w:lang w:eastAsia="en-AU"/>
              </w:rPr>
              <w:t>Community harm ($m)</w:t>
            </w:r>
          </w:p>
        </w:tc>
        <w:tc>
          <w:tcPr>
            <w:tcW w:w="1559" w:type="dxa"/>
            <w:tcBorders>
              <w:bottom w:val="single" w:sz="4" w:space="0" w:color="auto"/>
            </w:tcBorders>
          </w:tcPr>
          <w:p w14:paraId="12D93F86" w14:textId="77777777" w:rsidR="00CF2D46" w:rsidRPr="009B7394" w:rsidRDefault="00CF2D46" w:rsidP="009B7394">
            <w:pPr>
              <w:pStyle w:val="TableText"/>
              <w:jc w:val="center"/>
              <w:rPr>
                <w:b/>
                <w:lang w:eastAsia="en-AU"/>
              </w:rPr>
            </w:pPr>
            <w:r w:rsidRPr="009B7394">
              <w:rPr>
                <w:b/>
                <w:lang w:eastAsia="en-AU"/>
              </w:rPr>
              <w:t>Intervention costs ($m)</w:t>
            </w:r>
          </w:p>
        </w:tc>
        <w:tc>
          <w:tcPr>
            <w:tcW w:w="1560" w:type="dxa"/>
            <w:tcBorders>
              <w:bottom w:val="single" w:sz="4" w:space="0" w:color="auto"/>
            </w:tcBorders>
          </w:tcPr>
          <w:p w14:paraId="3366B340" w14:textId="77777777" w:rsidR="00CF2D46" w:rsidRPr="009B7394" w:rsidRDefault="00CF2D46" w:rsidP="009B7394">
            <w:pPr>
              <w:pStyle w:val="TableText"/>
              <w:jc w:val="center"/>
              <w:rPr>
                <w:b/>
                <w:lang w:eastAsia="en-AU"/>
              </w:rPr>
            </w:pPr>
            <w:r w:rsidRPr="009B7394">
              <w:rPr>
                <w:b/>
                <w:lang w:eastAsia="en-AU"/>
              </w:rPr>
              <w:t>Total social costs ($m)</w:t>
            </w:r>
          </w:p>
        </w:tc>
      </w:tr>
      <w:tr w:rsidR="00CF2D46" w14:paraId="66D0431F" w14:textId="77777777" w:rsidTr="009B7394">
        <w:trPr>
          <w:cantSplit/>
        </w:trPr>
        <w:tc>
          <w:tcPr>
            <w:tcW w:w="2835" w:type="dxa"/>
            <w:tcBorders>
              <w:top w:val="single" w:sz="4" w:space="0" w:color="auto"/>
              <w:bottom w:val="nil"/>
            </w:tcBorders>
          </w:tcPr>
          <w:p w14:paraId="7E5A2378" w14:textId="77777777" w:rsidR="00CF2D46" w:rsidRDefault="00CF2D46" w:rsidP="009B7394">
            <w:pPr>
              <w:pStyle w:val="TableText"/>
              <w:rPr>
                <w:lang w:eastAsia="en-AU"/>
              </w:rPr>
            </w:pPr>
            <w:r>
              <w:t>Amphetamine-type stimulants</w:t>
            </w:r>
          </w:p>
        </w:tc>
        <w:tc>
          <w:tcPr>
            <w:tcW w:w="1559" w:type="dxa"/>
            <w:tcBorders>
              <w:top w:val="single" w:sz="4" w:space="0" w:color="auto"/>
              <w:bottom w:val="nil"/>
            </w:tcBorders>
          </w:tcPr>
          <w:p w14:paraId="630FA947" w14:textId="77777777" w:rsidR="00CF2D46" w:rsidRDefault="00CF2D46" w:rsidP="009B7394">
            <w:pPr>
              <w:pStyle w:val="TableText"/>
              <w:tabs>
                <w:tab w:val="decimal" w:pos="743"/>
              </w:tabs>
              <w:rPr>
                <w:lang w:eastAsia="en-AU"/>
              </w:rPr>
            </w:pPr>
            <w:r>
              <w:t>256.4</w:t>
            </w:r>
          </w:p>
        </w:tc>
        <w:tc>
          <w:tcPr>
            <w:tcW w:w="1559" w:type="dxa"/>
            <w:tcBorders>
              <w:top w:val="single" w:sz="4" w:space="0" w:color="auto"/>
              <w:bottom w:val="nil"/>
            </w:tcBorders>
          </w:tcPr>
          <w:p w14:paraId="6ADDFE34" w14:textId="77777777" w:rsidR="00CF2D46" w:rsidRDefault="00CF2D46" w:rsidP="009B7394">
            <w:pPr>
              <w:pStyle w:val="TableText"/>
              <w:tabs>
                <w:tab w:val="decimal" w:pos="743"/>
              </w:tabs>
              <w:rPr>
                <w:lang w:eastAsia="en-AU"/>
              </w:rPr>
            </w:pPr>
            <w:r>
              <w:rPr>
                <w:lang w:eastAsia="en-AU"/>
              </w:rPr>
              <w:t>91.4</w:t>
            </w:r>
          </w:p>
        </w:tc>
        <w:tc>
          <w:tcPr>
            <w:tcW w:w="1559" w:type="dxa"/>
            <w:tcBorders>
              <w:top w:val="single" w:sz="4" w:space="0" w:color="auto"/>
              <w:bottom w:val="nil"/>
            </w:tcBorders>
          </w:tcPr>
          <w:p w14:paraId="616E02EE" w14:textId="77777777" w:rsidR="00CF2D46" w:rsidRDefault="00CF2D46" w:rsidP="009B7394">
            <w:pPr>
              <w:pStyle w:val="TableText"/>
              <w:tabs>
                <w:tab w:val="decimal" w:pos="743"/>
              </w:tabs>
              <w:rPr>
                <w:lang w:eastAsia="en-AU"/>
              </w:rPr>
            </w:pPr>
            <w:r w:rsidRPr="008C6D1A">
              <w:rPr>
                <w:rFonts w:ascii="Calibri" w:hAnsi="Calibri"/>
                <w:color w:val="000000"/>
                <w:lang w:eastAsia="en-AU"/>
              </w:rPr>
              <w:t>1</w:t>
            </w:r>
            <w:r>
              <w:rPr>
                <w:rFonts w:ascii="Calibri" w:hAnsi="Calibri"/>
                <w:color w:val="000000"/>
                <w:lang w:eastAsia="en-AU"/>
              </w:rPr>
              <w:t>6</w:t>
            </w:r>
            <w:r w:rsidRPr="008C6D1A">
              <w:rPr>
                <w:rFonts w:ascii="Calibri" w:hAnsi="Calibri"/>
                <w:color w:val="000000"/>
                <w:lang w:eastAsia="en-AU"/>
              </w:rPr>
              <w:t>.</w:t>
            </w:r>
            <w:r>
              <w:rPr>
                <w:rFonts w:ascii="Calibri" w:hAnsi="Calibri"/>
                <w:color w:val="000000"/>
                <w:lang w:eastAsia="en-AU"/>
              </w:rPr>
              <w:t>4</w:t>
            </w:r>
          </w:p>
        </w:tc>
        <w:tc>
          <w:tcPr>
            <w:tcW w:w="1560" w:type="dxa"/>
            <w:tcBorders>
              <w:top w:val="single" w:sz="4" w:space="0" w:color="auto"/>
              <w:bottom w:val="nil"/>
            </w:tcBorders>
          </w:tcPr>
          <w:p w14:paraId="54734FFB" w14:textId="77777777" w:rsidR="00CF2D46" w:rsidRDefault="00CF2D46" w:rsidP="009B7394">
            <w:pPr>
              <w:pStyle w:val="TableText"/>
              <w:tabs>
                <w:tab w:val="decimal" w:pos="851"/>
              </w:tabs>
              <w:rPr>
                <w:lang w:eastAsia="en-AU"/>
              </w:rPr>
            </w:pPr>
            <w:r>
              <w:rPr>
                <w:lang w:eastAsia="en-AU"/>
              </w:rPr>
              <w:t>364.2</w:t>
            </w:r>
          </w:p>
        </w:tc>
      </w:tr>
      <w:tr w:rsidR="00CF2D46" w14:paraId="05917694" w14:textId="77777777" w:rsidTr="009B7394">
        <w:trPr>
          <w:cantSplit/>
        </w:trPr>
        <w:tc>
          <w:tcPr>
            <w:tcW w:w="2835" w:type="dxa"/>
            <w:tcBorders>
              <w:top w:val="nil"/>
              <w:bottom w:val="nil"/>
            </w:tcBorders>
          </w:tcPr>
          <w:p w14:paraId="5EABEE87" w14:textId="77777777" w:rsidR="00CF2D46" w:rsidRDefault="00CF2D46" w:rsidP="009B7394">
            <w:pPr>
              <w:pStyle w:val="TableText"/>
              <w:rPr>
                <w:lang w:eastAsia="en-AU"/>
              </w:rPr>
            </w:pPr>
            <w:r>
              <w:t>Cannabinoids</w:t>
            </w:r>
          </w:p>
        </w:tc>
        <w:tc>
          <w:tcPr>
            <w:tcW w:w="1559" w:type="dxa"/>
            <w:tcBorders>
              <w:top w:val="nil"/>
              <w:bottom w:val="nil"/>
            </w:tcBorders>
          </w:tcPr>
          <w:p w14:paraId="04EA8AF6" w14:textId="77777777" w:rsidR="00CF2D46" w:rsidRDefault="00CF2D46" w:rsidP="009B7394">
            <w:pPr>
              <w:pStyle w:val="TableText"/>
              <w:tabs>
                <w:tab w:val="decimal" w:pos="743"/>
              </w:tabs>
              <w:rPr>
                <w:lang w:eastAsia="en-AU"/>
              </w:rPr>
            </w:pPr>
            <w:r>
              <w:t>256.4</w:t>
            </w:r>
          </w:p>
        </w:tc>
        <w:tc>
          <w:tcPr>
            <w:tcW w:w="1559" w:type="dxa"/>
            <w:tcBorders>
              <w:top w:val="nil"/>
              <w:bottom w:val="nil"/>
            </w:tcBorders>
          </w:tcPr>
          <w:p w14:paraId="34E1B1A5" w14:textId="77777777" w:rsidR="00CF2D46" w:rsidRDefault="00CF2D46" w:rsidP="009B7394">
            <w:pPr>
              <w:pStyle w:val="TableText"/>
              <w:tabs>
                <w:tab w:val="decimal" w:pos="743"/>
              </w:tabs>
              <w:rPr>
                <w:lang w:eastAsia="en-AU"/>
              </w:rPr>
            </w:pPr>
            <w:r>
              <w:rPr>
                <w:lang w:eastAsia="en-AU"/>
              </w:rPr>
              <w:t>720.3</w:t>
            </w:r>
          </w:p>
        </w:tc>
        <w:tc>
          <w:tcPr>
            <w:tcW w:w="1559" w:type="dxa"/>
            <w:tcBorders>
              <w:top w:val="nil"/>
              <w:bottom w:val="nil"/>
            </w:tcBorders>
          </w:tcPr>
          <w:p w14:paraId="5168DC36" w14:textId="77777777" w:rsidR="00CF2D46" w:rsidRDefault="00CF2D46" w:rsidP="009B7394">
            <w:pPr>
              <w:pStyle w:val="TableText"/>
              <w:tabs>
                <w:tab w:val="decimal" w:pos="743"/>
              </w:tabs>
              <w:rPr>
                <w:lang w:eastAsia="en-AU"/>
              </w:rPr>
            </w:pPr>
            <w:r>
              <w:rPr>
                <w:rFonts w:ascii="Calibri" w:hAnsi="Calibri"/>
                <w:color w:val="000000"/>
                <w:lang w:eastAsia="en-AU"/>
              </w:rPr>
              <w:t>305.9</w:t>
            </w:r>
          </w:p>
        </w:tc>
        <w:tc>
          <w:tcPr>
            <w:tcW w:w="1560" w:type="dxa"/>
            <w:tcBorders>
              <w:top w:val="nil"/>
              <w:bottom w:val="nil"/>
            </w:tcBorders>
          </w:tcPr>
          <w:p w14:paraId="3ED4D238" w14:textId="77777777" w:rsidR="00CF2D46" w:rsidRDefault="00CF2D46" w:rsidP="009B7394">
            <w:pPr>
              <w:pStyle w:val="TableText"/>
              <w:tabs>
                <w:tab w:val="decimal" w:pos="851"/>
              </w:tabs>
              <w:rPr>
                <w:lang w:eastAsia="en-AU"/>
              </w:rPr>
            </w:pPr>
            <w:r>
              <w:rPr>
                <w:lang w:eastAsia="en-AU"/>
              </w:rPr>
              <w:t>1,282.6</w:t>
            </w:r>
          </w:p>
        </w:tc>
      </w:tr>
      <w:tr w:rsidR="00CF2D46" w14:paraId="1C548A6E" w14:textId="77777777" w:rsidTr="009B7394">
        <w:trPr>
          <w:cantSplit/>
        </w:trPr>
        <w:tc>
          <w:tcPr>
            <w:tcW w:w="2835" w:type="dxa"/>
            <w:tcBorders>
              <w:top w:val="nil"/>
              <w:bottom w:val="nil"/>
            </w:tcBorders>
          </w:tcPr>
          <w:p w14:paraId="387EC323" w14:textId="2D1179ED" w:rsidR="00CF2D46" w:rsidRDefault="00CF2D46">
            <w:pPr>
              <w:pStyle w:val="TableText"/>
              <w:rPr>
                <w:lang w:eastAsia="en-AU"/>
              </w:rPr>
            </w:pPr>
            <w:r>
              <w:t xml:space="preserve">Hallucinogenic </w:t>
            </w:r>
            <w:r w:rsidR="009B7394">
              <w:t>and</w:t>
            </w:r>
            <w:r>
              <w:t xml:space="preserve"> psychedelic drugs</w:t>
            </w:r>
          </w:p>
        </w:tc>
        <w:tc>
          <w:tcPr>
            <w:tcW w:w="1559" w:type="dxa"/>
            <w:tcBorders>
              <w:top w:val="nil"/>
              <w:bottom w:val="nil"/>
            </w:tcBorders>
          </w:tcPr>
          <w:p w14:paraId="7210F878" w14:textId="77777777" w:rsidR="00CF2D46" w:rsidRDefault="00CF2D46" w:rsidP="009B7394">
            <w:pPr>
              <w:pStyle w:val="TableText"/>
              <w:tabs>
                <w:tab w:val="decimal" w:pos="743"/>
              </w:tabs>
              <w:rPr>
                <w:lang w:eastAsia="en-AU"/>
              </w:rPr>
            </w:pPr>
            <w:r>
              <w:rPr>
                <w:lang w:eastAsia="en-AU"/>
              </w:rPr>
              <w:t>8.0</w:t>
            </w:r>
          </w:p>
        </w:tc>
        <w:tc>
          <w:tcPr>
            <w:tcW w:w="1559" w:type="dxa"/>
            <w:tcBorders>
              <w:top w:val="nil"/>
              <w:bottom w:val="nil"/>
            </w:tcBorders>
          </w:tcPr>
          <w:p w14:paraId="1018FCDF" w14:textId="77777777" w:rsidR="00CF2D46" w:rsidRDefault="00CF2D46" w:rsidP="009B7394">
            <w:pPr>
              <w:pStyle w:val="TableText"/>
              <w:tabs>
                <w:tab w:val="decimal" w:pos="743"/>
              </w:tabs>
              <w:rPr>
                <w:lang w:eastAsia="en-AU"/>
              </w:rPr>
            </w:pPr>
            <w:r>
              <w:rPr>
                <w:lang w:eastAsia="en-AU"/>
              </w:rPr>
              <w:t>9.0</w:t>
            </w:r>
          </w:p>
        </w:tc>
        <w:tc>
          <w:tcPr>
            <w:tcW w:w="1559" w:type="dxa"/>
            <w:tcBorders>
              <w:top w:val="nil"/>
              <w:bottom w:val="nil"/>
            </w:tcBorders>
          </w:tcPr>
          <w:p w14:paraId="29A9B26E" w14:textId="77777777" w:rsidR="00CF2D46" w:rsidRDefault="00CF2D46" w:rsidP="009B7394">
            <w:pPr>
              <w:pStyle w:val="TableText"/>
              <w:tabs>
                <w:tab w:val="decimal" w:pos="743"/>
              </w:tabs>
              <w:rPr>
                <w:lang w:eastAsia="en-AU"/>
              </w:rPr>
            </w:pPr>
            <w:r>
              <w:rPr>
                <w:rFonts w:ascii="Calibri" w:hAnsi="Calibri"/>
                <w:color w:val="000000"/>
                <w:lang w:eastAsia="en-AU"/>
              </w:rPr>
              <w:t>5</w:t>
            </w:r>
            <w:r w:rsidRPr="008C6D1A">
              <w:rPr>
                <w:rFonts w:ascii="Calibri" w:hAnsi="Calibri"/>
                <w:color w:val="000000"/>
                <w:lang w:eastAsia="en-AU"/>
              </w:rPr>
              <w:t>.</w:t>
            </w:r>
            <w:r>
              <w:rPr>
                <w:rFonts w:ascii="Calibri" w:hAnsi="Calibri"/>
                <w:color w:val="000000"/>
                <w:lang w:eastAsia="en-AU"/>
              </w:rPr>
              <w:t>3</w:t>
            </w:r>
          </w:p>
        </w:tc>
        <w:tc>
          <w:tcPr>
            <w:tcW w:w="1560" w:type="dxa"/>
            <w:tcBorders>
              <w:top w:val="nil"/>
              <w:bottom w:val="nil"/>
            </w:tcBorders>
          </w:tcPr>
          <w:p w14:paraId="6E2F015F" w14:textId="77777777" w:rsidR="00CF2D46" w:rsidRDefault="00CF2D46" w:rsidP="009B7394">
            <w:pPr>
              <w:pStyle w:val="TableText"/>
              <w:tabs>
                <w:tab w:val="decimal" w:pos="851"/>
              </w:tabs>
              <w:rPr>
                <w:lang w:eastAsia="en-AU"/>
              </w:rPr>
            </w:pPr>
            <w:r>
              <w:rPr>
                <w:lang w:eastAsia="en-AU"/>
              </w:rPr>
              <w:t>22.3</w:t>
            </w:r>
          </w:p>
        </w:tc>
      </w:tr>
      <w:tr w:rsidR="00CF2D46" w14:paraId="05C9E8D0" w14:textId="77777777" w:rsidTr="009B7394">
        <w:trPr>
          <w:cantSplit/>
        </w:trPr>
        <w:tc>
          <w:tcPr>
            <w:tcW w:w="2835" w:type="dxa"/>
            <w:tcBorders>
              <w:top w:val="nil"/>
              <w:bottom w:val="single" w:sz="4" w:space="0" w:color="auto"/>
            </w:tcBorders>
          </w:tcPr>
          <w:p w14:paraId="724F6D9B" w14:textId="127F47ED" w:rsidR="00CF2D46" w:rsidRDefault="00CF2D46">
            <w:pPr>
              <w:pStyle w:val="TableText"/>
              <w:rPr>
                <w:lang w:eastAsia="en-AU"/>
              </w:rPr>
            </w:pPr>
            <w:r>
              <w:t xml:space="preserve">Opioid </w:t>
            </w:r>
            <w:r w:rsidR="009B7394">
              <w:t>and</w:t>
            </w:r>
            <w:r>
              <w:t xml:space="preserve"> sedative drugs</w:t>
            </w:r>
          </w:p>
        </w:tc>
        <w:tc>
          <w:tcPr>
            <w:tcW w:w="1559" w:type="dxa"/>
            <w:tcBorders>
              <w:top w:val="nil"/>
              <w:bottom w:val="single" w:sz="4" w:space="0" w:color="auto"/>
            </w:tcBorders>
          </w:tcPr>
          <w:p w14:paraId="6C2CD6BB" w14:textId="77777777" w:rsidR="00CF2D46" w:rsidRDefault="00CF2D46" w:rsidP="009B7394">
            <w:pPr>
              <w:pStyle w:val="TableText"/>
              <w:tabs>
                <w:tab w:val="decimal" w:pos="743"/>
              </w:tabs>
              <w:rPr>
                <w:lang w:eastAsia="en-AU"/>
              </w:rPr>
            </w:pPr>
            <w:r>
              <w:t>8</w:t>
            </w:r>
            <w:r w:rsidRPr="00B80E57">
              <w:t>0.1</w:t>
            </w:r>
          </w:p>
        </w:tc>
        <w:tc>
          <w:tcPr>
            <w:tcW w:w="1559" w:type="dxa"/>
            <w:tcBorders>
              <w:top w:val="nil"/>
              <w:bottom w:val="single" w:sz="4" w:space="0" w:color="auto"/>
            </w:tcBorders>
          </w:tcPr>
          <w:p w14:paraId="0F36B4DB" w14:textId="77777777" w:rsidR="00CF2D46" w:rsidRDefault="00CF2D46" w:rsidP="009B7394">
            <w:pPr>
              <w:pStyle w:val="TableText"/>
              <w:tabs>
                <w:tab w:val="decimal" w:pos="743"/>
              </w:tabs>
              <w:rPr>
                <w:lang w:eastAsia="en-AU"/>
              </w:rPr>
            </w:pPr>
            <w:r>
              <w:rPr>
                <w:lang w:eastAsia="en-AU"/>
              </w:rPr>
              <w:t>72.0</w:t>
            </w:r>
          </w:p>
        </w:tc>
        <w:tc>
          <w:tcPr>
            <w:tcW w:w="1559" w:type="dxa"/>
            <w:tcBorders>
              <w:top w:val="nil"/>
              <w:bottom w:val="single" w:sz="4" w:space="0" w:color="auto"/>
            </w:tcBorders>
          </w:tcPr>
          <w:p w14:paraId="40C4DED8" w14:textId="77777777" w:rsidR="00CF2D46" w:rsidRDefault="00CF2D46" w:rsidP="009B7394">
            <w:pPr>
              <w:pStyle w:val="TableText"/>
              <w:tabs>
                <w:tab w:val="decimal" w:pos="743"/>
              </w:tabs>
              <w:rPr>
                <w:lang w:eastAsia="en-AU"/>
              </w:rPr>
            </w:pPr>
            <w:r>
              <w:rPr>
                <w:rFonts w:ascii="Calibri" w:hAnsi="Calibri"/>
                <w:color w:val="000000"/>
                <w:lang w:eastAsia="en-AU"/>
              </w:rPr>
              <w:t>23.8</w:t>
            </w:r>
          </w:p>
        </w:tc>
        <w:tc>
          <w:tcPr>
            <w:tcW w:w="1560" w:type="dxa"/>
            <w:tcBorders>
              <w:top w:val="nil"/>
              <w:bottom w:val="single" w:sz="4" w:space="0" w:color="auto"/>
            </w:tcBorders>
          </w:tcPr>
          <w:p w14:paraId="5BA5E187" w14:textId="77777777" w:rsidR="00CF2D46" w:rsidRDefault="00CF2D46" w:rsidP="009B7394">
            <w:pPr>
              <w:pStyle w:val="TableText"/>
              <w:tabs>
                <w:tab w:val="decimal" w:pos="851"/>
              </w:tabs>
              <w:rPr>
                <w:lang w:eastAsia="en-AU"/>
              </w:rPr>
            </w:pPr>
            <w:r>
              <w:rPr>
                <w:lang w:eastAsia="en-AU"/>
              </w:rPr>
              <w:t>175.9</w:t>
            </w:r>
          </w:p>
        </w:tc>
      </w:tr>
      <w:tr w:rsidR="00CF2D46" w:rsidRPr="00B074D1" w14:paraId="7847D694" w14:textId="77777777" w:rsidTr="009B7394">
        <w:trPr>
          <w:cantSplit/>
        </w:trPr>
        <w:tc>
          <w:tcPr>
            <w:tcW w:w="2835" w:type="dxa"/>
            <w:tcBorders>
              <w:top w:val="single" w:sz="4" w:space="0" w:color="auto"/>
            </w:tcBorders>
          </w:tcPr>
          <w:p w14:paraId="2DF53533" w14:textId="77777777" w:rsidR="00CF2D46" w:rsidRPr="00B074D1" w:rsidRDefault="00CF2D46" w:rsidP="00B074D1">
            <w:pPr>
              <w:pStyle w:val="TableText"/>
              <w:ind w:right="142"/>
              <w:jc w:val="right"/>
              <w:rPr>
                <w:b/>
                <w:lang w:eastAsia="en-AU"/>
              </w:rPr>
            </w:pPr>
            <w:r w:rsidRPr="00B074D1">
              <w:rPr>
                <w:b/>
              </w:rPr>
              <w:t>Total</w:t>
            </w:r>
          </w:p>
        </w:tc>
        <w:tc>
          <w:tcPr>
            <w:tcW w:w="1559" w:type="dxa"/>
            <w:tcBorders>
              <w:top w:val="single" w:sz="4" w:space="0" w:color="auto"/>
            </w:tcBorders>
          </w:tcPr>
          <w:p w14:paraId="3306C3DD" w14:textId="77777777" w:rsidR="00CF2D46" w:rsidRPr="00B074D1" w:rsidRDefault="00CF2D46" w:rsidP="009B7394">
            <w:pPr>
              <w:pStyle w:val="TableText"/>
              <w:tabs>
                <w:tab w:val="decimal" w:pos="743"/>
              </w:tabs>
              <w:rPr>
                <w:b/>
                <w:lang w:eastAsia="en-AU"/>
              </w:rPr>
            </w:pPr>
            <w:r w:rsidRPr="00B074D1">
              <w:rPr>
                <w:b/>
              </w:rPr>
              <w:t>601.0</w:t>
            </w:r>
          </w:p>
        </w:tc>
        <w:tc>
          <w:tcPr>
            <w:tcW w:w="1559" w:type="dxa"/>
            <w:tcBorders>
              <w:top w:val="single" w:sz="4" w:space="0" w:color="auto"/>
            </w:tcBorders>
          </w:tcPr>
          <w:p w14:paraId="2594C310" w14:textId="77777777" w:rsidR="00CF2D46" w:rsidRPr="00B074D1" w:rsidRDefault="00CF2D46" w:rsidP="009B7394">
            <w:pPr>
              <w:pStyle w:val="TableText"/>
              <w:tabs>
                <w:tab w:val="decimal" w:pos="743"/>
              </w:tabs>
              <w:rPr>
                <w:b/>
                <w:lang w:eastAsia="en-AU"/>
              </w:rPr>
            </w:pPr>
            <w:r w:rsidRPr="00B074D1">
              <w:rPr>
                <w:b/>
                <w:lang w:eastAsia="en-AU"/>
              </w:rPr>
              <w:t>892.7</w:t>
            </w:r>
          </w:p>
        </w:tc>
        <w:tc>
          <w:tcPr>
            <w:tcW w:w="1559" w:type="dxa"/>
            <w:tcBorders>
              <w:top w:val="single" w:sz="4" w:space="0" w:color="auto"/>
            </w:tcBorders>
          </w:tcPr>
          <w:p w14:paraId="570C051E" w14:textId="77777777" w:rsidR="00CF2D46" w:rsidRPr="00B074D1" w:rsidRDefault="00CF2D46" w:rsidP="009B7394">
            <w:pPr>
              <w:pStyle w:val="TableText"/>
              <w:tabs>
                <w:tab w:val="decimal" w:pos="743"/>
              </w:tabs>
              <w:rPr>
                <w:b/>
                <w:lang w:eastAsia="en-AU"/>
              </w:rPr>
            </w:pPr>
            <w:r w:rsidRPr="00B074D1">
              <w:rPr>
                <w:rFonts w:ascii="Calibri" w:hAnsi="Calibri"/>
                <w:b/>
                <w:bCs/>
                <w:color w:val="000000"/>
                <w:lang w:eastAsia="en-AU"/>
              </w:rPr>
              <w:t>351.4</w:t>
            </w:r>
          </w:p>
        </w:tc>
        <w:tc>
          <w:tcPr>
            <w:tcW w:w="1560" w:type="dxa"/>
            <w:tcBorders>
              <w:top w:val="single" w:sz="4" w:space="0" w:color="auto"/>
            </w:tcBorders>
          </w:tcPr>
          <w:p w14:paraId="032D349B" w14:textId="77777777" w:rsidR="00CF2D46" w:rsidRPr="00B074D1" w:rsidRDefault="00CF2D46" w:rsidP="009B7394">
            <w:pPr>
              <w:pStyle w:val="TableText"/>
              <w:tabs>
                <w:tab w:val="decimal" w:pos="851"/>
              </w:tabs>
              <w:rPr>
                <w:b/>
                <w:lang w:eastAsia="en-AU"/>
              </w:rPr>
            </w:pPr>
            <w:r w:rsidRPr="00B074D1">
              <w:rPr>
                <w:b/>
                <w:lang w:eastAsia="en-AU"/>
              </w:rPr>
              <w:t>1,845.0</w:t>
            </w:r>
          </w:p>
        </w:tc>
      </w:tr>
    </w:tbl>
    <w:p w14:paraId="76FFD56A" w14:textId="77777777" w:rsidR="00CF2D46" w:rsidRPr="00227298" w:rsidRDefault="00CF2D46" w:rsidP="009B7394">
      <w:pPr>
        <w:pStyle w:val="Table"/>
        <w:rPr>
          <w:lang w:eastAsia="en-AU"/>
        </w:rPr>
      </w:pPr>
      <w:bookmarkStart w:id="44" w:name="_Toc444941857"/>
      <w:r>
        <w:rPr>
          <w:lang w:eastAsia="en-AU"/>
        </w:rPr>
        <w:t>Table 16. Summary of social costs per kilogram of illicit drug by drug group</w:t>
      </w:r>
      <w:bookmarkEnd w:id="44"/>
    </w:p>
    <w:tbl>
      <w:tblPr>
        <w:tblStyle w:val="TableGrid"/>
        <w:tblW w:w="0" w:type="auto"/>
        <w:tblInd w:w="108" w:type="dxa"/>
        <w:tblBorders>
          <w:insideH w:val="none" w:sz="0" w:space="0" w:color="auto"/>
          <w:insideV w:val="none" w:sz="0" w:space="0" w:color="auto"/>
        </w:tblBorders>
        <w:tblLayout w:type="fixed"/>
        <w:tblLook w:val="04A0" w:firstRow="1" w:lastRow="0" w:firstColumn="1" w:lastColumn="0" w:noHBand="0" w:noVBand="1"/>
      </w:tblPr>
      <w:tblGrid>
        <w:gridCol w:w="2268"/>
        <w:gridCol w:w="1701"/>
        <w:gridCol w:w="1701"/>
        <w:gridCol w:w="1701"/>
        <w:gridCol w:w="1701"/>
      </w:tblGrid>
      <w:tr w:rsidR="00CF2D46" w:rsidRPr="00B074D1" w14:paraId="5CA61287" w14:textId="77777777" w:rsidTr="00B074D1">
        <w:trPr>
          <w:cantSplit/>
        </w:trPr>
        <w:tc>
          <w:tcPr>
            <w:tcW w:w="2268" w:type="dxa"/>
            <w:tcBorders>
              <w:bottom w:val="single" w:sz="4" w:space="0" w:color="auto"/>
            </w:tcBorders>
          </w:tcPr>
          <w:p w14:paraId="4FAB38C5" w14:textId="77777777" w:rsidR="00CF2D46" w:rsidRPr="00B074D1" w:rsidRDefault="00CF2D46" w:rsidP="00B074D1">
            <w:pPr>
              <w:pStyle w:val="TableText"/>
              <w:rPr>
                <w:b/>
                <w:lang w:eastAsia="en-AU"/>
              </w:rPr>
            </w:pPr>
            <w:r w:rsidRPr="00B074D1">
              <w:rPr>
                <w:b/>
                <w:lang w:eastAsia="en-AU"/>
              </w:rPr>
              <w:t>Drug group</w:t>
            </w:r>
          </w:p>
        </w:tc>
        <w:tc>
          <w:tcPr>
            <w:tcW w:w="1701" w:type="dxa"/>
            <w:tcBorders>
              <w:bottom w:val="single" w:sz="4" w:space="0" w:color="auto"/>
            </w:tcBorders>
          </w:tcPr>
          <w:p w14:paraId="76ADC1BE" w14:textId="77777777" w:rsidR="00CF2D46" w:rsidRPr="00B074D1" w:rsidRDefault="00CF2D46" w:rsidP="00B074D1">
            <w:pPr>
              <w:pStyle w:val="TableText"/>
              <w:jc w:val="center"/>
              <w:rPr>
                <w:b/>
                <w:lang w:eastAsia="en-AU"/>
              </w:rPr>
            </w:pPr>
            <w:r w:rsidRPr="00B074D1">
              <w:rPr>
                <w:b/>
                <w:lang w:eastAsia="en-AU"/>
              </w:rPr>
              <w:t xml:space="preserve">Personal </w:t>
            </w:r>
            <w:r w:rsidRPr="00B074D1">
              <w:rPr>
                <w:b/>
                <w:lang w:eastAsia="en-AU"/>
              </w:rPr>
              <w:br/>
              <w:t>harm ($) per kg</w:t>
            </w:r>
          </w:p>
        </w:tc>
        <w:tc>
          <w:tcPr>
            <w:tcW w:w="1701" w:type="dxa"/>
            <w:tcBorders>
              <w:bottom w:val="single" w:sz="4" w:space="0" w:color="auto"/>
            </w:tcBorders>
          </w:tcPr>
          <w:p w14:paraId="02EE909C" w14:textId="77777777" w:rsidR="00CF2D46" w:rsidRPr="00B074D1" w:rsidRDefault="00CF2D46" w:rsidP="00B074D1">
            <w:pPr>
              <w:pStyle w:val="TableText"/>
              <w:jc w:val="center"/>
              <w:rPr>
                <w:b/>
                <w:lang w:eastAsia="en-AU"/>
              </w:rPr>
            </w:pPr>
            <w:r w:rsidRPr="00B074D1">
              <w:rPr>
                <w:b/>
                <w:lang w:eastAsia="en-AU"/>
              </w:rPr>
              <w:t>Community harm ($) per kg</w:t>
            </w:r>
          </w:p>
        </w:tc>
        <w:tc>
          <w:tcPr>
            <w:tcW w:w="1701" w:type="dxa"/>
            <w:tcBorders>
              <w:bottom w:val="single" w:sz="4" w:space="0" w:color="auto"/>
            </w:tcBorders>
          </w:tcPr>
          <w:p w14:paraId="152E6A72" w14:textId="77777777" w:rsidR="00CF2D46" w:rsidRPr="00B074D1" w:rsidRDefault="00CF2D46" w:rsidP="00B074D1">
            <w:pPr>
              <w:pStyle w:val="TableText"/>
              <w:jc w:val="center"/>
              <w:rPr>
                <w:b/>
                <w:lang w:eastAsia="en-AU"/>
              </w:rPr>
            </w:pPr>
            <w:r w:rsidRPr="00B074D1">
              <w:rPr>
                <w:b/>
                <w:lang w:eastAsia="en-AU"/>
              </w:rPr>
              <w:t>Intervention costs ($) per kg</w:t>
            </w:r>
          </w:p>
        </w:tc>
        <w:tc>
          <w:tcPr>
            <w:tcW w:w="1701" w:type="dxa"/>
            <w:tcBorders>
              <w:bottom w:val="single" w:sz="4" w:space="0" w:color="auto"/>
            </w:tcBorders>
          </w:tcPr>
          <w:p w14:paraId="30B64C9E" w14:textId="77777777" w:rsidR="00CF2D46" w:rsidRPr="00B074D1" w:rsidRDefault="00CF2D46" w:rsidP="00B074D1">
            <w:pPr>
              <w:pStyle w:val="TableText"/>
              <w:jc w:val="center"/>
              <w:rPr>
                <w:b/>
                <w:lang w:eastAsia="en-AU"/>
              </w:rPr>
            </w:pPr>
            <w:r w:rsidRPr="00B074D1">
              <w:rPr>
                <w:b/>
                <w:lang w:eastAsia="en-AU"/>
              </w:rPr>
              <w:t>Total social costs ($) per kg</w:t>
            </w:r>
          </w:p>
        </w:tc>
      </w:tr>
      <w:tr w:rsidR="00CF2D46" w14:paraId="684BA6C2" w14:textId="77777777" w:rsidTr="00B074D1">
        <w:trPr>
          <w:cantSplit/>
        </w:trPr>
        <w:tc>
          <w:tcPr>
            <w:tcW w:w="2268" w:type="dxa"/>
            <w:tcBorders>
              <w:top w:val="single" w:sz="4" w:space="0" w:color="auto"/>
              <w:bottom w:val="nil"/>
            </w:tcBorders>
          </w:tcPr>
          <w:p w14:paraId="6A21A9AB" w14:textId="77777777" w:rsidR="00CF2D46" w:rsidRDefault="00CF2D46" w:rsidP="00B074D1">
            <w:pPr>
              <w:pStyle w:val="TableText"/>
              <w:rPr>
                <w:lang w:eastAsia="en-AU"/>
              </w:rPr>
            </w:pPr>
            <w:r>
              <w:t>Amphetamine-type stimulants</w:t>
            </w:r>
          </w:p>
        </w:tc>
        <w:tc>
          <w:tcPr>
            <w:tcW w:w="1701" w:type="dxa"/>
            <w:tcBorders>
              <w:top w:val="single" w:sz="4" w:space="0" w:color="auto"/>
              <w:bottom w:val="nil"/>
            </w:tcBorders>
          </w:tcPr>
          <w:p w14:paraId="28770327" w14:textId="77777777" w:rsidR="00CF2D46" w:rsidRDefault="00CF2D46" w:rsidP="00B074D1">
            <w:pPr>
              <w:pStyle w:val="TableText"/>
              <w:tabs>
                <w:tab w:val="decimal" w:pos="1168"/>
              </w:tabs>
              <w:rPr>
                <w:lang w:eastAsia="en-AU"/>
              </w:rPr>
            </w:pPr>
            <w:r>
              <w:rPr>
                <w:lang w:eastAsia="en-AU"/>
              </w:rPr>
              <w:t>872,000</w:t>
            </w:r>
          </w:p>
        </w:tc>
        <w:tc>
          <w:tcPr>
            <w:tcW w:w="1701" w:type="dxa"/>
            <w:tcBorders>
              <w:top w:val="single" w:sz="4" w:space="0" w:color="auto"/>
              <w:bottom w:val="nil"/>
            </w:tcBorders>
          </w:tcPr>
          <w:p w14:paraId="78C0B692" w14:textId="77777777" w:rsidR="00CF2D46" w:rsidRDefault="00CF2D46" w:rsidP="00B074D1">
            <w:pPr>
              <w:pStyle w:val="TableText"/>
              <w:tabs>
                <w:tab w:val="decimal" w:pos="1168"/>
              </w:tabs>
              <w:rPr>
                <w:lang w:eastAsia="en-AU"/>
              </w:rPr>
            </w:pPr>
            <w:r>
              <w:rPr>
                <w:lang w:eastAsia="en-AU"/>
              </w:rPr>
              <w:t>311,000</w:t>
            </w:r>
          </w:p>
        </w:tc>
        <w:tc>
          <w:tcPr>
            <w:tcW w:w="1701" w:type="dxa"/>
            <w:tcBorders>
              <w:top w:val="single" w:sz="4" w:space="0" w:color="auto"/>
              <w:bottom w:val="nil"/>
            </w:tcBorders>
          </w:tcPr>
          <w:p w14:paraId="14290337" w14:textId="77777777" w:rsidR="00CF2D46" w:rsidRDefault="00CF2D46" w:rsidP="00B074D1">
            <w:pPr>
              <w:pStyle w:val="TableText"/>
              <w:tabs>
                <w:tab w:val="decimal" w:pos="1168"/>
              </w:tabs>
              <w:rPr>
                <w:lang w:eastAsia="en-AU"/>
              </w:rPr>
            </w:pPr>
            <w:r>
              <w:rPr>
                <w:lang w:eastAsia="en-AU"/>
              </w:rPr>
              <w:t>56,000</w:t>
            </w:r>
          </w:p>
        </w:tc>
        <w:tc>
          <w:tcPr>
            <w:tcW w:w="1701" w:type="dxa"/>
            <w:tcBorders>
              <w:top w:val="single" w:sz="4" w:space="0" w:color="auto"/>
              <w:bottom w:val="nil"/>
            </w:tcBorders>
          </w:tcPr>
          <w:p w14:paraId="046D1858" w14:textId="77777777" w:rsidR="00CF2D46" w:rsidRDefault="00CF2D46" w:rsidP="00B074D1">
            <w:pPr>
              <w:pStyle w:val="TableText"/>
              <w:tabs>
                <w:tab w:val="decimal" w:pos="1168"/>
              </w:tabs>
              <w:rPr>
                <w:lang w:eastAsia="en-AU"/>
              </w:rPr>
            </w:pPr>
            <w:r>
              <w:rPr>
                <w:lang w:eastAsia="en-AU"/>
              </w:rPr>
              <w:t>1,239,000</w:t>
            </w:r>
          </w:p>
        </w:tc>
      </w:tr>
      <w:tr w:rsidR="00CF2D46" w14:paraId="7CF92DC6" w14:textId="77777777" w:rsidTr="00B074D1">
        <w:trPr>
          <w:cantSplit/>
        </w:trPr>
        <w:tc>
          <w:tcPr>
            <w:tcW w:w="2268" w:type="dxa"/>
            <w:tcBorders>
              <w:top w:val="nil"/>
              <w:bottom w:val="nil"/>
            </w:tcBorders>
          </w:tcPr>
          <w:p w14:paraId="3949428F" w14:textId="77777777" w:rsidR="00CF2D46" w:rsidRDefault="00CF2D46" w:rsidP="00B074D1">
            <w:pPr>
              <w:pStyle w:val="TableText"/>
              <w:rPr>
                <w:lang w:eastAsia="en-AU"/>
              </w:rPr>
            </w:pPr>
            <w:r>
              <w:t>Cannabinoids</w:t>
            </w:r>
          </w:p>
        </w:tc>
        <w:tc>
          <w:tcPr>
            <w:tcW w:w="1701" w:type="dxa"/>
            <w:tcBorders>
              <w:top w:val="nil"/>
              <w:bottom w:val="nil"/>
            </w:tcBorders>
          </w:tcPr>
          <w:p w14:paraId="4A8B38DF" w14:textId="77777777" w:rsidR="00CF2D46" w:rsidRDefault="00CF2D46" w:rsidP="00B074D1">
            <w:pPr>
              <w:pStyle w:val="TableText"/>
              <w:tabs>
                <w:tab w:val="decimal" w:pos="1168"/>
              </w:tabs>
              <w:rPr>
                <w:lang w:eastAsia="en-AU"/>
              </w:rPr>
            </w:pPr>
            <w:r>
              <w:rPr>
                <w:lang w:eastAsia="en-AU"/>
              </w:rPr>
              <w:t>9,000</w:t>
            </w:r>
          </w:p>
        </w:tc>
        <w:tc>
          <w:tcPr>
            <w:tcW w:w="1701" w:type="dxa"/>
            <w:tcBorders>
              <w:top w:val="nil"/>
              <w:bottom w:val="nil"/>
            </w:tcBorders>
          </w:tcPr>
          <w:p w14:paraId="5A11A371" w14:textId="77777777" w:rsidR="00CF2D46" w:rsidRDefault="00CF2D46" w:rsidP="00B074D1">
            <w:pPr>
              <w:pStyle w:val="TableText"/>
              <w:tabs>
                <w:tab w:val="decimal" w:pos="1168"/>
              </w:tabs>
              <w:rPr>
                <w:lang w:eastAsia="en-AU"/>
              </w:rPr>
            </w:pPr>
            <w:r>
              <w:rPr>
                <w:lang w:eastAsia="en-AU"/>
              </w:rPr>
              <w:t>26,000</w:t>
            </w:r>
          </w:p>
        </w:tc>
        <w:tc>
          <w:tcPr>
            <w:tcW w:w="1701" w:type="dxa"/>
            <w:tcBorders>
              <w:top w:val="nil"/>
              <w:bottom w:val="nil"/>
            </w:tcBorders>
          </w:tcPr>
          <w:p w14:paraId="71B81D7C" w14:textId="77777777" w:rsidR="00CF2D46" w:rsidRDefault="00CF2D46" w:rsidP="00B074D1">
            <w:pPr>
              <w:pStyle w:val="TableText"/>
              <w:tabs>
                <w:tab w:val="decimal" w:pos="1168"/>
              </w:tabs>
              <w:rPr>
                <w:lang w:eastAsia="en-AU"/>
              </w:rPr>
            </w:pPr>
            <w:r>
              <w:rPr>
                <w:lang w:eastAsia="en-AU"/>
              </w:rPr>
              <w:t>11,000</w:t>
            </w:r>
          </w:p>
        </w:tc>
        <w:tc>
          <w:tcPr>
            <w:tcW w:w="1701" w:type="dxa"/>
            <w:tcBorders>
              <w:top w:val="nil"/>
              <w:bottom w:val="nil"/>
            </w:tcBorders>
          </w:tcPr>
          <w:p w14:paraId="3F500C6B" w14:textId="77777777" w:rsidR="00CF2D46" w:rsidRDefault="00CF2D46" w:rsidP="00B074D1">
            <w:pPr>
              <w:pStyle w:val="TableText"/>
              <w:tabs>
                <w:tab w:val="decimal" w:pos="1168"/>
              </w:tabs>
              <w:rPr>
                <w:lang w:eastAsia="en-AU"/>
              </w:rPr>
            </w:pPr>
            <w:r>
              <w:rPr>
                <w:lang w:eastAsia="en-AU"/>
              </w:rPr>
              <w:t>47,000</w:t>
            </w:r>
          </w:p>
        </w:tc>
      </w:tr>
      <w:tr w:rsidR="00CF2D46" w14:paraId="48ED1F34" w14:textId="77777777" w:rsidTr="00B074D1">
        <w:trPr>
          <w:cantSplit/>
        </w:trPr>
        <w:tc>
          <w:tcPr>
            <w:tcW w:w="2268" w:type="dxa"/>
            <w:tcBorders>
              <w:top w:val="nil"/>
              <w:bottom w:val="nil"/>
            </w:tcBorders>
          </w:tcPr>
          <w:p w14:paraId="7E5DFB03" w14:textId="37F705DF" w:rsidR="00CF2D46" w:rsidRDefault="00CF2D46">
            <w:pPr>
              <w:pStyle w:val="TableText"/>
              <w:rPr>
                <w:lang w:eastAsia="en-AU"/>
              </w:rPr>
            </w:pPr>
            <w:r>
              <w:t xml:space="preserve">Hallucinogenic </w:t>
            </w:r>
            <w:r w:rsidR="00B074D1">
              <w:t>and</w:t>
            </w:r>
            <w:r>
              <w:t xml:space="preserve"> psychedelic drugs</w:t>
            </w:r>
          </w:p>
        </w:tc>
        <w:tc>
          <w:tcPr>
            <w:tcW w:w="1701" w:type="dxa"/>
            <w:tcBorders>
              <w:top w:val="nil"/>
              <w:bottom w:val="nil"/>
            </w:tcBorders>
          </w:tcPr>
          <w:p w14:paraId="7673AC7B" w14:textId="77777777" w:rsidR="00CF2D46" w:rsidRDefault="00CF2D46" w:rsidP="00B074D1">
            <w:pPr>
              <w:pStyle w:val="TableText"/>
              <w:tabs>
                <w:tab w:val="decimal" w:pos="1168"/>
              </w:tabs>
              <w:rPr>
                <w:lang w:eastAsia="en-AU"/>
              </w:rPr>
            </w:pPr>
            <w:r>
              <w:rPr>
                <w:lang w:eastAsia="en-AU"/>
              </w:rPr>
              <w:t>334,000</w:t>
            </w:r>
          </w:p>
        </w:tc>
        <w:tc>
          <w:tcPr>
            <w:tcW w:w="1701" w:type="dxa"/>
            <w:tcBorders>
              <w:top w:val="nil"/>
              <w:bottom w:val="nil"/>
            </w:tcBorders>
          </w:tcPr>
          <w:p w14:paraId="4EACD767" w14:textId="77777777" w:rsidR="00CF2D46" w:rsidRDefault="00CF2D46" w:rsidP="00B074D1">
            <w:pPr>
              <w:pStyle w:val="TableText"/>
              <w:tabs>
                <w:tab w:val="decimal" w:pos="1168"/>
              </w:tabs>
              <w:rPr>
                <w:lang w:eastAsia="en-AU"/>
              </w:rPr>
            </w:pPr>
            <w:r>
              <w:rPr>
                <w:lang w:eastAsia="en-AU"/>
              </w:rPr>
              <w:t>375,000</w:t>
            </w:r>
          </w:p>
        </w:tc>
        <w:tc>
          <w:tcPr>
            <w:tcW w:w="1701" w:type="dxa"/>
            <w:tcBorders>
              <w:top w:val="nil"/>
              <w:bottom w:val="nil"/>
            </w:tcBorders>
          </w:tcPr>
          <w:p w14:paraId="57D079D6" w14:textId="77777777" w:rsidR="00CF2D46" w:rsidRDefault="00CF2D46" w:rsidP="00B074D1">
            <w:pPr>
              <w:pStyle w:val="TableText"/>
              <w:tabs>
                <w:tab w:val="decimal" w:pos="1168"/>
              </w:tabs>
              <w:rPr>
                <w:lang w:eastAsia="en-AU"/>
              </w:rPr>
            </w:pPr>
            <w:r>
              <w:rPr>
                <w:lang w:eastAsia="en-AU"/>
              </w:rPr>
              <w:t>221,000</w:t>
            </w:r>
          </w:p>
        </w:tc>
        <w:tc>
          <w:tcPr>
            <w:tcW w:w="1701" w:type="dxa"/>
            <w:tcBorders>
              <w:top w:val="nil"/>
              <w:bottom w:val="nil"/>
            </w:tcBorders>
          </w:tcPr>
          <w:p w14:paraId="73DEE466" w14:textId="77777777" w:rsidR="00CF2D46" w:rsidRDefault="00CF2D46" w:rsidP="00B074D1">
            <w:pPr>
              <w:pStyle w:val="TableText"/>
              <w:tabs>
                <w:tab w:val="decimal" w:pos="1168"/>
              </w:tabs>
              <w:rPr>
                <w:lang w:eastAsia="en-AU"/>
              </w:rPr>
            </w:pPr>
            <w:r>
              <w:rPr>
                <w:lang w:eastAsia="en-AU"/>
              </w:rPr>
              <w:t>929,000</w:t>
            </w:r>
          </w:p>
        </w:tc>
      </w:tr>
      <w:tr w:rsidR="00CF2D46" w14:paraId="74D5945F" w14:textId="77777777" w:rsidTr="00B074D1">
        <w:trPr>
          <w:cantSplit/>
        </w:trPr>
        <w:tc>
          <w:tcPr>
            <w:tcW w:w="2268" w:type="dxa"/>
            <w:tcBorders>
              <w:top w:val="nil"/>
              <w:bottom w:val="single" w:sz="4" w:space="0" w:color="auto"/>
            </w:tcBorders>
          </w:tcPr>
          <w:p w14:paraId="4BD2FB5C" w14:textId="1AA90D63" w:rsidR="00CF2D46" w:rsidRDefault="00CF2D46">
            <w:pPr>
              <w:pStyle w:val="TableText"/>
              <w:rPr>
                <w:lang w:eastAsia="en-AU"/>
              </w:rPr>
            </w:pPr>
            <w:r>
              <w:t xml:space="preserve">Opioid </w:t>
            </w:r>
            <w:r w:rsidR="00B074D1">
              <w:t>and</w:t>
            </w:r>
            <w:r>
              <w:t xml:space="preserve"> sedative drugs</w:t>
            </w:r>
          </w:p>
        </w:tc>
        <w:tc>
          <w:tcPr>
            <w:tcW w:w="1701" w:type="dxa"/>
            <w:tcBorders>
              <w:top w:val="nil"/>
              <w:bottom w:val="single" w:sz="4" w:space="0" w:color="auto"/>
            </w:tcBorders>
          </w:tcPr>
          <w:p w14:paraId="7801E0B8" w14:textId="77777777" w:rsidR="00CF2D46" w:rsidRDefault="00CF2D46" w:rsidP="00B074D1">
            <w:pPr>
              <w:pStyle w:val="TableText"/>
              <w:tabs>
                <w:tab w:val="decimal" w:pos="1168"/>
              </w:tabs>
              <w:rPr>
                <w:lang w:eastAsia="en-AU"/>
              </w:rPr>
            </w:pPr>
            <w:r>
              <w:rPr>
                <w:lang w:eastAsia="en-AU"/>
              </w:rPr>
              <w:t>160,000</w:t>
            </w:r>
          </w:p>
        </w:tc>
        <w:tc>
          <w:tcPr>
            <w:tcW w:w="1701" w:type="dxa"/>
            <w:tcBorders>
              <w:top w:val="nil"/>
              <w:bottom w:val="single" w:sz="4" w:space="0" w:color="auto"/>
            </w:tcBorders>
          </w:tcPr>
          <w:p w14:paraId="7B16ED0C" w14:textId="77777777" w:rsidR="00CF2D46" w:rsidRDefault="00CF2D46" w:rsidP="00B074D1">
            <w:pPr>
              <w:pStyle w:val="TableText"/>
              <w:tabs>
                <w:tab w:val="decimal" w:pos="1168"/>
              </w:tabs>
              <w:rPr>
                <w:lang w:eastAsia="en-AU"/>
              </w:rPr>
            </w:pPr>
            <w:r>
              <w:rPr>
                <w:lang w:eastAsia="en-AU"/>
              </w:rPr>
              <w:t>144,000</w:t>
            </w:r>
          </w:p>
        </w:tc>
        <w:tc>
          <w:tcPr>
            <w:tcW w:w="1701" w:type="dxa"/>
            <w:tcBorders>
              <w:top w:val="nil"/>
              <w:bottom w:val="single" w:sz="4" w:space="0" w:color="auto"/>
            </w:tcBorders>
          </w:tcPr>
          <w:p w14:paraId="3990EF74" w14:textId="77777777" w:rsidR="00CF2D46" w:rsidRDefault="00CF2D46" w:rsidP="00B074D1">
            <w:pPr>
              <w:pStyle w:val="TableText"/>
              <w:tabs>
                <w:tab w:val="decimal" w:pos="1168"/>
              </w:tabs>
              <w:rPr>
                <w:lang w:eastAsia="en-AU"/>
              </w:rPr>
            </w:pPr>
            <w:r>
              <w:rPr>
                <w:lang w:eastAsia="en-AU"/>
              </w:rPr>
              <w:t>48,000</w:t>
            </w:r>
          </w:p>
        </w:tc>
        <w:tc>
          <w:tcPr>
            <w:tcW w:w="1701" w:type="dxa"/>
            <w:tcBorders>
              <w:top w:val="nil"/>
              <w:bottom w:val="single" w:sz="4" w:space="0" w:color="auto"/>
            </w:tcBorders>
          </w:tcPr>
          <w:p w14:paraId="083F05FE" w14:textId="77777777" w:rsidR="00CF2D46" w:rsidRDefault="00CF2D46" w:rsidP="00B074D1">
            <w:pPr>
              <w:pStyle w:val="TableText"/>
              <w:tabs>
                <w:tab w:val="decimal" w:pos="1168"/>
              </w:tabs>
              <w:rPr>
                <w:lang w:eastAsia="en-AU"/>
              </w:rPr>
            </w:pPr>
            <w:r>
              <w:rPr>
                <w:lang w:eastAsia="en-AU"/>
              </w:rPr>
              <w:t>352,000</w:t>
            </w:r>
          </w:p>
        </w:tc>
      </w:tr>
    </w:tbl>
    <w:p w14:paraId="40A9FC12" w14:textId="77777777" w:rsidR="00CF2D46" w:rsidRPr="00227298" w:rsidRDefault="00CF2D46" w:rsidP="00B074D1">
      <w:pPr>
        <w:pStyle w:val="Table"/>
        <w:rPr>
          <w:lang w:eastAsia="en-AU"/>
        </w:rPr>
      </w:pPr>
      <w:bookmarkStart w:id="45" w:name="_Toc444941858"/>
      <w:r>
        <w:rPr>
          <w:lang w:eastAsia="en-AU"/>
        </w:rPr>
        <w:t>Table 17. Summary of social costs by user type</w:t>
      </w:r>
      <w:bookmarkEnd w:id="45"/>
    </w:p>
    <w:tbl>
      <w:tblPr>
        <w:tblStyle w:val="TableGrid"/>
        <w:tblW w:w="0" w:type="auto"/>
        <w:tblInd w:w="108" w:type="dxa"/>
        <w:tblBorders>
          <w:insideH w:val="none" w:sz="0" w:space="0" w:color="auto"/>
          <w:insideV w:val="none" w:sz="0" w:space="0" w:color="auto"/>
        </w:tblBorders>
        <w:tblLayout w:type="fixed"/>
        <w:tblLook w:val="04A0" w:firstRow="1" w:lastRow="0" w:firstColumn="1" w:lastColumn="0" w:noHBand="0" w:noVBand="1"/>
      </w:tblPr>
      <w:tblGrid>
        <w:gridCol w:w="2410"/>
        <w:gridCol w:w="1665"/>
        <w:gridCol w:w="1666"/>
        <w:gridCol w:w="1665"/>
        <w:gridCol w:w="1666"/>
      </w:tblGrid>
      <w:tr w:rsidR="00CF2D46" w:rsidRPr="00B074D1" w14:paraId="49748372" w14:textId="77777777" w:rsidTr="00B074D1">
        <w:trPr>
          <w:cantSplit/>
        </w:trPr>
        <w:tc>
          <w:tcPr>
            <w:tcW w:w="2410" w:type="dxa"/>
            <w:tcBorders>
              <w:bottom w:val="single" w:sz="4" w:space="0" w:color="auto"/>
              <w:right w:val="single" w:sz="4" w:space="0" w:color="auto"/>
            </w:tcBorders>
          </w:tcPr>
          <w:p w14:paraId="5438063F" w14:textId="77777777" w:rsidR="00CF2D46" w:rsidRPr="00B074D1" w:rsidRDefault="00CF2D46" w:rsidP="00B074D1">
            <w:pPr>
              <w:pStyle w:val="TableText"/>
              <w:rPr>
                <w:b/>
                <w:lang w:eastAsia="en-AU"/>
              </w:rPr>
            </w:pPr>
            <w:r w:rsidRPr="00B074D1">
              <w:rPr>
                <w:b/>
                <w:lang w:eastAsia="en-AU"/>
              </w:rPr>
              <w:t>Drug group</w:t>
            </w:r>
          </w:p>
        </w:tc>
        <w:tc>
          <w:tcPr>
            <w:tcW w:w="1665" w:type="dxa"/>
            <w:tcBorders>
              <w:top w:val="single" w:sz="4" w:space="0" w:color="auto"/>
              <w:left w:val="single" w:sz="4" w:space="0" w:color="auto"/>
              <w:bottom w:val="single" w:sz="4" w:space="0" w:color="auto"/>
            </w:tcBorders>
          </w:tcPr>
          <w:p w14:paraId="04547236" w14:textId="77777777" w:rsidR="00CF2D46" w:rsidRPr="00B074D1" w:rsidRDefault="00CF2D46" w:rsidP="00B074D1">
            <w:pPr>
              <w:pStyle w:val="TableText"/>
              <w:jc w:val="center"/>
              <w:rPr>
                <w:b/>
                <w:lang w:eastAsia="en-AU"/>
              </w:rPr>
            </w:pPr>
            <w:r w:rsidRPr="00B074D1">
              <w:rPr>
                <w:b/>
                <w:lang w:eastAsia="en-AU"/>
              </w:rPr>
              <w:t>Total cost ($m): dependent use</w:t>
            </w:r>
          </w:p>
        </w:tc>
        <w:tc>
          <w:tcPr>
            <w:tcW w:w="1666" w:type="dxa"/>
            <w:tcBorders>
              <w:top w:val="single" w:sz="4" w:space="0" w:color="auto"/>
              <w:bottom w:val="single" w:sz="4" w:space="0" w:color="auto"/>
              <w:right w:val="single" w:sz="4" w:space="0" w:color="auto"/>
            </w:tcBorders>
          </w:tcPr>
          <w:p w14:paraId="36AE347F" w14:textId="77777777" w:rsidR="00CF2D46" w:rsidRPr="00B074D1" w:rsidRDefault="00CF2D46" w:rsidP="00B074D1">
            <w:pPr>
              <w:pStyle w:val="TableText"/>
              <w:jc w:val="center"/>
              <w:rPr>
                <w:b/>
                <w:lang w:eastAsia="en-AU"/>
              </w:rPr>
            </w:pPr>
            <w:r w:rsidRPr="00B074D1">
              <w:rPr>
                <w:b/>
                <w:lang w:eastAsia="en-AU"/>
              </w:rPr>
              <w:t>Total cost ($m): casual use</w:t>
            </w:r>
          </w:p>
        </w:tc>
        <w:tc>
          <w:tcPr>
            <w:tcW w:w="1665" w:type="dxa"/>
            <w:tcBorders>
              <w:left w:val="single" w:sz="4" w:space="0" w:color="auto"/>
              <w:bottom w:val="single" w:sz="4" w:space="0" w:color="auto"/>
            </w:tcBorders>
          </w:tcPr>
          <w:p w14:paraId="5420AC6D" w14:textId="77777777" w:rsidR="00CF2D46" w:rsidRPr="00B074D1" w:rsidRDefault="00CF2D46" w:rsidP="00B074D1">
            <w:pPr>
              <w:pStyle w:val="TableText"/>
              <w:jc w:val="center"/>
              <w:rPr>
                <w:b/>
                <w:lang w:eastAsia="en-AU"/>
              </w:rPr>
            </w:pPr>
            <w:r w:rsidRPr="00B074D1">
              <w:rPr>
                <w:b/>
                <w:lang w:eastAsia="en-AU"/>
              </w:rPr>
              <w:t>$ cost per dependent user</w:t>
            </w:r>
          </w:p>
        </w:tc>
        <w:tc>
          <w:tcPr>
            <w:tcW w:w="1666" w:type="dxa"/>
            <w:tcBorders>
              <w:bottom w:val="single" w:sz="4" w:space="0" w:color="auto"/>
            </w:tcBorders>
          </w:tcPr>
          <w:p w14:paraId="0483A599" w14:textId="77777777" w:rsidR="00CF2D46" w:rsidRPr="00B074D1" w:rsidRDefault="00CF2D46" w:rsidP="00B074D1">
            <w:pPr>
              <w:pStyle w:val="TableText"/>
              <w:jc w:val="center"/>
              <w:rPr>
                <w:b/>
                <w:lang w:eastAsia="en-AU"/>
              </w:rPr>
            </w:pPr>
            <w:r w:rsidRPr="00B074D1">
              <w:rPr>
                <w:b/>
                <w:lang w:eastAsia="en-AU"/>
              </w:rPr>
              <w:t>$ cost per casual user</w:t>
            </w:r>
          </w:p>
        </w:tc>
      </w:tr>
      <w:tr w:rsidR="00CF2D46" w14:paraId="23DE1D98" w14:textId="77777777" w:rsidTr="00B074D1">
        <w:trPr>
          <w:cantSplit/>
        </w:trPr>
        <w:tc>
          <w:tcPr>
            <w:tcW w:w="2410" w:type="dxa"/>
            <w:tcBorders>
              <w:top w:val="single" w:sz="4" w:space="0" w:color="auto"/>
              <w:bottom w:val="nil"/>
              <w:right w:val="single" w:sz="4" w:space="0" w:color="auto"/>
            </w:tcBorders>
          </w:tcPr>
          <w:p w14:paraId="15E39458" w14:textId="77777777" w:rsidR="00CF2D46" w:rsidRDefault="00CF2D46" w:rsidP="00B074D1">
            <w:pPr>
              <w:pStyle w:val="TableText"/>
              <w:rPr>
                <w:lang w:eastAsia="en-AU"/>
              </w:rPr>
            </w:pPr>
            <w:r>
              <w:t>Amphetamine-type stimulants</w:t>
            </w:r>
          </w:p>
        </w:tc>
        <w:tc>
          <w:tcPr>
            <w:tcW w:w="1665" w:type="dxa"/>
            <w:tcBorders>
              <w:top w:val="single" w:sz="4" w:space="0" w:color="auto"/>
              <w:left w:val="single" w:sz="4" w:space="0" w:color="auto"/>
              <w:bottom w:val="nil"/>
            </w:tcBorders>
          </w:tcPr>
          <w:p w14:paraId="56BEA4F9" w14:textId="77777777" w:rsidR="00CF2D46" w:rsidRDefault="00CF2D46" w:rsidP="00B074D1">
            <w:pPr>
              <w:pStyle w:val="TableText"/>
              <w:tabs>
                <w:tab w:val="decimal" w:pos="884"/>
              </w:tabs>
              <w:rPr>
                <w:lang w:eastAsia="en-AU"/>
              </w:rPr>
            </w:pPr>
            <w:r>
              <w:rPr>
                <w:lang w:eastAsia="en-AU"/>
              </w:rPr>
              <w:t>162.3</w:t>
            </w:r>
          </w:p>
        </w:tc>
        <w:tc>
          <w:tcPr>
            <w:tcW w:w="1666" w:type="dxa"/>
            <w:tcBorders>
              <w:top w:val="single" w:sz="4" w:space="0" w:color="auto"/>
              <w:bottom w:val="nil"/>
              <w:right w:val="single" w:sz="4" w:space="0" w:color="auto"/>
            </w:tcBorders>
          </w:tcPr>
          <w:p w14:paraId="6ACBB65A" w14:textId="77777777" w:rsidR="00CF2D46" w:rsidRDefault="00CF2D46" w:rsidP="00B074D1">
            <w:pPr>
              <w:pStyle w:val="TableText"/>
              <w:tabs>
                <w:tab w:val="decimal" w:pos="884"/>
              </w:tabs>
              <w:rPr>
                <w:lang w:eastAsia="en-AU"/>
              </w:rPr>
            </w:pPr>
            <w:r>
              <w:rPr>
                <w:lang w:eastAsia="en-AU"/>
              </w:rPr>
              <w:t>201.9</w:t>
            </w:r>
          </w:p>
        </w:tc>
        <w:tc>
          <w:tcPr>
            <w:tcW w:w="1665" w:type="dxa"/>
            <w:tcBorders>
              <w:top w:val="single" w:sz="4" w:space="0" w:color="auto"/>
              <w:left w:val="single" w:sz="4" w:space="0" w:color="auto"/>
              <w:bottom w:val="nil"/>
            </w:tcBorders>
          </w:tcPr>
          <w:p w14:paraId="241F88FE" w14:textId="77777777" w:rsidR="00CF2D46" w:rsidRDefault="00CF2D46" w:rsidP="00B074D1">
            <w:pPr>
              <w:pStyle w:val="TableText"/>
              <w:tabs>
                <w:tab w:val="decimal" w:pos="1097"/>
              </w:tabs>
              <w:rPr>
                <w:lang w:eastAsia="en-AU"/>
              </w:rPr>
            </w:pPr>
            <w:r>
              <w:rPr>
                <w:rFonts w:ascii="Calibri" w:hAnsi="Calibri"/>
                <w:color w:val="000000"/>
              </w:rPr>
              <w:t>116,600</w:t>
            </w:r>
          </w:p>
        </w:tc>
        <w:tc>
          <w:tcPr>
            <w:tcW w:w="1666" w:type="dxa"/>
            <w:tcBorders>
              <w:top w:val="single" w:sz="4" w:space="0" w:color="auto"/>
              <w:bottom w:val="nil"/>
            </w:tcBorders>
          </w:tcPr>
          <w:p w14:paraId="68D73A22" w14:textId="77777777" w:rsidR="00CF2D46" w:rsidRDefault="00CF2D46" w:rsidP="00B074D1">
            <w:pPr>
              <w:pStyle w:val="TableText"/>
              <w:tabs>
                <w:tab w:val="decimal" w:pos="884"/>
              </w:tabs>
              <w:rPr>
                <w:lang w:eastAsia="en-AU"/>
              </w:rPr>
            </w:pPr>
            <w:r>
              <w:rPr>
                <w:rFonts w:ascii="Calibri" w:hAnsi="Calibri"/>
                <w:color w:val="000000"/>
              </w:rPr>
              <w:t>8,300</w:t>
            </w:r>
          </w:p>
        </w:tc>
      </w:tr>
      <w:tr w:rsidR="00CF2D46" w14:paraId="45D8B564" w14:textId="77777777" w:rsidTr="00B074D1">
        <w:trPr>
          <w:cantSplit/>
        </w:trPr>
        <w:tc>
          <w:tcPr>
            <w:tcW w:w="2410" w:type="dxa"/>
            <w:tcBorders>
              <w:top w:val="nil"/>
              <w:bottom w:val="nil"/>
              <w:right w:val="single" w:sz="4" w:space="0" w:color="auto"/>
            </w:tcBorders>
          </w:tcPr>
          <w:p w14:paraId="1B2211A2" w14:textId="77777777" w:rsidR="00CF2D46" w:rsidRDefault="00CF2D46" w:rsidP="00B074D1">
            <w:pPr>
              <w:pStyle w:val="TableText"/>
              <w:rPr>
                <w:lang w:eastAsia="en-AU"/>
              </w:rPr>
            </w:pPr>
            <w:r>
              <w:t>Cannabinoids</w:t>
            </w:r>
          </w:p>
        </w:tc>
        <w:tc>
          <w:tcPr>
            <w:tcW w:w="1665" w:type="dxa"/>
            <w:tcBorders>
              <w:top w:val="nil"/>
              <w:left w:val="single" w:sz="4" w:space="0" w:color="auto"/>
              <w:bottom w:val="nil"/>
            </w:tcBorders>
          </w:tcPr>
          <w:p w14:paraId="050B3D49" w14:textId="77777777" w:rsidR="00CF2D46" w:rsidRDefault="00CF2D46" w:rsidP="00B074D1">
            <w:pPr>
              <w:pStyle w:val="TableText"/>
              <w:tabs>
                <w:tab w:val="decimal" w:pos="884"/>
              </w:tabs>
              <w:rPr>
                <w:lang w:eastAsia="en-AU"/>
              </w:rPr>
            </w:pPr>
            <w:r>
              <w:rPr>
                <w:lang w:eastAsia="en-AU"/>
              </w:rPr>
              <w:t>756.5</w:t>
            </w:r>
          </w:p>
        </w:tc>
        <w:tc>
          <w:tcPr>
            <w:tcW w:w="1666" w:type="dxa"/>
            <w:tcBorders>
              <w:top w:val="nil"/>
              <w:bottom w:val="nil"/>
              <w:right w:val="single" w:sz="4" w:space="0" w:color="auto"/>
            </w:tcBorders>
          </w:tcPr>
          <w:p w14:paraId="1B3ACD4C" w14:textId="77777777" w:rsidR="00CF2D46" w:rsidRDefault="00CF2D46" w:rsidP="00B074D1">
            <w:pPr>
              <w:pStyle w:val="TableText"/>
              <w:tabs>
                <w:tab w:val="decimal" w:pos="884"/>
              </w:tabs>
              <w:rPr>
                <w:lang w:eastAsia="en-AU"/>
              </w:rPr>
            </w:pPr>
            <w:r>
              <w:rPr>
                <w:lang w:eastAsia="en-AU"/>
              </w:rPr>
              <w:t>526.1</w:t>
            </w:r>
          </w:p>
        </w:tc>
        <w:tc>
          <w:tcPr>
            <w:tcW w:w="1665" w:type="dxa"/>
            <w:tcBorders>
              <w:top w:val="nil"/>
              <w:left w:val="single" w:sz="4" w:space="0" w:color="auto"/>
              <w:bottom w:val="nil"/>
            </w:tcBorders>
          </w:tcPr>
          <w:p w14:paraId="39E2A3CB" w14:textId="77777777" w:rsidR="00CF2D46" w:rsidRDefault="00CF2D46" w:rsidP="00B074D1">
            <w:pPr>
              <w:pStyle w:val="TableText"/>
              <w:tabs>
                <w:tab w:val="decimal" w:pos="1097"/>
              </w:tabs>
              <w:rPr>
                <w:lang w:eastAsia="en-AU"/>
              </w:rPr>
            </w:pPr>
            <w:r>
              <w:rPr>
                <w:rFonts w:ascii="Calibri" w:hAnsi="Calibri"/>
                <w:color w:val="000000"/>
              </w:rPr>
              <w:t>29,100</w:t>
            </w:r>
          </w:p>
        </w:tc>
        <w:tc>
          <w:tcPr>
            <w:tcW w:w="1666" w:type="dxa"/>
            <w:tcBorders>
              <w:top w:val="nil"/>
              <w:bottom w:val="nil"/>
            </w:tcBorders>
          </w:tcPr>
          <w:p w14:paraId="46B26BA7" w14:textId="77777777" w:rsidR="00CF2D46" w:rsidRDefault="00CF2D46" w:rsidP="00B074D1">
            <w:pPr>
              <w:pStyle w:val="TableText"/>
              <w:tabs>
                <w:tab w:val="decimal" w:pos="884"/>
              </w:tabs>
              <w:rPr>
                <w:lang w:eastAsia="en-AU"/>
              </w:rPr>
            </w:pPr>
            <w:r>
              <w:rPr>
                <w:rFonts w:ascii="Calibri" w:hAnsi="Calibri"/>
                <w:color w:val="000000"/>
              </w:rPr>
              <w:t>2,100</w:t>
            </w:r>
          </w:p>
        </w:tc>
      </w:tr>
      <w:tr w:rsidR="00CF2D46" w14:paraId="367670FB" w14:textId="77777777" w:rsidTr="00B074D1">
        <w:trPr>
          <w:cantSplit/>
        </w:trPr>
        <w:tc>
          <w:tcPr>
            <w:tcW w:w="2410" w:type="dxa"/>
            <w:tcBorders>
              <w:top w:val="nil"/>
              <w:bottom w:val="nil"/>
              <w:right w:val="single" w:sz="4" w:space="0" w:color="auto"/>
            </w:tcBorders>
          </w:tcPr>
          <w:p w14:paraId="25B3A15C" w14:textId="62734C7B" w:rsidR="00CF2D46" w:rsidRDefault="00CF2D46">
            <w:pPr>
              <w:pStyle w:val="TableText"/>
              <w:rPr>
                <w:lang w:eastAsia="en-AU"/>
              </w:rPr>
            </w:pPr>
            <w:r>
              <w:t xml:space="preserve">Hallucinogenic </w:t>
            </w:r>
            <w:r w:rsidR="00B074D1">
              <w:t>and</w:t>
            </w:r>
            <w:r>
              <w:t xml:space="preserve"> psychedelic drugs</w:t>
            </w:r>
          </w:p>
        </w:tc>
        <w:tc>
          <w:tcPr>
            <w:tcW w:w="1665" w:type="dxa"/>
            <w:tcBorders>
              <w:top w:val="nil"/>
              <w:left w:val="single" w:sz="4" w:space="0" w:color="auto"/>
              <w:bottom w:val="nil"/>
            </w:tcBorders>
          </w:tcPr>
          <w:p w14:paraId="77420CB4" w14:textId="77777777" w:rsidR="00CF2D46" w:rsidRDefault="00CF2D46" w:rsidP="00B074D1">
            <w:pPr>
              <w:pStyle w:val="TableText"/>
              <w:tabs>
                <w:tab w:val="decimal" w:pos="884"/>
              </w:tabs>
              <w:rPr>
                <w:lang w:eastAsia="en-AU"/>
              </w:rPr>
            </w:pPr>
            <w:r>
              <w:rPr>
                <w:lang w:eastAsia="en-AU"/>
              </w:rPr>
              <w:t>2.8</w:t>
            </w:r>
          </w:p>
        </w:tc>
        <w:tc>
          <w:tcPr>
            <w:tcW w:w="1666" w:type="dxa"/>
            <w:tcBorders>
              <w:top w:val="nil"/>
              <w:bottom w:val="nil"/>
              <w:right w:val="single" w:sz="4" w:space="0" w:color="auto"/>
            </w:tcBorders>
          </w:tcPr>
          <w:p w14:paraId="3BEE3DC4" w14:textId="77777777" w:rsidR="00CF2D46" w:rsidRDefault="00CF2D46" w:rsidP="00B074D1">
            <w:pPr>
              <w:pStyle w:val="TableText"/>
              <w:tabs>
                <w:tab w:val="decimal" w:pos="884"/>
              </w:tabs>
              <w:rPr>
                <w:lang w:eastAsia="en-AU"/>
              </w:rPr>
            </w:pPr>
            <w:r>
              <w:rPr>
                <w:lang w:eastAsia="en-AU"/>
              </w:rPr>
              <w:t>19.5</w:t>
            </w:r>
          </w:p>
        </w:tc>
        <w:tc>
          <w:tcPr>
            <w:tcW w:w="1665" w:type="dxa"/>
            <w:tcBorders>
              <w:top w:val="nil"/>
              <w:left w:val="single" w:sz="4" w:space="0" w:color="auto"/>
              <w:bottom w:val="nil"/>
            </w:tcBorders>
          </w:tcPr>
          <w:p w14:paraId="3DC46317" w14:textId="77777777" w:rsidR="00CF2D46" w:rsidRDefault="00CF2D46" w:rsidP="00B074D1">
            <w:pPr>
              <w:pStyle w:val="TableText"/>
              <w:tabs>
                <w:tab w:val="decimal" w:pos="1097"/>
              </w:tabs>
              <w:rPr>
                <w:lang w:eastAsia="en-AU"/>
              </w:rPr>
            </w:pPr>
            <w:r>
              <w:rPr>
                <w:rFonts w:ascii="Calibri" w:hAnsi="Calibri"/>
                <w:color w:val="000000"/>
              </w:rPr>
              <w:t>6,200</w:t>
            </w:r>
          </w:p>
        </w:tc>
        <w:tc>
          <w:tcPr>
            <w:tcW w:w="1666" w:type="dxa"/>
            <w:tcBorders>
              <w:top w:val="nil"/>
              <w:bottom w:val="nil"/>
            </w:tcBorders>
          </w:tcPr>
          <w:p w14:paraId="321A4FDC" w14:textId="77777777" w:rsidR="00CF2D46" w:rsidRDefault="00CF2D46" w:rsidP="00B074D1">
            <w:pPr>
              <w:pStyle w:val="TableText"/>
              <w:tabs>
                <w:tab w:val="decimal" w:pos="884"/>
              </w:tabs>
              <w:rPr>
                <w:lang w:eastAsia="en-AU"/>
              </w:rPr>
            </w:pPr>
            <w:r>
              <w:rPr>
                <w:rFonts w:ascii="Calibri" w:hAnsi="Calibri"/>
                <w:color w:val="000000"/>
              </w:rPr>
              <w:t>400</w:t>
            </w:r>
          </w:p>
        </w:tc>
      </w:tr>
      <w:tr w:rsidR="00CF2D46" w14:paraId="3C7996B7" w14:textId="77777777" w:rsidTr="00B074D1">
        <w:trPr>
          <w:cantSplit/>
        </w:trPr>
        <w:tc>
          <w:tcPr>
            <w:tcW w:w="2410" w:type="dxa"/>
            <w:tcBorders>
              <w:top w:val="nil"/>
              <w:bottom w:val="single" w:sz="4" w:space="0" w:color="auto"/>
              <w:right w:val="single" w:sz="4" w:space="0" w:color="auto"/>
            </w:tcBorders>
          </w:tcPr>
          <w:p w14:paraId="78D920A7" w14:textId="7C49E964" w:rsidR="00CF2D46" w:rsidRDefault="00CF2D46">
            <w:pPr>
              <w:pStyle w:val="TableText"/>
              <w:rPr>
                <w:lang w:eastAsia="en-AU"/>
              </w:rPr>
            </w:pPr>
            <w:r>
              <w:t xml:space="preserve">Opioid </w:t>
            </w:r>
            <w:r w:rsidR="00B074D1">
              <w:t>and</w:t>
            </w:r>
            <w:r>
              <w:t xml:space="preserve"> sedative drugs</w:t>
            </w:r>
          </w:p>
        </w:tc>
        <w:tc>
          <w:tcPr>
            <w:tcW w:w="1665" w:type="dxa"/>
            <w:tcBorders>
              <w:top w:val="nil"/>
              <w:left w:val="single" w:sz="4" w:space="0" w:color="auto"/>
              <w:bottom w:val="single" w:sz="4" w:space="0" w:color="auto"/>
            </w:tcBorders>
          </w:tcPr>
          <w:p w14:paraId="3CC68DD8" w14:textId="77777777" w:rsidR="00CF2D46" w:rsidRDefault="00CF2D46" w:rsidP="00B074D1">
            <w:pPr>
              <w:pStyle w:val="TableText"/>
              <w:tabs>
                <w:tab w:val="decimal" w:pos="884"/>
              </w:tabs>
              <w:rPr>
                <w:lang w:eastAsia="en-AU"/>
              </w:rPr>
            </w:pPr>
            <w:r>
              <w:rPr>
                <w:lang w:eastAsia="en-AU"/>
              </w:rPr>
              <w:t>89.7</w:t>
            </w:r>
          </w:p>
        </w:tc>
        <w:tc>
          <w:tcPr>
            <w:tcW w:w="1666" w:type="dxa"/>
            <w:tcBorders>
              <w:top w:val="nil"/>
              <w:bottom w:val="single" w:sz="4" w:space="0" w:color="auto"/>
              <w:right w:val="single" w:sz="4" w:space="0" w:color="auto"/>
            </w:tcBorders>
          </w:tcPr>
          <w:p w14:paraId="283C75F5" w14:textId="77777777" w:rsidR="00CF2D46" w:rsidRDefault="00CF2D46" w:rsidP="00B074D1">
            <w:pPr>
              <w:pStyle w:val="TableText"/>
              <w:tabs>
                <w:tab w:val="decimal" w:pos="884"/>
              </w:tabs>
              <w:rPr>
                <w:lang w:eastAsia="en-AU"/>
              </w:rPr>
            </w:pPr>
            <w:r>
              <w:rPr>
                <w:lang w:eastAsia="en-AU"/>
              </w:rPr>
              <w:t>86.2</w:t>
            </w:r>
          </w:p>
        </w:tc>
        <w:tc>
          <w:tcPr>
            <w:tcW w:w="1665" w:type="dxa"/>
            <w:tcBorders>
              <w:top w:val="nil"/>
              <w:left w:val="single" w:sz="4" w:space="0" w:color="auto"/>
              <w:bottom w:val="single" w:sz="4" w:space="0" w:color="auto"/>
            </w:tcBorders>
          </w:tcPr>
          <w:p w14:paraId="3285ED5B" w14:textId="77777777" w:rsidR="00CF2D46" w:rsidRDefault="00CF2D46" w:rsidP="00B074D1">
            <w:pPr>
              <w:pStyle w:val="TableText"/>
              <w:tabs>
                <w:tab w:val="decimal" w:pos="1097"/>
              </w:tabs>
              <w:rPr>
                <w:lang w:eastAsia="en-AU"/>
              </w:rPr>
            </w:pPr>
            <w:r>
              <w:rPr>
                <w:rFonts w:ascii="Calibri" w:hAnsi="Calibri"/>
                <w:color w:val="000000"/>
              </w:rPr>
              <w:t>44,300</w:t>
            </w:r>
          </w:p>
        </w:tc>
        <w:tc>
          <w:tcPr>
            <w:tcW w:w="1666" w:type="dxa"/>
            <w:tcBorders>
              <w:top w:val="nil"/>
              <w:bottom w:val="single" w:sz="4" w:space="0" w:color="auto"/>
            </w:tcBorders>
          </w:tcPr>
          <w:p w14:paraId="56EF7C1F" w14:textId="77777777" w:rsidR="00CF2D46" w:rsidRDefault="00CF2D46" w:rsidP="00B074D1">
            <w:pPr>
              <w:pStyle w:val="TableText"/>
              <w:tabs>
                <w:tab w:val="decimal" w:pos="884"/>
              </w:tabs>
              <w:rPr>
                <w:lang w:eastAsia="en-AU"/>
              </w:rPr>
            </w:pPr>
            <w:r>
              <w:rPr>
                <w:rFonts w:ascii="Calibri" w:hAnsi="Calibri"/>
                <w:color w:val="000000"/>
              </w:rPr>
              <w:t>3,200</w:t>
            </w:r>
          </w:p>
        </w:tc>
      </w:tr>
      <w:tr w:rsidR="00CF2D46" w:rsidRPr="00B074D1" w14:paraId="56C915B9" w14:textId="77777777" w:rsidTr="00B074D1">
        <w:trPr>
          <w:cantSplit/>
        </w:trPr>
        <w:tc>
          <w:tcPr>
            <w:tcW w:w="2410" w:type="dxa"/>
            <w:tcBorders>
              <w:top w:val="single" w:sz="4" w:space="0" w:color="auto"/>
              <w:bottom w:val="single" w:sz="4" w:space="0" w:color="auto"/>
              <w:right w:val="single" w:sz="4" w:space="0" w:color="auto"/>
            </w:tcBorders>
          </w:tcPr>
          <w:p w14:paraId="1F97C213" w14:textId="77777777" w:rsidR="00CF2D46" w:rsidRPr="00B074D1" w:rsidRDefault="00CF2D46" w:rsidP="00B074D1">
            <w:pPr>
              <w:pStyle w:val="TableText"/>
              <w:ind w:right="142"/>
              <w:jc w:val="right"/>
              <w:rPr>
                <w:b/>
              </w:rPr>
            </w:pPr>
            <w:r w:rsidRPr="00B074D1">
              <w:rPr>
                <w:b/>
              </w:rPr>
              <w:t>Total</w:t>
            </w:r>
          </w:p>
        </w:tc>
        <w:tc>
          <w:tcPr>
            <w:tcW w:w="1665" w:type="dxa"/>
            <w:tcBorders>
              <w:top w:val="single" w:sz="4" w:space="0" w:color="auto"/>
              <w:left w:val="single" w:sz="4" w:space="0" w:color="auto"/>
              <w:bottom w:val="single" w:sz="4" w:space="0" w:color="auto"/>
            </w:tcBorders>
          </w:tcPr>
          <w:p w14:paraId="1BFD1358" w14:textId="77777777" w:rsidR="00CF2D46" w:rsidRPr="00B074D1" w:rsidRDefault="00CF2D46" w:rsidP="00B074D1">
            <w:pPr>
              <w:pStyle w:val="TableText"/>
              <w:tabs>
                <w:tab w:val="decimal" w:pos="884"/>
              </w:tabs>
              <w:rPr>
                <w:b/>
                <w:lang w:eastAsia="en-AU"/>
              </w:rPr>
            </w:pPr>
            <w:r w:rsidRPr="00B074D1">
              <w:rPr>
                <w:b/>
                <w:lang w:eastAsia="en-AU"/>
              </w:rPr>
              <w:t>1,011.3</w:t>
            </w:r>
          </w:p>
        </w:tc>
        <w:tc>
          <w:tcPr>
            <w:tcW w:w="1666" w:type="dxa"/>
            <w:tcBorders>
              <w:top w:val="single" w:sz="4" w:space="0" w:color="auto"/>
              <w:bottom w:val="single" w:sz="4" w:space="0" w:color="auto"/>
              <w:right w:val="single" w:sz="4" w:space="0" w:color="auto"/>
            </w:tcBorders>
          </w:tcPr>
          <w:p w14:paraId="56DBD289" w14:textId="77777777" w:rsidR="00CF2D46" w:rsidRPr="00B074D1" w:rsidRDefault="00CF2D46" w:rsidP="00B074D1">
            <w:pPr>
              <w:pStyle w:val="TableText"/>
              <w:tabs>
                <w:tab w:val="decimal" w:pos="884"/>
              </w:tabs>
              <w:rPr>
                <w:b/>
                <w:lang w:eastAsia="en-AU"/>
              </w:rPr>
            </w:pPr>
            <w:r w:rsidRPr="00B074D1">
              <w:rPr>
                <w:b/>
                <w:lang w:eastAsia="en-AU"/>
              </w:rPr>
              <w:t>833.7</w:t>
            </w:r>
          </w:p>
        </w:tc>
        <w:tc>
          <w:tcPr>
            <w:tcW w:w="1665" w:type="dxa"/>
            <w:tcBorders>
              <w:top w:val="single" w:sz="4" w:space="0" w:color="auto"/>
              <w:left w:val="single" w:sz="4" w:space="0" w:color="auto"/>
              <w:bottom w:val="single" w:sz="4" w:space="0" w:color="auto"/>
            </w:tcBorders>
          </w:tcPr>
          <w:p w14:paraId="4A28BB1E" w14:textId="77777777" w:rsidR="00CF2D46" w:rsidRPr="00B074D1" w:rsidRDefault="00CF2D46" w:rsidP="00B074D1">
            <w:pPr>
              <w:pStyle w:val="TableText"/>
              <w:tabs>
                <w:tab w:val="decimal" w:pos="1097"/>
              </w:tabs>
              <w:rPr>
                <w:b/>
                <w:lang w:eastAsia="en-AU"/>
              </w:rPr>
            </w:pPr>
            <w:r w:rsidRPr="00B074D1">
              <w:rPr>
                <w:rFonts w:ascii="Calibri" w:hAnsi="Calibri"/>
                <w:b/>
                <w:color w:val="000000"/>
              </w:rPr>
              <w:t>33,800</w:t>
            </w:r>
          </w:p>
        </w:tc>
        <w:tc>
          <w:tcPr>
            <w:tcW w:w="1666" w:type="dxa"/>
            <w:tcBorders>
              <w:top w:val="single" w:sz="4" w:space="0" w:color="auto"/>
              <w:bottom w:val="single" w:sz="4" w:space="0" w:color="auto"/>
            </w:tcBorders>
          </w:tcPr>
          <w:p w14:paraId="179F5693" w14:textId="77777777" w:rsidR="00CF2D46" w:rsidRPr="00B074D1" w:rsidRDefault="00CF2D46" w:rsidP="00B074D1">
            <w:pPr>
              <w:pStyle w:val="TableText"/>
              <w:tabs>
                <w:tab w:val="decimal" w:pos="884"/>
              </w:tabs>
              <w:rPr>
                <w:b/>
                <w:lang w:eastAsia="en-AU"/>
              </w:rPr>
            </w:pPr>
            <w:r w:rsidRPr="00B074D1">
              <w:rPr>
                <w:rFonts w:ascii="Calibri" w:hAnsi="Calibri"/>
                <w:b/>
                <w:color w:val="000000"/>
              </w:rPr>
              <w:t>2,300</w:t>
            </w:r>
          </w:p>
        </w:tc>
      </w:tr>
    </w:tbl>
    <w:p w14:paraId="7B534F9E" w14:textId="77777777" w:rsidR="00B074D1" w:rsidRDefault="00B074D1" w:rsidP="00B074D1">
      <w:r>
        <w:br w:type="page"/>
      </w:r>
    </w:p>
    <w:p w14:paraId="46225270" w14:textId="77777777" w:rsidR="00CF2D46" w:rsidRPr="00BE27B0" w:rsidRDefault="00CF2D46" w:rsidP="00B074D1">
      <w:pPr>
        <w:pStyle w:val="Heading1"/>
      </w:pPr>
      <w:bookmarkStart w:id="46" w:name="_Toc444941799"/>
      <w:r w:rsidRPr="00BE27B0">
        <w:t>F</w:t>
      </w:r>
      <w:r w:rsidR="00B074D1">
        <w:t>uture directions</w:t>
      </w:r>
      <w:bookmarkEnd w:id="46"/>
    </w:p>
    <w:p w14:paraId="2DC17E36" w14:textId="77777777" w:rsidR="00CF2D46" w:rsidRDefault="00CF2D46" w:rsidP="00B074D1">
      <w:r>
        <w:t>The information relating to the type and extent of drug use and its subsequent harms is complex and subject to change. The main obstacle, both in New Zealand and globally, to the development of best practice interventions and evidence-based policy is the lack of available and valid data sets. This contrasts with the situation in road safety, for example, where the dimensions of the problem can be framed and the effect of interventions tested. It is suggested that this difference is influenced by two principal factors.</w:t>
      </w:r>
    </w:p>
    <w:p w14:paraId="7313AA31" w14:textId="77777777" w:rsidR="00CF2D46" w:rsidRDefault="00773D90" w:rsidP="00773D90">
      <w:pPr>
        <w:spacing w:before="120"/>
        <w:ind w:left="850" w:hanging="425"/>
      </w:pPr>
      <w:r>
        <w:t>1.</w:t>
      </w:r>
      <w:r>
        <w:tab/>
      </w:r>
      <w:r w:rsidR="00CF2D46">
        <w:t>Drug trafficking is illegal. Collecting information on drug prevalence is an attempt to gauge an illegal activity and, as with all illegal activities, there are obvious barriers to this collection.</w:t>
      </w:r>
    </w:p>
    <w:p w14:paraId="54750C11" w14:textId="77777777" w:rsidR="00CF2D46" w:rsidRDefault="00773D90" w:rsidP="00773D90">
      <w:pPr>
        <w:spacing w:before="120"/>
        <w:ind w:left="850" w:hanging="425"/>
      </w:pPr>
      <w:r>
        <w:t>2.</w:t>
      </w:r>
      <w:r>
        <w:tab/>
      </w:r>
      <w:r w:rsidR="00CF2D46">
        <w:t>Transport and road safety is a reasonably homogeneous activity. Responsibility for drug practice and policy is spread over a number of agencies.</w:t>
      </w:r>
    </w:p>
    <w:p w14:paraId="295CC22B" w14:textId="77777777" w:rsidR="00CF2D46" w:rsidRDefault="00CF2D46" w:rsidP="00773D90">
      <w:r>
        <w:t>It should be emphasised that much has been achieved. The establishment of the National Drug Intelligence Bureau ensures that information collection and sharing is coordinated across agencies. There are well-established surveys, and there are relevant data sets held by the Ministry of Health and others. Appropriate coordinating committees are in place and meet regularly. It should also be noted that the New Zealand data collections are excellent by world standards.</w:t>
      </w:r>
    </w:p>
    <w:p w14:paraId="6691A4DD" w14:textId="77777777" w:rsidR="00CF2D46" w:rsidRDefault="00CF2D46" w:rsidP="00773D90">
      <w:r>
        <w:t>A number of specific recommendations follow. (It is recognised that competing priorities may claim precedence over the following.)</w:t>
      </w:r>
    </w:p>
    <w:p w14:paraId="7C6EA9CB" w14:textId="77777777" w:rsidR="00CF2D46" w:rsidRDefault="00CF2D46" w:rsidP="00773D90">
      <w:pPr>
        <w:pStyle w:val="Bullet"/>
      </w:pPr>
      <w:r>
        <w:t>The survey of illicit drug use conducted by the Ministry of Health is a key source of information. The period between surveys is currently five years. The cost of the survey is doubtless a consideration. It would be useful to have a restricted set of data collected in between full surveys. This interim survey could focus solely on drugs in use and frequency of use and be part of a wider survey to contain costs. Questions dealing with new and emerging drugs should be included. Consideration could also be given to allocating additional sources to allow the dissemination of findings at an earlier date than is the current practice. If adopted, this proposal would ensure the timely and regular reporting of information crucial to policy development and evaluation.</w:t>
      </w:r>
    </w:p>
    <w:p w14:paraId="3C74C616" w14:textId="77777777" w:rsidR="00CF2D46" w:rsidRDefault="00CF2D46" w:rsidP="00773D90">
      <w:pPr>
        <w:pStyle w:val="Bullet"/>
      </w:pPr>
      <w:r>
        <w:t>The use of the DHI as an indicator of the benefits of a programme should be made best practice, or even mandatory, for government-funded research and evaluation. Evaluations of current or proposed interventions typically involve an estimate of both the costs and benefits involved. The use of the DHI to measure benefits will assist in improving the comparison between various options by providing a common measure. It is not intended to restrict evaluation to the DHI alone. The DHI cannot encompass all possible benefits, and other measures of success are not only advisable but necessary.</w:t>
      </w:r>
    </w:p>
    <w:p w14:paraId="66DFFED9" w14:textId="77777777" w:rsidR="00990768" w:rsidRDefault="00CF2D46" w:rsidP="00773D90">
      <w:pPr>
        <w:pStyle w:val="Bullet"/>
      </w:pPr>
      <w:r>
        <w:t>For some agencies, the estimation of drug-related costs was difficult. Part of the problem is that agency costs in relation to illicit drugs are included with other harmful (yet legal) drugs such as tobacco and alcohol. Although recognising the cost involved in altering systems, it would be advantageous, at least at the agency budget level, to have funding related to illicit drug programmes and activities separately identified.</w:t>
      </w:r>
    </w:p>
    <w:p w14:paraId="3A40C843" w14:textId="77777777" w:rsidR="00CF2D46" w:rsidRDefault="00CF2D46" w:rsidP="00773D90">
      <w:pPr>
        <w:pStyle w:val="Bullet"/>
        <w:keepLines/>
      </w:pPr>
      <w:r>
        <w:t>The expert panel has the potential to be used for purposes beyond those required for the DHI. It could be a useful tool in any early warning system for new and emerging drugs, especially for estimating the potential size of the problem should a new drug gain wider acceptance. Responsibility for the ongoing support of the survey should be firmly established in an existing agency unit.</w:t>
      </w:r>
    </w:p>
    <w:p w14:paraId="624F8EBA" w14:textId="77777777" w:rsidR="00CF2D46" w:rsidRDefault="00CF2D46" w:rsidP="00773D90">
      <w:pPr>
        <w:pStyle w:val="Bullet"/>
      </w:pPr>
      <w:r>
        <w:t xml:space="preserve">The identification of the harm caused to the family and friends of drug users is an important development. The figure is conservative so the actual harm could be much higher. It is also heavily dependent on a Scandinavian estimate. A partial replication of the </w:t>
      </w:r>
      <w:proofErr w:type="spellStart"/>
      <w:r>
        <w:t>Melberg</w:t>
      </w:r>
      <w:proofErr w:type="spellEnd"/>
      <w:r>
        <w:t xml:space="preserve"> et al (2011) study would confirm the actual extent of harm to family and friends in New Zealand. Suitable questions could form part of the next Health Survey.</w:t>
      </w:r>
    </w:p>
    <w:p w14:paraId="21234DFD" w14:textId="77777777" w:rsidR="00CF2D46" w:rsidRDefault="00CF2D46" w:rsidP="00773D90">
      <w:pPr>
        <w:pStyle w:val="Bullet"/>
      </w:pPr>
      <w:r>
        <w:t>There are some concerns over the expansion of organised crime into a variety of activities. It would be advantageous to develop a more accurate estimate of the amount of drug-related revenue organised crime invests in other crime types and in legal enterprises as part of its diversification strategy.</w:t>
      </w:r>
    </w:p>
    <w:p w14:paraId="6273A346" w14:textId="77777777" w:rsidR="00773D90" w:rsidRDefault="00773D90" w:rsidP="00773D90">
      <w:r>
        <w:br w:type="page"/>
      </w:r>
    </w:p>
    <w:p w14:paraId="094B8F65" w14:textId="77777777" w:rsidR="00CF2D46" w:rsidRPr="00BE27B0" w:rsidRDefault="00CF2D46" w:rsidP="00773D90">
      <w:pPr>
        <w:pStyle w:val="Heading1"/>
      </w:pPr>
      <w:bookmarkStart w:id="47" w:name="_Toc444941800"/>
      <w:r w:rsidRPr="00BE27B0">
        <w:t>P</w:t>
      </w:r>
      <w:r w:rsidR="00773D90">
        <w:t>ractical applications</w:t>
      </w:r>
      <w:bookmarkEnd w:id="47"/>
    </w:p>
    <w:p w14:paraId="32C8DCCD" w14:textId="77777777" w:rsidR="00CF2D46" w:rsidRDefault="00CF2D46" w:rsidP="00773D90">
      <w:r>
        <w:t>This section provides a commentary on</w:t>
      </w:r>
      <w:r w:rsidRPr="004E477E">
        <w:t xml:space="preserve"> practical applications </w:t>
      </w:r>
      <w:r>
        <w:t>of the DHI.</w:t>
      </w:r>
    </w:p>
    <w:p w14:paraId="5ECB6668" w14:textId="77777777" w:rsidR="00CF2D46" w:rsidRDefault="00CF2D46" w:rsidP="00977942">
      <w:r>
        <w:t>It should be remembered that on page 2 of this report the following prescription for the revised DHI was given (it is repeated here for ease of reference).</w:t>
      </w:r>
    </w:p>
    <w:p w14:paraId="3C249DFD" w14:textId="77777777" w:rsidR="00CF2D46" w:rsidRPr="00930A88" w:rsidRDefault="00CF2D46" w:rsidP="00977942">
      <w:pPr>
        <w:pStyle w:val="Quote"/>
      </w:pPr>
      <w:r w:rsidRPr="00930A88">
        <w:t>Development of a new Drug Harm Index and the associated report should assist agencies assess the costs and benefits of their current interventions; assist agencies evaluate how effective they have been in achieving the aims of the National Alcohol and Other Drug Policy; alert policy makers to the cost of harms associated with new drugs that have been introduced or are becoming more prevalent; help guide future enforcement activities and harm reduction strategies; and to inform future advice about how best to manage a reduction in harm caused by illicit drugs.</w:t>
      </w:r>
    </w:p>
    <w:p w14:paraId="63CDD690" w14:textId="77777777" w:rsidR="00990768" w:rsidRDefault="00CF2D46" w:rsidP="00977942">
      <w:r>
        <w:t xml:space="preserve">The primary purpose of the revised DHI is to provide an evaluation tool for agencies. The DHI is only part of the evaluation equation. To estimate the benefits in dollar terms of an intervention, the reduction in </w:t>
      </w:r>
      <w:r w:rsidRPr="006D51E4">
        <w:t>consumption of illicit drugs</w:t>
      </w:r>
      <w:r>
        <w:t xml:space="preserve"> that follow the intervention is also required.</w:t>
      </w:r>
      <w:r w:rsidRPr="006D51E4">
        <w:t xml:space="preserve"> The two steps have tended to be conflated in previous research. Any practical application of the DHI requires an equally rigorous method for determining the resulting reduction in consumption.</w:t>
      </w:r>
    </w:p>
    <w:p w14:paraId="6AAD427A" w14:textId="77777777" w:rsidR="00CF2D46" w:rsidRPr="006D51E4" w:rsidRDefault="00CF2D46" w:rsidP="00977942">
      <w:r>
        <w:t>It should also be noted that any evaluation is strengthened by the use of multiple measures. The DHI provides a good basis for comparing the value of different interventions, while evaluations specific to the intervention under study provide deeper insights into how and why a particular intervention works. It is recommended that in estimating the benefits of an evaluation, the benefits should be restricted in most cases to personal and community harms. Intervention costs are of interest if the purpose of the study is to identify the total cost to the community or where there are reasons to believe the proposed intervention will eliminate the need for one or more existing interventions.</w:t>
      </w:r>
    </w:p>
    <w:p w14:paraId="13DC3F4E" w14:textId="77777777" w:rsidR="00990768" w:rsidRDefault="00CF2D46" w:rsidP="00977942">
      <w:r>
        <w:t>The next purpose is to alert policy makers to the potential harms of new drugs. The revised DHI again provides a level playing field and the expert panel survey an innovative method for achieving this end. The DHI provides a formal process for evaluating the harm of new drugs, and it is highly relevant to the success of this method that appropriate administrative support for this process is in place.</w:t>
      </w:r>
    </w:p>
    <w:p w14:paraId="037545EB" w14:textId="77777777" w:rsidR="00CF2D46" w:rsidRDefault="00CF2D46" w:rsidP="00977942">
      <w:r>
        <w:t xml:space="preserve">Also relevant to this purpose is the transparent and modular design of the revised DHI. The model for producing DHI estimates by drug type, drug group, </w:t>
      </w:r>
      <w:proofErr w:type="gramStart"/>
      <w:r>
        <w:t>type</w:t>
      </w:r>
      <w:proofErr w:type="gramEnd"/>
      <w:r>
        <w:t xml:space="preserve"> of harm and user group is transparent. This structure will allow the addition of new drugs and the revision of data relating to existing drugs on an ongoing basis. The revised DHI should therefore retain its currency over time. Again, the provision of adequate administrative support is required.</w:t>
      </w:r>
    </w:p>
    <w:p w14:paraId="4507ECC9" w14:textId="77777777" w:rsidR="00CF2D46" w:rsidRPr="006D51E4" w:rsidRDefault="00CF2D46" w:rsidP="00977942">
      <w:r>
        <w:t>The currency of the DHI is also relevant to the final objective, the guidance of future policy and practice. The DHI should assist on a number of fronts. First, it should assist in identifying what has worked and what has not. Second, it should identify trends in overall harm, whether the problem is increasing, decreasing or static. Third, it should show the trend in specific harms; for example, whether the personal harms associated with drug use are falling while the harms associated with the involvement of organised crime in drug trafficking are increasing. Finally, it should provide greater insight into the complex and rapidly evolving world of illicit drug use.</w:t>
      </w:r>
    </w:p>
    <w:p w14:paraId="5C13BF7F" w14:textId="77777777" w:rsidR="00977942" w:rsidRDefault="00977942" w:rsidP="00977942">
      <w:pPr>
        <w:rPr>
          <w:lang w:eastAsia="en-AU"/>
        </w:rPr>
      </w:pPr>
      <w:r>
        <w:rPr>
          <w:lang w:eastAsia="en-AU"/>
        </w:rPr>
        <w:br w:type="page"/>
      </w:r>
    </w:p>
    <w:p w14:paraId="7CA65B3A" w14:textId="77777777" w:rsidR="00CF2D46" w:rsidRPr="00BE27B0" w:rsidRDefault="00CF2D46" w:rsidP="00977942">
      <w:pPr>
        <w:pStyle w:val="Heading1"/>
      </w:pPr>
      <w:bookmarkStart w:id="48" w:name="_Toc444941801"/>
      <w:r w:rsidRPr="00930A88">
        <w:rPr>
          <w:lang w:eastAsia="en-AU"/>
        </w:rPr>
        <w:t>R</w:t>
      </w:r>
      <w:r w:rsidR="00977942">
        <w:rPr>
          <w:lang w:eastAsia="en-AU"/>
        </w:rPr>
        <w:t>ecommendations</w:t>
      </w:r>
      <w:bookmarkEnd w:id="48"/>
    </w:p>
    <w:p w14:paraId="1506B616" w14:textId="77777777" w:rsidR="00CF2D46" w:rsidRDefault="00CF2D46" w:rsidP="00977942">
      <w:r>
        <w:t>The following recommendations are made:</w:t>
      </w:r>
    </w:p>
    <w:p w14:paraId="3D8420C4" w14:textId="77777777" w:rsidR="00CF2D46" w:rsidRDefault="00CF2D46" w:rsidP="00977942">
      <w:pPr>
        <w:pStyle w:val="Bullet"/>
      </w:pPr>
      <w:r>
        <w:t>The economic estimates of harm related to drug use be adopted as the basis for a revised DHI.</w:t>
      </w:r>
    </w:p>
    <w:p w14:paraId="10E9D094" w14:textId="77777777" w:rsidR="00CF2D46" w:rsidRDefault="00CF2D46" w:rsidP="00977942">
      <w:pPr>
        <w:pStyle w:val="Bullet"/>
      </w:pPr>
      <w:r>
        <w:t>The new classification system of personal harms, community harms and intervention costs be adopted for the reporting of results.</w:t>
      </w:r>
    </w:p>
    <w:p w14:paraId="74F37B47" w14:textId="77777777" w:rsidR="00CF2D46" w:rsidRDefault="00CF2D46" w:rsidP="00977942">
      <w:pPr>
        <w:pStyle w:val="Bullet"/>
      </w:pPr>
      <w:r>
        <w:t>An ongoing and appropriately supported expert panel on drug harm be established to provide feedback through a regular survey of drug harms.</w:t>
      </w:r>
    </w:p>
    <w:p w14:paraId="3BCD57DE" w14:textId="77777777" w:rsidR="00CF2D46" w:rsidRDefault="00CF2D46" w:rsidP="00977942">
      <w:pPr>
        <w:pStyle w:val="Bullet"/>
      </w:pPr>
      <w:r>
        <w:t>Consideration should be given to the matters raised in the Future Directions and Practical Applications sections of the report.</w:t>
      </w:r>
    </w:p>
    <w:p w14:paraId="4FB0A9E7" w14:textId="77777777" w:rsidR="00977942" w:rsidRDefault="00977942" w:rsidP="00977942">
      <w:r>
        <w:br w:type="page"/>
      </w:r>
    </w:p>
    <w:p w14:paraId="4772DCFB" w14:textId="77777777" w:rsidR="00CF2D46" w:rsidRDefault="00CF2D46" w:rsidP="00977942">
      <w:pPr>
        <w:pStyle w:val="Heading1"/>
      </w:pPr>
      <w:bookmarkStart w:id="49" w:name="_Toc444941802"/>
      <w:r w:rsidRPr="00930A88">
        <w:t>R</w:t>
      </w:r>
      <w:r w:rsidR="00977942">
        <w:t>eferences</w:t>
      </w:r>
      <w:bookmarkEnd w:id="49"/>
    </w:p>
    <w:p w14:paraId="1C946FC3" w14:textId="77777777" w:rsidR="00CF2D46" w:rsidRPr="004B4104" w:rsidRDefault="00CF2D46" w:rsidP="00D2762A">
      <w:pPr>
        <w:pStyle w:val="References"/>
      </w:pPr>
      <w:proofErr w:type="spellStart"/>
      <w:r w:rsidRPr="004B4104">
        <w:t>Attewell</w:t>
      </w:r>
      <w:proofErr w:type="spellEnd"/>
      <w:r w:rsidRPr="004B4104">
        <w:t xml:space="preserve"> R &amp; McFadden M (2008). Measuring the benefits of drug law enforcement: The development of the Australian Federal Police drug harm index,</w:t>
      </w:r>
      <w:r w:rsidRPr="004B4104">
        <w:rPr>
          <w:i/>
        </w:rPr>
        <w:t xml:space="preserve"> Bulletin on Narcotics</w:t>
      </w:r>
      <w:r w:rsidRPr="004B4104">
        <w:t>, 60 1</w:t>
      </w:r>
      <w:r w:rsidR="00FA21BE">
        <w:t>–</w:t>
      </w:r>
      <w:r w:rsidRPr="004B4104">
        <w:t>2: 45</w:t>
      </w:r>
      <w:r w:rsidR="00FA21BE">
        <w:t>–</w:t>
      </w:r>
      <w:r w:rsidRPr="004B4104">
        <w:t>58.</w:t>
      </w:r>
    </w:p>
    <w:p w14:paraId="059058DF" w14:textId="77777777" w:rsidR="00CF2D46" w:rsidRPr="004B4104" w:rsidRDefault="00CF2D46" w:rsidP="00D2762A">
      <w:pPr>
        <w:pStyle w:val="References"/>
      </w:pPr>
      <w:r w:rsidRPr="004B4104">
        <w:t xml:space="preserve">Bryan M, Del Bono E &amp; </w:t>
      </w:r>
      <w:proofErr w:type="spellStart"/>
      <w:r w:rsidRPr="004B4104">
        <w:t>Pudney</w:t>
      </w:r>
      <w:proofErr w:type="spellEnd"/>
      <w:r w:rsidRPr="004B4104">
        <w:t xml:space="preserve"> S (2013). </w:t>
      </w:r>
      <w:r w:rsidRPr="004B4104">
        <w:rPr>
          <w:i/>
        </w:rPr>
        <w:t>Drug-related crime</w:t>
      </w:r>
      <w:r w:rsidRPr="004B4104">
        <w:t>, ISER Working Paper Series, 2013</w:t>
      </w:r>
      <w:r w:rsidR="00FA21BE">
        <w:t>–</w:t>
      </w:r>
      <w:r w:rsidRPr="004B4104">
        <w:t>08, Institute for Social and Economic Research.</w:t>
      </w:r>
    </w:p>
    <w:p w14:paraId="0DAE0C00" w14:textId="77777777" w:rsidR="00990768" w:rsidRDefault="00CF2D46" w:rsidP="00D2762A">
      <w:pPr>
        <w:pStyle w:val="References"/>
      </w:pPr>
      <w:proofErr w:type="spellStart"/>
      <w:r w:rsidRPr="004B4104">
        <w:t>Caulkins</w:t>
      </w:r>
      <w:proofErr w:type="spellEnd"/>
      <w:r w:rsidRPr="004B4104">
        <w:t xml:space="preserve"> J &amp; </w:t>
      </w:r>
      <w:proofErr w:type="spellStart"/>
      <w:r w:rsidRPr="004B4104">
        <w:t>Kleiman</w:t>
      </w:r>
      <w:proofErr w:type="spellEnd"/>
      <w:r>
        <w:t xml:space="preserve"> M</w:t>
      </w:r>
      <w:r w:rsidRPr="004B4104">
        <w:t xml:space="preserve"> (2011). Chapter 10 Drugs and crime in </w:t>
      </w:r>
      <w:r w:rsidRPr="004B4104">
        <w:rPr>
          <w:i/>
        </w:rPr>
        <w:t>The Oxford Handbook of Crime and Criminal Justice</w:t>
      </w:r>
      <w:r w:rsidRPr="004B4104">
        <w:t>, Oxford University Press, New York, 275</w:t>
      </w:r>
      <w:r w:rsidR="00FA21BE">
        <w:t>–</w:t>
      </w:r>
      <w:r w:rsidRPr="004B4104">
        <w:t>310.</w:t>
      </w:r>
    </w:p>
    <w:p w14:paraId="690F1D2F" w14:textId="77777777" w:rsidR="00CF2D46" w:rsidRPr="004B4104" w:rsidRDefault="00CF2D46" w:rsidP="00D2762A">
      <w:pPr>
        <w:pStyle w:val="References"/>
      </w:pPr>
      <w:r w:rsidRPr="004B4104">
        <w:t xml:space="preserve">Collins D &amp; </w:t>
      </w:r>
      <w:proofErr w:type="spellStart"/>
      <w:r w:rsidRPr="004B4104">
        <w:t>Lapsley</w:t>
      </w:r>
      <w:proofErr w:type="spellEnd"/>
      <w:r w:rsidRPr="004B4104">
        <w:t xml:space="preserve"> H (2002). </w:t>
      </w:r>
      <w:r w:rsidRPr="004B4104">
        <w:rPr>
          <w:i/>
        </w:rPr>
        <w:t>Counting the Cost: Estimates of the Social Costs of Drug Abuse in Australia in 1998</w:t>
      </w:r>
      <w:r w:rsidR="00FA21BE">
        <w:rPr>
          <w:i/>
        </w:rPr>
        <w:t>–</w:t>
      </w:r>
      <w:r w:rsidRPr="004B4104">
        <w:rPr>
          <w:i/>
        </w:rPr>
        <w:t>9,</w:t>
      </w:r>
      <w:r w:rsidRPr="004B4104">
        <w:t xml:space="preserve"> Canberra: Commonwealth Department of Health and Ageing.</w:t>
      </w:r>
    </w:p>
    <w:p w14:paraId="03DF9554" w14:textId="77777777" w:rsidR="00CF2D46" w:rsidRPr="004B4104" w:rsidRDefault="00CF2D46" w:rsidP="00D2762A">
      <w:pPr>
        <w:pStyle w:val="References"/>
      </w:pPr>
      <w:r w:rsidRPr="004B4104">
        <w:t xml:space="preserve">Collins D &amp; </w:t>
      </w:r>
      <w:proofErr w:type="spellStart"/>
      <w:r w:rsidRPr="004B4104">
        <w:t>Lapsley</w:t>
      </w:r>
      <w:proofErr w:type="spellEnd"/>
      <w:r w:rsidRPr="004B4104">
        <w:t xml:space="preserve"> H (2008). </w:t>
      </w:r>
      <w:r w:rsidRPr="004B4104">
        <w:rPr>
          <w:i/>
        </w:rPr>
        <w:t>The costs of tobacco, alcohol and illicit drug abuse to Australian society in 2004/05</w:t>
      </w:r>
      <w:r w:rsidRPr="004B4104">
        <w:t>, Commonwealth of Australia.</w:t>
      </w:r>
    </w:p>
    <w:p w14:paraId="337077A8" w14:textId="77777777" w:rsidR="00CF2D46" w:rsidRPr="004B4104" w:rsidRDefault="00CF2D46" w:rsidP="00D2762A">
      <w:pPr>
        <w:pStyle w:val="References"/>
      </w:pPr>
      <w:proofErr w:type="spellStart"/>
      <w:r w:rsidRPr="004B4104">
        <w:t>Degenhardt</w:t>
      </w:r>
      <w:proofErr w:type="spellEnd"/>
      <w:r w:rsidRPr="004B4104">
        <w:t xml:space="preserve"> L, </w:t>
      </w:r>
      <w:proofErr w:type="spellStart"/>
      <w:r w:rsidRPr="004B4104">
        <w:t>Whiteford</w:t>
      </w:r>
      <w:proofErr w:type="spellEnd"/>
      <w:r w:rsidRPr="004B4104">
        <w:t xml:space="preserve"> H, Ferrari A, Baxter A, </w:t>
      </w:r>
      <w:proofErr w:type="spellStart"/>
      <w:r w:rsidRPr="004B4104">
        <w:t>Charlson</w:t>
      </w:r>
      <w:proofErr w:type="spellEnd"/>
      <w:r w:rsidRPr="004B4104">
        <w:t xml:space="preserve"> F, Hall W, Freedman G, Burstein R, Johns N, </w:t>
      </w:r>
      <w:proofErr w:type="spellStart"/>
      <w:r w:rsidRPr="004B4104">
        <w:t>Engell</w:t>
      </w:r>
      <w:proofErr w:type="spellEnd"/>
      <w:r w:rsidRPr="004B4104">
        <w:t xml:space="preserve"> R, Flaxman A, Murray C &amp; </w:t>
      </w:r>
      <w:proofErr w:type="spellStart"/>
      <w:r w:rsidRPr="004B4104">
        <w:t>Vos</w:t>
      </w:r>
      <w:proofErr w:type="spellEnd"/>
      <w:r w:rsidRPr="004B4104">
        <w:t xml:space="preserve"> T (2013). Global burden of disease attributable to illicit drug use and dependence: findings from the Global Burden of Disease Study 2010, </w:t>
      </w:r>
      <w:r w:rsidRPr="004B4104">
        <w:rPr>
          <w:i/>
        </w:rPr>
        <w:t>The Lancet</w:t>
      </w:r>
      <w:r w:rsidRPr="004B4104">
        <w:t>, 382, 1564</w:t>
      </w:r>
      <w:r w:rsidR="00FA21BE">
        <w:t>–</w:t>
      </w:r>
      <w:r w:rsidRPr="004B4104">
        <w:t>74.</w:t>
      </w:r>
    </w:p>
    <w:p w14:paraId="7CAB2E16" w14:textId="77777777" w:rsidR="00CF2D46" w:rsidRPr="006543B2" w:rsidRDefault="00CF2D46" w:rsidP="00D2762A">
      <w:pPr>
        <w:pStyle w:val="References"/>
        <w:rPr>
          <w:rFonts w:ascii="Segoe UI" w:hAnsi="Segoe UI" w:cs="Segoe UI"/>
          <w:color w:val="000000"/>
          <w:sz w:val="20"/>
        </w:rPr>
      </w:pPr>
      <w:r w:rsidRPr="004B4104">
        <w:t xml:space="preserve">Goodwin A (2007). </w:t>
      </w:r>
      <w:r w:rsidRPr="004B4104">
        <w:rPr>
          <w:i/>
        </w:rPr>
        <w:t>Measuring the harm from illegal drugs: the Drug Harm Index 2005</w:t>
      </w:r>
      <w:r w:rsidRPr="004B4104">
        <w:t xml:space="preserve">, Home Office Online Report 22/07 accessed 31 July </w:t>
      </w:r>
      <w:r w:rsidRPr="003040F9">
        <w:t>2015 at h</w:t>
      </w:r>
      <w:r w:rsidRPr="006543B2">
        <w:rPr>
          <w:rFonts w:ascii="Segoe UI" w:hAnsi="Segoe UI" w:cs="Segoe UI"/>
          <w:color w:val="000000"/>
          <w:sz w:val="20"/>
        </w:rPr>
        <w:t>ttp://webarchive.nationalarchives.gov.uk/</w:t>
      </w:r>
      <w:r w:rsidRPr="006543B2">
        <w:rPr>
          <w:rFonts w:ascii="Segoe UI" w:hAnsi="Segoe UI" w:cs="Segoe UI"/>
          <w:color w:val="000000"/>
          <w:sz w:val="20"/>
        </w:rPr>
        <w:br/>
        <w:t>20110220105210/rds.homeoffice.gov.uk/</w:t>
      </w:r>
      <w:proofErr w:type="spellStart"/>
      <w:r w:rsidRPr="006543B2">
        <w:rPr>
          <w:rFonts w:ascii="Segoe UI" w:hAnsi="Segoe UI" w:cs="Segoe UI"/>
          <w:color w:val="000000"/>
          <w:sz w:val="20"/>
        </w:rPr>
        <w:t>rds</w:t>
      </w:r>
      <w:proofErr w:type="spellEnd"/>
      <w:r w:rsidRPr="006543B2">
        <w:rPr>
          <w:rFonts w:ascii="Segoe UI" w:hAnsi="Segoe UI" w:cs="Segoe UI"/>
          <w:color w:val="000000"/>
          <w:sz w:val="20"/>
        </w:rPr>
        <w:t>/pdfs07/rdsolr2207.pdf</w:t>
      </w:r>
    </w:p>
    <w:p w14:paraId="4E13FBD3" w14:textId="77777777" w:rsidR="00CF2D46" w:rsidRPr="004B4104" w:rsidRDefault="00CF2D46" w:rsidP="00D2762A">
      <w:pPr>
        <w:pStyle w:val="References"/>
      </w:pPr>
      <w:proofErr w:type="spellStart"/>
      <w:r w:rsidRPr="004B4104">
        <w:t>Greenfied</w:t>
      </w:r>
      <w:proofErr w:type="spellEnd"/>
      <w:r w:rsidRPr="004B4104">
        <w:t xml:space="preserve"> V &amp; Paoli L (2010). </w:t>
      </w:r>
      <w:r w:rsidRPr="004B4104">
        <w:rPr>
          <w:i/>
        </w:rPr>
        <w:t>If supply-oriented drug policy is broken, can harm reduction help fix it?</w:t>
      </w:r>
      <w:r>
        <w:rPr>
          <w:i/>
        </w:rPr>
        <w:t xml:space="preserve"> M</w:t>
      </w:r>
      <w:r w:rsidRPr="004B4104">
        <w:rPr>
          <w:i/>
        </w:rPr>
        <w:t>elding disciplines and methods to advance international drug control policy</w:t>
      </w:r>
      <w:r w:rsidRPr="004B4104">
        <w:t>, United States Naval Academy, Department of Economics, Working Paper 2010</w:t>
      </w:r>
      <w:r w:rsidR="00FA21BE">
        <w:t>–</w:t>
      </w:r>
      <w:r w:rsidRPr="004B4104">
        <w:t>30.</w:t>
      </w:r>
    </w:p>
    <w:p w14:paraId="6FB0B4FA" w14:textId="77777777" w:rsidR="00CF2D46" w:rsidRPr="004B4104" w:rsidRDefault="00CF2D46" w:rsidP="00D2762A">
      <w:pPr>
        <w:pStyle w:val="References"/>
      </w:pPr>
      <w:r w:rsidRPr="004B4104">
        <w:t xml:space="preserve">Hall W, Ross J, </w:t>
      </w:r>
      <w:proofErr w:type="spellStart"/>
      <w:r w:rsidRPr="004B4104">
        <w:t>Lynskey</w:t>
      </w:r>
      <w:proofErr w:type="spellEnd"/>
      <w:r w:rsidRPr="004B4104">
        <w:t xml:space="preserve"> M, Law M &amp; </w:t>
      </w:r>
      <w:proofErr w:type="spellStart"/>
      <w:r w:rsidRPr="004B4104">
        <w:t>Degenhardt</w:t>
      </w:r>
      <w:proofErr w:type="spellEnd"/>
      <w:r w:rsidRPr="004B4104">
        <w:t xml:space="preserve"> L (2000). </w:t>
      </w:r>
      <w:r w:rsidRPr="004B4104">
        <w:rPr>
          <w:i/>
        </w:rPr>
        <w:t>How many dependent heroin users are there in Australia</w:t>
      </w:r>
      <w:r w:rsidRPr="004B4104">
        <w:t>? Monograph 44. Sydney: National Drug and Alcohol Research Centre.</w:t>
      </w:r>
    </w:p>
    <w:p w14:paraId="691BC72A" w14:textId="77777777" w:rsidR="00CF2D46" w:rsidRPr="004B4104" w:rsidRDefault="00CF2D46" w:rsidP="00D2762A">
      <w:pPr>
        <w:pStyle w:val="References"/>
      </w:pPr>
      <w:r w:rsidRPr="004B4104">
        <w:t xml:space="preserve">Hughes C, Chalmers J, Bright D &amp; McFadden M (2015). </w:t>
      </w:r>
      <w:r w:rsidRPr="004B4104">
        <w:rPr>
          <w:i/>
        </w:rPr>
        <w:t>Trafficking in multiple commodities: Exposing Australia</w:t>
      </w:r>
      <w:r w:rsidR="00990768">
        <w:rPr>
          <w:i/>
        </w:rPr>
        <w:t>’</w:t>
      </w:r>
      <w:r w:rsidRPr="004B4104">
        <w:rPr>
          <w:i/>
        </w:rPr>
        <w:t xml:space="preserve">s </w:t>
      </w:r>
      <w:proofErr w:type="spellStart"/>
      <w:r w:rsidRPr="004B4104">
        <w:rPr>
          <w:i/>
        </w:rPr>
        <w:t>polydrug</w:t>
      </w:r>
      <w:proofErr w:type="spellEnd"/>
      <w:r w:rsidRPr="004B4104">
        <w:rPr>
          <w:i/>
        </w:rPr>
        <w:t xml:space="preserve"> and poly-crime networks</w:t>
      </w:r>
      <w:r w:rsidRPr="004B4104">
        <w:t>. National Drug Law Enforcement Fund, Monograph. In press.</w:t>
      </w:r>
    </w:p>
    <w:p w14:paraId="69B48945" w14:textId="77777777" w:rsidR="00CF2D46" w:rsidRPr="004B4104" w:rsidRDefault="00CF2D46" w:rsidP="00D2762A">
      <w:pPr>
        <w:pStyle w:val="References"/>
      </w:pPr>
      <w:r w:rsidRPr="004B4104">
        <w:t xml:space="preserve">MacDonald Z, Collingwood J &amp; Gordon L (2006). </w:t>
      </w:r>
      <w:r w:rsidRPr="004B4104">
        <w:rPr>
          <w:i/>
        </w:rPr>
        <w:t>Measuring the harm from illegal drugs using the Drug Harm Index – an update</w:t>
      </w:r>
      <w:r w:rsidRPr="004B4104">
        <w:t>, London, Home Office, Online Report 08/06.</w:t>
      </w:r>
    </w:p>
    <w:p w14:paraId="4E03154D" w14:textId="77777777" w:rsidR="00CF2D46" w:rsidRPr="004B4104" w:rsidRDefault="00CF2D46" w:rsidP="00D2762A">
      <w:pPr>
        <w:pStyle w:val="References"/>
      </w:pPr>
      <w:r w:rsidRPr="004B4104">
        <w:t xml:space="preserve">McDowell J &amp; </w:t>
      </w:r>
      <w:proofErr w:type="spellStart"/>
      <w:r w:rsidRPr="004B4104">
        <w:t>Novis</w:t>
      </w:r>
      <w:proofErr w:type="spellEnd"/>
      <w:r w:rsidRPr="004B4104">
        <w:t xml:space="preserve"> G (2001). </w:t>
      </w:r>
      <w:r w:rsidRPr="004B4104">
        <w:rPr>
          <w:i/>
        </w:rPr>
        <w:t>The Consequences of Money Laundering and Financial Cri</w:t>
      </w:r>
      <w:r w:rsidRPr="00FA21BE">
        <w:rPr>
          <w:i/>
        </w:rPr>
        <w:t>me</w:t>
      </w:r>
      <w:r w:rsidRPr="004B4104">
        <w:t>, Bureau of International Narcotics and Law Enforcement Affairs, US Department of State.</w:t>
      </w:r>
    </w:p>
    <w:p w14:paraId="675500C3" w14:textId="77777777" w:rsidR="00CF2D46" w:rsidRPr="004B4104" w:rsidRDefault="00CF2D46" w:rsidP="00D2762A">
      <w:pPr>
        <w:pStyle w:val="References"/>
      </w:pPr>
      <w:r w:rsidRPr="004B4104">
        <w:t xml:space="preserve">McFadden M (2006). The Australian Federal Police Drug Harm Index: A new methodology for quantifying success in combating drug use, </w:t>
      </w:r>
      <w:r w:rsidRPr="004B4104">
        <w:rPr>
          <w:i/>
        </w:rPr>
        <w:t>Australian Journal of Public Administration</w:t>
      </w:r>
      <w:r w:rsidRPr="004B4104">
        <w:t>, 65(4), 68</w:t>
      </w:r>
      <w:r w:rsidR="00FA21BE">
        <w:t>–</w:t>
      </w:r>
      <w:r w:rsidRPr="004B4104">
        <w:t>81.</w:t>
      </w:r>
    </w:p>
    <w:p w14:paraId="430B3838" w14:textId="77777777" w:rsidR="00CF2D46" w:rsidRPr="004B4104" w:rsidRDefault="00CF2D46" w:rsidP="00D2762A">
      <w:pPr>
        <w:pStyle w:val="References"/>
      </w:pPr>
      <w:r w:rsidRPr="004B4104">
        <w:t xml:space="preserve">McFadden M (2015). </w:t>
      </w:r>
      <w:r w:rsidRPr="004B4104">
        <w:rPr>
          <w:i/>
        </w:rPr>
        <w:t>Development of a Proceeds of Crime Disruption Index</w:t>
      </w:r>
      <w:r w:rsidRPr="004B4104">
        <w:t>, New Zealand Police, Wellington.</w:t>
      </w:r>
    </w:p>
    <w:p w14:paraId="20788E18" w14:textId="77777777" w:rsidR="00CF2D46" w:rsidRPr="004B4104" w:rsidRDefault="00CF2D46" w:rsidP="00D2762A">
      <w:pPr>
        <w:pStyle w:val="References"/>
      </w:pPr>
      <w:r w:rsidRPr="004B4104">
        <w:t xml:space="preserve">McFadden M, </w:t>
      </w:r>
      <w:proofErr w:type="spellStart"/>
      <w:r w:rsidRPr="004B4104">
        <w:t>Mwesigye</w:t>
      </w:r>
      <w:proofErr w:type="spellEnd"/>
      <w:r w:rsidRPr="004B4104">
        <w:t xml:space="preserve"> S &amp; Williamson G (2002). </w:t>
      </w:r>
      <w:r w:rsidRPr="0054256D">
        <w:t>Pricing outputs: A case study in law enforcement</w:t>
      </w:r>
      <w:r w:rsidRPr="009B7E37">
        <w:rPr>
          <w:i/>
        </w:rPr>
        <w:t>,</w:t>
      </w:r>
      <w:r w:rsidRPr="004B4104">
        <w:t xml:space="preserve"> </w:t>
      </w:r>
      <w:r w:rsidRPr="0054256D">
        <w:rPr>
          <w:i/>
        </w:rPr>
        <w:t>Australian Journal of Public Administration</w:t>
      </w:r>
      <w:r w:rsidRPr="004B4104">
        <w:t>, 61(4), 80</w:t>
      </w:r>
      <w:r w:rsidR="00FA21BE">
        <w:t>–</w:t>
      </w:r>
      <w:r w:rsidRPr="004B4104">
        <w:t>88.</w:t>
      </w:r>
    </w:p>
    <w:p w14:paraId="4BEFE8B6" w14:textId="77777777" w:rsidR="00CF2D46" w:rsidRPr="004B4104" w:rsidRDefault="00CF2D46" w:rsidP="00D2762A">
      <w:pPr>
        <w:pStyle w:val="References"/>
      </w:pPr>
      <w:proofErr w:type="spellStart"/>
      <w:r w:rsidRPr="004B4104">
        <w:t>Melberg</w:t>
      </w:r>
      <w:proofErr w:type="spellEnd"/>
      <w:r w:rsidRPr="004B4104">
        <w:t xml:space="preserve"> H, </w:t>
      </w:r>
      <w:proofErr w:type="spellStart"/>
      <w:r w:rsidRPr="004B4104">
        <w:t>Hakkarainen</w:t>
      </w:r>
      <w:proofErr w:type="spellEnd"/>
      <w:r w:rsidRPr="004B4104">
        <w:t xml:space="preserve"> P, </w:t>
      </w:r>
      <w:proofErr w:type="spellStart"/>
      <w:r w:rsidRPr="004B4104">
        <w:t>Houborg</w:t>
      </w:r>
      <w:proofErr w:type="spellEnd"/>
      <w:r w:rsidRPr="004B4104">
        <w:t xml:space="preserve"> E, </w:t>
      </w:r>
      <w:proofErr w:type="spellStart"/>
      <w:r w:rsidRPr="004B4104">
        <w:t>Jääskeläinen</w:t>
      </w:r>
      <w:proofErr w:type="spellEnd"/>
      <w:r w:rsidRPr="004B4104">
        <w:t xml:space="preserve"> M, </w:t>
      </w:r>
      <w:proofErr w:type="spellStart"/>
      <w:r w:rsidRPr="004B4104">
        <w:t>Skretting</w:t>
      </w:r>
      <w:proofErr w:type="spellEnd"/>
      <w:r w:rsidRPr="004B4104">
        <w:t xml:space="preserve"> A, </w:t>
      </w:r>
      <w:proofErr w:type="spellStart"/>
      <w:r w:rsidRPr="004B4104">
        <w:t>Ramstedt</w:t>
      </w:r>
      <w:proofErr w:type="spellEnd"/>
      <w:r w:rsidRPr="004B4104">
        <w:t xml:space="preserve"> M &amp; </w:t>
      </w:r>
      <w:proofErr w:type="spellStart"/>
      <w:r w:rsidRPr="004B4104">
        <w:t>Rosenqvist</w:t>
      </w:r>
      <w:proofErr w:type="spellEnd"/>
      <w:r w:rsidRPr="004B4104">
        <w:t xml:space="preserve"> P (2011). Measuring the harm of illicit drug use on friends and family,</w:t>
      </w:r>
      <w:r w:rsidRPr="004B4104">
        <w:rPr>
          <w:i/>
        </w:rPr>
        <w:t xml:space="preserve"> Nordic Studies on Alcohol and Drugs</w:t>
      </w:r>
      <w:r w:rsidRPr="004B4104">
        <w:t>, 28, 2, 105</w:t>
      </w:r>
      <w:r w:rsidR="00FA21BE">
        <w:t>–</w:t>
      </w:r>
      <w:r w:rsidRPr="004B4104">
        <w:t>121.</w:t>
      </w:r>
    </w:p>
    <w:p w14:paraId="4DBF7E96" w14:textId="176ACB0E" w:rsidR="00CF2D46" w:rsidRPr="004B4104" w:rsidRDefault="00CF2D46" w:rsidP="00D2762A">
      <w:pPr>
        <w:pStyle w:val="References"/>
      </w:pPr>
      <w:r w:rsidRPr="004B4104">
        <w:t xml:space="preserve">Ministry of Health (2009). </w:t>
      </w:r>
      <w:r w:rsidRPr="004B4104">
        <w:rPr>
          <w:i/>
        </w:rPr>
        <w:t xml:space="preserve">Research into knowledge and attitudes to illegal drugs </w:t>
      </w:r>
      <w:r w:rsidR="00DD78F1">
        <w:rPr>
          <w:i/>
        </w:rPr>
        <w:t xml:space="preserve">– </w:t>
      </w:r>
      <w:r w:rsidRPr="004B4104">
        <w:rPr>
          <w:i/>
        </w:rPr>
        <w:t>a</w:t>
      </w:r>
      <w:r w:rsidR="00DD78F1">
        <w:rPr>
          <w:i/>
        </w:rPr>
        <w:t xml:space="preserve"> </w:t>
      </w:r>
      <w:r w:rsidRPr="004B4104">
        <w:rPr>
          <w:i/>
        </w:rPr>
        <w:t>study among the general public and people with experience of illegal drug use</w:t>
      </w:r>
      <w:r w:rsidRPr="004B4104">
        <w:t>, Wellington.</w:t>
      </w:r>
    </w:p>
    <w:p w14:paraId="46680C9F" w14:textId="77777777" w:rsidR="00CF2D46" w:rsidRPr="004B4104" w:rsidRDefault="00CF2D46" w:rsidP="00D2762A">
      <w:pPr>
        <w:pStyle w:val="References"/>
      </w:pPr>
      <w:r w:rsidRPr="00DC2C03">
        <w:t xml:space="preserve">Ministry of Health (2015). Request for Proposal, </w:t>
      </w:r>
      <w:r w:rsidRPr="00DC2C03">
        <w:rPr>
          <w:i/>
        </w:rPr>
        <w:t>Development of a New Drug Harm Index</w:t>
      </w:r>
      <w:r w:rsidRPr="00DC2C03">
        <w:t>. Date RFP Issued: Friday, 29 May 2015.</w:t>
      </w:r>
    </w:p>
    <w:p w14:paraId="20B8F838" w14:textId="77777777" w:rsidR="00990768" w:rsidRDefault="00CF2D46" w:rsidP="00D2762A">
      <w:pPr>
        <w:pStyle w:val="References"/>
      </w:pPr>
      <w:r w:rsidRPr="004B4104">
        <w:rPr>
          <w:rFonts w:ascii="Calibri" w:hAnsi="Calibri"/>
          <w:color w:val="000000"/>
          <w:lang w:eastAsia="en-AU"/>
        </w:rPr>
        <w:t>Ministry of Transport (2014).</w:t>
      </w:r>
      <w:r w:rsidRPr="004B4104">
        <w:rPr>
          <w:rFonts w:ascii="Calibri" w:hAnsi="Calibri"/>
          <w:i/>
          <w:iCs/>
          <w:color w:val="000000"/>
          <w:lang w:eastAsia="en-AU"/>
        </w:rPr>
        <w:t xml:space="preserve"> Social Cost of Road Crashes and Injuries 2014 update</w:t>
      </w:r>
      <w:r w:rsidRPr="004B4104">
        <w:rPr>
          <w:rFonts w:ascii="Calibri" w:hAnsi="Calibri"/>
          <w:color w:val="000000"/>
          <w:lang w:eastAsia="en-AU"/>
        </w:rPr>
        <w:t>, Wellington.</w:t>
      </w:r>
    </w:p>
    <w:p w14:paraId="7317489E" w14:textId="77777777" w:rsidR="00990768" w:rsidRDefault="00CF2D46" w:rsidP="00D2762A">
      <w:pPr>
        <w:pStyle w:val="References"/>
      </w:pPr>
      <w:r w:rsidRPr="004B4104">
        <w:t xml:space="preserve">Moore T (2007). </w:t>
      </w:r>
      <w:r w:rsidRPr="004B4104">
        <w:rPr>
          <w:i/>
        </w:rPr>
        <w:t>Working estimates of the social cost per gram and per user for cannabis, cocaine, opiates and amphetamines</w:t>
      </w:r>
      <w:r w:rsidRPr="004B4104">
        <w:t>, Drug Policy Modelling Program Monograph 14, Turning Point.</w:t>
      </w:r>
    </w:p>
    <w:p w14:paraId="5F49D227" w14:textId="77777777" w:rsidR="00CF2D46" w:rsidRPr="004B4104" w:rsidRDefault="00CF2D46" w:rsidP="00D2762A">
      <w:pPr>
        <w:pStyle w:val="References"/>
      </w:pPr>
      <w:r w:rsidRPr="004B4104">
        <w:t xml:space="preserve">Morgan C, </w:t>
      </w:r>
      <w:proofErr w:type="spellStart"/>
      <w:r w:rsidRPr="004B4104">
        <w:t>Muetzelfeldt</w:t>
      </w:r>
      <w:proofErr w:type="spellEnd"/>
      <w:r w:rsidRPr="004B4104">
        <w:t xml:space="preserve"> L, </w:t>
      </w:r>
      <w:proofErr w:type="spellStart"/>
      <w:r w:rsidRPr="004B4104">
        <w:t>Muetzelfeldt</w:t>
      </w:r>
      <w:proofErr w:type="spellEnd"/>
      <w:r w:rsidRPr="004B4104">
        <w:t xml:space="preserve"> M, Nutt D &amp; Curran H (2010). Harms associated with psychoactive substances: findings of the UK National Drug Survey, </w:t>
      </w:r>
      <w:r w:rsidRPr="004B4104">
        <w:rPr>
          <w:i/>
        </w:rPr>
        <w:t>Journal of Psychopharmacology</w:t>
      </w:r>
      <w:r w:rsidRPr="004B4104">
        <w:t>, 24, 2, 147</w:t>
      </w:r>
      <w:r w:rsidR="00FA21BE">
        <w:t>–</w:t>
      </w:r>
      <w:r w:rsidRPr="004B4104">
        <w:t>153.</w:t>
      </w:r>
    </w:p>
    <w:p w14:paraId="2E100CA4" w14:textId="77777777" w:rsidR="00CF2D46" w:rsidRPr="004B4104" w:rsidRDefault="00CF2D46" w:rsidP="00D2762A">
      <w:pPr>
        <w:pStyle w:val="References"/>
      </w:pPr>
      <w:r w:rsidRPr="004B4104">
        <w:t>Murray C et al (2012). Disability-adjusted life years (DALYs) for 291 diseases and injuries in 21</w:t>
      </w:r>
      <w:r w:rsidR="00FA21BE">
        <w:t> </w:t>
      </w:r>
      <w:r w:rsidRPr="004B4104">
        <w:t xml:space="preserve">regions, 1990–2010: a systematic analysis for the Global Burden of Disease Study 2010, </w:t>
      </w:r>
      <w:r w:rsidRPr="004B4104">
        <w:rPr>
          <w:i/>
        </w:rPr>
        <w:t>The Lancet</w:t>
      </w:r>
      <w:r w:rsidRPr="004B4104">
        <w:t xml:space="preserve">, 380, 2213. </w:t>
      </w:r>
      <w:r w:rsidRPr="009B7E37">
        <w:t>(Full author list exceeds 400 names.</w:t>
      </w:r>
      <w:r w:rsidRPr="004B4104">
        <w:t>)</w:t>
      </w:r>
    </w:p>
    <w:p w14:paraId="38C1CDB0" w14:textId="77777777" w:rsidR="00990768" w:rsidRDefault="00CF2D46" w:rsidP="00D2762A">
      <w:pPr>
        <w:pStyle w:val="References"/>
      </w:pPr>
      <w:r w:rsidRPr="004B4104">
        <w:t xml:space="preserve">Nutt D, King L &amp; Phillips L (2010). Development of a rational scale to assess the harm of drugs of potential misuse, </w:t>
      </w:r>
      <w:r w:rsidRPr="004B4104">
        <w:rPr>
          <w:i/>
        </w:rPr>
        <w:t>The Lancet</w:t>
      </w:r>
      <w:r w:rsidRPr="004B4104">
        <w:t>, 369, 9566, 1047</w:t>
      </w:r>
      <w:r w:rsidR="00FA21BE">
        <w:t>–</w:t>
      </w:r>
      <w:r w:rsidRPr="004B4104">
        <w:t>1053.</w:t>
      </w:r>
    </w:p>
    <w:p w14:paraId="7DFCB82B" w14:textId="77777777" w:rsidR="00CF2D46" w:rsidRPr="004B4104" w:rsidRDefault="00CF2D46" w:rsidP="00D2762A">
      <w:pPr>
        <w:pStyle w:val="References"/>
      </w:pPr>
      <w:r w:rsidRPr="004B4104">
        <w:t xml:space="preserve">Pedersen W &amp; Von </w:t>
      </w:r>
      <w:proofErr w:type="spellStart"/>
      <w:r w:rsidRPr="004B4104">
        <w:t>Soest</w:t>
      </w:r>
      <w:proofErr w:type="spellEnd"/>
      <w:r w:rsidRPr="004B4104">
        <w:t xml:space="preserve"> T (2015). Which substance is most dangerous? Perceived harm ratings among students in urban and rural Norway, </w:t>
      </w:r>
      <w:r w:rsidRPr="004B4104">
        <w:rPr>
          <w:i/>
        </w:rPr>
        <w:t>Scandinavian Journal of Public Health</w:t>
      </w:r>
      <w:r w:rsidRPr="004B4104">
        <w:t>, 43</w:t>
      </w:r>
      <w:proofErr w:type="gramStart"/>
      <w:r w:rsidRPr="004B4104">
        <w:t>,</w:t>
      </w:r>
      <w:proofErr w:type="gramEnd"/>
      <w:r w:rsidR="00FA21BE">
        <w:br/>
      </w:r>
      <w:r w:rsidRPr="004B4104">
        <w:t>385</w:t>
      </w:r>
      <w:r w:rsidR="00FA21BE">
        <w:t>–</w:t>
      </w:r>
      <w:r w:rsidRPr="004B4104">
        <w:t>392.</w:t>
      </w:r>
    </w:p>
    <w:p w14:paraId="633244A7" w14:textId="77777777" w:rsidR="00CF2D46" w:rsidRPr="004B4104" w:rsidRDefault="00CF2D46" w:rsidP="00D2762A">
      <w:pPr>
        <w:pStyle w:val="References"/>
      </w:pPr>
      <w:r w:rsidRPr="004B4104">
        <w:t xml:space="preserve">Reuter P (2009). Ten years after the United Nations General Assembly Special Session (UNGASS): assessing drug problems, policies and reform proposals, </w:t>
      </w:r>
      <w:r w:rsidRPr="004B4104">
        <w:rPr>
          <w:i/>
        </w:rPr>
        <w:t>Addiction</w:t>
      </w:r>
      <w:r w:rsidRPr="004B4104">
        <w:t>, 104: 510</w:t>
      </w:r>
      <w:r w:rsidR="00FA21BE">
        <w:t>–</w:t>
      </w:r>
      <w:r w:rsidRPr="004B4104">
        <w:t>517.</w:t>
      </w:r>
    </w:p>
    <w:p w14:paraId="1A809E66" w14:textId="77777777" w:rsidR="00990768" w:rsidRDefault="00CF2D46" w:rsidP="00D2762A">
      <w:pPr>
        <w:pStyle w:val="References"/>
      </w:pPr>
      <w:r w:rsidRPr="004B4104">
        <w:t xml:space="preserve">Ritter A (2009), Methods for comparing drug policies—the utility of composite Drug Harm Indexes, </w:t>
      </w:r>
      <w:r w:rsidRPr="004B4104">
        <w:rPr>
          <w:i/>
        </w:rPr>
        <w:t>International Journal of Drug Policy</w:t>
      </w:r>
      <w:r w:rsidRPr="004B4104">
        <w:t>, 20, 6, 475</w:t>
      </w:r>
      <w:r w:rsidR="00FA21BE">
        <w:t>–</w:t>
      </w:r>
      <w:r w:rsidRPr="004B4104">
        <w:t>479.</w:t>
      </w:r>
    </w:p>
    <w:p w14:paraId="53497FD4" w14:textId="77777777" w:rsidR="00CF2D46" w:rsidRPr="004B4104" w:rsidRDefault="00CF2D46" w:rsidP="00D2762A">
      <w:pPr>
        <w:pStyle w:val="References"/>
      </w:pPr>
      <w:r w:rsidRPr="004B4104">
        <w:t xml:space="preserve">Roberts M, </w:t>
      </w:r>
      <w:proofErr w:type="spellStart"/>
      <w:r w:rsidRPr="004B4104">
        <w:t>Bewley</w:t>
      </w:r>
      <w:proofErr w:type="spellEnd"/>
      <w:r w:rsidRPr="004B4104">
        <w:t xml:space="preserve">-Taylor D &amp; Trace M (2006). </w:t>
      </w:r>
      <w:r w:rsidRPr="004B4104">
        <w:rPr>
          <w:i/>
        </w:rPr>
        <w:t>Monitoring Drug Policy Outcomes: The Measurement of Drug-related Harm</w:t>
      </w:r>
      <w:r w:rsidRPr="004B4104">
        <w:t xml:space="preserve">, The Beckley Foundation, </w:t>
      </w:r>
      <w:proofErr w:type="gramStart"/>
      <w:r w:rsidRPr="004B4104">
        <w:t>Report</w:t>
      </w:r>
      <w:proofErr w:type="gramEnd"/>
      <w:r w:rsidRPr="004B4104">
        <w:t xml:space="preserve"> Nine.</w:t>
      </w:r>
    </w:p>
    <w:p w14:paraId="45B9BA83" w14:textId="77777777" w:rsidR="00CF2D46" w:rsidRPr="004B4104" w:rsidRDefault="00CF2D46" w:rsidP="00D2762A">
      <w:pPr>
        <w:pStyle w:val="References"/>
      </w:pPr>
      <w:r w:rsidRPr="004B4104">
        <w:t xml:space="preserve">Roper T &amp; Thompson A (2006). </w:t>
      </w:r>
      <w:r w:rsidRPr="004B4104">
        <w:rPr>
          <w:i/>
        </w:rPr>
        <w:t>Estimating the costs of crime in New Zealand in 2003/04</w:t>
      </w:r>
      <w:r w:rsidRPr="004B4104">
        <w:t xml:space="preserve">, </w:t>
      </w:r>
      <w:proofErr w:type="gramStart"/>
      <w:r w:rsidRPr="004B4104">
        <w:t>New</w:t>
      </w:r>
      <w:proofErr w:type="gramEnd"/>
      <w:r w:rsidRPr="004B4104">
        <w:t xml:space="preserve"> Zealand Treasury Working Paper 06/04.</w:t>
      </w:r>
    </w:p>
    <w:p w14:paraId="01350CE9" w14:textId="77777777" w:rsidR="00CF2D46" w:rsidRPr="004B4104" w:rsidRDefault="00CF2D46" w:rsidP="00D2762A">
      <w:pPr>
        <w:pStyle w:val="References"/>
      </w:pPr>
      <w:r w:rsidRPr="004B4104">
        <w:t xml:space="preserve">Shanahan M, </w:t>
      </w:r>
      <w:proofErr w:type="spellStart"/>
      <w:r w:rsidRPr="004B4104">
        <w:t>Seddon</w:t>
      </w:r>
      <w:proofErr w:type="spellEnd"/>
      <w:r w:rsidRPr="004B4104">
        <w:t xml:space="preserve"> J &amp; Ritter A (2015). </w:t>
      </w:r>
      <w:r w:rsidRPr="009B7E37">
        <w:t>Exploring the economic costs to family members affected by drug use: A discrete choice experiment, Drug Policy Modelling Program, UNSW</w:t>
      </w:r>
      <w:r w:rsidRPr="004B4104">
        <w:t>, Accessed 30</w:t>
      </w:r>
      <w:r w:rsidR="00FA21BE">
        <w:t> </w:t>
      </w:r>
      <w:r w:rsidRPr="004B4104">
        <w:t xml:space="preserve">December 2015 at </w:t>
      </w:r>
      <w:hyperlink r:id="rId19" w:history="1">
        <w:r w:rsidRPr="006B6070">
          <w:rPr>
            <w:rStyle w:val="Hyperlink"/>
          </w:rPr>
          <w:t>https://dpmp.unsw.edu.au/project/exploring-economic-costs-family-members-affected-drug-use-discrete-choice-experiment</w:t>
        </w:r>
      </w:hyperlink>
    </w:p>
    <w:p w14:paraId="6B3CE789" w14:textId="77777777" w:rsidR="00CF2D46" w:rsidRPr="004B4104" w:rsidRDefault="00CF2D46" w:rsidP="00D2762A">
      <w:pPr>
        <w:pStyle w:val="References"/>
      </w:pPr>
      <w:r w:rsidRPr="004B4104">
        <w:t>Slack A, O</w:t>
      </w:r>
      <w:r w:rsidR="00990768">
        <w:t>’</w:t>
      </w:r>
      <w:r w:rsidRPr="004B4104">
        <w:t xml:space="preserve">Dea D, </w:t>
      </w:r>
      <w:proofErr w:type="spellStart"/>
      <w:r w:rsidRPr="004B4104">
        <w:t>Sheerin</w:t>
      </w:r>
      <w:proofErr w:type="spellEnd"/>
      <w:r w:rsidRPr="004B4104">
        <w:t xml:space="preserve"> I, Norman D, </w:t>
      </w:r>
      <w:proofErr w:type="spellStart"/>
      <w:r w:rsidRPr="004B4104">
        <w:t>Jiani</w:t>
      </w:r>
      <w:proofErr w:type="spellEnd"/>
      <w:r w:rsidRPr="004B4104">
        <w:t xml:space="preserve"> Wu &amp; Nana G (2008). </w:t>
      </w:r>
      <w:r w:rsidRPr="004B4104">
        <w:rPr>
          <w:i/>
        </w:rPr>
        <w:t xml:space="preserve">New Zealand Drug Harm Index, </w:t>
      </w:r>
      <w:r w:rsidRPr="004B4104">
        <w:t>BERL report for the New Zealand Police.</w:t>
      </w:r>
    </w:p>
    <w:p w14:paraId="1A8B6903" w14:textId="77777777" w:rsidR="00CF2D46" w:rsidRDefault="00CF2D46" w:rsidP="00D2762A">
      <w:pPr>
        <w:pStyle w:val="References"/>
      </w:pPr>
      <w:r w:rsidRPr="004B4104">
        <w:t xml:space="preserve">Stevens, A. (2008). Weighing up crime: The overestimation of drug-related crime, </w:t>
      </w:r>
      <w:r w:rsidRPr="004B4104">
        <w:rPr>
          <w:i/>
        </w:rPr>
        <w:t>Contemporary Drug Problems</w:t>
      </w:r>
      <w:r w:rsidRPr="004B4104">
        <w:t>, 35(2/3), 265.</w:t>
      </w:r>
    </w:p>
    <w:p w14:paraId="714848DE" w14:textId="77777777" w:rsidR="00CF2D46" w:rsidRPr="004B4104" w:rsidDel="00664497" w:rsidRDefault="00CF2D46" w:rsidP="00D2762A">
      <w:pPr>
        <w:pStyle w:val="References"/>
      </w:pPr>
      <w:r w:rsidRPr="004B4104" w:rsidDel="00664497">
        <w:t xml:space="preserve">The Economist (2010). Drugs that cause most harm, The Economist Online, accessed 31 July 2015 at </w:t>
      </w:r>
      <w:hyperlink r:id="rId20" w:history="1">
        <w:r w:rsidRPr="006B6070">
          <w:rPr>
            <w:rStyle w:val="Hyperlink"/>
          </w:rPr>
          <w:t>www.economist.com/blogs/dailychart/2010/11/drugs_cause_most_harm</w:t>
        </w:r>
      </w:hyperlink>
    </w:p>
    <w:p w14:paraId="7D205000" w14:textId="77777777" w:rsidR="00CF2D46" w:rsidRPr="004B4104" w:rsidRDefault="00CF2D46" w:rsidP="00D2762A">
      <w:pPr>
        <w:pStyle w:val="References"/>
      </w:pPr>
      <w:r w:rsidRPr="004B4104">
        <w:t xml:space="preserve">United Nations Office on Drugs and Crime (2005). </w:t>
      </w:r>
      <w:r w:rsidRPr="004B4104">
        <w:rPr>
          <w:i/>
        </w:rPr>
        <w:t>World Drug Report 2005</w:t>
      </w:r>
      <w:r w:rsidRPr="004B4104">
        <w:t>, United Nations Publication, E.05.XI.10.</w:t>
      </w:r>
    </w:p>
    <w:p w14:paraId="5BAA0ACE" w14:textId="77777777" w:rsidR="00CF2D46" w:rsidRPr="004B4104" w:rsidRDefault="00CF2D46" w:rsidP="00D2762A">
      <w:pPr>
        <w:pStyle w:val="References"/>
      </w:pPr>
      <w:r w:rsidRPr="004B4104">
        <w:t xml:space="preserve">United Nations Office on Drugs and Crime (2006). </w:t>
      </w:r>
      <w:r w:rsidRPr="004B4104">
        <w:rPr>
          <w:i/>
        </w:rPr>
        <w:t>World Drug Report 2006</w:t>
      </w:r>
      <w:r w:rsidRPr="004B4104">
        <w:t>, United Nations Publication, E.06.XI.10.</w:t>
      </w:r>
    </w:p>
    <w:p w14:paraId="256D75F3" w14:textId="77777777" w:rsidR="00990768" w:rsidRDefault="00CF2D46" w:rsidP="00D2762A">
      <w:pPr>
        <w:pStyle w:val="References"/>
      </w:pPr>
      <w:r w:rsidRPr="004B4104">
        <w:t xml:space="preserve">United Nations Office on Drugs and Crime (2014). </w:t>
      </w:r>
      <w:r w:rsidRPr="009B7E37">
        <w:t>Drug-related mortality with ranking of drugs as primary cause of death (2012 or latest year available)</w:t>
      </w:r>
      <w:r w:rsidRPr="004B4104">
        <w:t xml:space="preserve">, accessed 19 September 2015 at </w:t>
      </w:r>
      <w:hyperlink r:id="rId21" w:history="1">
        <w:r w:rsidRPr="004B4104">
          <w:rPr>
            <w:rStyle w:val="Hyperlink"/>
          </w:rPr>
          <w:t>www.unodc.org/documents/wdr2014/Statistics/Mortality_2014.xls</w:t>
        </w:r>
      </w:hyperlink>
    </w:p>
    <w:p w14:paraId="7352C171" w14:textId="77777777" w:rsidR="00CF2D46" w:rsidRPr="004B4104" w:rsidRDefault="00CF2D46" w:rsidP="00D2762A">
      <w:pPr>
        <w:pStyle w:val="References"/>
      </w:pPr>
      <w:proofErr w:type="gramStart"/>
      <w:r w:rsidRPr="004B4104">
        <w:t>van</w:t>
      </w:r>
      <w:proofErr w:type="gramEnd"/>
      <w:r w:rsidRPr="004B4104">
        <w:t xml:space="preserve"> Amsterdam J, </w:t>
      </w:r>
      <w:proofErr w:type="spellStart"/>
      <w:r w:rsidRPr="004B4104">
        <w:t>Opperhuizen</w:t>
      </w:r>
      <w:proofErr w:type="spellEnd"/>
      <w:r w:rsidRPr="004B4104">
        <w:t xml:space="preserve"> A, </w:t>
      </w:r>
      <w:proofErr w:type="spellStart"/>
      <w:r w:rsidRPr="004B4104">
        <w:t>Koeter</w:t>
      </w:r>
      <w:proofErr w:type="spellEnd"/>
      <w:r w:rsidRPr="004B4104">
        <w:t xml:space="preserve"> M &amp; van den Brink W (2010). Ranking the harm of alcohol, tobacco and illicit drugs for the individual and the population, </w:t>
      </w:r>
      <w:r w:rsidRPr="004B4104">
        <w:rPr>
          <w:i/>
        </w:rPr>
        <w:t>European Addiction Research</w:t>
      </w:r>
      <w:r w:rsidRPr="004B4104">
        <w:t>, 16, 4, 202</w:t>
      </w:r>
      <w:r w:rsidR="00FA21BE">
        <w:t>–</w:t>
      </w:r>
      <w:r w:rsidRPr="004B4104">
        <w:t>207.</w:t>
      </w:r>
    </w:p>
    <w:p w14:paraId="48D407E8" w14:textId="77777777" w:rsidR="00CF2D46" w:rsidRDefault="00CF2D46" w:rsidP="00D2762A">
      <w:pPr>
        <w:pStyle w:val="References"/>
      </w:pPr>
      <w:r w:rsidRPr="004B4104">
        <w:t xml:space="preserve">Willis K, </w:t>
      </w:r>
      <w:proofErr w:type="spellStart"/>
      <w:r w:rsidRPr="004B4104">
        <w:t>Homel</w:t>
      </w:r>
      <w:proofErr w:type="spellEnd"/>
      <w:r w:rsidRPr="004B4104">
        <w:t xml:space="preserve"> P &amp; Anderson J (2010). </w:t>
      </w:r>
      <w:r w:rsidRPr="004B4104">
        <w:rPr>
          <w:i/>
        </w:rPr>
        <w:t>Developing the capacity and skills for national implementation of a drug law enforcement performance measurement framework</w:t>
      </w:r>
      <w:r w:rsidRPr="004B4104">
        <w:t>, Monograph Series No. 34, National Drug Law Enforcement Research Fund.</w:t>
      </w:r>
    </w:p>
    <w:p w14:paraId="094032DD" w14:textId="77777777" w:rsidR="00CF2D46" w:rsidRDefault="00CF2D46" w:rsidP="00FA21BE"/>
    <w:p w14:paraId="7EEC0B1E" w14:textId="77777777" w:rsidR="00FA21BE" w:rsidRDefault="00FA21BE" w:rsidP="00FA21BE">
      <w:r>
        <w:br w:type="page"/>
      </w:r>
    </w:p>
    <w:p w14:paraId="40737F00" w14:textId="77777777" w:rsidR="00CF2D46" w:rsidRPr="006048A8" w:rsidRDefault="00CF2D46" w:rsidP="00FA21BE">
      <w:pPr>
        <w:pStyle w:val="Heading1"/>
      </w:pPr>
      <w:bookmarkStart w:id="50" w:name="_Toc444941803"/>
      <w:r w:rsidRPr="006048A8">
        <w:t>A</w:t>
      </w:r>
      <w:r w:rsidR="008A6B2A">
        <w:t>ttachment</w:t>
      </w:r>
      <w:r w:rsidRPr="006048A8">
        <w:t xml:space="preserve"> A</w:t>
      </w:r>
      <w:r w:rsidR="008A6B2A">
        <w:t xml:space="preserve">: </w:t>
      </w:r>
      <w:r w:rsidRPr="008E32C1">
        <w:rPr>
          <w:lang w:eastAsia="en-AU"/>
        </w:rPr>
        <w:t>Calculation of prevalence of drug</w:t>
      </w:r>
      <w:r w:rsidRPr="006048A8">
        <w:rPr>
          <w:lang w:eastAsia="en-AU"/>
        </w:rPr>
        <w:t xml:space="preserve"> use</w:t>
      </w:r>
      <w:bookmarkEnd w:id="50"/>
    </w:p>
    <w:p w14:paraId="29DBFBA4" w14:textId="77777777" w:rsidR="00CF2D46" w:rsidRPr="00003BA2" w:rsidRDefault="00CF2D46" w:rsidP="008A6B2A">
      <w:pPr>
        <w:pStyle w:val="Heading2"/>
      </w:pPr>
      <w:bookmarkStart w:id="51" w:name="_Toc444941804"/>
      <w:r w:rsidRPr="00003BA2">
        <w:t>Sources of data</w:t>
      </w:r>
      <w:bookmarkEnd w:id="51"/>
    </w:p>
    <w:p w14:paraId="775197D8" w14:textId="77777777" w:rsidR="00CF2D46" w:rsidRDefault="00CF2D46" w:rsidP="008A6B2A">
      <w:pPr>
        <w:spacing w:after="120"/>
      </w:pPr>
      <w:r>
        <w:t xml:space="preserve">Aggregated information was extracted </w:t>
      </w:r>
      <w:r w:rsidRPr="00003BA2">
        <w:t>from the Drug Use module from the 2012/13 New Zealand Health Survey</w:t>
      </w:r>
      <w:r>
        <w:t xml:space="preserve"> by the Health and Disability Intelligence Unit, Ministry of Health.</w:t>
      </w:r>
    </w:p>
    <w:tbl>
      <w:tblPr>
        <w:tblStyle w:val="TableGrid"/>
        <w:tblW w:w="0" w:type="auto"/>
        <w:tblInd w:w="108" w:type="dxa"/>
        <w:tblLayout w:type="fixed"/>
        <w:tblLook w:val="04A0" w:firstRow="1" w:lastRow="0" w:firstColumn="1" w:lastColumn="0" w:noHBand="0" w:noVBand="1"/>
      </w:tblPr>
      <w:tblGrid>
        <w:gridCol w:w="2546"/>
        <w:gridCol w:w="6526"/>
      </w:tblGrid>
      <w:tr w:rsidR="00CF2D46" w:rsidRPr="008A6B2A" w14:paraId="13FDA532" w14:textId="77777777" w:rsidTr="008A6B2A">
        <w:trPr>
          <w:cantSplit/>
        </w:trPr>
        <w:tc>
          <w:tcPr>
            <w:tcW w:w="2546" w:type="dxa"/>
          </w:tcPr>
          <w:p w14:paraId="103B2E6F" w14:textId="77777777" w:rsidR="00CF2D46" w:rsidRPr="008A6B2A" w:rsidRDefault="00CF2D46" w:rsidP="008A6B2A">
            <w:pPr>
              <w:pStyle w:val="TableText"/>
              <w:rPr>
                <w:b/>
              </w:rPr>
            </w:pPr>
            <w:r w:rsidRPr="008A6B2A">
              <w:rPr>
                <w:b/>
              </w:rPr>
              <w:t>Ad hoc request number</w:t>
            </w:r>
          </w:p>
        </w:tc>
        <w:tc>
          <w:tcPr>
            <w:tcW w:w="6526" w:type="dxa"/>
          </w:tcPr>
          <w:p w14:paraId="497120A1" w14:textId="77777777" w:rsidR="00CF2D46" w:rsidRPr="008A6B2A" w:rsidRDefault="00CF2D46" w:rsidP="008A6B2A">
            <w:pPr>
              <w:pStyle w:val="TableText"/>
              <w:rPr>
                <w:b/>
              </w:rPr>
            </w:pPr>
            <w:r w:rsidRPr="008A6B2A">
              <w:rPr>
                <w:b/>
              </w:rPr>
              <w:t>Request title</w:t>
            </w:r>
          </w:p>
        </w:tc>
      </w:tr>
      <w:tr w:rsidR="00CF2D46" w14:paraId="5C284CA4" w14:textId="77777777" w:rsidTr="008A6B2A">
        <w:trPr>
          <w:cantSplit/>
        </w:trPr>
        <w:tc>
          <w:tcPr>
            <w:tcW w:w="2546" w:type="dxa"/>
          </w:tcPr>
          <w:p w14:paraId="04B72770" w14:textId="77777777" w:rsidR="00CF2D46" w:rsidRDefault="00CF2D46" w:rsidP="008A6B2A">
            <w:pPr>
              <w:pStyle w:val="TableText"/>
              <w:tabs>
                <w:tab w:val="left" w:pos="1149"/>
              </w:tabs>
            </w:pPr>
            <w:r>
              <w:t>2015</w:t>
            </w:r>
            <w:r>
              <w:tab/>
              <w:t>134</w:t>
            </w:r>
          </w:p>
        </w:tc>
        <w:tc>
          <w:tcPr>
            <w:tcW w:w="6526" w:type="dxa"/>
          </w:tcPr>
          <w:p w14:paraId="0170B6FA" w14:textId="77777777" w:rsidR="00CF2D46" w:rsidRDefault="00CF2D46" w:rsidP="008A6B2A">
            <w:pPr>
              <w:pStyle w:val="TableText"/>
            </w:pPr>
            <w:r w:rsidRPr="00003BA2">
              <w:t xml:space="preserve">New Zealand Drug Harm Index 2015 (NZDHI 2015): Advice on development of Drug Harm Index and </w:t>
            </w:r>
            <w:r>
              <w:t>d</w:t>
            </w:r>
            <w:r w:rsidRPr="00003BA2">
              <w:t>ata extraction from NZHS 2012/13 for drug use prevalence and harms</w:t>
            </w:r>
          </w:p>
        </w:tc>
      </w:tr>
    </w:tbl>
    <w:p w14:paraId="111115C9" w14:textId="77777777" w:rsidR="00CF2D46" w:rsidRDefault="00CF2D46" w:rsidP="008A6B2A">
      <w:r>
        <w:t>Information relating to consumption was sourced from:</w:t>
      </w:r>
    </w:p>
    <w:p w14:paraId="577D75AB" w14:textId="77777777" w:rsidR="00990768" w:rsidRDefault="00CF2D46" w:rsidP="008A6B2A">
      <w:pPr>
        <w:pStyle w:val="References"/>
      </w:pPr>
      <w:r w:rsidRPr="00E8761B">
        <w:t xml:space="preserve">Moore T (2007). </w:t>
      </w:r>
      <w:r w:rsidRPr="008A6B2A">
        <w:rPr>
          <w:i/>
        </w:rPr>
        <w:t>Working estimates of the social cost per gram and per user for cannabis, cocaine, opiates and amphetamines</w:t>
      </w:r>
      <w:r w:rsidRPr="00E8761B">
        <w:t>, Drug Policy Modelling Program Monograph 14, Turning Point.</w:t>
      </w:r>
    </w:p>
    <w:p w14:paraId="0317FD10" w14:textId="77777777" w:rsidR="00CF2D46" w:rsidRDefault="00CF2D46" w:rsidP="008A6B2A">
      <w:pPr>
        <w:pStyle w:val="References"/>
      </w:pPr>
      <w:r w:rsidRPr="00E8761B">
        <w:t>Slack A, O</w:t>
      </w:r>
      <w:r w:rsidR="00990768">
        <w:t>’</w:t>
      </w:r>
      <w:r w:rsidRPr="00E8761B">
        <w:t xml:space="preserve">Dea D, </w:t>
      </w:r>
      <w:proofErr w:type="spellStart"/>
      <w:r w:rsidRPr="00E8761B">
        <w:t>Sheerin</w:t>
      </w:r>
      <w:proofErr w:type="spellEnd"/>
      <w:r w:rsidRPr="00E8761B">
        <w:t xml:space="preserve"> I, Norman D, </w:t>
      </w:r>
      <w:proofErr w:type="spellStart"/>
      <w:r w:rsidRPr="00E8761B">
        <w:t>Jiani</w:t>
      </w:r>
      <w:proofErr w:type="spellEnd"/>
      <w:r w:rsidRPr="00E8761B">
        <w:t xml:space="preserve"> Wu &amp; Nana G (2008). </w:t>
      </w:r>
      <w:r w:rsidRPr="008A6B2A">
        <w:rPr>
          <w:i/>
        </w:rPr>
        <w:t>New Zealand Drug Harm Index</w:t>
      </w:r>
      <w:r w:rsidRPr="00E8761B">
        <w:t>, BERL report for the New Zealand Police.</w:t>
      </w:r>
    </w:p>
    <w:p w14:paraId="4A53FD6B" w14:textId="77777777" w:rsidR="00CF2D46" w:rsidRPr="007F6538" w:rsidRDefault="00CF2D46" w:rsidP="008A6B2A">
      <w:pPr>
        <w:pStyle w:val="Heading2"/>
      </w:pPr>
      <w:bookmarkStart w:id="52" w:name="_Toc444941805"/>
      <w:r w:rsidRPr="007F6538">
        <w:t xml:space="preserve">Adjustment for </w:t>
      </w:r>
      <w:proofErr w:type="spellStart"/>
      <w:r w:rsidRPr="007F6538">
        <w:t>polydrug</w:t>
      </w:r>
      <w:proofErr w:type="spellEnd"/>
      <w:r w:rsidRPr="007F6538">
        <w:t xml:space="preserve"> use</w:t>
      </w:r>
      <w:bookmarkEnd w:id="52"/>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61"/>
        <w:gridCol w:w="1984"/>
        <w:gridCol w:w="1275"/>
        <w:gridCol w:w="1276"/>
        <w:gridCol w:w="1276"/>
      </w:tblGrid>
      <w:tr w:rsidR="00CF2D46" w:rsidRPr="008A6B2A" w14:paraId="0AF5BD97" w14:textId="77777777" w:rsidTr="008A6B2A">
        <w:trPr>
          <w:cantSplit/>
        </w:trPr>
        <w:tc>
          <w:tcPr>
            <w:tcW w:w="3261" w:type="dxa"/>
            <w:tcBorders>
              <w:bottom w:val="single" w:sz="4" w:space="0" w:color="auto"/>
            </w:tcBorders>
            <w:shd w:val="clear" w:color="auto" w:fill="auto"/>
            <w:noWrap/>
            <w:hideMark/>
          </w:tcPr>
          <w:p w14:paraId="132DCAF7" w14:textId="77777777" w:rsidR="00CF2D46" w:rsidRPr="008A6B2A" w:rsidRDefault="00CF2D46" w:rsidP="008A6B2A">
            <w:pPr>
              <w:pStyle w:val="TableText"/>
              <w:rPr>
                <w:b/>
              </w:rPr>
            </w:pPr>
            <w:r w:rsidRPr="008A6B2A">
              <w:rPr>
                <w:b/>
              </w:rPr>
              <w:t>Reference</w:t>
            </w:r>
          </w:p>
        </w:tc>
        <w:tc>
          <w:tcPr>
            <w:tcW w:w="1984" w:type="dxa"/>
            <w:tcBorders>
              <w:bottom w:val="single" w:sz="4" w:space="0" w:color="auto"/>
            </w:tcBorders>
            <w:shd w:val="clear" w:color="auto" w:fill="auto"/>
            <w:noWrap/>
            <w:hideMark/>
          </w:tcPr>
          <w:p w14:paraId="5ED02F15" w14:textId="77777777" w:rsidR="00CF2D46" w:rsidRPr="008A6B2A" w:rsidRDefault="00CF2D46" w:rsidP="008A6B2A">
            <w:pPr>
              <w:pStyle w:val="TableText"/>
              <w:rPr>
                <w:b/>
              </w:rPr>
            </w:pPr>
            <w:r w:rsidRPr="008A6B2A">
              <w:rPr>
                <w:b/>
              </w:rPr>
              <w:t>Drug group</w:t>
            </w:r>
          </w:p>
        </w:tc>
        <w:tc>
          <w:tcPr>
            <w:tcW w:w="1275" w:type="dxa"/>
            <w:tcBorders>
              <w:bottom w:val="single" w:sz="4" w:space="0" w:color="auto"/>
            </w:tcBorders>
            <w:shd w:val="clear" w:color="auto" w:fill="auto"/>
            <w:noWrap/>
            <w:hideMark/>
          </w:tcPr>
          <w:p w14:paraId="73AB3229" w14:textId="77777777" w:rsidR="00CF2D46" w:rsidRPr="008A6B2A" w:rsidRDefault="00CF2D46" w:rsidP="008A6B2A">
            <w:pPr>
              <w:pStyle w:val="TableText"/>
              <w:jc w:val="center"/>
              <w:rPr>
                <w:b/>
              </w:rPr>
            </w:pPr>
            <w:r w:rsidRPr="008A6B2A">
              <w:rPr>
                <w:b/>
              </w:rPr>
              <w:t>Weekly or more</w:t>
            </w:r>
          </w:p>
        </w:tc>
        <w:tc>
          <w:tcPr>
            <w:tcW w:w="1276" w:type="dxa"/>
            <w:tcBorders>
              <w:bottom w:val="single" w:sz="4" w:space="0" w:color="auto"/>
            </w:tcBorders>
            <w:shd w:val="clear" w:color="auto" w:fill="auto"/>
            <w:noWrap/>
            <w:hideMark/>
          </w:tcPr>
          <w:p w14:paraId="09B04090" w14:textId="77777777" w:rsidR="00CF2D46" w:rsidRPr="008A6B2A" w:rsidRDefault="00CF2D46" w:rsidP="008A6B2A">
            <w:pPr>
              <w:pStyle w:val="TableText"/>
              <w:jc w:val="center"/>
              <w:rPr>
                <w:b/>
              </w:rPr>
            </w:pPr>
            <w:r w:rsidRPr="008A6B2A">
              <w:rPr>
                <w:b/>
              </w:rPr>
              <w:t>Less</w:t>
            </w:r>
            <w:r w:rsidR="008A6B2A">
              <w:rPr>
                <w:b/>
              </w:rPr>
              <w:br/>
            </w:r>
            <w:r w:rsidRPr="008A6B2A">
              <w:rPr>
                <w:b/>
              </w:rPr>
              <w:t>often</w:t>
            </w:r>
          </w:p>
        </w:tc>
        <w:tc>
          <w:tcPr>
            <w:tcW w:w="1276" w:type="dxa"/>
            <w:tcBorders>
              <w:bottom w:val="single" w:sz="4" w:space="0" w:color="auto"/>
            </w:tcBorders>
            <w:shd w:val="clear" w:color="auto" w:fill="auto"/>
            <w:noWrap/>
            <w:hideMark/>
          </w:tcPr>
          <w:p w14:paraId="49A99CEB" w14:textId="77777777" w:rsidR="00CF2D46" w:rsidRPr="008A6B2A" w:rsidRDefault="00CF2D46" w:rsidP="008A6B2A">
            <w:pPr>
              <w:pStyle w:val="TableText"/>
              <w:jc w:val="center"/>
              <w:rPr>
                <w:b/>
              </w:rPr>
            </w:pPr>
            <w:r w:rsidRPr="008A6B2A">
              <w:rPr>
                <w:b/>
              </w:rPr>
              <w:t>Total</w:t>
            </w:r>
          </w:p>
        </w:tc>
      </w:tr>
      <w:tr w:rsidR="00CF2D46" w:rsidRPr="00A71588" w14:paraId="2404234B" w14:textId="77777777" w:rsidTr="008A6B2A">
        <w:trPr>
          <w:cantSplit/>
        </w:trPr>
        <w:tc>
          <w:tcPr>
            <w:tcW w:w="3261" w:type="dxa"/>
            <w:tcBorders>
              <w:top w:val="single" w:sz="4" w:space="0" w:color="auto"/>
              <w:bottom w:val="nil"/>
            </w:tcBorders>
            <w:shd w:val="clear" w:color="auto" w:fill="auto"/>
            <w:hideMark/>
          </w:tcPr>
          <w:p w14:paraId="1076F1A5" w14:textId="77777777" w:rsidR="00CF2D46" w:rsidRPr="00990768" w:rsidRDefault="00CF2D46" w:rsidP="008A6B2A">
            <w:pPr>
              <w:pStyle w:val="TableText"/>
            </w:pPr>
            <w:proofErr w:type="spellStart"/>
            <w:r w:rsidRPr="00990768">
              <w:t>IndATSLeastWkDenUsePYr</w:t>
            </w:r>
            <w:proofErr w:type="spellEnd"/>
            <w:r w:rsidRPr="00990768">
              <w:t xml:space="preserve"> /</w:t>
            </w:r>
            <w:proofErr w:type="spellStart"/>
            <w:r w:rsidRPr="00990768">
              <w:t>IndATSLessWkDenUsePYr</w:t>
            </w:r>
            <w:proofErr w:type="spellEnd"/>
          </w:p>
        </w:tc>
        <w:tc>
          <w:tcPr>
            <w:tcW w:w="1984" w:type="dxa"/>
            <w:tcBorders>
              <w:top w:val="single" w:sz="4" w:space="0" w:color="auto"/>
              <w:bottom w:val="nil"/>
            </w:tcBorders>
            <w:shd w:val="clear" w:color="auto" w:fill="auto"/>
            <w:noWrap/>
            <w:hideMark/>
          </w:tcPr>
          <w:p w14:paraId="3E210BBA" w14:textId="77777777" w:rsidR="00CF2D46" w:rsidRPr="00990768" w:rsidRDefault="00CF2D46" w:rsidP="008A6B2A">
            <w:pPr>
              <w:pStyle w:val="TableText"/>
            </w:pPr>
            <w:r>
              <w:t>Amphetamine-type stimulants</w:t>
            </w:r>
          </w:p>
        </w:tc>
        <w:tc>
          <w:tcPr>
            <w:tcW w:w="1275" w:type="dxa"/>
            <w:tcBorders>
              <w:top w:val="single" w:sz="4" w:space="0" w:color="auto"/>
              <w:bottom w:val="nil"/>
            </w:tcBorders>
            <w:shd w:val="clear" w:color="auto" w:fill="auto"/>
            <w:noWrap/>
            <w:hideMark/>
          </w:tcPr>
          <w:p w14:paraId="14CBAEAC" w14:textId="77777777" w:rsidR="00CF2D46" w:rsidRPr="00990768" w:rsidRDefault="00CF2D46" w:rsidP="008A6B2A">
            <w:pPr>
              <w:pStyle w:val="TableText"/>
              <w:tabs>
                <w:tab w:val="decimal" w:pos="884"/>
              </w:tabs>
            </w:pPr>
            <w:r w:rsidRPr="00990768">
              <w:t>3,400</w:t>
            </w:r>
          </w:p>
        </w:tc>
        <w:tc>
          <w:tcPr>
            <w:tcW w:w="1276" w:type="dxa"/>
            <w:tcBorders>
              <w:top w:val="single" w:sz="4" w:space="0" w:color="auto"/>
              <w:bottom w:val="nil"/>
            </w:tcBorders>
            <w:shd w:val="clear" w:color="auto" w:fill="auto"/>
            <w:noWrap/>
            <w:hideMark/>
          </w:tcPr>
          <w:p w14:paraId="64F8B6A0" w14:textId="77777777" w:rsidR="00CF2D46" w:rsidRPr="00990768" w:rsidRDefault="00CF2D46" w:rsidP="008A6B2A">
            <w:pPr>
              <w:pStyle w:val="TableText"/>
              <w:tabs>
                <w:tab w:val="decimal" w:pos="884"/>
              </w:tabs>
            </w:pPr>
            <w:r w:rsidRPr="00990768">
              <w:t>34,000</w:t>
            </w:r>
          </w:p>
        </w:tc>
        <w:tc>
          <w:tcPr>
            <w:tcW w:w="1276" w:type="dxa"/>
            <w:tcBorders>
              <w:top w:val="single" w:sz="4" w:space="0" w:color="auto"/>
              <w:bottom w:val="nil"/>
            </w:tcBorders>
            <w:shd w:val="clear" w:color="auto" w:fill="auto"/>
            <w:noWrap/>
            <w:hideMark/>
          </w:tcPr>
          <w:p w14:paraId="34831688" w14:textId="77777777" w:rsidR="00CF2D46" w:rsidRPr="00990768" w:rsidRDefault="00CF2D46" w:rsidP="008A6B2A">
            <w:pPr>
              <w:pStyle w:val="TableText"/>
              <w:tabs>
                <w:tab w:val="decimal" w:pos="884"/>
              </w:tabs>
            </w:pPr>
            <w:r w:rsidRPr="00990768">
              <w:t>37,400</w:t>
            </w:r>
          </w:p>
        </w:tc>
      </w:tr>
      <w:tr w:rsidR="00CF2D46" w:rsidRPr="00A71588" w14:paraId="20014C09" w14:textId="77777777" w:rsidTr="008A6B2A">
        <w:trPr>
          <w:cantSplit/>
        </w:trPr>
        <w:tc>
          <w:tcPr>
            <w:tcW w:w="3261" w:type="dxa"/>
            <w:tcBorders>
              <w:top w:val="nil"/>
              <w:bottom w:val="nil"/>
            </w:tcBorders>
            <w:shd w:val="clear" w:color="auto" w:fill="auto"/>
            <w:hideMark/>
          </w:tcPr>
          <w:p w14:paraId="4DCABD73" w14:textId="77777777" w:rsidR="00CF2D46" w:rsidRPr="00990768" w:rsidRDefault="00CF2D46" w:rsidP="008A6B2A">
            <w:pPr>
              <w:pStyle w:val="TableText"/>
            </w:pPr>
            <w:proofErr w:type="spellStart"/>
            <w:r w:rsidRPr="00990768">
              <w:t>IndCanoidsLeastWkDenUsePYr</w:t>
            </w:r>
            <w:proofErr w:type="spellEnd"/>
            <w:r w:rsidRPr="00990768">
              <w:t xml:space="preserve"> /</w:t>
            </w:r>
            <w:proofErr w:type="spellStart"/>
            <w:r w:rsidRPr="00990768">
              <w:t>IndCanoidsLessWkDenUsePYr</w:t>
            </w:r>
            <w:proofErr w:type="spellEnd"/>
          </w:p>
        </w:tc>
        <w:tc>
          <w:tcPr>
            <w:tcW w:w="1984" w:type="dxa"/>
            <w:tcBorders>
              <w:top w:val="nil"/>
              <w:bottom w:val="nil"/>
            </w:tcBorders>
            <w:shd w:val="clear" w:color="auto" w:fill="auto"/>
            <w:hideMark/>
          </w:tcPr>
          <w:p w14:paraId="75D2D05F" w14:textId="77777777" w:rsidR="00CF2D46" w:rsidRPr="00990768" w:rsidRDefault="00CF2D46" w:rsidP="008A6B2A">
            <w:pPr>
              <w:pStyle w:val="TableText"/>
            </w:pPr>
            <w:r>
              <w:t>Cannabinoids</w:t>
            </w:r>
          </w:p>
        </w:tc>
        <w:tc>
          <w:tcPr>
            <w:tcW w:w="1275" w:type="dxa"/>
            <w:tcBorders>
              <w:top w:val="nil"/>
              <w:bottom w:val="nil"/>
            </w:tcBorders>
            <w:shd w:val="clear" w:color="auto" w:fill="auto"/>
            <w:noWrap/>
            <w:hideMark/>
          </w:tcPr>
          <w:p w14:paraId="3390C66C" w14:textId="77777777" w:rsidR="00CF2D46" w:rsidRPr="00990768" w:rsidRDefault="00CF2D46" w:rsidP="008A6B2A">
            <w:pPr>
              <w:pStyle w:val="TableText"/>
              <w:tabs>
                <w:tab w:val="decimal" w:pos="884"/>
              </w:tabs>
            </w:pPr>
            <w:r w:rsidRPr="00990768">
              <w:t>130,000</w:t>
            </w:r>
          </w:p>
        </w:tc>
        <w:tc>
          <w:tcPr>
            <w:tcW w:w="1276" w:type="dxa"/>
            <w:tcBorders>
              <w:top w:val="nil"/>
              <w:bottom w:val="nil"/>
            </w:tcBorders>
            <w:shd w:val="clear" w:color="auto" w:fill="auto"/>
            <w:noWrap/>
            <w:hideMark/>
          </w:tcPr>
          <w:p w14:paraId="5418E517" w14:textId="77777777" w:rsidR="00CF2D46" w:rsidRPr="00990768" w:rsidRDefault="00CF2D46" w:rsidP="008A6B2A">
            <w:pPr>
              <w:pStyle w:val="TableText"/>
              <w:tabs>
                <w:tab w:val="decimal" w:pos="884"/>
              </w:tabs>
            </w:pPr>
            <w:r w:rsidRPr="00990768">
              <w:t>244,000</w:t>
            </w:r>
          </w:p>
        </w:tc>
        <w:tc>
          <w:tcPr>
            <w:tcW w:w="1276" w:type="dxa"/>
            <w:tcBorders>
              <w:top w:val="nil"/>
              <w:bottom w:val="nil"/>
            </w:tcBorders>
            <w:shd w:val="clear" w:color="auto" w:fill="auto"/>
            <w:noWrap/>
            <w:hideMark/>
          </w:tcPr>
          <w:p w14:paraId="5A19849C" w14:textId="77777777" w:rsidR="00CF2D46" w:rsidRPr="00990768" w:rsidRDefault="00CF2D46" w:rsidP="008A6B2A">
            <w:pPr>
              <w:pStyle w:val="TableText"/>
              <w:tabs>
                <w:tab w:val="decimal" w:pos="884"/>
              </w:tabs>
            </w:pPr>
            <w:r w:rsidRPr="00990768">
              <w:t>374,000</w:t>
            </w:r>
          </w:p>
        </w:tc>
      </w:tr>
      <w:tr w:rsidR="00CF2D46" w:rsidRPr="00A71588" w14:paraId="410BCFD7" w14:textId="77777777" w:rsidTr="008A6B2A">
        <w:trPr>
          <w:cantSplit/>
        </w:trPr>
        <w:tc>
          <w:tcPr>
            <w:tcW w:w="3261" w:type="dxa"/>
            <w:tcBorders>
              <w:top w:val="nil"/>
              <w:bottom w:val="nil"/>
            </w:tcBorders>
            <w:shd w:val="clear" w:color="auto" w:fill="auto"/>
            <w:hideMark/>
          </w:tcPr>
          <w:p w14:paraId="6CCEB64E" w14:textId="77777777" w:rsidR="00CF2D46" w:rsidRPr="00990768" w:rsidRDefault="00CF2D46" w:rsidP="008A6B2A">
            <w:pPr>
              <w:pStyle w:val="TableText"/>
            </w:pPr>
            <w:proofErr w:type="spellStart"/>
            <w:r w:rsidRPr="00990768">
              <w:t>IndHallPsyLeastWkDenUsePYr</w:t>
            </w:r>
            <w:proofErr w:type="spellEnd"/>
            <w:r w:rsidRPr="00990768">
              <w:t xml:space="preserve"> /</w:t>
            </w:r>
            <w:proofErr w:type="spellStart"/>
            <w:r w:rsidRPr="00990768">
              <w:t>IndHallPsyLessWkDenUsePYr</w:t>
            </w:r>
            <w:proofErr w:type="spellEnd"/>
          </w:p>
        </w:tc>
        <w:tc>
          <w:tcPr>
            <w:tcW w:w="1984" w:type="dxa"/>
            <w:tcBorders>
              <w:top w:val="nil"/>
              <w:bottom w:val="nil"/>
            </w:tcBorders>
            <w:shd w:val="clear" w:color="auto" w:fill="auto"/>
            <w:hideMark/>
          </w:tcPr>
          <w:p w14:paraId="5134C1A6" w14:textId="76FC9F44" w:rsidR="00CF2D46" w:rsidRPr="00990768" w:rsidRDefault="00CF2D46">
            <w:pPr>
              <w:pStyle w:val="TableText"/>
            </w:pPr>
            <w:r>
              <w:t xml:space="preserve">Hallucinogenic </w:t>
            </w:r>
            <w:r w:rsidR="008A6B2A">
              <w:t>and</w:t>
            </w:r>
            <w:r>
              <w:t xml:space="preserve"> psychedelic</w:t>
            </w:r>
          </w:p>
        </w:tc>
        <w:tc>
          <w:tcPr>
            <w:tcW w:w="1275" w:type="dxa"/>
            <w:tcBorders>
              <w:top w:val="nil"/>
              <w:bottom w:val="nil"/>
            </w:tcBorders>
            <w:shd w:val="clear" w:color="auto" w:fill="auto"/>
            <w:noWrap/>
            <w:hideMark/>
          </w:tcPr>
          <w:p w14:paraId="6FF5EC1F" w14:textId="77777777" w:rsidR="00CF2D46" w:rsidRPr="00990768" w:rsidRDefault="00CF2D46" w:rsidP="008A6B2A">
            <w:pPr>
              <w:pStyle w:val="TableText"/>
              <w:tabs>
                <w:tab w:val="decimal" w:pos="884"/>
              </w:tabs>
            </w:pPr>
            <w:r w:rsidRPr="00990768">
              <w:t>1,900</w:t>
            </w:r>
          </w:p>
        </w:tc>
        <w:tc>
          <w:tcPr>
            <w:tcW w:w="1276" w:type="dxa"/>
            <w:tcBorders>
              <w:top w:val="nil"/>
              <w:bottom w:val="nil"/>
            </w:tcBorders>
            <w:shd w:val="clear" w:color="auto" w:fill="auto"/>
            <w:noWrap/>
            <w:hideMark/>
          </w:tcPr>
          <w:p w14:paraId="487053E7" w14:textId="77777777" w:rsidR="00CF2D46" w:rsidRPr="00990768" w:rsidRDefault="00CF2D46" w:rsidP="008A6B2A">
            <w:pPr>
              <w:pStyle w:val="TableText"/>
              <w:tabs>
                <w:tab w:val="decimal" w:pos="884"/>
              </w:tabs>
            </w:pPr>
            <w:r w:rsidRPr="00990768">
              <w:t>78,000</w:t>
            </w:r>
          </w:p>
        </w:tc>
        <w:tc>
          <w:tcPr>
            <w:tcW w:w="1276" w:type="dxa"/>
            <w:tcBorders>
              <w:top w:val="nil"/>
              <w:bottom w:val="nil"/>
            </w:tcBorders>
            <w:shd w:val="clear" w:color="auto" w:fill="auto"/>
            <w:noWrap/>
            <w:hideMark/>
          </w:tcPr>
          <w:p w14:paraId="184F9B77" w14:textId="77777777" w:rsidR="00CF2D46" w:rsidRPr="00990768" w:rsidRDefault="00CF2D46" w:rsidP="008A6B2A">
            <w:pPr>
              <w:pStyle w:val="TableText"/>
              <w:tabs>
                <w:tab w:val="decimal" w:pos="884"/>
              </w:tabs>
            </w:pPr>
            <w:r w:rsidRPr="00990768">
              <w:t>79,900</w:t>
            </w:r>
          </w:p>
        </w:tc>
      </w:tr>
      <w:tr w:rsidR="00CF2D46" w:rsidRPr="00A71588" w14:paraId="76C458B3" w14:textId="77777777" w:rsidTr="008A6B2A">
        <w:trPr>
          <w:cantSplit/>
        </w:trPr>
        <w:tc>
          <w:tcPr>
            <w:tcW w:w="3261" w:type="dxa"/>
            <w:tcBorders>
              <w:top w:val="nil"/>
              <w:bottom w:val="single" w:sz="4" w:space="0" w:color="auto"/>
            </w:tcBorders>
            <w:shd w:val="clear" w:color="auto" w:fill="auto"/>
            <w:hideMark/>
          </w:tcPr>
          <w:p w14:paraId="7D313A00" w14:textId="77777777" w:rsidR="00CF2D46" w:rsidRPr="00990768" w:rsidRDefault="00CF2D46" w:rsidP="008A6B2A">
            <w:pPr>
              <w:pStyle w:val="TableText"/>
            </w:pPr>
            <w:proofErr w:type="spellStart"/>
            <w:r w:rsidRPr="00990768">
              <w:t>IndOpoidSedLeastWkDenUse</w:t>
            </w:r>
            <w:r w:rsidR="008A6B2A">
              <w:t>PYr</w:t>
            </w:r>
            <w:proofErr w:type="spellEnd"/>
            <w:r w:rsidR="008A6B2A">
              <w:t xml:space="preserve"> /</w:t>
            </w:r>
            <w:proofErr w:type="spellStart"/>
            <w:r w:rsidR="008A6B2A">
              <w:t>IndOpoidSedLessWkDenUsePYr</w:t>
            </w:r>
            <w:proofErr w:type="spellEnd"/>
          </w:p>
        </w:tc>
        <w:tc>
          <w:tcPr>
            <w:tcW w:w="1984" w:type="dxa"/>
            <w:tcBorders>
              <w:top w:val="nil"/>
              <w:bottom w:val="single" w:sz="4" w:space="0" w:color="auto"/>
            </w:tcBorders>
            <w:shd w:val="clear" w:color="auto" w:fill="auto"/>
            <w:hideMark/>
          </w:tcPr>
          <w:p w14:paraId="648B1C77" w14:textId="5476E2F9" w:rsidR="00CF2D46" w:rsidRPr="00990768" w:rsidRDefault="00CF2D46">
            <w:pPr>
              <w:pStyle w:val="TableText"/>
            </w:pPr>
            <w:r>
              <w:t xml:space="preserve">Opioid </w:t>
            </w:r>
            <w:r w:rsidR="008A6B2A">
              <w:t>and sedative</w:t>
            </w:r>
          </w:p>
        </w:tc>
        <w:tc>
          <w:tcPr>
            <w:tcW w:w="1275" w:type="dxa"/>
            <w:tcBorders>
              <w:top w:val="nil"/>
              <w:bottom w:val="single" w:sz="4" w:space="0" w:color="auto"/>
            </w:tcBorders>
            <w:shd w:val="clear" w:color="auto" w:fill="auto"/>
            <w:noWrap/>
            <w:hideMark/>
          </w:tcPr>
          <w:p w14:paraId="47CFF4D8" w14:textId="77777777" w:rsidR="00CF2D46" w:rsidRPr="00990768" w:rsidRDefault="00CF2D46" w:rsidP="008A6B2A">
            <w:pPr>
              <w:pStyle w:val="TableText"/>
              <w:tabs>
                <w:tab w:val="decimal" w:pos="884"/>
              </w:tabs>
            </w:pPr>
            <w:r w:rsidRPr="00990768">
              <w:t>7,300</w:t>
            </w:r>
          </w:p>
        </w:tc>
        <w:tc>
          <w:tcPr>
            <w:tcW w:w="1276" w:type="dxa"/>
            <w:tcBorders>
              <w:top w:val="nil"/>
              <w:bottom w:val="single" w:sz="4" w:space="0" w:color="auto"/>
            </w:tcBorders>
            <w:shd w:val="clear" w:color="auto" w:fill="auto"/>
            <w:noWrap/>
            <w:hideMark/>
          </w:tcPr>
          <w:p w14:paraId="0FF0E6BA" w14:textId="77777777" w:rsidR="00CF2D46" w:rsidRPr="00990768" w:rsidRDefault="00CF2D46" w:rsidP="008A6B2A">
            <w:pPr>
              <w:pStyle w:val="TableText"/>
              <w:tabs>
                <w:tab w:val="decimal" w:pos="884"/>
              </w:tabs>
            </w:pPr>
            <w:r w:rsidRPr="00990768">
              <w:t>34,000</w:t>
            </w:r>
          </w:p>
        </w:tc>
        <w:tc>
          <w:tcPr>
            <w:tcW w:w="1276" w:type="dxa"/>
            <w:tcBorders>
              <w:top w:val="nil"/>
              <w:bottom w:val="single" w:sz="4" w:space="0" w:color="auto"/>
            </w:tcBorders>
            <w:shd w:val="clear" w:color="auto" w:fill="auto"/>
            <w:noWrap/>
            <w:hideMark/>
          </w:tcPr>
          <w:p w14:paraId="27D02266" w14:textId="77777777" w:rsidR="00CF2D46" w:rsidRPr="00990768" w:rsidRDefault="00CF2D46" w:rsidP="008A6B2A">
            <w:pPr>
              <w:pStyle w:val="TableText"/>
              <w:tabs>
                <w:tab w:val="decimal" w:pos="884"/>
              </w:tabs>
            </w:pPr>
            <w:r w:rsidRPr="00990768">
              <w:t>41,300</w:t>
            </w:r>
          </w:p>
        </w:tc>
      </w:tr>
      <w:tr w:rsidR="00CF2D46" w:rsidRPr="008A6B2A" w14:paraId="17F09761" w14:textId="77777777" w:rsidTr="008A6B2A">
        <w:trPr>
          <w:cantSplit/>
        </w:trPr>
        <w:tc>
          <w:tcPr>
            <w:tcW w:w="3261" w:type="dxa"/>
            <w:tcBorders>
              <w:top w:val="single" w:sz="4" w:space="0" w:color="auto"/>
            </w:tcBorders>
            <w:shd w:val="clear" w:color="auto" w:fill="FABF8F" w:themeFill="accent6" w:themeFillTint="99"/>
            <w:noWrap/>
            <w:hideMark/>
          </w:tcPr>
          <w:p w14:paraId="658BCD53" w14:textId="77777777" w:rsidR="00CF2D46" w:rsidRPr="008A6B2A" w:rsidRDefault="00CF2D46" w:rsidP="008A6B2A">
            <w:pPr>
              <w:pStyle w:val="TableText"/>
            </w:pPr>
          </w:p>
        </w:tc>
        <w:tc>
          <w:tcPr>
            <w:tcW w:w="1984" w:type="dxa"/>
            <w:tcBorders>
              <w:top w:val="single" w:sz="4" w:space="0" w:color="auto"/>
            </w:tcBorders>
            <w:shd w:val="clear" w:color="auto" w:fill="FABF8F" w:themeFill="accent6" w:themeFillTint="99"/>
            <w:hideMark/>
          </w:tcPr>
          <w:p w14:paraId="3F50E48F" w14:textId="77777777" w:rsidR="00CF2D46" w:rsidRPr="008A6B2A" w:rsidRDefault="00CF2D46" w:rsidP="008A6B2A">
            <w:pPr>
              <w:pStyle w:val="TableText"/>
            </w:pPr>
            <w:r w:rsidRPr="008A6B2A">
              <w:t>Calculated total</w:t>
            </w:r>
          </w:p>
        </w:tc>
        <w:tc>
          <w:tcPr>
            <w:tcW w:w="1275" w:type="dxa"/>
            <w:tcBorders>
              <w:top w:val="single" w:sz="4" w:space="0" w:color="auto"/>
            </w:tcBorders>
            <w:shd w:val="clear" w:color="auto" w:fill="FABF8F" w:themeFill="accent6" w:themeFillTint="99"/>
            <w:noWrap/>
            <w:hideMark/>
          </w:tcPr>
          <w:p w14:paraId="1D5D2202" w14:textId="77777777" w:rsidR="00CF2D46" w:rsidRPr="008A6B2A" w:rsidRDefault="00CF2D46" w:rsidP="008A6B2A">
            <w:pPr>
              <w:pStyle w:val="TableText"/>
              <w:tabs>
                <w:tab w:val="decimal" w:pos="884"/>
              </w:tabs>
            </w:pPr>
            <w:r w:rsidRPr="008A6B2A">
              <w:t>142,600</w:t>
            </w:r>
          </w:p>
        </w:tc>
        <w:tc>
          <w:tcPr>
            <w:tcW w:w="1276" w:type="dxa"/>
            <w:tcBorders>
              <w:top w:val="single" w:sz="4" w:space="0" w:color="auto"/>
            </w:tcBorders>
            <w:shd w:val="clear" w:color="auto" w:fill="FABF8F" w:themeFill="accent6" w:themeFillTint="99"/>
            <w:noWrap/>
            <w:hideMark/>
          </w:tcPr>
          <w:p w14:paraId="18EE7B53" w14:textId="77777777" w:rsidR="00CF2D46" w:rsidRPr="008A6B2A" w:rsidRDefault="00CF2D46" w:rsidP="008A6B2A">
            <w:pPr>
              <w:pStyle w:val="TableText"/>
              <w:tabs>
                <w:tab w:val="decimal" w:pos="884"/>
              </w:tabs>
            </w:pPr>
            <w:r w:rsidRPr="008A6B2A">
              <w:t>390,000</w:t>
            </w:r>
          </w:p>
        </w:tc>
        <w:tc>
          <w:tcPr>
            <w:tcW w:w="1276" w:type="dxa"/>
            <w:tcBorders>
              <w:top w:val="single" w:sz="4" w:space="0" w:color="auto"/>
            </w:tcBorders>
            <w:shd w:val="clear" w:color="auto" w:fill="FABF8F" w:themeFill="accent6" w:themeFillTint="99"/>
            <w:noWrap/>
            <w:hideMark/>
          </w:tcPr>
          <w:p w14:paraId="0FFDD567" w14:textId="77777777" w:rsidR="00CF2D46" w:rsidRPr="008A6B2A" w:rsidRDefault="00CF2D46" w:rsidP="008A6B2A">
            <w:pPr>
              <w:pStyle w:val="TableText"/>
              <w:tabs>
                <w:tab w:val="decimal" w:pos="884"/>
              </w:tabs>
            </w:pPr>
            <w:r w:rsidRPr="008A6B2A">
              <w:t>532,600</w:t>
            </w:r>
          </w:p>
        </w:tc>
      </w:tr>
    </w:tbl>
    <w:p w14:paraId="03EC183E" w14:textId="77777777" w:rsidR="00CF2D46" w:rsidRDefault="00CF2D46" w:rsidP="008A6B2A">
      <w:pPr>
        <w:spacing w:after="120"/>
      </w:pPr>
      <w:r>
        <w:t>There are 532,600 estimated users of the four individual drug groups, the number of unique individuals is lower. The following table provides the number of unique individuals.</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61"/>
        <w:gridCol w:w="1984"/>
        <w:gridCol w:w="1275"/>
        <w:gridCol w:w="1276"/>
        <w:gridCol w:w="1276"/>
      </w:tblGrid>
      <w:tr w:rsidR="00CF2D46" w:rsidRPr="008A6B2A" w14:paraId="66F1796B" w14:textId="77777777" w:rsidTr="008A6B2A">
        <w:trPr>
          <w:cantSplit/>
        </w:trPr>
        <w:tc>
          <w:tcPr>
            <w:tcW w:w="3261" w:type="dxa"/>
            <w:tcBorders>
              <w:bottom w:val="single" w:sz="4" w:space="0" w:color="auto"/>
            </w:tcBorders>
            <w:shd w:val="clear" w:color="auto" w:fill="auto"/>
            <w:noWrap/>
            <w:hideMark/>
          </w:tcPr>
          <w:p w14:paraId="136AB840" w14:textId="77777777" w:rsidR="00CF2D46" w:rsidRPr="008A6B2A" w:rsidRDefault="00CF2D46" w:rsidP="008A6B2A">
            <w:pPr>
              <w:pStyle w:val="TableText"/>
              <w:rPr>
                <w:b/>
              </w:rPr>
            </w:pPr>
            <w:r w:rsidRPr="008A6B2A">
              <w:rPr>
                <w:b/>
              </w:rPr>
              <w:t>Reference</w:t>
            </w:r>
          </w:p>
        </w:tc>
        <w:tc>
          <w:tcPr>
            <w:tcW w:w="1984" w:type="dxa"/>
            <w:tcBorders>
              <w:bottom w:val="single" w:sz="4" w:space="0" w:color="auto"/>
            </w:tcBorders>
            <w:shd w:val="clear" w:color="auto" w:fill="auto"/>
            <w:noWrap/>
            <w:hideMark/>
          </w:tcPr>
          <w:p w14:paraId="002B2BCC" w14:textId="77777777" w:rsidR="00CF2D46" w:rsidRPr="008A6B2A" w:rsidRDefault="00CF2D46" w:rsidP="008A6B2A">
            <w:pPr>
              <w:pStyle w:val="TableText"/>
              <w:rPr>
                <w:b/>
              </w:rPr>
            </w:pPr>
            <w:r w:rsidRPr="008A6B2A">
              <w:rPr>
                <w:b/>
              </w:rPr>
              <w:t>Drug group</w:t>
            </w:r>
          </w:p>
        </w:tc>
        <w:tc>
          <w:tcPr>
            <w:tcW w:w="1275" w:type="dxa"/>
            <w:tcBorders>
              <w:bottom w:val="single" w:sz="4" w:space="0" w:color="auto"/>
            </w:tcBorders>
            <w:shd w:val="clear" w:color="auto" w:fill="auto"/>
            <w:noWrap/>
            <w:hideMark/>
          </w:tcPr>
          <w:p w14:paraId="133BDB99" w14:textId="77777777" w:rsidR="00CF2D46" w:rsidRPr="008A6B2A" w:rsidRDefault="00CF2D46" w:rsidP="008A6B2A">
            <w:pPr>
              <w:pStyle w:val="TableText"/>
              <w:jc w:val="center"/>
              <w:rPr>
                <w:b/>
              </w:rPr>
            </w:pPr>
            <w:r w:rsidRPr="008A6B2A">
              <w:rPr>
                <w:b/>
              </w:rPr>
              <w:t>Weekly or more</w:t>
            </w:r>
          </w:p>
        </w:tc>
        <w:tc>
          <w:tcPr>
            <w:tcW w:w="1276" w:type="dxa"/>
            <w:tcBorders>
              <w:bottom w:val="single" w:sz="4" w:space="0" w:color="auto"/>
            </w:tcBorders>
            <w:shd w:val="clear" w:color="auto" w:fill="auto"/>
            <w:noWrap/>
            <w:hideMark/>
          </w:tcPr>
          <w:p w14:paraId="7A642FAE" w14:textId="77777777" w:rsidR="00CF2D46" w:rsidRPr="008A6B2A" w:rsidRDefault="00CF2D46" w:rsidP="008A6B2A">
            <w:pPr>
              <w:pStyle w:val="TableText"/>
              <w:jc w:val="center"/>
              <w:rPr>
                <w:b/>
              </w:rPr>
            </w:pPr>
            <w:r w:rsidRPr="008A6B2A">
              <w:rPr>
                <w:b/>
              </w:rPr>
              <w:t>Less often</w:t>
            </w:r>
          </w:p>
        </w:tc>
        <w:tc>
          <w:tcPr>
            <w:tcW w:w="1276" w:type="dxa"/>
            <w:tcBorders>
              <w:bottom w:val="single" w:sz="4" w:space="0" w:color="auto"/>
            </w:tcBorders>
            <w:shd w:val="clear" w:color="auto" w:fill="auto"/>
            <w:noWrap/>
            <w:hideMark/>
          </w:tcPr>
          <w:p w14:paraId="70863022" w14:textId="77777777" w:rsidR="00CF2D46" w:rsidRPr="008A6B2A" w:rsidRDefault="00CF2D46" w:rsidP="008A6B2A">
            <w:pPr>
              <w:pStyle w:val="TableText"/>
              <w:jc w:val="center"/>
              <w:rPr>
                <w:b/>
              </w:rPr>
            </w:pPr>
            <w:r w:rsidRPr="008A6B2A">
              <w:rPr>
                <w:b/>
              </w:rPr>
              <w:t>Total</w:t>
            </w:r>
          </w:p>
        </w:tc>
      </w:tr>
      <w:tr w:rsidR="00CF2D46" w:rsidRPr="004F374C" w14:paraId="3C2961D2" w14:textId="77777777" w:rsidTr="008A6B2A">
        <w:trPr>
          <w:cantSplit/>
        </w:trPr>
        <w:tc>
          <w:tcPr>
            <w:tcW w:w="3261" w:type="dxa"/>
            <w:tcBorders>
              <w:top w:val="single" w:sz="4" w:space="0" w:color="auto"/>
              <w:left w:val="single" w:sz="4" w:space="0" w:color="auto"/>
              <w:bottom w:val="single" w:sz="4" w:space="0" w:color="auto"/>
            </w:tcBorders>
            <w:shd w:val="clear" w:color="auto" w:fill="FABF8F" w:themeFill="accent6" w:themeFillTint="99"/>
            <w:hideMark/>
          </w:tcPr>
          <w:p w14:paraId="58CBDB75" w14:textId="77777777" w:rsidR="00CF2D46" w:rsidRPr="00990768" w:rsidRDefault="00CF2D46" w:rsidP="008A6B2A">
            <w:pPr>
              <w:pStyle w:val="TableText"/>
            </w:pPr>
            <w:r w:rsidRPr="00990768">
              <w:t>Ind4DrugsLeastWkDenUsePYr /Ind4DrugsLessWkDenUsePY</w:t>
            </w:r>
          </w:p>
        </w:tc>
        <w:tc>
          <w:tcPr>
            <w:tcW w:w="1984" w:type="dxa"/>
            <w:tcBorders>
              <w:top w:val="single" w:sz="4" w:space="0" w:color="auto"/>
              <w:bottom w:val="single" w:sz="4" w:space="0" w:color="auto"/>
            </w:tcBorders>
            <w:shd w:val="clear" w:color="auto" w:fill="FABF8F" w:themeFill="accent6" w:themeFillTint="99"/>
            <w:noWrap/>
            <w:hideMark/>
          </w:tcPr>
          <w:p w14:paraId="1FAEEC53" w14:textId="77777777" w:rsidR="00CF2D46" w:rsidRPr="004F374C" w:rsidRDefault="00CF2D46" w:rsidP="008A6B2A">
            <w:pPr>
              <w:pStyle w:val="TableText"/>
            </w:pPr>
            <w:r w:rsidRPr="004F374C">
              <w:t>All groups combined</w:t>
            </w:r>
          </w:p>
        </w:tc>
        <w:tc>
          <w:tcPr>
            <w:tcW w:w="1275" w:type="dxa"/>
            <w:tcBorders>
              <w:top w:val="single" w:sz="4" w:space="0" w:color="auto"/>
              <w:bottom w:val="single" w:sz="4" w:space="0" w:color="auto"/>
            </w:tcBorders>
            <w:shd w:val="clear" w:color="auto" w:fill="FABF8F" w:themeFill="accent6" w:themeFillTint="99"/>
            <w:noWrap/>
            <w:hideMark/>
          </w:tcPr>
          <w:p w14:paraId="14ACF74F" w14:textId="77777777" w:rsidR="00CF2D46" w:rsidRPr="00990768" w:rsidRDefault="00CF2D46" w:rsidP="008A6B2A">
            <w:pPr>
              <w:pStyle w:val="TableText"/>
              <w:jc w:val="center"/>
            </w:pPr>
            <w:r w:rsidRPr="00990768">
              <w:t>128,000</w:t>
            </w:r>
          </w:p>
        </w:tc>
        <w:tc>
          <w:tcPr>
            <w:tcW w:w="1276" w:type="dxa"/>
            <w:tcBorders>
              <w:top w:val="single" w:sz="4" w:space="0" w:color="auto"/>
              <w:bottom w:val="single" w:sz="4" w:space="0" w:color="auto"/>
            </w:tcBorders>
            <w:shd w:val="clear" w:color="auto" w:fill="FABF8F" w:themeFill="accent6" w:themeFillTint="99"/>
            <w:noWrap/>
            <w:hideMark/>
          </w:tcPr>
          <w:p w14:paraId="4A984C4B" w14:textId="77777777" w:rsidR="00CF2D46" w:rsidRPr="00990768" w:rsidRDefault="00CF2D46" w:rsidP="008A6B2A">
            <w:pPr>
              <w:pStyle w:val="TableText"/>
              <w:jc w:val="center"/>
            </w:pPr>
            <w:r w:rsidRPr="00990768">
              <w:t>260,000</w:t>
            </w:r>
          </w:p>
        </w:tc>
        <w:tc>
          <w:tcPr>
            <w:tcW w:w="1276" w:type="dxa"/>
            <w:tcBorders>
              <w:top w:val="single" w:sz="4" w:space="0" w:color="auto"/>
              <w:bottom w:val="single" w:sz="4" w:space="0" w:color="auto"/>
              <w:right w:val="single" w:sz="4" w:space="0" w:color="auto"/>
            </w:tcBorders>
            <w:shd w:val="clear" w:color="auto" w:fill="FABF8F" w:themeFill="accent6" w:themeFillTint="99"/>
            <w:noWrap/>
            <w:hideMark/>
          </w:tcPr>
          <w:p w14:paraId="4FB3B4BC" w14:textId="77777777" w:rsidR="00CF2D46" w:rsidRPr="00990768" w:rsidRDefault="00CF2D46" w:rsidP="008A6B2A">
            <w:pPr>
              <w:pStyle w:val="TableText"/>
              <w:jc w:val="center"/>
            </w:pPr>
            <w:r w:rsidRPr="00990768">
              <w:t>388,000</w:t>
            </w:r>
          </w:p>
        </w:tc>
      </w:tr>
    </w:tbl>
    <w:p w14:paraId="1A9A80BF" w14:textId="6FEE3A41" w:rsidR="00CF2D46" w:rsidRDefault="00CF2D46" w:rsidP="00600A3E">
      <w:pPr>
        <w:keepLines/>
        <w:spacing w:after="120"/>
      </w:pPr>
      <w:r>
        <w:t xml:space="preserve">The number of unique persons was 388,000 of whom 128,000 used drugs at least weekly and 260,000 less often. The individual drug group estimates were adjusted by the overall rate of unique individuals to total respondents (highlighted above). This assumes that the probability of </w:t>
      </w:r>
      <w:proofErr w:type="spellStart"/>
      <w:r>
        <w:t>polydrug</w:t>
      </w:r>
      <w:proofErr w:type="spellEnd"/>
      <w:r>
        <w:t xml:space="preserve"> use is equal across users and drug group. For our purposes, the use of multiple drugs within a drug group was not considered to represent </w:t>
      </w:r>
      <w:proofErr w:type="spellStart"/>
      <w:r>
        <w:t>polydrug</w:t>
      </w:r>
      <w:proofErr w:type="spellEnd"/>
      <w:r>
        <w:t xml:space="preserve"> use. The estimated number of unique individuals for each drug group is provided </w:t>
      </w:r>
      <w:r w:rsidR="00395913">
        <w:t>below.</w:t>
      </w:r>
    </w:p>
    <w:tbl>
      <w:tblPr>
        <w:tblW w:w="0" w:type="auto"/>
        <w:tblInd w:w="108" w:type="dxa"/>
        <w:tblLayout w:type="fixed"/>
        <w:tblLook w:val="04A0" w:firstRow="1" w:lastRow="0" w:firstColumn="1" w:lastColumn="0" w:noHBand="0" w:noVBand="1"/>
      </w:tblPr>
      <w:tblGrid>
        <w:gridCol w:w="3700"/>
        <w:gridCol w:w="1790"/>
        <w:gridCol w:w="1791"/>
        <w:gridCol w:w="1791"/>
      </w:tblGrid>
      <w:tr w:rsidR="00CF2D46" w:rsidRPr="00600A3E" w14:paraId="5C4A8484" w14:textId="77777777" w:rsidTr="00600A3E">
        <w:trPr>
          <w:cantSplit/>
        </w:trPr>
        <w:tc>
          <w:tcPr>
            <w:tcW w:w="3700" w:type="dxa"/>
            <w:tcBorders>
              <w:top w:val="single" w:sz="4" w:space="0" w:color="auto"/>
              <w:left w:val="single" w:sz="4" w:space="0" w:color="auto"/>
              <w:bottom w:val="single" w:sz="4" w:space="0" w:color="auto"/>
              <w:right w:val="nil"/>
            </w:tcBorders>
            <w:shd w:val="clear" w:color="auto" w:fill="auto"/>
            <w:noWrap/>
            <w:vAlign w:val="bottom"/>
            <w:hideMark/>
          </w:tcPr>
          <w:p w14:paraId="3449CF7E" w14:textId="77777777" w:rsidR="00CF2D46" w:rsidRPr="00600A3E" w:rsidRDefault="00CF2D46" w:rsidP="00600A3E">
            <w:pPr>
              <w:pStyle w:val="TableText"/>
              <w:rPr>
                <w:b/>
              </w:rPr>
            </w:pPr>
            <w:r w:rsidRPr="00600A3E">
              <w:rPr>
                <w:b/>
              </w:rPr>
              <w:t>Drug group</w:t>
            </w:r>
          </w:p>
        </w:tc>
        <w:tc>
          <w:tcPr>
            <w:tcW w:w="1790" w:type="dxa"/>
            <w:tcBorders>
              <w:top w:val="single" w:sz="4" w:space="0" w:color="auto"/>
              <w:left w:val="nil"/>
              <w:bottom w:val="single" w:sz="4" w:space="0" w:color="auto"/>
              <w:right w:val="nil"/>
            </w:tcBorders>
            <w:shd w:val="clear" w:color="auto" w:fill="auto"/>
            <w:noWrap/>
            <w:vAlign w:val="center"/>
            <w:hideMark/>
          </w:tcPr>
          <w:p w14:paraId="0EA9DFC8" w14:textId="77777777" w:rsidR="00CF2D46" w:rsidRPr="00600A3E" w:rsidRDefault="00CF2D46" w:rsidP="00600A3E">
            <w:pPr>
              <w:pStyle w:val="TableText"/>
              <w:jc w:val="center"/>
              <w:rPr>
                <w:b/>
              </w:rPr>
            </w:pPr>
            <w:r w:rsidRPr="00600A3E">
              <w:rPr>
                <w:b/>
              </w:rPr>
              <w:t>Weekly or more</w:t>
            </w:r>
          </w:p>
        </w:tc>
        <w:tc>
          <w:tcPr>
            <w:tcW w:w="1791" w:type="dxa"/>
            <w:tcBorders>
              <w:top w:val="single" w:sz="4" w:space="0" w:color="auto"/>
              <w:left w:val="nil"/>
              <w:bottom w:val="single" w:sz="4" w:space="0" w:color="auto"/>
              <w:right w:val="nil"/>
            </w:tcBorders>
            <w:shd w:val="clear" w:color="auto" w:fill="auto"/>
            <w:noWrap/>
            <w:vAlign w:val="center"/>
            <w:hideMark/>
          </w:tcPr>
          <w:p w14:paraId="25FAA851" w14:textId="77777777" w:rsidR="00CF2D46" w:rsidRPr="00600A3E" w:rsidRDefault="00CF2D46" w:rsidP="00600A3E">
            <w:pPr>
              <w:pStyle w:val="TableText"/>
              <w:jc w:val="center"/>
              <w:rPr>
                <w:b/>
              </w:rPr>
            </w:pPr>
            <w:r w:rsidRPr="00600A3E">
              <w:rPr>
                <w:b/>
              </w:rPr>
              <w:t>Less often</w:t>
            </w:r>
          </w:p>
        </w:tc>
        <w:tc>
          <w:tcPr>
            <w:tcW w:w="1791" w:type="dxa"/>
            <w:tcBorders>
              <w:top w:val="single" w:sz="4" w:space="0" w:color="auto"/>
              <w:left w:val="nil"/>
              <w:bottom w:val="single" w:sz="4" w:space="0" w:color="auto"/>
              <w:right w:val="single" w:sz="4" w:space="0" w:color="auto"/>
            </w:tcBorders>
            <w:shd w:val="clear" w:color="auto" w:fill="auto"/>
            <w:noWrap/>
            <w:vAlign w:val="center"/>
            <w:hideMark/>
          </w:tcPr>
          <w:p w14:paraId="1C17E8CB" w14:textId="77777777" w:rsidR="00CF2D46" w:rsidRPr="00600A3E" w:rsidRDefault="00CF2D46" w:rsidP="00600A3E">
            <w:pPr>
              <w:pStyle w:val="TableText"/>
              <w:jc w:val="center"/>
              <w:rPr>
                <w:b/>
              </w:rPr>
            </w:pPr>
            <w:r w:rsidRPr="00600A3E">
              <w:rPr>
                <w:b/>
              </w:rPr>
              <w:t>Total</w:t>
            </w:r>
          </w:p>
        </w:tc>
      </w:tr>
      <w:tr w:rsidR="00CF2D46" w:rsidRPr="003103E7" w14:paraId="27F99132" w14:textId="77777777" w:rsidTr="00600A3E">
        <w:trPr>
          <w:cantSplit/>
        </w:trPr>
        <w:tc>
          <w:tcPr>
            <w:tcW w:w="3700" w:type="dxa"/>
            <w:tcBorders>
              <w:top w:val="single" w:sz="4" w:space="0" w:color="auto"/>
              <w:left w:val="single" w:sz="4" w:space="0" w:color="auto"/>
              <w:bottom w:val="nil"/>
              <w:right w:val="nil"/>
            </w:tcBorders>
            <w:shd w:val="clear" w:color="auto" w:fill="auto"/>
            <w:noWrap/>
            <w:vAlign w:val="center"/>
            <w:hideMark/>
          </w:tcPr>
          <w:p w14:paraId="31CAB4D0" w14:textId="77777777" w:rsidR="00CF2D46" w:rsidRPr="00990768" w:rsidRDefault="00CF2D46" w:rsidP="00600A3E">
            <w:pPr>
              <w:pStyle w:val="TableText"/>
            </w:pPr>
            <w:r>
              <w:t>Amphetamine-type stimulants</w:t>
            </w:r>
          </w:p>
        </w:tc>
        <w:tc>
          <w:tcPr>
            <w:tcW w:w="1790" w:type="dxa"/>
            <w:tcBorders>
              <w:top w:val="single" w:sz="4" w:space="0" w:color="auto"/>
              <w:left w:val="nil"/>
              <w:bottom w:val="nil"/>
              <w:right w:val="nil"/>
            </w:tcBorders>
            <w:shd w:val="clear" w:color="auto" w:fill="auto"/>
            <w:noWrap/>
            <w:vAlign w:val="center"/>
            <w:hideMark/>
          </w:tcPr>
          <w:p w14:paraId="488768E0" w14:textId="77777777" w:rsidR="00CF2D46" w:rsidRPr="00990768" w:rsidRDefault="00CF2D46" w:rsidP="00600A3E">
            <w:pPr>
              <w:pStyle w:val="TableText"/>
              <w:tabs>
                <w:tab w:val="decimal" w:pos="1154"/>
              </w:tabs>
            </w:pPr>
            <w:r w:rsidRPr="00990768">
              <w:t>3,052</w:t>
            </w:r>
          </w:p>
        </w:tc>
        <w:tc>
          <w:tcPr>
            <w:tcW w:w="1791" w:type="dxa"/>
            <w:tcBorders>
              <w:top w:val="single" w:sz="4" w:space="0" w:color="auto"/>
              <w:left w:val="nil"/>
              <w:bottom w:val="nil"/>
              <w:right w:val="nil"/>
            </w:tcBorders>
            <w:shd w:val="clear" w:color="auto" w:fill="auto"/>
            <w:noWrap/>
            <w:vAlign w:val="center"/>
            <w:hideMark/>
          </w:tcPr>
          <w:p w14:paraId="0DCF4700" w14:textId="77777777" w:rsidR="00CF2D46" w:rsidRPr="00990768" w:rsidRDefault="00CF2D46" w:rsidP="00600A3E">
            <w:pPr>
              <w:pStyle w:val="TableText"/>
              <w:tabs>
                <w:tab w:val="decimal" w:pos="1154"/>
              </w:tabs>
            </w:pPr>
            <w:r w:rsidRPr="00990768">
              <w:t>22,667</w:t>
            </w:r>
          </w:p>
        </w:tc>
        <w:tc>
          <w:tcPr>
            <w:tcW w:w="1791" w:type="dxa"/>
            <w:tcBorders>
              <w:top w:val="single" w:sz="4" w:space="0" w:color="auto"/>
              <w:left w:val="nil"/>
              <w:bottom w:val="nil"/>
              <w:right w:val="single" w:sz="4" w:space="0" w:color="auto"/>
            </w:tcBorders>
            <w:shd w:val="clear" w:color="auto" w:fill="auto"/>
            <w:noWrap/>
            <w:vAlign w:val="center"/>
            <w:hideMark/>
          </w:tcPr>
          <w:p w14:paraId="63E37482" w14:textId="77777777" w:rsidR="00CF2D46" w:rsidRPr="00990768" w:rsidRDefault="00CF2D46" w:rsidP="00600A3E">
            <w:pPr>
              <w:pStyle w:val="TableText"/>
              <w:tabs>
                <w:tab w:val="decimal" w:pos="1154"/>
              </w:tabs>
            </w:pPr>
            <w:r w:rsidRPr="00990768">
              <w:t>25,719</w:t>
            </w:r>
          </w:p>
        </w:tc>
      </w:tr>
      <w:tr w:rsidR="00CF2D46" w:rsidRPr="003103E7" w14:paraId="3F67AD9E" w14:textId="77777777" w:rsidTr="00600A3E">
        <w:trPr>
          <w:cantSplit/>
        </w:trPr>
        <w:tc>
          <w:tcPr>
            <w:tcW w:w="3700" w:type="dxa"/>
            <w:tcBorders>
              <w:top w:val="nil"/>
              <w:left w:val="single" w:sz="4" w:space="0" w:color="auto"/>
              <w:bottom w:val="nil"/>
              <w:right w:val="nil"/>
            </w:tcBorders>
            <w:shd w:val="clear" w:color="auto" w:fill="auto"/>
            <w:vAlign w:val="center"/>
            <w:hideMark/>
          </w:tcPr>
          <w:p w14:paraId="2C43E935" w14:textId="77777777" w:rsidR="00CF2D46" w:rsidRPr="00990768" w:rsidRDefault="00CF2D46" w:rsidP="00600A3E">
            <w:pPr>
              <w:pStyle w:val="TableText"/>
            </w:pPr>
            <w:r>
              <w:t>Cannabinoids</w:t>
            </w:r>
          </w:p>
        </w:tc>
        <w:tc>
          <w:tcPr>
            <w:tcW w:w="1790" w:type="dxa"/>
            <w:tcBorders>
              <w:top w:val="nil"/>
              <w:left w:val="nil"/>
              <w:bottom w:val="nil"/>
              <w:right w:val="nil"/>
            </w:tcBorders>
            <w:shd w:val="clear" w:color="auto" w:fill="auto"/>
            <w:noWrap/>
            <w:vAlign w:val="center"/>
            <w:hideMark/>
          </w:tcPr>
          <w:p w14:paraId="44565904" w14:textId="77777777" w:rsidR="00CF2D46" w:rsidRPr="00990768" w:rsidRDefault="00CF2D46" w:rsidP="00600A3E">
            <w:pPr>
              <w:pStyle w:val="TableText"/>
              <w:tabs>
                <w:tab w:val="decimal" w:pos="1154"/>
              </w:tabs>
            </w:pPr>
            <w:r w:rsidRPr="00990768">
              <w:t>116,690</w:t>
            </w:r>
          </w:p>
        </w:tc>
        <w:tc>
          <w:tcPr>
            <w:tcW w:w="1791" w:type="dxa"/>
            <w:tcBorders>
              <w:top w:val="nil"/>
              <w:left w:val="nil"/>
              <w:bottom w:val="nil"/>
              <w:right w:val="nil"/>
            </w:tcBorders>
            <w:shd w:val="clear" w:color="auto" w:fill="auto"/>
            <w:noWrap/>
            <w:vAlign w:val="center"/>
            <w:hideMark/>
          </w:tcPr>
          <w:p w14:paraId="3FA1C239" w14:textId="77777777" w:rsidR="00CF2D46" w:rsidRPr="00990768" w:rsidRDefault="00CF2D46" w:rsidP="00600A3E">
            <w:pPr>
              <w:pStyle w:val="TableText"/>
              <w:tabs>
                <w:tab w:val="decimal" w:pos="1154"/>
              </w:tabs>
            </w:pPr>
            <w:r w:rsidRPr="00990768">
              <w:t>162,667</w:t>
            </w:r>
          </w:p>
        </w:tc>
        <w:tc>
          <w:tcPr>
            <w:tcW w:w="1791" w:type="dxa"/>
            <w:tcBorders>
              <w:top w:val="nil"/>
              <w:left w:val="nil"/>
              <w:bottom w:val="nil"/>
              <w:right w:val="single" w:sz="4" w:space="0" w:color="auto"/>
            </w:tcBorders>
            <w:shd w:val="clear" w:color="auto" w:fill="auto"/>
            <w:noWrap/>
            <w:vAlign w:val="center"/>
            <w:hideMark/>
          </w:tcPr>
          <w:p w14:paraId="3BA4E165" w14:textId="77777777" w:rsidR="00CF2D46" w:rsidRPr="00990768" w:rsidRDefault="00CF2D46" w:rsidP="00600A3E">
            <w:pPr>
              <w:pStyle w:val="TableText"/>
              <w:tabs>
                <w:tab w:val="decimal" w:pos="1154"/>
              </w:tabs>
            </w:pPr>
            <w:r w:rsidRPr="00990768">
              <w:t>279,357</w:t>
            </w:r>
          </w:p>
        </w:tc>
      </w:tr>
      <w:tr w:rsidR="00CF2D46" w:rsidRPr="003103E7" w14:paraId="678F09C9" w14:textId="77777777" w:rsidTr="00600A3E">
        <w:trPr>
          <w:cantSplit/>
        </w:trPr>
        <w:tc>
          <w:tcPr>
            <w:tcW w:w="3700" w:type="dxa"/>
            <w:tcBorders>
              <w:top w:val="nil"/>
              <w:left w:val="single" w:sz="4" w:space="0" w:color="auto"/>
              <w:bottom w:val="nil"/>
              <w:right w:val="nil"/>
            </w:tcBorders>
            <w:shd w:val="clear" w:color="auto" w:fill="auto"/>
            <w:vAlign w:val="center"/>
            <w:hideMark/>
          </w:tcPr>
          <w:p w14:paraId="077C5CA5" w14:textId="213DBA9D" w:rsidR="00CF2D46" w:rsidRPr="00990768" w:rsidRDefault="00600A3E">
            <w:pPr>
              <w:pStyle w:val="TableText"/>
            </w:pPr>
            <w:r>
              <w:t>Hallucinogenic and psychedelic</w:t>
            </w:r>
          </w:p>
        </w:tc>
        <w:tc>
          <w:tcPr>
            <w:tcW w:w="1790" w:type="dxa"/>
            <w:tcBorders>
              <w:top w:val="nil"/>
              <w:left w:val="nil"/>
              <w:bottom w:val="nil"/>
              <w:right w:val="nil"/>
            </w:tcBorders>
            <w:shd w:val="clear" w:color="auto" w:fill="auto"/>
            <w:noWrap/>
            <w:vAlign w:val="center"/>
            <w:hideMark/>
          </w:tcPr>
          <w:p w14:paraId="48FADC0A" w14:textId="77777777" w:rsidR="00CF2D46" w:rsidRPr="00990768" w:rsidRDefault="00CF2D46" w:rsidP="00600A3E">
            <w:pPr>
              <w:pStyle w:val="TableText"/>
              <w:tabs>
                <w:tab w:val="decimal" w:pos="1154"/>
              </w:tabs>
            </w:pPr>
            <w:r w:rsidRPr="00990768">
              <w:t>1,705</w:t>
            </w:r>
          </w:p>
        </w:tc>
        <w:tc>
          <w:tcPr>
            <w:tcW w:w="1791" w:type="dxa"/>
            <w:tcBorders>
              <w:top w:val="nil"/>
              <w:left w:val="nil"/>
              <w:bottom w:val="nil"/>
              <w:right w:val="nil"/>
            </w:tcBorders>
            <w:shd w:val="clear" w:color="auto" w:fill="auto"/>
            <w:noWrap/>
            <w:vAlign w:val="center"/>
            <w:hideMark/>
          </w:tcPr>
          <w:p w14:paraId="5AD84B04" w14:textId="77777777" w:rsidR="00CF2D46" w:rsidRPr="00990768" w:rsidRDefault="00CF2D46" w:rsidP="00600A3E">
            <w:pPr>
              <w:pStyle w:val="TableText"/>
              <w:tabs>
                <w:tab w:val="decimal" w:pos="1154"/>
              </w:tabs>
            </w:pPr>
            <w:r w:rsidRPr="00990768">
              <w:t>52,000</w:t>
            </w:r>
          </w:p>
        </w:tc>
        <w:tc>
          <w:tcPr>
            <w:tcW w:w="1791" w:type="dxa"/>
            <w:tcBorders>
              <w:top w:val="nil"/>
              <w:left w:val="nil"/>
              <w:bottom w:val="nil"/>
              <w:right w:val="single" w:sz="4" w:space="0" w:color="auto"/>
            </w:tcBorders>
            <w:shd w:val="clear" w:color="auto" w:fill="auto"/>
            <w:noWrap/>
            <w:vAlign w:val="center"/>
            <w:hideMark/>
          </w:tcPr>
          <w:p w14:paraId="36C2BB0F" w14:textId="77777777" w:rsidR="00CF2D46" w:rsidRPr="00990768" w:rsidRDefault="00CF2D46" w:rsidP="00600A3E">
            <w:pPr>
              <w:pStyle w:val="TableText"/>
              <w:tabs>
                <w:tab w:val="decimal" w:pos="1154"/>
              </w:tabs>
            </w:pPr>
            <w:r w:rsidRPr="00990768">
              <w:t>53,705</w:t>
            </w:r>
          </w:p>
        </w:tc>
      </w:tr>
      <w:tr w:rsidR="00CF2D46" w:rsidRPr="003103E7" w14:paraId="496F7D67" w14:textId="77777777" w:rsidTr="00600A3E">
        <w:trPr>
          <w:cantSplit/>
        </w:trPr>
        <w:tc>
          <w:tcPr>
            <w:tcW w:w="3700" w:type="dxa"/>
            <w:tcBorders>
              <w:top w:val="nil"/>
              <w:left w:val="single" w:sz="4" w:space="0" w:color="auto"/>
              <w:bottom w:val="single" w:sz="4" w:space="0" w:color="auto"/>
              <w:right w:val="nil"/>
            </w:tcBorders>
            <w:shd w:val="clear" w:color="auto" w:fill="auto"/>
            <w:vAlign w:val="center"/>
            <w:hideMark/>
          </w:tcPr>
          <w:p w14:paraId="75774DF7" w14:textId="582CDB32" w:rsidR="00CF2D46" w:rsidRPr="00990768" w:rsidRDefault="00CF2D46">
            <w:pPr>
              <w:pStyle w:val="TableText"/>
            </w:pPr>
            <w:r>
              <w:t xml:space="preserve">Opioid </w:t>
            </w:r>
            <w:r w:rsidR="00600A3E">
              <w:t>and sedative</w:t>
            </w:r>
          </w:p>
        </w:tc>
        <w:tc>
          <w:tcPr>
            <w:tcW w:w="1790" w:type="dxa"/>
            <w:tcBorders>
              <w:top w:val="nil"/>
              <w:left w:val="nil"/>
              <w:bottom w:val="single" w:sz="4" w:space="0" w:color="auto"/>
              <w:right w:val="nil"/>
            </w:tcBorders>
            <w:shd w:val="clear" w:color="auto" w:fill="auto"/>
            <w:noWrap/>
            <w:vAlign w:val="center"/>
            <w:hideMark/>
          </w:tcPr>
          <w:p w14:paraId="7CF6F6C9" w14:textId="77777777" w:rsidR="00CF2D46" w:rsidRPr="00990768" w:rsidRDefault="00CF2D46" w:rsidP="00600A3E">
            <w:pPr>
              <w:pStyle w:val="TableText"/>
              <w:tabs>
                <w:tab w:val="decimal" w:pos="1154"/>
              </w:tabs>
            </w:pPr>
            <w:r w:rsidRPr="00990768">
              <w:t>6,553</w:t>
            </w:r>
          </w:p>
        </w:tc>
        <w:tc>
          <w:tcPr>
            <w:tcW w:w="1791" w:type="dxa"/>
            <w:tcBorders>
              <w:top w:val="nil"/>
              <w:left w:val="nil"/>
              <w:bottom w:val="single" w:sz="4" w:space="0" w:color="auto"/>
              <w:right w:val="nil"/>
            </w:tcBorders>
            <w:shd w:val="clear" w:color="auto" w:fill="auto"/>
            <w:noWrap/>
            <w:vAlign w:val="center"/>
            <w:hideMark/>
          </w:tcPr>
          <w:p w14:paraId="2966792D" w14:textId="77777777" w:rsidR="00CF2D46" w:rsidRPr="00990768" w:rsidRDefault="00CF2D46" w:rsidP="00600A3E">
            <w:pPr>
              <w:pStyle w:val="TableText"/>
              <w:tabs>
                <w:tab w:val="decimal" w:pos="1154"/>
              </w:tabs>
            </w:pPr>
            <w:r w:rsidRPr="00990768">
              <w:t>22,667</w:t>
            </w:r>
          </w:p>
        </w:tc>
        <w:tc>
          <w:tcPr>
            <w:tcW w:w="1791" w:type="dxa"/>
            <w:tcBorders>
              <w:top w:val="nil"/>
              <w:left w:val="nil"/>
              <w:bottom w:val="single" w:sz="4" w:space="0" w:color="auto"/>
              <w:right w:val="single" w:sz="4" w:space="0" w:color="auto"/>
            </w:tcBorders>
            <w:shd w:val="clear" w:color="auto" w:fill="auto"/>
            <w:noWrap/>
            <w:vAlign w:val="center"/>
            <w:hideMark/>
          </w:tcPr>
          <w:p w14:paraId="5B438C70" w14:textId="77777777" w:rsidR="00CF2D46" w:rsidRPr="00990768" w:rsidRDefault="00CF2D46" w:rsidP="00600A3E">
            <w:pPr>
              <w:pStyle w:val="TableText"/>
              <w:tabs>
                <w:tab w:val="decimal" w:pos="1154"/>
              </w:tabs>
            </w:pPr>
            <w:r w:rsidRPr="00990768">
              <w:t>29,219</w:t>
            </w:r>
          </w:p>
        </w:tc>
      </w:tr>
      <w:tr w:rsidR="00CF2D46" w:rsidRPr="00600A3E" w14:paraId="43435063" w14:textId="77777777" w:rsidTr="00600A3E">
        <w:trPr>
          <w:cantSplit/>
        </w:trPr>
        <w:tc>
          <w:tcPr>
            <w:tcW w:w="3700" w:type="dxa"/>
            <w:tcBorders>
              <w:top w:val="single" w:sz="4" w:space="0" w:color="auto"/>
              <w:left w:val="single" w:sz="4" w:space="0" w:color="auto"/>
              <w:bottom w:val="single" w:sz="4" w:space="0" w:color="auto"/>
              <w:right w:val="nil"/>
            </w:tcBorders>
            <w:shd w:val="clear" w:color="auto" w:fill="auto"/>
            <w:vAlign w:val="center"/>
            <w:hideMark/>
          </w:tcPr>
          <w:p w14:paraId="552AB4A7" w14:textId="77777777" w:rsidR="00CF2D46" w:rsidRPr="00600A3E" w:rsidRDefault="00CF2D46" w:rsidP="00600A3E">
            <w:pPr>
              <w:pStyle w:val="TableText"/>
              <w:ind w:right="142"/>
              <w:jc w:val="right"/>
              <w:rPr>
                <w:b/>
              </w:rPr>
            </w:pPr>
            <w:r w:rsidRPr="00600A3E">
              <w:rPr>
                <w:b/>
              </w:rPr>
              <w:t>Total</w:t>
            </w:r>
          </w:p>
        </w:tc>
        <w:tc>
          <w:tcPr>
            <w:tcW w:w="1790" w:type="dxa"/>
            <w:tcBorders>
              <w:top w:val="single" w:sz="4" w:space="0" w:color="auto"/>
              <w:left w:val="nil"/>
              <w:bottom w:val="single" w:sz="4" w:space="0" w:color="auto"/>
              <w:right w:val="nil"/>
            </w:tcBorders>
            <w:shd w:val="clear" w:color="auto" w:fill="auto"/>
            <w:noWrap/>
            <w:vAlign w:val="center"/>
            <w:hideMark/>
          </w:tcPr>
          <w:p w14:paraId="62615B82" w14:textId="77777777" w:rsidR="00CF2D46" w:rsidRPr="00600A3E" w:rsidRDefault="00CF2D46" w:rsidP="00600A3E">
            <w:pPr>
              <w:pStyle w:val="TableText"/>
              <w:tabs>
                <w:tab w:val="decimal" w:pos="1154"/>
              </w:tabs>
              <w:rPr>
                <w:b/>
              </w:rPr>
            </w:pPr>
            <w:r w:rsidRPr="00600A3E">
              <w:rPr>
                <w:b/>
              </w:rPr>
              <w:t>128,000</w:t>
            </w:r>
          </w:p>
        </w:tc>
        <w:tc>
          <w:tcPr>
            <w:tcW w:w="1791" w:type="dxa"/>
            <w:tcBorders>
              <w:top w:val="single" w:sz="4" w:space="0" w:color="auto"/>
              <w:left w:val="nil"/>
              <w:bottom w:val="single" w:sz="4" w:space="0" w:color="auto"/>
              <w:right w:val="nil"/>
            </w:tcBorders>
            <w:shd w:val="clear" w:color="auto" w:fill="auto"/>
            <w:noWrap/>
            <w:vAlign w:val="center"/>
            <w:hideMark/>
          </w:tcPr>
          <w:p w14:paraId="4C007932" w14:textId="77777777" w:rsidR="00CF2D46" w:rsidRPr="00600A3E" w:rsidRDefault="00CF2D46" w:rsidP="00600A3E">
            <w:pPr>
              <w:pStyle w:val="TableText"/>
              <w:tabs>
                <w:tab w:val="decimal" w:pos="1154"/>
              </w:tabs>
              <w:rPr>
                <w:b/>
              </w:rPr>
            </w:pPr>
            <w:r w:rsidRPr="00600A3E">
              <w:rPr>
                <w:b/>
              </w:rPr>
              <w:t>260,000</w:t>
            </w:r>
          </w:p>
        </w:tc>
        <w:tc>
          <w:tcPr>
            <w:tcW w:w="1791" w:type="dxa"/>
            <w:tcBorders>
              <w:top w:val="single" w:sz="4" w:space="0" w:color="auto"/>
              <w:left w:val="nil"/>
              <w:bottom w:val="single" w:sz="4" w:space="0" w:color="auto"/>
              <w:right w:val="single" w:sz="4" w:space="0" w:color="auto"/>
            </w:tcBorders>
            <w:shd w:val="clear" w:color="auto" w:fill="auto"/>
            <w:noWrap/>
            <w:vAlign w:val="center"/>
            <w:hideMark/>
          </w:tcPr>
          <w:p w14:paraId="49364D61" w14:textId="77777777" w:rsidR="00CF2D46" w:rsidRPr="00600A3E" w:rsidRDefault="00CF2D46" w:rsidP="00600A3E">
            <w:pPr>
              <w:pStyle w:val="TableText"/>
              <w:tabs>
                <w:tab w:val="decimal" w:pos="1154"/>
              </w:tabs>
              <w:rPr>
                <w:b/>
              </w:rPr>
            </w:pPr>
            <w:r w:rsidRPr="00600A3E">
              <w:rPr>
                <w:b/>
              </w:rPr>
              <w:t>388,000</w:t>
            </w:r>
          </w:p>
        </w:tc>
      </w:tr>
    </w:tbl>
    <w:p w14:paraId="086FD11E" w14:textId="77777777" w:rsidR="00CF2D46" w:rsidRPr="00737F40" w:rsidRDefault="00CF2D46" w:rsidP="008A6B2A">
      <w:pPr>
        <w:pStyle w:val="Heading2"/>
      </w:pPr>
      <w:bookmarkStart w:id="53" w:name="_Toc444941806"/>
      <w:r w:rsidRPr="00737F40">
        <w:t>Estimated number of dependent and casual users</w:t>
      </w:r>
      <w:bookmarkEnd w:id="53"/>
    </w:p>
    <w:p w14:paraId="44B615A2" w14:textId="77777777" w:rsidR="00CF2D46" w:rsidRDefault="00CF2D46" w:rsidP="008A6B2A">
      <w:r w:rsidRPr="00737F40">
        <w:t>A</w:t>
      </w:r>
      <w:r>
        <w:t xml:space="preserve"> dependent user was defined as an individual who used drugs at least weekly and who indicated at least one personal harm related to drug use in the past year. Estimated rates of at least one harm among frequent users (weekly or more often) were provided in the Health Survey extract.</w:t>
      </w:r>
    </w:p>
    <w:p w14:paraId="1868C85D" w14:textId="77777777" w:rsidR="00CF2D46" w:rsidRDefault="00CF2D46" w:rsidP="008A6B2A">
      <w:pPr>
        <w:spacing w:after="120"/>
      </w:pPr>
      <w:r>
        <w:t>Dependent users in each group were calculated by multiplying the estimated number of frequent users by the relevant prevalence rate for reported harm. Casual users were estimated as all remaining users.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86"/>
        <w:gridCol w:w="1346"/>
        <w:gridCol w:w="1347"/>
        <w:gridCol w:w="1346"/>
        <w:gridCol w:w="1347"/>
      </w:tblGrid>
      <w:tr w:rsidR="00CF2D46" w:rsidRPr="00395913" w14:paraId="22999048" w14:textId="77777777" w:rsidTr="00395913">
        <w:trPr>
          <w:cantSplit/>
        </w:trPr>
        <w:tc>
          <w:tcPr>
            <w:tcW w:w="3686" w:type="dxa"/>
            <w:tcBorders>
              <w:bottom w:val="single" w:sz="4" w:space="0" w:color="auto"/>
            </w:tcBorders>
            <w:shd w:val="clear" w:color="auto" w:fill="auto"/>
            <w:hideMark/>
          </w:tcPr>
          <w:p w14:paraId="06DB4977" w14:textId="77777777" w:rsidR="00CF2D46" w:rsidRPr="00395913" w:rsidRDefault="00CF2D46" w:rsidP="00395913">
            <w:pPr>
              <w:pStyle w:val="TableText"/>
              <w:rPr>
                <w:b/>
              </w:rPr>
            </w:pPr>
            <w:r w:rsidRPr="00395913">
              <w:rPr>
                <w:b/>
              </w:rPr>
              <w:t>Drug group</w:t>
            </w:r>
          </w:p>
        </w:tc>
        <w:tc>
          <w:tcPr>
            <w:tcW w:w="1346" w:type="dxa"/>
            <w:tcBorders>
              <w:bottom w:val="single" w:sz="4" w:space="0" w:color="auto"/>
            </w:tcBorders>
            <w:shd w:val="clear" w:color="auto" w:fill="auto"/>
            <w:hideMark/>
          </w:tcPr>
          <w:p w14:paraId="259E1E1E" w14:textId="4BE1F5EA" w:rsidR="00CF2D46" w:rsidRPr="00395913" w:rsidRDefault="00CF2D46" w:rsidP="00AE5A19">
            <w:pPr>
              <w:pStyle w:val="TableText"/>
              <w:jc w:val="center"/>
              <w:rPr>
                <w:b/>
              </w:rPr>
            </w:pPr>
            <w:r w:rsidRPr="00395913">
              <w:rPr>
                <w:b/>
              </w:rPr>
              <w:t xml:space="preserve">Harm </w:t>
            </w:r>
            <w:r w:rsidR="00395913">
              <w:rPr>
                <w:b/>
              </w:rPr>
              <w:t>p</w:t>
            </w:r>
            <w:r w:rsidRPr="00395913">
              <w:rPr>
                <w:b/>
              </w:rPr>
              <w:t>revalence</w:t>
            </w:r>
          </w:p>
        </w:tc>
        <w:tc>
          <w:tcPr>
            <w:tcW w:w="1347" w:type="dxa"/>
            <w:tcBorders>
              <w:bottom w:val="single" w:sz="4" w:space="0" w:color="auto"/>
            </w:tcBorders>
            <w:shd w:val="clear" w:color="auto" w:fill="auto"/>
            <w:hideMark/>
          </w:tcPr>
          <w:p w14:paraId="3DF62E1B" w14:textId="77777777" w:rsidR="00CF2D46" w:rsidRPr="00395913" w:rsidRDefault="00CF2D46" w:rsidP="00395913">
            <w:pPr>
              <w:pStyle w:val="TableText"/>
              <w:jc w:val="center"/>
              <w:rPr>
                <w:b/>
              </w:rPr>
            </w:pPr>
            <w:r w:rsidRPr="00395913">
              <w:rPr>
                <w:b/>
              </w:rPr>
              <w:t>Dependent</w:t>
            </w:r>
          </w:p>
        </w:tc>
        <w:tc>
          <w:tcPr>
            <w:tcW w:w="1346" w:type="dxa"/>
            <w:tcBorders>
              <w:bottom w:val="single" w:sz="4" w:space="0" w:color="auto"/>
            </w:tcBorders>
            <w:shd w:val="clear" w:color="auto" w:fill="auto"/>
            <w:hideMark/>
          </w:tcPr>
          <w:p w14:paraId="2853870B" w14:textId="77777777" w:rsidR="00CF2D46" w:rsidRPr="00395913" w:rsidRDefault="00CF2D46" w:rsidP="00395913">
            <w:pPr>
              <w:pStyle w:val="TableText"/>
              <w:jc w:val="center"/>
              <w:rPr>
                <w:b/>
              </w:rPr>
            </w:pPr>
            <w:r w:rsidRPr="00395913">
              <w:rPr>
                <w:b/>
              </w:rPr>
              <w:t>Casual</w:t>
            </w:r>
          </w:p>
        </w:tc>
        <w:tc>
          <w:tcPr>
            <w:tcW w:w="1347" w:type="dxa"/>
            <w:tcBorders>
              <w:bottom w:val="single" w:sz="4" w:space="0" w:color="auto"/>
            </w:tcBorders>
            <w:shd w:val="clear" w:color="auto" w:fill="auto"/>
            <w:hideMark/>
          </w:tcPr>
          <w:p w14:paraId="2770848B" w14:textId="77777777" w:rsidR="00CF2D46" w:rsidRPr="00395913" w:rsidRDefault="00CF2D46" w:rsidP="00395913">
            <w:pPr>
              <w:pStyle w:val="TableText"/>
              <w:jc w:val="center"/>
              <w:rPr>
                <w:b/>
              </w:rPr>
            </w:pPr>
            <w:r w:rsidRPr="00395913">
              <w:rPr>
                <w:b/>
              </w:rPr>
              <w:t>Total</w:t>
            </w:r>
          </w:p>
        </w:tc>
      </w:tr>
      <w:tr w:rsidR="00CF2D46" w:rsidRPr="00C875D7" w14:paraId="60DEDD7E" w14:textId="77777777" w:rsidTr="00395913">
        <w:trPr>
          <w:cantSplit/>
        </w:trPr>
        <w:tc>
          <w:tcPr>
            <w:tcW w:w="3686" w:type="dxa"/>
            <w:tcBorders>
              <w:top w:val="single" w:sz="4" w:space="0" w:color="auto"/>
              <w:bottom w:val="nil"/>
            </w:tcBorders>
            <w:shd w:val="clear" w:color="auto" w:fill="auto"/>
            <w:noWrap/>
            <w:hideMark/>
          </w:tcPr>
          <w:p w14:paraId="7840CE14" w14:textId="77777777" w:rsidR="00CF2D46" w:rsidRPr="00990768" w:rsidRDefault="00CF2D46" w:rsidP="00395913">
            <w:pPr>
              <w:pStyle w:val="TableText"/>
            </w:pPr>
            <w:r w:rsidRPr="005D59D9">
              <w:t>Amphetamine</w:t>
            </w:r>
            <w:r>
              <w:t>-</w:t>
            </w:r>
            <w:r w:rsidRPr="005D59D9">
              <w:t>type stimulants</w:t>
            </w:r>
          </w:p>
        </w:tc>
        <w:tc>
          <w:tcPr>
            <w:tcW w:w="1346" w:type="dxa"/>
            <w:tcBorders>
              <w:top w:val="single" w:sz="4" w:space="0" w:color="auto"/>
              <w:bottom w:val="nil"/>
            </w:tcBorders>
            <w:shd w:val="clear" w:color="auto" w:fill="auto"/>
            <w:noWrap/>
            <w:hideMark/>
          </w:tcPr>
          <w:p w14:paraId="692ED0BF" w14:textId="77777777" w:rsidR="00CF2D46" w:rsidRPr="00990768" w:rsidRDefault="00CF2D46" w:rsidP="00395913">
            <w:pPr>
              <w:pStyle w:val="TableText"/>
              <w:jc w:val="center"/>
            </w:pPr>
            <w:r w:rsidRPr="00990768">
              <w:t>45.6%</w:t>
            </w:r>
          </w:p>
        </w:tc>
        <w:tc>
          <w:tcPr>
            <w:tcW w:w="1347" w:type="dxa"/>
            <w:tcBorders>
              <w:top w:val="single" w:sz="4" w:space="0" w:color="auto"/>
              <w:bottom w:val="nil"/>
            </w:tcBorders>
            <w:shd w:val="clear" w:color="auto" w:fill="auto"/>
            <w:noWrap/>
            <w:hideMark/>
          </w:tcPr>
          <w:p w14:paraId="440B166A" w14:textId="77777777" w:rsidR="00CF2D46" w:rsidRPr="00990768" w:rsidRDefault="00CF2D46" w:rsidP="00395913">
            <w:pPr>
              <w:pStyle w:val="TableText"/>
              <w:tabs>
                <w:tab w:val="decimal" w:pos="907"/>
              </w:tabs>
            </w:pPr>
            <w:r w:rsidRPr="00990768">
              <w:t>1,392</w:t>
            </w:r>
          </w:p>
        </w:tc>
        <w:tc>
          <w:tcPr>
            <w:tcW w:w="1346" w:type="dxa"/>
            <w:tcBorders>
              <w:top w:val="single" w:sz="4" w:space="0" w:color="auto"/>
              <w:bottom w:val="nil"/>
            </w:tcBorders>
            <w:shd w:val="clear" w:color="auto" w:fill="auto"/>
            <w:noWrap/>
            <w:hideMark/>
          </w:tcPr>
          <w:p w14:paraId="7867B0FA" w14:textId="77777777" w:rsidR="00CF2D46" w:rsidRPr="00990768" w:rsidRDefault="00CF2D46" w:rsidP="00395913">
            <w:pPr>
              <w:pStyle w:val="TableText"/>
              <w:tabs>
                <w:tab w:val="decimal" w:pos="907"/>
              </w:tabs>
            </w:pPr>
            <w:r w:rsidRPr="00990768">
              <w:t>24,327</w:t>
            </w:r>
          </w:p>
        </w:tc>
        <w:tc>
          <w:tcPr>
            <w:tcW w:w="1347" w:type="dxa"/>
            <w:tcBorders>
              <w:top w:val="single" w:sz="4" w:space="0" w:color="auto"/>
              <w:bottom w:val="nil"/>
            </w:tcBorders>
            <w:shd w:val="clear" w:color="auto" w:fill="auto"/>
            <w:noWrap/>
            <w:hideMark/>
          </w:tcPr>
          <w:p w14:paraId="3CFD6A2C" w14:textId="77777777" w:rsidR="00CF2D46" w:rsidRPr="00990768" w:rsidRDefault="00CF2D46" w:rsidP="00395913">
            <w:pPr>
              <w:pStyle w:val="TableText"/>
              <w:tabs>
                <w:tab w:val="decimal" w:pos="907"/>
              </w:tabs>
            </w:pPr>
            <w:r w:rsidRPr="00990768">
              <w:t>25,719</w:t>
            </w:r>
          </w:p>
        </w:tc>
      </w:tr>
      <w:tr w:rsidR="00CF2D46" w:rsidRPr="00C875D7" w14:paraId="522E79B1" w14:textId="77777777" w:rsidTr="00395913">
        <w:trPr>
          <w:cantSplit/>
        </w:trPr>
        <w:tc>
          <w:tcPr>
            <w:tcW w:w="3686" w:type="dxa"/>
            <w:tcBorders>
              <w:top w:val="nil"/>
              <w:bottom w:val="nil"/>
            </w:tcBorders>
            <w:shd w:val="clear" w:color="auto" w:fill="auto"/>
            <w:noWrap/>
            <w:hideMark/>
          </w:tcPr>
          <w:p w14:paraId="60E41DDD" w14:textId="77777777" w:rsidR="00CF2D46" w:rsidRPr="00990768" w:rsidRDefault="00CF2D46" w:rsidP="00395913">
            <w:pPr>
              <w:pStyle w:val="TableText"/>
            </w:pPr>
            <w:r w:rsidRPr="005D59D9">
              <w:t>Cannabinoids</w:t>
            </w:r>
          </w:p>
        </w:tc>
        <w:tc>
          <w:tcPr>
            <w:tcW w:w="1346" w:type="dxa"/>
            <w:tcBorders>
              <w:top w:val="nil"/>
              <w:bottom w:val="nil"/>
            </w:tcBorders>
            <w:shd w:val="clear" w:color="auto" w:fill="auto"/>
            <w:noWrap/>
            <w:hideMark/>
          </w:tcPr>
          <w:p w14:paraId="2A5A8120" w14:textId="77777777" w:rsidR="00CF2D46" w:rsidRPr="00990768" w:rsidRDefault="00CF2D46" w:rsidP="00395913">
            <w:pPr>
              <w:pStyle w:val="TableText"/>
              <w:jc w:val="center"/>
            </w:pPr>
            <w:r w:rsidRPr="00990768">
              <w:t>22.3%</w:t>
            </w:r>
          </w:p>
        </w:tc>
        <w:tc>
          <w:tcPr>
            <w:tcW w:w="1347" w:type="dxa"/>
            <w:tcBorders>
              <w:top w:val="nil"/>
              <w:bottom w:val="nil"/>
            </w:tcBorders>
            <w:shd w:val="clear" w:color="auto" w:fill="auto"/>
            <w:noWrap/>
            <w:hideMark/>
          </w:tcPr>
          <w:p w14:paraId="6D187A4B" w14:textId="77777777" w:rsidR="00CF2D46" w:rsidRPr="00990768" w:rsidRDefault="00CF2D46" w:rsidP="00395913">
            <w:pPr>
              <w:pStyle w:val="TableText"/>
              <w:tabs>
                <w:tab w:val="decimal" w:pos="907"/>
              </w:tabs>
            </w:pPr>
            <w:r w:rsidRPr="00990768">
              <w:t>26,022</w:t>
            </w:r>
          </w:p>
        </w:tc>
        <w:tc>
          <w:tcPr>
            <w:tcW w:w="1346" w:type="dxa"/>
            <w:tcBorders>
              <w:top w:val="nil"/>
              <w:bottom w:val="nil"/>
            </w:tcBorders>
            <w:shd w:val="clear" w:color="auto" w:fill="auto"/>
            <w:noWrap/>
            <w:hideMark/>
          </w:tcPr>
          <w:p w14:paraId="5F188EFF" w14:textId="77777777" w:rsidR="00CF2D46" w:rsidRPr="00990768" w:rsidRDefault="00CF2D46" w:rsidP="00395913">
            <w:pPr>
              <w:pStyle w:val="TableText"/>
              <w:tabs>
                <w:tab w:val="decimal" w:pos="907"/>
              </w:tabs>
            </w:pPr>
            <w:r w:rsidRPr="00990768">
              <w:t>253,335</w:t>
            </w:r>
          </w:p>
        </w:tc>
        <w:tc>
          <w:tcPr>
            <w:tcW w:w="1347" w:type="dxa"/>
            <w:tcBorders>
              <w:top w:val="nil"/>
              <w:bottom w:val="nil"/>
            </w:tcBorders>
            <w:shd w:val="clear" w:color="auto" w:fill="auto"/>
            <w:noWrap/>
            <w:hideMark/>
          </w:tcPr>
          <w:p w14:paraId="4C32C14D" w14:textId="77777777" w:rsidR="00CF2D46" w:rsidRPr="00990768" w:rsidRDefault="00CF2D46" w:rsidP="00395913">
            <w:pPr>
              <w:pStyle w:val="TableText"/>
              <w:tabs>
                <w:tab w:val="decimal" w:pos="907"/>
              </w:tabs>
            </w:pPr>
            <w:r w:rsidRPr="00990768">
              <w:t>279,357</w:t>
            </w:r>
          </w:p>
        </w:tc>
      </w:tr>
      <w:tr w:rsidR="00CF2D46" w:rsidRPr="00C875D7" w14:paraId="68AC97B8" w14:textId="77777777" w:rsidTr="00395913">
        <w:trPr>
          <w:cantSplit/>
        </w:trPr>
        <w:tc>
          <w:tcPr>
            <w:tcW w:w="3686" w:type="dxa"/>
            <w:tcBorders>
              <w:top w:val="nil"/>
              <w:bottom w:val="nil"/>
            </w:tcBorders>
            <w:shd w:val="clear" w:color="auto" w:fill="auto"/>
            <w:noWrap/>
            <w:hideMark/>
          </w:tcPr>
          <w:p w14:paraId="5BFF6985" w14:textId="36A3E94D" w:rsidR="00CF2D46" w:rsidRPr="00990768" w:rsidRDefault="00CF2D46">
            <w:pPr>
              <w:pStyle w:val="TableText"/>
            </w:pPr>
            <w:r>
              <w:t xml:space="preserve">Hallucinogenic </w:t>
            </w:r>
            <w:r w:rsidR="00395913">
              <w:t>and</w:t>
            </w:r>
            <w:r>
              <w:t xml:space="preserve"> psychedelic</w:t>
            </w:r>
          </w:p>
        </w:tc>
        <w:tc>
          <w:tcPr>
            <w:tcW w:w="1346" w:type="dxa"/>
            <w:tcBorders>
              <w:top w:val="nil"/>
              <w:bottom w:val="nil"/>
            </w:tcBorders>
            <w:shd w:val="clear" w:color="auto" w:fill="auto"/>
            <w:noWrap/>
            <w:hideMark/>
          </w:tcPr>
          <w:p w14:paraId="707FF492" w14:textId="77777777" w:rsidR="00CF2D46" w:rsidRPr="00990768" w:rsidRDefault="00CF2D46" w:rsidP="00395913">
            <w:pPr>
              <w:pStyle w:val="TableText"/>
              <w:jc w:val="center"/>
            </w:pPr>
            <w:r w:rsidRPr="00990768">
              <w:t>26.4%</w:t>
            </w:r>
          </w:p>
        </w:tc>
        <w:tc>
          <w:tcPr>
            <w:tcW w:w="1347" w:type="dxa"/>
            <w:tcBorders>
              <w:top w:val="nil"/>
              <w:bottom w:val="nil"/>
            </w:tcBorders>
            <w:shd w:val="clear" w:color="auto" w:fill="auto"/>
            <w:noWrap/>
            <w:hideMark/>
          </w:tcPr>
          <w:p w14:paraId="77D67C66" w14:textId="77777777" w:rsidR="00CF2D46" w:rsidRPr="00990768" w:rsidRDefault="00CF2D46" w:rsidP="00395913">
            <w:pPr>
              <w:pStyle w:val="TableText"/>
              <w:tabs>
                <w:tab w:val="decimal" w:pos="907"/>
              </w:tabs>
            </w:pPr>
            <w:r w:rsidRPr="00990768">
              <w:t>450</w:t>
            </w:r>
          </w:p>
        </w:tc>
        <w:tc>
          <w:tcPr>
            <w:tcW w:w="1346" w:type="dxa"/>
            <w:tcBorders>
              <w:top w:val="nil"/>
              <w:bottom w:val="nil"/>
            </w:tcBorders>
            <w:shd w:val="clear" w:color="auto" w:fill="auto"/>
            <w:noWrap/>
            <w:hideMark/>
          </w:tcPr>
          <w:p w14:paraId="7A6F3C87" w14:textId="77777777" w:rsidR="00CF2D46" w:rsidRPr="00990768" w:rsidRDefault="00CF2D46" w:rsidP="00395913">
            <w:pPr>
              <w:pStyle w:val="TableText"/>
              <w:tabs>
                <w:tab w:val="decimal" w:pos="907"/>
              </w:tabs>
            </w:pPr>
            <w:r w:rsidRPr="00990768">
              <w:t>53,255</w:t>
            </w:r>
          </w:p>
        </w:tc>
        <w:tc>
          <w:tcPr>
            <w:tcW w:w="1347" w:type="dxa"/>
            <w:tcBorders>
              <w:top w:val="nil"/>
              <w:bottom w:val="nil"/>
            </w:tcBorders>
            <w:shd w:val="clear" w:color="auto" w:fill="auto"/>
            <w:noWrap/>
            <w:hideMark/>
          </w:tcPr>
          <w:p w14:paraId="18720167" w14:textId="77777777" w:rsidR="00CF2D46" w:rsidRPr="00990768" w:rsidRDefault="00CF2D46" w:rsidP="00395913">
            <w:pPr>
              <w:pStyle w:val="TableText"/>
              <w:tabs>
                <w:tab w:val="decimal" w:pos="907"/>
              </w:tabs>
            </w:pPr>
            <w:r w:rsidRPr="00990768">
              <w:t>53,705</w:t>
            </w:r>
          </w:p>
        </w:tc>
      </w:tr>
      <w:tr w:rsidR="00CF2D46" w:rsidRPr="00C875D7" w14:paraId="5E5546BA" w14:textId="77777777" w:rsidTr="00395913">
        <w:trPr>
          <w:cantSplit/>
        </w:trPr>
        <w:tc>
          <w:tcPr>
            <w:tcW w:w="3686" w:type="dxa"/>
            <w:tcBorders>
              <w:top w:val="nil"/>
              <w:bottom w:val="single" w:sz="4" w:space="0" w:color="auto"/>
            </w:tcBorders>
            <w:shd w:val="clear" w:color="auto" w:fill="auto"/>
            <w:noWrap/>
            <w:hideMark/>
          </w:tcPr>
          <w:p w14:paraId="40455CBD" w14:textId="4939F9E7" w:rsidR="00CF2D46" w:rsidRPr="00990768" w:rsidRDefault="00CF2D46">
            <w:pPr>
              <w:pStyle w:val="TableText"/>
            </w:pPr>
            <w:r>
              <w:t xml:space="preserve">Opioid </w:t>
            </w:r>
            <w:r w:rsidR="00395913">
              <w:t>and</w:t>
            </w:r>
            <w:r>
              <w:t xml:space="preserve"> sedative</w:t>
            </w:r>
          </w:p>
        </w:tc>
        <w:tc>
          <w:tcPr>
            <w:tcW w:w="1346" w:type="dxa"/>
            <w:tcBorders>
              <w:top w:val="nil"/>
              <w:bottom w:val="single" w:sz="4" w:space="0" w:color="auto"/>
            </w:tcBorders>
            <w:shd w:val="clear" w:color="auto" w:fill="auto"/>
            <w:noWrap/>
            <w:hideMark/>
          </w:tcPr>
          <w:p w14:paraId="400391E8" w14:textId="77777777" w:rsidR="00CF2D46" w:rsidRPr="00990768" w:rsidRDefault="00CF2D46" w:rsidP="00395913">
            <w:pPr>
              <w:pStyle w:val="TableText"/>
              <w:jc w:val="center"/>
            </w:pPr>
            <w:r w:rsidRPr="00990768">
              <w:t>30.9%</w:t>
            </w:r>
          </w:p>
        </w:tc>
        <w:tc>
          <w:tcPr>
            <w:tcW w:w="1347" w:type="dxa"/>
            <w:tcBorders>
              <w:top w:val="nil"/>
              <w:bottom w:val="single" w:sz="4" w:space="0" w:color="auto"/>
            </w:tcBorders>
            <w:shd w:val="clear" w:color="auto" w:fill="auto"/>
            <w:noWrap/>
            <w:hideMark/>
          </w:tcPr>
          <w:p w14:paraId="6401438D" w14:textId="77777777" w:rsidR="00CF2D46" w:rsidRPr="00990768" w:rsidRDefault="00CF2D46" w:rsidP="00395913">
            <w:pPr>
              <w:pStyle w:val="TableText"/>
              <w:tabs>
                <w:tab w:val="decimal" w:pos="907"/>
              </w:tabs>
            </w:pPr>
            <w:r w:rsidRPr="00990768">
              <w:t>2,025</w:t>
            </w:r>
          </w:p>
        </w:tc>
        <w:tc>
          <w:tcPr>
            <w:tcW w:w="1346" w:type="dxa"/>
            <w:tcBorders>
              <w:top w:val="nil"/>
              <w:bottom w:val="single" w:sz="4" w:space="0" w:color="auto"/>
            </w:tcBorders>
            <w:shd w:val="clear" w:color="auto" w:fill="auto"/>
            <w:noWrap/>
            <w:hideMark/>
          </w:tcPr>
          <w:p w14:paraId="1F8962FF" w14:textId="77777777" w:rsidR="00CF2D46" w:rsidRPr="00990768" w:rsidRDefault="00CF2D46" w:rsidP="00395913">
            <w:pPr>
              <w:pStyle w:val="TableText"/>
              <w:tabs>
                <w:tab w:val="decimal" w:pos="907"/>
              </w:tabs>
            </w:pPr>
            <w:r w:rsidRPr="00990768">
              <w:t>27,195</w:t>
            </w:r>
          </w:p>
        </w:tc>
        <w:tc>
          <w:tcPr>
            <w:tcW w:w="1347" w:type="dxa"/>
            <w:tcBorders>
              <w:top w:val="nil"/>
              <w:bottom w:val="single" w:sz="4" w:space="0" w:color="auto"/>
            </w:tcBorders>
            <w:shd w:val="clear" w:color="auto" w:fill="auto"/>
            <w:noWrap/>
            <w:hideMark/>
          </w:tcPr>
          <w:p w14:paraId="74A7A441" w14:textId="77777777" w:rsidR="00CF2D46" w:rsidRPr="00990768" w:rsidRDefault="00CF2D46" w:rsidP="00395913">
            <w:pPr>
              <w:pStyle w:val="TableText"/>
              <w:tabs>
                <w:tab w:val="decimal" w:pos="907"/>
              </w:tabs>
            </w:pPr>
            <w:r w:rsidRPr="00990768">
              <w:t>29,219</w:t>
            </w:r>
          </w:p>
        </w:tc>
      </w:tr>
      <w:tr w:rsidR="00CF2D46" w:rsidRPr="00395913" w14:paraId="629E01B3" w14:textId="77777777" w:rsidTr="00395913">
        <w:trPr>
          <w:cantSplit/>
        </w:trPr>
        <w:tc>
          <w:tcPr>
            <w:tcW w:w="3686" w:type="dxa"/>
            <w:tcBorders>
              <w:top w:val="single" w:sz="4" w:space="0" w:color="auto"/>
            </w:tcBorders>
            <w:shd w:val="clear" w:color="auto" w:fill="auto"/>
            <w:noWrap/>
            <w:hideMark/>
          </w:tcPr>
          <w:p w14:paraId="088723D1" w14:textId="77777777" w:rsidR="00CF2D46" w:rsidRPr="00395913" w:rsidRDefault="00CF2D46" w:rsidP="00395913">
            <w:pPr>
              <w:pStyle w:val="TableText"/>
              <w:ind w:right="142"/>
              <w:jc w:val="right"/>
              <w:rPr>
                <w:b/>
              </w:rPr>
            </w:pPr>
            <w:r w:rsidRPr="00395913">
              <w:rPr>
                <w:b/>
              </w:rPr>
              <w:t>Total</w:t>
            </w:r>
          </w:p>
        </w:tc>
        <w:tc>
          <w:tcPr>
            <w:tcW w:w="1346" w:type="dxa"/>
            <w:tcBorders>
              <w:top w:val="single" w:sz="4" w:space="0" w:color="auto"/>
            </w:tcBorders>
            <w:shd w:val="clear" w:color="auto" w:fill="auto"/>
            <w:noWrap/>
            <w:hideMark/>
          </w:tcPr>
          <w:p w14:paraId="4375BF06" w14:textId="77777777" w:rsidR="00CF2D46" w:rsidRPr="00395913" w:rsidRDefault="00CF2D46" w:rsidP="00395913">
            <w:pPr>
              <w:pStyle w:val="TableText"/>
              <w:rPr>
                <w:b/>
              </w:rPr>
            </w:pPr>
          </w:p>
        </w:tc>
        <w:tc>
          <w:tcPr>
            <w:tcW w:w="1347" w:type="dxa"/>
            <w:tcBorders>
              <w:top w:val="single" w:sz="4" w:space="0" w:color="auto"/>
            </w:tcBorders>
            <w:shd w:val="clear" w:color="auto" w:fill="auto"/>
            <w:noWrap/>
            <w:hideMark/>
          </w:tcPr>
          <w:p w14:paraId="172E2891" w14:textId="77777777" w:rsidR="00CF2D46" w:rsidRPr="00395913" w:rsidRDefault="00CF2D46" w:rsidP="00395913">
            <w:pPr>
              <w:pStyle w:val="TableText"/>
              <w:tabs>
                <w:tab w:val="decimal" w:pos="907"/>
              </w:tabs>
              <w:rPr>
                <w:b/>
              </w:rPr>
            </w:pPr>
            <w:r w:rsidRPr="00395913">
              <w:rPr>
                <w:b/>
              </w:rPr>
              <w:t>29,889</w:t>
            </w:r>
          </w:p>
        </w:tc>
        <w:tc>
          <w:tcPr>
            <w:tcW w:w="1346" w:type="dxa"/>
            <w:tcBorders>
              <w:top w:val="single" w:sz="4" w:space="0" w:color="auto"/>
            </w:tcBorders>
            <w:shd w:val="clear" w:color="auto" w:fill="auto"/>
            <w:noWrap/>
            <w:hideMark/>
          </w:tcPr>
          <w:p w14:paraId="60D6FEEB" w14:textId="77777777" w:rsidR="00CF2D46" w:rsidRPr="00395913" w:rsidRDefault="00CF2D46" w:rsidP="00395913">
            <w:pPr>
              <w:pStyle w:val="TableText"/>
              <w:tabs>
                <w:tab w:val="decimal" w:pos="907"/>
              </w:tabs>
              <w:rPr>
                <w:b/>
              </w:rPr>
            </w:pPr>
            <w:r w:rsidRPr="00395913">
              <w:rPr>
                <w:b/>
              </w:rPr>
              <w:t>358,111</w:t>
            </w:r>
          </w:p>
        </w:tc>
        <w:tc>
          <w:tcPr>
            <w:tcW w:w="1347" w:type="dxa"/>
            <w:tcBorders>
              <w:top w:val="single" w:sz="4" w:space="0" w:color="auto"/>
            </w:tcBorders>
            <w:shd w:val="clear" w:color="auto" w:fill="auto"/>
            <w:noWrap/>
            <w:hideMark/>
          </w:tcPr>
          <w:p w14:paraId="32FE58B6" w14:textId="77777777" w:rsidR="00CF2D46" w:rsidRPr="00395913" w:rsidRDefault="00CF2D46" w:rsidP="00395913">
            <w:pPr>
              <w:pStyle w:val="TableText"/>
              <w:tabs>
                <w:tab w:val="decimal" w:pos="907"/>
              </w:tabs>
              <w:rPr>
                <w:b/>
              </w:rPr>
            </w:pPr>
            <w:r w:rsidRPr="00395913">
              <w:rPr>
                <w:b/>
              </w:rPr>
              <w:t>388,000</w:t>
            </w:r>
          </w:p>
        </w:tc>
      </w:tr>
    </w:tbl>
    <w:p w14:paraId="62B42A15" w14:textId="77777777" w:rsidR="00CF2D46" w:rsidRDefault="00CF2D46" w:rsidP="008A6B2A">
      <w:pPr>
        <w:pStyle w:val="Heading2"/>
      </w:pPr>
      <w:bookmarkStart w:id="54" w:name="_Toc444941807"/>
      <w:r w:rsidRPr="005D59D9">
        <w:t>Estimated consumption</w:t>
      </w:r>
      <w:bookmarkEnd w:id="54"/>
    </w:p>
    <w:p w14:paraId="34BF63B6" w14:textId="77777777" w:rsidR="00CF2D46" w:rsidRDefault="00CF2D46" w:rsidP="008A6B2A">
      <w:r>
        <w:t>Consumption was calculated by multiplying the number of users by the average number of occasions of use in a year by the average dose per occasion. User numbers were sourced from the previous table. Average number of occasions per year and average doses were derived from Slack et al (2008). The allocation of consumption across dependent and casual users was more difficult. There was no ready means of estimating this using New Zealand sources. Although not designed for this purpose, figures reported by Moore (2007) in an Australian context suggest that the dependent user consumes approximately 14 times the amount consumed by a casual user. In our context, this translates into daily use by a dependent user compared to an average fortnightly use by a casual user.</w:t>
      </w:r>
    </w:p>
    <w:p w14:paraId="2D610F2A" w14:textId="175AB7F2" w:rsidR="00CF2D46" w:rsidRPr="00477915" w:rsidRDefault="00CF2D46" w:rsidP="008A6B2A">
      <w:pPr>
        <w:spacing w:after="120"/>
      </w:pPr>
      <w:r>
        <w:t xml:space="preserve">Thus, the proportion allocated to dependents was equivalent to 14 times the number of dependent users divided by the total of 14 times the dependent users plus the number of casual users. Details are provided </w:t>
      </w:r>
      <w:r w:rsidR="00395913">
        <w:t>below.</w:t>
      </w:r>
    </w:p>
    <w:tbl>
      <w:tblPr>
        <w:tblStyle w:val="TableGrid"/>
        <w:tblW w:w="0" w:type="auto"/>
        <w:tblInd w:w="108" w:type="dxa"/>
        <w:tblBorders>
          <w:insideH w:val="none" w:sz="0" w:space="0" w:color="auto"/>
          <w:insideV w:val="none" w:sz="0" w:space="0" w:color="auto"/>
        </w:tblBorders>
        <w:tblLayout w:type="fixed"/>
        <w:tblLook w:val="04A0" w:firstRow="1" w:lastRow="0" w:firstColumn="1" w:lastColumn="0" w:noHBand="0" w:noVBand="1"/>
      </w:tblPr>
      <w:tblGrid>
        <w:gridCol w:w="3014"/>
        <w:gridCol w:w="1664"/>
        <w:gridCol w:w="1559"/>
        <w:gridCol w:w="1560"/>
        <w:gridCol w:w="1275"/>
      </w:tblGrid>
      <w:tr w:rsidR="00CF2D46" w:rsidRPr="00395913" w14:paraId="291C9650" w14:textId="77777777" w:rsidTr="00395913">
        <w:trPr>
          <w:cantSplit/>
        </w:trPr>
        <w:tc>
          <w:tcPr>
            <w:tcW w:w="3014" w:type="dxa"/>
            <w:tcBorders>
              <w:top w:val="single" w:sz="4" w:space="0" w:color="auto"/>
              <w:bottom w:val="single" w:sz="4" w:space="0" w:color="auto"/>
            </w:tcBorders>
            <w:hideMark/>
          </w:tcPr>
          <w:p w14:paraId="7F8F941F" w14:textId="77777777" w:rsidR="00CF2D46" w:rsidRPr="00395913" w:rsidRDefault="00CF2D46" w:rsidP="00395913">
            <w:pPr>
              <w:pStyle w:val="TableText"/>
              <w:rPr>
                <w:b/>
              </w:rPr>
            </w:pPr>
            <w:r w:rsidRPr="00395913">
              <w:rPr>
                <w:b/>
              </w:rPr>
              <w:t>Drug group</w:t>
            </w:r>
          </w:p>
        </w:tc>
        <w:tc>
          <w:tcPr>
            <w:tcW w:w="1664" w:type="dxa"/>
            <w:tcBorders>
              <w:top w:val="single" w:sz="4" w:space="0" w:color="auto"/>
              <w:bottom w:val="single" w:sz="4" w:space="0" w:color="auto"/>
            </w:tcBorders>
            <w:noWrap/>
            <w:hideMark/>
          </w:tcPr>
          <w:p w14:paraId="42326F9C" w14:textId="77777777" w:rsidR="00CF2D46" w:rsidRPr="00395913" w:rsidRDefault="00CF2D46" w:rsidP="00395913">
            <w:pPr>
              <w:pStyle w:val="TableText"/>
              <w:jc w:val="center"/>
              <w:rPr>
                <w:b/>
              </w:rPr>
            </w:pPr>
            <w:r w:rsidRPr="00395913">
              <w:rPr>
                <w:b/>
              </w:rPr>
              <w:t>Amphetamine-type stimulants</w:t>
            </w:r>
          </w:p>
        </w:tc>
        <w:tc>
          <w:tcPr>
            <w:tcW w:w="1559" w:type="dxa"/>
            <w:tcBorders>
              <w:top w:val="single" w:sz="4" w:space="0" w:color="auto"/>
              <w:bottom w:val="single" w:sz="4" w:space="0" w:color="auto"/>
            </w:tcBorders>
            <w:hideMark/>
          </w:tcPr>
          <w:p w14:paraId="23F08160" w14:textId="77777777" w:rsidR="00CF2D46" w:rsidRPr="00395913" w:rsidRDefault="00CF2D46" w:rsidP="00395913">
            <w:pPr>
              <w:pStyle w:val="TableText"/>
              <w:jc w:val="center"/>
              <w:rPr>
                <w:b/>
              </w:rPr>
            </w:pPr>
            <w:r w:rsidRPr="00395913">
              <w:rPr>
                <w:b/>
              </w:rPr>
              <w:t>Cannabinoids</w:t>
            </w:r>
          </w:p>
        </w:tc>
        <w:tc>
          <w:tcPr>
            <w:tcW w:w="1560" w:type="dxa"/>
            <w:tcBorders>
              <w:top w:val="single" w:sz="4" w:space="0" w:color="auto"/>
              <w:bottom w:val="single" w:sz="4" w:space="0" w:color="auto"/>
            </w:tcBorders>
            <w:hideMark/>
          </w:tcPr>
          <w:p w14:paraId="5CA00136" w14:textId="0E4F8F51" w:rsidR="00CF2D46" w:rsidRPr="00395913" w:rsidRDefault="00CF2D46" w:rsidP="00AE5A19">
            <w:pPr>
              <w:pStyle w:val="TableText"/>
              <w:jc w:val="center"/>
              <w:rPr>
                <w:b/>
              </w:rPr>
            </w:pPr>
            <w:r w:rsidRPr="00395913">
              <w:rPr>
                <w:b/>
              </w:rPr>
              <w:t xml:space="preserve">Hallucinogenic </w:t>
            </w:r>
            <w:r w:rsidR="00395913">
              <w:rPr>
                <w:b/>
              </w:rPr>
              <w:t>and</w:t>
            </w:r>
            <w:r w:rsidRPr="00395913">
              <w:rPr>
                <w:b/>
              </w:rPr>
              <w:t xml:space="preserve"> psychedelic</w:t>
            </w:r>
          </w:p>
        </w:tc>
        <w:tc>
          <w:tcPr>
            <w:tcW w:w="1275" w:type="dxa"/>
            <w:tcBorders>
              <w:top w:val="single" w:sz="4" w:space="0" w:color="auto"/>
              <w:bottom w:val="single" w:sz="4" w:space="0" w:color="auto"/>
            </w:tcBorders>
            <w:hideMark/>
          </w:tcPr>
          <w:p w14:paraId="015B5D72" w14:textId="1D39C615" w:rsidR="00CF2D46" w:rsidRPr="00395913" w:rsidRDefault="00CF2D46" w:rsidP="00AE5A19">
            <w:pPr>
              <w:pStyle w:val="TableText"/>
              <w:jc w:val="center"/>
              <w:rPr>
                <w:b/>
              </w:rPr>
            </w:pPr>
            <w:r w:rsidRPr="00395913">
              <w:rPr>
                <w:b/>
              </w:rPr>
              <w:t xml:space="preserve">Opioids </w:t>
            </w:r>
            <w:r w:rsidR="00395913">
              <w:rPr>
                <w:b/>
              </w:rPr>
              <w:t>and</w:t>
            </w:r>
            <w:r w:rsidRPr="00395913">
              <w:rPr>
                <w:b/>
              </w:rPr>
              <w:t xml:space="preserve"> sedative</w:t>
            </w:r>
          </w:p>
        </w:tc>
      </w:tr>
      <w:tr w:rsidR="00CF2D46" w:rsidRPr="00C671F3" w14:paraId="53BA9F72" w14:textId="77777777" w:rsidTr="00395913">
        <w:trPr>
          <w:cantSplit/>
        </w:trPr>
        <w:tc>
          <w:tcPr>
            <w:tcW w:w="3014" w:type="dxa"/>
            <w:tcBorders>
              <w:top w:val="single" w:sz="4" w:space="0" w:color="auto"/>
            </w:tcBorders>
            <w:hideMark/>
          </w:tcPr>
          <w:p w14:paraId="48BF41DF" w14:textId="77777777" w:rsidR="00CF2D46" w:rsidRPr="0016104A" w:rsidRDefault="00CF2D46" w:rsidP="00395913">
            <w:pPr>
              <w:pStyle w:val="TableText"/>
            </w:pPr>
            <w:r w:rsidRPr="0016104A">
              <w:t>Total users</w:t>
            </w:r>
          </w:p>
        </w:tc>
        <w:tc>
          <w:tcPr>
            <w:tcW w:w="1664" w:type="dxa"/>
            <w:tcBorders>
              <w:top w:val="single" w:sz="4" w:space="0" w:color="auto"/>
            </w:tcBorders>
            <w:noWrap/>
            <w:hideMark/>
          </w:tcPr>
          <w:p w14:paraId="6C4EDFF0" w14:textId="77777777" w:rsidR="00CF2D46" w:rsidRPr="00C671F3" w:rsidRDefault="00CF2D46" w:rsidP="00395913">
            <w:pPr>
              <w:pStyle w:val="TableText"/>
              <w:tabs>
                <w:tab w:val="decimal" w:pos="1131"/>
              </w:tabs>
            </w:pPr>
            <w:r w:rsidRPr="00C671F3">
              <w:t>25,719</w:t>
            </w:r>
          </w:p>
        </w:tc>
        <w:tc>
          <w:tcPr>
            <w:tcW w:w="1559" w:type="dxa"/>
            <w:tcBorders>
              <w:top w:val="single" w:sz="4" w:space="0" w:color="auto"/>
            </w:tcBorders>
            <w:noWrap/>
            <w:hideMark/>
          </w:tcPr>
          <w:p w14:paraId="28F1ED21" w14:textId="77777777" w:rsidR="00CF2D46" w:rsidRPr="00C671F3" w:rsidRDefault="00CF2D46" w:rsidP="00395913">
            <w:pPr>
              <w:pStyle w:val="TableText"/>
              <w:tabs>
                <w:tab w:val="decimal" w:pos="1131"/>
              </w:tabs>
            </w:pPr>
            <w:r w:rsidRPr="00C671F3">
              <w:t>279,357</w:t>
            </w:r>
          </w:p>
        </w:tc>
        <w:tc>
          <w:tcPr>
            <w:tcW w:w="1560" w:type="dxa"/>
            <w:tcBorders>
              <w:top w:val="single" w:sz="4" w:space="0" w:color="auto"/>
            </w:tcBorders>
            <w:noWrap/>
            <w:hideMark/>
          </w:tcPr>
          <w:p w14:paraId="6422D70A" w14:textId="77777777" w:rsidR="00CF2D46" w:rsidRPr="00C671F3" w:rsidRDefault="00CF2D46" w:rsidP="00395913">
            <w:pPr>
              <w:pStyle w:val="TableText"/>
              <w:tabs>
                <w:tab w:val="decimal" w:pos="1131"/>
              </w:tabs>
            </w:pPr>
            <w:r w:rsidRPr="00C671F3">
              <w:t>53,705</w:t>
            </w:r>
          </w:p>
        </w:tc>
        <w:tc>
          <w:tcPr>
            <w:tcW w:w="1275" w:type="dxa"/>
            <w:tcBorders>
              <w:top w:val="single" w:sz="4" w:space="0" w:color="auto"/>
            </w:tcBorders>
            <w:noWrap/>
            <w:hideMark/>
          </w:tcPr>
          <w:p w14:paraId="27A0827C" w14:textId="77777777" w:rsidR="00CF2D46" w:rsidRPr="00C671F3" w:rsidRDefault="00CF2D46" w:rsidP="00395913">
            <w:pPr>
              <w:pStyle w:val="TableText"/>
              <w:tabs>
                <w:tab w:val="decimal" w:pos="884"/>
              </w:tabs>
            </w:pPr>
            <w:r w:rsidRPr="00C671F3">
              <w:t>29,219</w:t>
            </w:r>
          </w:p>
        </w:tc>
      </w:tr>
      <w:tr w:rsidR="00CF2D46" w:rsidRPr="00C671F3" w14:paraId="0FFE62F5" w14:textId="77777777" w:rsidTr="00395913">
        <w:trPr>
          <w:cantSplit/>
        </w:trPr>
        <w:tc>
          <w:tcPr>
            <w:tcW w:w="3014" w:type="dxa"/>
            <w:hideMark/>
          </w:tcPr>
          <w:p w14:paraId="3983AE6F" w14:textId="77777777" w:rsidR="00CF2D46" w:rsidRPr="0016104A" w:rsidRDefault="00CF2D46" w:rsidP="00395913">
            <w:pPr>
              <w:pStyle w:val="TableText"/>
            </w:pPr>
            <w:r w:rsidRPr="0016104A">
              <w:t>Average occasions</w:t>
            </w:r>
          </w:p>
        </w:tc>
        <w:tc>
          <w:tcPr>
            <w:tcW w:w="1664" w:type="dxa"/>
            <w:noWrap/>
            <w:hideMark/>
          </w:tcPr>
          <w:p w14:paraId="0BC79FE2" w14:textId="77777777" w:rsidR="00CF2D46" w:rsidRPr="00C671F3" w:rsidRDefault="00CF2D46" w:rsidP="00395913">
            <w:pPr>
              <w:pStyle w:val="TableText"/>
              <w:tabs>
                <w:tab w:val="decimal" w:pos="988"/>
              </w:tabs>
            </w:pPr>
            <w:r w:rsidRPr="00C671F3">
              <w:t>20.4</w:t>
            </w:r>
          </w:p>
        </w:tc>
        <w:tc>
          <w:tcPr>
            <w:tcW w:w="1559" w:type="dxa"/>
            <w:noWrap/>
            <w:hideMark/>
          </w:tcPr>
          <w:p w14:paraId="044D667D" w14:textId="77777777" w:rsidR="00CF2D46" w:rsidRPr="00C671F3" w:rsidRDefault="00CF2D46" w:rsidP="00395913">
            <w:pPr>
              <w:pStyle w:val="TableText"/>
              <w:tabs>
                <w:tab w:val="decimal" w:pos="743"/>
              </w:tabs>
              <w:jc w:val="center"/>
            </w:pPr>
            <w:r w:rsidRPr="00C671F3">
              <w:t>89.3</w:t>
            </w:r>
          </w:p>
        </w:tc>
        <w:tc>
          <w:tcPr>
            <w:tcW w:w="1560" w:type="dxa"/>
            <w:noWrap/>
            <w:hideMark/>
          </w:tcPr>
          <w:p w14:paraId="28618488" w14:textId="77777777" w:rsidR="00CF2D46" w:rsidRPr="00C671F3" w:rsidRDefault="00CF2D46" w:rsidP="00395913">
            <w:pPr>
              <w:pStyle w:val="TableText"/>
              <w:tabs>
                <w:tab w:val="decimal" w:pos="743"/>
              </w:tabs>
              <w:jc w:val="center"/>
            </w:pPr>
            <w:r w:rsidRPr="00C671F3">
              <w:t>7.4</w:t>
            </w:r>
          </w:p>
        </w:tc>
        <w:tc>
          <w:tcPr>
            <w:tcW w:w="1275" w:type="dxa"/>
            <w:noWrap/>
            <w:hideMark/>
          </w:tcPr>
          <w:p w14:paraId="402614F2" w14:textId="77777777" w:rsidR="00CF2D46" w:rsidRPr="00C671F3" w:rsidRDefault="00CF2D46" w:rsidP="00395913">
            <w:pPr>
              <w:pStyle w:val="TableText"/>
              <w:tabs>
                <w:tab w:val="decimal" w:pos="600"/>
              </w:tabs>
              <w:jc w:val="center"/>
            </w:pPr>
            <w:r w:rsidRPr="00C671F3">
              <w:t>34.2</w:t>
            </w:r>
          </w:p>
        </w:tc>
      </w:tr>
      <w:tr w:rsidR="00CF2D46" w:rsidRPr="00C671F3" w14:paraId="31A86691" w14:textId="77777777" w:rsidTr="00395913">
        <w:trPr>
          <w:cantSplit/>
        </w:trPr>
        <w:tc>
          <w:tcPr>
            <w:tcW w:w="3014" w:type="dxa"/>
            <w:hideMark/>
          </w:tcPr>
          <w:p w14:paraId="2D26F8B8" w14:textId="77777777" w:rsidR="00CF2D46" w:rsidRPr="0016104A" w:rsidRDefault="00CF2D46" w:rsidP="00395913">
            <w:pPr>
              <w:pStyle w:val="TableText"/>
            </w:pPr>
            <w:r w:rsidRPr="0016104A">
              <w:t>Total occasions</w:t>
            </w:r>
          </w:p>
        </w:tc>
        <w:tc>
          <w:tcPr>
            <w:tcW w:w="1664" w:type="dxa"/>
            <w:noWrap/>
            <w:hideMark/>
          </w:tcPr>
          <w:p w14:paraId="4B2068A9" w14:textId="77777777" w:rsidR="00CF2D46" w:rsidRPr="00C671F3" w:rsidRDefault="00CF2D46" w:rsidP="00395913">
            <w:pPr>
              <w:pStyle w:val="TableText"/>
              <w:tabs>
                <w:tab w:val="decimal" w:pos="1131"/>
              </w:tabs>
            </w:pPr>
            <w:r w:rsidRPr="00C671F3">
              <w:t>524,659</w:t>
            </w:r>
          </w:p>
        </w:tc>
        <w:tc>
          <w:tcPr>
            <w:tcW w:w="1559" w:type="dxa"/>
            <w:noWrap/>
            <w:hideMark/>
          </w:tcPr>
          <w:p w14:paraId="355BEF9D" w14:textId="77777777" w:rsidR="00CF2D46" w:rsidRPr="00C671F3" w:rsidRDefault="00CF2D46" w:rsidP="00395913">
            <w:pPr>
              <w:pStyle w:val="TableText"/>
              <w:tabs>
                <w:tab w:val="decimal" w:pos="1131"/>
              </w:tabs>
            </w:pPr>
            <w:r w:rsidRPr="00C671F3">
              <w:t>24,946,554</w:t>
            </w:r>
          </w:p>
        </w:tc>
        <w:tc>
          <w:tcPr>
            <w:tcW w:w="1560" w:type="dxa"/>
            <w:noWrap/>
            <w:hideMark/>
          </w:tcPr>
          <w:p w14:paraId="23043A2C" w14:textId="77777777" w:rsidR="00CF2D46" w:rsidRPr="00C671F3" w:rsidRDefault="00CF2D46" w:rsidP="00395913">
            <w:pPr>
              <w:pStyle w:val="TableText"/>
              <w:tabs>
                <w:tab w:val="decimal" w:pos="1131"/>
              </w:tabs>
            </w:pPr>
            <w:r w:rsidRPr="00C671F3">
              <w:t>397,420</w:t>
            </w:r>
          </w:p>
        </w:tc>
        <w:tc>
          <w:tcPr>
            <w:tcW w:w="1275" w:type="dxa"/>
            <w:noWrap/>
            <w:hideMark/>
          </w:tcPr>
          <w:p w14:paraId="74385F2E" w14:textId="77777777" w:rsidR="00CF2D46" w:rsidRPr="00C671F3" w:rsidRDefault="00CF2D46" w:rsidP="00395913">
            <w:pPr>
              <w:pStyle w:val="TableText"/>
              <w:tabs>
                <w:tab w:val="decimal" w:pos="884"/>
              </w:tabs>
            </w:pPr>
            <w:r w:rsidRPr="00C671F3">
              <w:t>999,299</w:t>
            </w:r>
          </w:p>
        </w:tc>
      </w:tr>
      <w:tr w:rsidR="00CF2D46" w:rsidRPr="00C671F3" w14:paraId="70EF4A68" w14:textId="77777777" w:rsidTr="00395913">
        <w:trPr>
          <w:cantSplit/>
        </w:trPr>
        <w:tc>
          <w:tcPr>
            <w:tcW w:w="3014" w:type="dxa"/>
            <w:hideMark/>
          </w:tcPr>
          <w:p w14:paraId="24739016" w14:textId="77777777" w:rsidR="00CF2D46" w:rsidRPr="0016104A" w:rsidRDefault="00CF2D46" w:rsidP="00395913">
            <w:pPr>
              <w:pStyle w:val="TableText"/>
            </w:pPr>
            <w:r w:rsidRPr="0016104A">
              <w:t>Average dose (g)</w:t>
            </w:r>
          </w:p>
        </w:tc>
        <w:tc>
          <w:tcPr>
            <w:tcW w:w="1664" w:type="dxa"/>
            <w:noWrap/>
            <w:hideMark/>
          </w:tcPr>
          <w:p w14:paraId="006B5371" w14:textId="77777777" w:rsidR="00CF2D46" w:rsidRPr="00C671F3" w:rsidRDefault="00CF2D46" w:rsidP="00395913">
            <w:pPr>
              <w:pStyle w:val="TableText"/>
              <w:tabs>
                <w:tab w:val="decimal" w:pos="564"/>
              </w:tabs>
              <w:jc w:val="center"/>
            </w:pPr>
            <w:r w:rsidRPr="00C671F3">
              <w:t>0.56</w:t>
            </w:r>
          </w:p>
        </w:tc>
        <w:tc>
          <w:tcPr>
            <w:tcW w:w="1559" w:type="dxa"/>
            <w:noWrap/>
            <w:hideMark/>
          </w:tcPr>
          <w:p w14:paraId="306CD96A" w14:textId="77777777" w:rsidR="00CF2D46" w:rsidRPr="00C671F3" w:rsidRDefault="00CF2D46" w:rsidP="00395913">
            <w:pPr>
              <w:pStyle w:val="TableText"/>
              <w:tabs>
                <w:tab w:val="decimal" w:pos="652"/>
              </w:tabs>
              <w:jc w:val="center"/>
            </w:pPr>
            <w:r w:rsidRPr="00C671F3">
              <w:t>1.10</w:t>
            </w:r>
          </w:p>
        </w:tc>
        <w:tc>
          <w:tcPr>
            <w:tcW w:w="1560" w:type="dxa"/>
            <w:noWrap/>
            <w:hideMark/>
          </w:tcPr>
          <w:p w14:paraId="5ADD764C" w14:textId="77777777" w:rsidR="00CF2D46" w:rsidRPr="00C671F3" w:rsidRDefault="00CF2D46" w:rsidP="00395913">
            <w:pPr>
              <w:pStyle w:val="TableText"/>
              <w:tabs>
                <w:tab w:val="decimal" w:pos="652"/>
              </w:tabs>
              <w:jc w:val="center"/>
            </w:pPr>
            <w:r w:rsidRPr="00C671F3">
              <w:t>0.06</w:t>
            </w:r>
          </w:p>
        </w:tc>
        <w:tc>
          <w:tcPr>
            <w:tcW w:w="1275" w:type="dxa"/>
            <w:noWrap/>
            <w:hideMark/>
          </w:tcPr>
          <w:p w14:paraId="7D102F30" w14:textId="77777777" w:rsidR="00CF2D46" w:rsidRPr="00C671F3" w:rsidRDefault="00CF2D46" w:rsidP="00395913">
            <w:pPr>
              <w:pStyle w:val="TableText"/>
              <w:tabs>
                <w:tab w:val="decimal" w:pos="459"/>
              </w:tabs>
              <w:jc w:val="center"/>
            </w:pPr>
            <w:r w:rsidRPr="00C671F3">
              <w:t>0.50</w:t>
            </w:r>
          </w:p>
        </w:tc>
      </w:tr>
      <w:tr w:rsidR="00CF2D46" w:rsidRPr="00C671F3" w14:paraId="00089F87" w14:textId="77777777" w:rsidTr="00395913">
        <w:trPr>
          <w:cantSplit/>
        </w:trPr>
        <w:tc>
          <w:tcPr>
            <w:tcW w:w="3014" w:type="dxa"/>
            <w:hideMark/>
          </w:tcPr>
          <w:p w14:paraId="27066F4B" w14:textId="77777777" w:rsidR="00CF2D46" w:rsidRPr="0016104A" w:rsidRDefault="00CF2D46" w:rsidP="00395913">
            <w:pPr>
              <w:pStyle w:val="TableText"/>
            </w:pPr>
            <w:r w:rsidRPr="0016104A">
              <w:t>Total consumption (kg)</w:t>
            </w:r>
          </w:p>
        </w:tc>
        <w:tc>
          <w:tcPr>
            <w:tcW w:w="1664" w:type="dxa"/>
            <w:noWrap/>
            <w:hideMark/>
          </w:tcPr>
          <w:p w14:paraId="3CE85F4C" w14:textId="77777777" w:rsidR="00CF2D46" w:rsidRPr="00C671F3" w:rsidRDefault="00CF2D46" w:rsidP="00395913">
            <w:pPr>
              <w:pStyle w:val="TableText"/>
              <w:tabs>
                <w:tab w:val="decimal" w:pos="1131"/>
              </w:tabs>
            </w:pPr>
            <w:r w:rsidRPr="00C671F3">
              <w:t>294</w:t>
            </w:r>
          </w:p>
        </w:tc>
        <w:tc>
          <w:tcPr>
            <w:tcW w:w="1559" w:type="dxa"/>
            <w:noWrap/>
            <w:hideMark/>
          </w:tcPr>
          <w:p w14:paraId="399CB24A" w14:textId="77777777" w:rsidR="00CF2D46" w:rsidRPr="00C671F3" w:rsidRDefault="00CF2D46" w:rsidP="00395913">
            <w:pPr>
              <w:pStyle w:val="TableText"/>
              <w:tabs>
                <w:tab w:val="decimal" w:pos="1131"/>
              </w:tabs>
            </w:pPr>
            <w:r w:rsidRPr="00C671F3">
              <w:t>27,441</w:t>
            </w:r>
          </w:p>
        </w:tc>
        <w:tc>
          <w:tcPr>
            <w:tcW w:w="1560" w:type="dxa"/>
            <w:noWrap/>
            <w:hideMark/>
          </w:tcPr>
          <w:p w14:paraId="4B7085E4" w14:textId="77777777" w:rsidR="00CF2D46" w:rsidRPr="00C671F3" w:rsidRDefault="00CF2D46" w:rsidP="00395913">
            <w:pPr>
              <w:pStyle w:val="TableText"/>
              <w:tabs>
                <w:tab w:val="decimal" w:pos="1131"/>
              </w:tabs>
            </w:pPr>
            <w:r w:rsidRPr="00C671F3">
              <w:t>24</w:t>
            </w:r>
          </w:p>
        </w:tc>
        <w:tc>
          <w:tcPr>
            <w:tcW w:w="1275" w:type="dxa"/>
            <w:noWrap/>
            <w:hideMark/>
          </w:tcPr>
          <w:p w14:paraId="36CD60D5" w14:textId="77777777" w:rsidR="00CF2D46" w:rsidRPr="00C671F3" w:rsidRDefault="00CF2D46" w:rsidP="00395913">
            <w:pPr>
              <w:pStyle w:val="TableText"/>
              <w:tabs>
                <w:tab w:val="decimal" w:pos="884"/>
              </w:tabs>
            </w:pPr>
            <w:r w:rsidRPr="00C671F3">
              <w:t>500</w:t>
            </w:r>
          </w:p>
        </w:tc>
      </w:tr>
      <w:tr w:rsidR="00CF2D46" w:rsidRPr="00C671F3" w14:paraId="7718A3E0" w14:textId="77777777" w:rsidTr="00395913">
        <w:trPr>
          <w:cantSplit/>
        </w:trPr>
        <w:tc>
          <w:tcPr>
            <w:tcW w:w="3014" w:type="dxa"/>
            <w:hideMark/>
          </w:tcPr>
          <w:p w14:paraId="65DCB0D8" w14:textId="77777777" w:rsidR="00CF2D46" w:rsidRPr="0016104A" w:rsidRDefault="00CF2D46" w:rsidP="00395913">
            <w:pPr>
              <w:pStyle w:val="TableText"/>
            </w:pPr>
            <w:r w:rsidRPr="0016104A">
              <w:t>Dependent consumption (kg)</w:t>
            </w:r>
          </w:p>
        </w:tc>
        <w:tc>
          <w:tcPr>
            <w:tcW w:w="1664" w:type="dxa"/>
            <w:noWrap/>
            <w:hideMark/>
          </w:tcPr>
          <w:p w14:paraId="5E792E27" w14:textId="77777777" w:rsidR="00CF2D46" w:rsidRPr="00C671F3" w:rsidRDefault="00CF2D46" w:rsidP="00395913">
            <w:pPr>
              <w:pStyle w:val="TableText"/>
              <w:tabs>
                <w:tab w:val="decimal" w:pos="1131"/>
              </w:tabs>
            </w:pPr>
            <w:r w:rsidRPr="00C671F3">
              <w:t>131</w:t>
            </w:r>
          </w:p>
        </w:tc>
        <w:tc>
          <w:tcPr>
            <w:tcW w:w="1559" w:type="dxa"/>
            <w:noWrap/>
            <w:hideMark/>
          </w:tcPr>
          <w:p w14:paraId="69EC73EB" w14:textId="77777777" w:rsidR="00CF2D46" w:rsidRPr="00C671F3" w:rsidRDefault="00CF2D46" w:rsidP="00395913">
            <w:pPr>
              <w:pStyle w:val="TableText"/>
              <w:tabs>
                <w:tab w:val="decimal" w:pos="1131"/>
              </w:tabs>
            </w:pPr>
            <w:r w:rsidRPr="00C671F3">
              <w:t>16,186</w:t>
            </w:r>
          </w:p>
        </w:tc>
        <w:tc>
          <w:tcPr>
            <w:tcW w:w="1560" w:type="dxa"/>
            <w:noWrap/>
            <w:hideMark/>
          </w:tcPr>
          <w:p w14:paraId="2F27F1D6" w14:textId="77777777" w:rsidR="00CF2D46" w:rsidRPr="00C671F3" w:rsidRDefault="00CF2D46" w:rsidP="00395913">
            <w:pPr>
              <w:pStyle w:val="TableText"/>
              <w:tabs>
                <w:tab w:val="decimal" w:pos="1131"/>
              </w:tabs>
            </w:pPr>
            <w:r w:rsidRPr="00C671F3">
              <w:t>3</w:t>
            </w:r>
          </w:p>
        </w:tc>
        <w:tc>
          <w:tcPr>
            <w:tcW w:w="1275" w:type="dxa"/>
            <w:noWrap/>
            <w:hideMark/>
          </w:tcPr>
          <w:p w14:paraId="2A757510" w14:textId="77777777" w:rsidR="00CF2D46" w:rsidRPr="00C671F3" w:rsidRDefault="00CF2D46" w:rsidP="00395913">
            <w:pPr>
              <w:pStyle w:val="TableText"/>
              <w:tabs>
                <w:tab w:val="decimal" w:pos="884"/>
              </w:tabs>
            </w:pPr>
            <w:r w:rsidRPr="00C671F3">
              <w:t>255</w:t>
            </w:r>
          </w:p>
        </w:tc>
      </w:tr>
      <w:tr w:rsidR="00CF2D46" w:rsidRPr="00C671F3" w14:paraId="02A9FBFC" w14:textId="77777777" w:rsidTr="00395913">
        <w:trPr>
          <w:cantSplit/>
        </w:trPr>
        <w:tc>
          <w:tcPr>
            <w:tcW w:w="3014" w:type="dxa"/>
            <w:hideMark/>
          </w:tcPr>
          <w:p w14:paraId="0753CA01" w14:textId="77777777" w:rsidR="00CF2D46" w:rsidRPr="0016104A" w:rsidRDefault="00CF2D46" w:rsidP="00395913">
            <w:pPr>
              <w:pStyle w:val="TableText"/>
            </w:pPr>
            <w:r w:rsidRPr="0016104A">
              <w:t>Casual consumption (</w:t>
            </w:r>
            <w:r>
              <w:t>k</w:t>
            </w:r>
            <w:r w:rsidRPr="0016104A">
              <w:t>g)</w:t>
            </w:r>
          </w:p>
        </w:tc>
        <w:tc>
          <w:tcPr>
            <w:tcW w:w="1664" w:type="dxa"/>
            <w:noWrap/>
            <w:hideMark/>
          </w:tcPr>
          <w:p w14:paraId="34794522" w14:textId="77777777" w:rsidR="00CF2D46" w:rsidRPr="00C671F3" w:rsidRDefault="00CF2D46" w:rsidP="00395913">
            <w:pPr>
              <w:pStyle w:val="TableText"/>
              <w:tabs>
                <w:tab w:val="decimal" w:pos="1131"/>
              </w:tabs>
            </w:pPr>
            <w:r w:rsidRPr="00C671F3">
              <w:t>163</w:t>
            </w:r>
          </w:p>
        </w:tc>
        <w:tc>
          <w:tcPr>
            <w:tcW w:w="1559" w:type="dxa"/>
            <w:noWrap/>
            <w:hideMark/>
          </w:tcPr>
          <w:p w14:paraId="2B5DE8BE" w14:textId="77777777" w:rsidR="00CF2D46" w:rsidRPr="00C671F3" w:rsidRDefault="00CF2D46" w:rsidP="00395913">
            <w:pPr>
              <w:pStyle w:val="TableText"/>
              <w:tabs>
                <w:tab w:val="decimal" w:pos="1131"/>
              </w:tabs>
            </w:pPr>
            <w:r w:rsidRPr="00C671F3">
              <w:t>11,255</w:t>
            </w:r>
          </w:p>
        </w:tc>
        <w:tc>
          <w:tcPr>
            <w:tcW w:w="1560" w:type="dxa"/>
            <w:noWrap/>
            <w:hideMark/>
          </w:tcPr>
          <w:p w14:paraId="4CB68E20" w14:textId="77777777" w:rsidR="00CF2D46" w:rsidRPr="00C671F3" w:rsidRDefault="00CF2D46" w:rsidP="00395913">
            <w:pPr>
              <w:pStyle w:val="TableText"/>
              <w:tabs>
                <w:tab w:val="decimal" w:pos="1131"/>
              </w:tabs>
            </w:pPr>
            <w:r w:rsidRPr="00C671F3">
              <w:t>21</w:t>
            </w:r>
          </w:p>
        </w:tc>
        <w:tc>
          <w:tcPr>
            <w:tcW w:w="1275" w:type="dxa"/>
            <w:noWrap/>
            <w:hideMark/>
          </w:tcPr>
          <w:p w14:paraId="127737F2" w14:textId="77777777" w:rsidR="00CF2D46" w:rsidRPr="00C671F3" w:rsidRDefault="00CF2D46" w:rsidP="00395913">
            <w:pPr>
              <w:pStyle w:val="TableText"/>
              <w:tabs>
                <w:tab w:val="decimal" w:pos="884"/>
              </w:tabs>
            </w:pPr>
            <w:r w:rsidRPr="00C671F3">
              <w:t>245</w:t>
            </w:r>
          </w:p>
        </w:tc>
      </w:tr>
    </w:tbl>
    <w:p w14:paraId="4E34A772" w14:textId="77777777" w:rsidR="00CF2D46" w:rsidRDefault="00CF2D46" w:rsidP="0039591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77"/>
        <w:gridCol w:w="1701"/>
        <w:gridCol w:w="1559"/>
        <w:gridCol w:w="1560"/>
        <w:gridCol w:w="1275"/>
      </w:tblGrid>
      <w:tr w:rsidR="00CF2D46" w:rsidRPr="00395913" w14:paraId="3466A80D" w14:textId="77777777" w:rsidTr="00395913">
        <w:trPr>
          <w:cantSplit/>
        </w:trPr>
        <w:tc>
          <w:tcPr>
            <w:tcW w:w="2977" w:type="dxa"/>
            <w:tcBorders>
              <w:top w:val="single" w:sz="4" w:space="0" w:color="auto"/>
              <w:bottom w:val="single" w:sz="4" w:space="0" w:color="auto"/>
            </w:tcBorders>
            <w:shd w:val="clear" w:color="auto" w:fill="auto"/>
            <w:noWrap/>
            <w:hideMark/>
          </w:tcPr>
          <w:p w14:paraId="5508A365" w14:textId="77777777" w:rsidR="00CF2D46" w:rsidRPr="00395913" w:rsidRDefault="00CF2D46" w:rsidP="00395913">
            <w:pPr>
              <w:pStyle w:val="TableText"/>
              <w:rPr>
                <w:b/>
                <w:color w:val="000000"/>
              </w:rPr>
            </w:pPr>
            <w:r w:rsidRPr="00395913">
              <w:rPr>
                <w:b/>
              </w:rPr>
              <w:t>Drug group</w:t>
            </w:r>
          </w:p>
        </w:tc>
        <w:tc>
          <w:tcPr>
            <w:tcW w:w="1701" w:type="dxa"/>
            <w:tcBorders>
              <w:top w:val="single" w:sz="4" w:space="0" w:color="auto"/>
              <w:bottom w:val="single" w:sz="4" w:space="0" w:color="auto"/>
            </w:tcBorders>
            <w:shd w:val="clear" w:color="auto" w:fill="auto"/>
            <w:hideMark/>
          </w:tcPr>
          <w:p w14:paraId="47714883" w14:textId="77777777" w:rsidR="00CF2D46" w:rsidRPr="00395913" w:rsidRDefault="00CF2D46" w:rsidP="00395913">
            <w:pPr>
              <w:pStyle w:val="TableText"/>
              <w:jc w:val="center"/>
              <w:rPr>
                <w:b/>
                <w:color w:val="000000"/>
              </w:rPr>
            </w:pPr>
            <w:r w:rsidRPr="00395913">
              <w:rPr>
                <w:b/>
              </w:rPr>
              <w:t>Amphetamine-type stimulants</w:t>
            </w:r>
          </w:p>
        </w:tc>
        <w:tc>
          <w:tcPr>
            <w:tcW w:w="1559" w:type="dxa"/>
            <w:tcBorders>
              <w:top w:val="single" w:sz="4" w:space="0" w:color="auto"/>
              <w:bottom w:val="single" w:sz="4" w:space="0" w:color="auto"/>
            </w:tcBorders>
            <w:shd w:val="clear" w:color="auto" w:fill="auto"/>
            <w:hideMark/>
          </w:tcPr>
          <w:p w14:paraId="5FF795DD" w14:textId="77777777" w:rsidR="00CF2D46" w:rsidRPr="00395913" w:rsidRDefault="00CF2D46" w:rsidP="00395913">
            <w:pPr>
              <w:pStyle w:val="TableText"/>
              <w:jc w:val="center"/>
              <w:rPr>
                <w:b/>
                <w:color w:val="000000"/>
              </w:rPr>
            </w:pPr>
            <w:r w:rsidRPr="00395913">
              <w:rPr>
                <w:b/>
              </w:rPr>
              <w:t>Cannabinoids</w:t>
            </w:r>
          </w:p>
        </w:tc>
        <w:tc>
          <w:tcPr>
            <w:tcW w:w="1560" w:type="dxa"/>
            <w:tcBorders>
              <w:top w:val="single" w:sz="4" w:space="0" w:color="auto"/>
              <w:bottom w:val="single" w:sz="4" w:space="0" w:color="auto"/>
            </w:tcBorders>
            <w:shd w:val="clear" w:color="auto" w:fill="auto"/>
            <w:hideMark/>
          </w:tcPr>
          <w:p w14:paraId="383D3C0B" w14:textId="4C70DB2F" w:rsidR="00CF2D46" w:rsidRPr="00395913" w:rsidRDefault="00CF2D46" w:rsidP="00AE5A19">
            <w:pPr>
              <w:pStyle w:val="TableText"/>
              <w:jc w:val="center"/>
              <w:rPr>
                <w:b/>
                <w:color w:val="000000"/>
              </w:rPr>
            </w:pPr>
            <w:r w:rsidRPr="00395913">
              <w:rPr>
                <w:b/>
              </w:rPr>
              <w:t xml:space="preserve">Hallucinogenic </w:t>
            </w:r>
            <w:r w:rsidR="00395913" w:rsidRPr="00395913">
              <w:rPr>
                <w:b/>
              </w:rPr>
              <w:t>and</w:t>
            </w:r>
            <w:r w:rsidRPr="00395913">
              <w:rPr>
                <w:b/>
              </w:rPr>
              <w:t xml:space="preserve"> psychedelic</w:t>
            </w:r>
          </w:p>
        </w:tc>
        <w:tc>
          <w:tcPr>
            <w:tcW w:w="1275" w:type="dxa"/>
            <w:tcBorders>
              <w:top w:val="single" w:sz="4" w:space="0" w:color="auto"/>
              <w:bottom w:val="single" w:sz="4" w:space="0" w:color="auto"/>
            </w:tcBorders>
            <w:shd w:val="clear" w:color="auto" w:fill="auto"/>
            <w:hideMark/>
          </w:tcPr>
          <w:p w14:paraId="20353609" w14:textId="209585D3" w:rsidR="00CF2D46" w:rsidRPr="00395913" w:rsidRDefault="00CF2D46" w:rsidP="00AE5A19">
            <w:pPr>
              <w:pStyle w:val="TableText"/>
              <w:jc w:val="center"/>
              <w:rPr>
                <w:b/>
                <w:color w:val="000000"/>
              </w:rPr>
            </w:pPr>
            <w:r w:rsidRPr="00395913">
              <w:rPr>
                <w:b/>
              </w:rPr>
              <w:t xml:space="preserve">Opioids </w:t>
            </w:r>
            <w:r w:rsidR="00395913" w:rsidRPr="00395913">
              <w:rPr>
                <w:b/>
              </w:rPr>
              <w:t>and</w:t>
            </w:r>
            <w:r w:rsidRPr="00395913">
              <w:rPr>
                <w:b/>
              </w:rPr>
              <w:t xml:space="preserve"> sedative</w:t>
            </w:r>
          </w:p>
        </w:tc>
      </w:tr>
      <w:tr w:rsidR="00CF2D46" w:rsidRPr="005372A1" w14:paraId="4EE4DF56" w14:textId="77777777" w:rsidTr="00395913">
        <w:trPr>
          <w:cantSplit/>
        </w:trPr>
        <w:tc>
          <w:tcPr>
            <w:tcW w:w="2977" w:type="dxa"/>
            <w:tcBorders>
              <w:top w:val="single" w:sz="4" w:space="0" w:color="auto"/>
            </w:tcBorders>
            <w:shd w:val="clear" w:color="auto" w:fill="auto"/>
            <w:hideMark/>
          </w:tcPr>
          <w:p w14:paraId="6149B7B6" w14:textId="77777777" w:rsidR="00CF2D46" w:rsidRPr="00990768" w:rsidRDefault="00CF2D46" w:rsidP="00395913">
            <w:pPr>
              <w:pStyle w:val="TableText"/>
              <w:rPr>
                <w:color w:val="000000"/>
              </w:rPr>
            </w:pPr>
            <w:r w:rsidRPr="00990768">
              <w:rPr>
                <w:color w:val="000000"/>
              </w:rPr>
              <w:t>Dependent users</w:t>
            </w:r>
          </w:p>
        </w:tc>
        <w:tc>
          <w:tcPr>
            <w:tcW w:w="1701" w:type="dxa"/>
            <w:tcBorders>
              <w:top w:val="single" w:sz="4" w:space="0" w:color="auto"/>
            </w:tcBorders>
            <w:shd w:val="clear" w:color="auto" w:fill="auto"/>
            <w:noWrap/>
            <w:hideMark/>
          </w:tcPr>
          <w:p w14:paraId="6419BBC6" w14:textId="77777777" w:rsidR="00CF2D46" w:rsidRPr="00990768" w:rsidRDefault="00CF2D46" w:rsidP="00691119">
            <w:pPr>
              <w:pStyle w:val="TableText"/>
              <w:tabs>
                <w:tab w:val="decimal" w:pos="1106"/>
              </w:tabs>
              <w:rPr>
                <w:color w:val="000000"/>
              </w:rPr>
            </w:pPr>
            <w:r w:rsidRPr="00990768">
              <w:rPr>
                <w:color w:val="000000"/>
              </w:rPr>
              <w:t>1,392</w:t>
            </w:r>
          </w:p>
        </w:tc>
        <w:tc>
          <w:tcPr>
            <w:tcW w:w="1559" w:type="dxa"/>
            <w:tcBorders>
              <w:top w:val="single" w:sz="4" w:space="0" w:color="auto"/>
            </w:tcBorders>
            <w:shd w:val="clear" w:color="auto" w:fill="auto"/>
            <w:noWrap/>
            <w:hideMark/>
          </w:tcPr>
          <w:p w14:paraId="4A458208" w14:textId="77777777" w:rsidR="00CF2D46" w:rsidRPr="00990768" w:rsidRDefault="00CF2D46" w:rsidP="00691119">
            <w:pPr>
              <w:pStyle w:val="TableText"/>
              <w:tabs>
                <w:tab w:val="decimal" w:pos="1106"/>
              </w:tabs>
              <w:rPr>
                <w:color w:val="000000"/>
              </w:rPr>
            </w:pPr>
            <w:r w:rsidRPr="00990768">
              <w:rPr>
                <w:color w:val="000000"/>
              </w:rPr>
              <w:t>26,022</w:t>
            </w:r>
          </w:p>
        </w:tc>
        <w:tc>
          <w:tcPr>
            <w:tcW w:w="1560" w:type="dxa"/>
            <w:tcBorders>
              <w:top w:val="single" w:sz="4" w:space="0" w:color="auto"/>
            </w:tcBorders>
            <w:shd w:val="clear" w:color="auto" w:fill="auto"/>
            <w:noWrap/>
            <w:hideMark/>
          </w:tcPr>
          <w:p w14:paraId="679A4458" w14:textId="77777777" w:rsidR="00CF2D46" w:rsidRPr="00990768" w:rsidRDefault="00CF2D46" w:rsidP="00691119">
            <w:pPr>
              <w:pStyle w:val="TableText"/>
              <w:tabs>
                <w:tab w:val="decimal" w:pos="1106"/>
              </w:tabs>
              <w:rPr>
                <w:color w:val="000000"/>
              </w:rPr>
            </w:pPr>
            <w:r w:rsidRPr="00990768">
              <w:rPr>
                <w:color w:val="000000"/>
              </w:rPr>
              <w:t>450</w:t>
            </w:r>
          </w:p>
        </w:tc>
        <w:tc>
          <w:tcPr>
            <w:tcW w:w="1275" w:type="dxa"/>
            <w:tcBorders>
              <w:top w:val="single" w:sz="4" w:space="0" w:color="auto"/>
            </w:tcBorders>
            <w:shd w:val="clear" w:color="auto" w:fill="auto"/>
            <w:noWrap/>
            <w:hideMark/>
          </w:tcPr>
          <w:p w14:paraId="243CE333" w14:textId="77777777" w:rsidR="00CF2D46" w:rsidRPr="00990768" w:rsidRDefault="00CF2D46" w:rsidP="00691119">
            <w:pPr>
              <w:pStyle w:val="TableText"/>
              <w:tabs>
                <w:tab w:val="decimal" w:pos="884"/>
              </w:tabs>
              <w:rPr>
                <w:color w:val="000000"/>
              </w:rPr>
            </w:pPr>
            <w:r w:rsidRPr="00990768">
              <w:rPr>
                <w:color w:val="000000"/>
              </w:rPr>
              <w:t>2,025</w:t>
            </w:r>
          </w:p>
        </w:tc>
      </w:tr>
      <w:tr w:rsidR="00CF2D46" w:rsidRPr="005372A1" w14:paraId="6F8CB103" w14:textId="77777777" w:rsidTr="00395913">
        <w:trPr>
          <w:cantSplit/>
        </w:trPr>
        <w:tc>
          <w:tcPr>
            <w:tcW w:w="2977" w:type="dxa"/>
            <w:shd w:val="clear" w:color="auto" w:fill="auto"/>
            <w:hideMark/>
          </w:tcPr>
          <w:p w14:paraId="3D58CED8" w14:textId="77777777" w:rsidR="00CF2D46" w:rsidRPr="00990768" w:rsidRDefault="00CF2D46" w:rsidP="00395913">
            <w:pPr>
              <w:pStyle w:val="TableText"/>
              <w:rPr>
                <w:color w:val="000000"/>
              </w:rPr>
            </w:pPr>
            <w:r w:rsidRPr="00990768">
              <w:rPr>
                <w:color w:val="000000"/>
              </w:rPr>
              <w:t>Casual users</w:t>
            </w:r>
          </w:p>
        </w:tc>
        <w:tc>
          <w:tcPr>
            <w:tcW w:w="1701" w:type="dxa"/>
            <w:shd w:val="clear" w:color="auto" w:fill="auto"/>
            <w:noWrap/>
            <w:hideMark/>
          </w:tcPr>
          <w:p w14:paraId="1303FDD4" w14:textId="77777777" w:rsidR="00CF2D46" w:rsidRPr="00990768" w:rsidRDefault="00CF2D46" w:rsidP="00691119">
            <w:pPr>
              <w:pStyle w:val="TableText"/>
              <w:tabs>
                <w:tab w:val="decimal" w:pos="1106"/>
              </w:tabs>
              <w:rPr>
                <w:color w:val="000000"/>
              </w:rPr>
            </w:pPr>
            <w:r w:rsidRPr="00990768">
              <w:rPr>
                <w:color w:val="000000"/>
              </w:rPr>
              <w:t>24,327</w:t>
            </w:r>
          </w:p>
        </w:tc>
        <w:tc>
          <w:tcPr>
            <w:tcW w:w="1559" w:type="dxa"/>
            <w:shd w:val="clear" w:color="auto" w:fill="auto"/>
            <w:noWrap/>
            <w:hideMark/>
          </w:tcPr>
          <w:p w14:paraId="1B2D5AD3" w14:textId="77777777" w:rsidR="00CF2D46" w:rsidRPr="00990768" w:rsidRDefault="00CF2D46" w:rsidP="00691119">
            <w:pPr>
              <w:pStyle w:val="TableText"/>
              <w:tabs>
                <w:tab w:val="decimal" w:pos="1106"/>
              </w:tabs>
              <w:rPr>
                <w:color w:val="000000"/>
              </w:rPr>
            </w:pPr>
            <w:r w:rsidRPr="00990768">
              <w:rPr>
                <w:color w:val="000000"/>
              </w:rPr>
              <w:t>253,335</w:t>
            </w:r>
          </w:p>
        </w:tc>
        <w:tc>
          <w:tcPr>
            <w:tcW w:w="1560" w:type="dxa"/>
            <w:shd w:val="clear" w:color="auto" w:fill="auto"/>
            <w:noWrap/>
            <w:hideMark/>
          </w:tcPr>
          <w:p w14:paraId="36021BF5" w14:textId="77777777" w:rsidR="00CF2D46" w:rsidRPr="00990768" w:rsidRDefault="00CF2D46" w:rsidP="00691119">
            <w:pPr>
              <w:pStyle w:val="TableText"/>
              <w:tabs>
                <w:tab w:val="decimal" w:pos="1106"/>
              </w:tabs>
              <w:rPr>
                <w:color w:val="000000"/>
              </w:rPr>
            </w:pPr>
            <w:r w:rsidRPr="00990768">
              <w:rPr>
                <w:color w:val="000000"/>
              </w:rPr>
              <w:t>53,255</w:t>
            </w:r>
          </w:p>
        </w:tc>
        <w:tc>
          <w:tcPr>
            <w:tcW w:w="1275" w:type="dxa"/>
            <w:shd w:val="clear" w:color="auto" w:fill="auto"/>
            <w:noWrap/>
            <w:hideMark/>
          </w:tcPr>
          <w:p w14:paraId="09F74E8A" w14:textId="77777777" w:rsidR="00CF2D46" w:rsidRPr="00990768" w:rsidRDefault="00CF2D46" w:rsidP="00691119">
            <w:pPr>
              <w:pStyle w:val="TableText"/>
              <w:tabs>
                <w:tab w:val="decimal" w:pos="884"/>
              </w:tabs>
              <w:rPr>
                <w:color w:val="000000"/>
              </w:rPr>
            </w:pPr>
            <w:r w:rsidRPr="00990768">
              <w:rPr>
                <w:color w:val="000000"/>
              </w:rPr>
              <w:t>27,195</w:t>
            </w:r>
          </w:p>
        </w:tc>
      </w:tr>
      <w:tr w:rsidR="00CF2D46" w:rsidRPr="005372A1" w14:paraId="347B0B47" w14:textId="77777777" w:rsidTr="00395913">
        <w:trPr>
          <w:cantSplit/>
        </w:trPr>
        <w:tc>
          <w:tcPr>
            <w:tcW w:w="2977" w:type="dxa"/>
            <w:shd w:val="clear" w:color="auto" w:fill="auto"/>
            <w:hideMark/>
          </w:tcPr>
          <w:p w14:paraId="036FB8BA" w14:textId="77777777" w:rsidR="00CF2D46" w:rsidRPr="00990768" w:rsidRDefault="00CF2D46" w:rsidP="00395913">
            <w:pPr>
              <w:pStyle w:val="TableText"/>
              <w:rPr>
                <w:color w:val="000000"/>
              </w:rPr>
            </w:pPr>
            <w:r w:rsidRPr="00990768">
              <w:rPr>
                <w:color w:val="000000"/>
              </w:rPr>
              <w:t>Moore</w:t>
            </w:r>
            <w:r w:rsidR="00990768">
              <w:rPr>
                <w:color w:val="000000"/>
              </w:rPr>
              <w:t>’</w:t>
            </w:r>
            <w:r w:rsidRPr="00990768">
              <w:rPr>
                <w:color w:val="000000"/>
              </w:rPr>
              <w:t>s conversion</w:t>
            </w:r>
          </w:p>
        </w:tc>
        <w:tc>
          <w:tcPr>
            <w:tcW w:w="1701" w:type="dxa"/>
            <w:shd w:val="clear" w:color="auto" w:fill="auto"/>
            <w:noWrap/>
            <w:hideMark/>
          </w:tcPr>
          <w:p w14:paraId="700E7C21" w14:textId="77777777" w:rsidR="00CF2D46" w:rsidRPr="00990768" w:rsidRDefault="00CF2D46" w:rsidP="00691119">
            <w:pPr>
              <w:pStyle w:val="TableText"/>
              <w:tabs>
                <w:tab w:val="decimal" w:pos="816"/>
              </w:tabs>
              <w:rPr>
                <w:color w:val="000000"/>
              </w:rPr>
            </w:pPr>
            <w:r w:rsidRPr="00990768">
              <w:rPr>
                <w:color w:val="000000"/>
              </w:rPr>
              <w:t>0.44</w:t>
            </w:r>
          </w:p>
        </w:tc>
        <w:tc>
          <w:tcPr>
            <w:tcW w:w="1559" w:type="dxa"/>
            <w:shd w:val="clear" w:color="auto" w:fill="auto"/>
            <w:noWrap/>
            <w:hideMark/>
          </w:tcPr>
          <w:p w14:paraId="76BCDF8B" w14:textId="77777777" w:rsidR="00CF2D46" w:rsidRPr="00990768" w:rsidRDefault="00CF2D46" w:rsidP="00691119">
            <w:pPr>
              <w:pStyle w:val="TableText"/>
              <w:tabs>
                <w:tab w:val="decimal" w:pos="816"/>
              </w:tabs>
              <w:rPr>
                <w:color w:val="000000"/>
              </w:rPr>
            </w:pPr>
            <w:r w:rsidRPr="00990768">
              <w:rPr>
                <w:color w:val="000000"/>
              </w:rPr>
              <w:t>0.59</w:t>
            </w:r>
          </w:p>
        </w:tc>
        <w:tc>
          <w:tcPr>
            <w:tcW w:w="1560" w:type="dxa"/>
            <w:shd w:val="clear" w:color="auto" w:fill="auto"/>
            <w:noWrap/>
            <w:hideMark/>
          </w:tcPr>
          <w:p w14:paraId="46D8C484" w14:textId="77777777" w:rsidR="00CF2D46" w:rsidRPr="00990768" w:rsidRDefault="00CF2D46" w:rsidP="00691119">
            <w:pPr>
              <w:pStyle w:val="TableText"/>
              <w:tabs>
                <w:tab w:val="decimal" w:pos="816"/>
              </w:tabs>
              <w:rPr>
                <w:color w:val="000000"/>
              </w:rPr>
            </w:pPr>
            <w:r w:rsidRPr="00990768">
              <w:rPr>
                <w:color w:val="000000"/>
              </w:rPr>
              <w:t>0.11</w:t>
            </w:r>
          </w:p>
        </w:tc>
        <w:tc>
          <w:tcPr>
            <w:tcW w:w="1275" w:type="dxa"/>
            <w:shd w:val="clear" w:color="auto" w:fill="auto"/>
            <w:noWrap/>
            <w:hideMark/>
          </w:tcPr>
          <w:p w14:paraId="04F7E0E3" w14:textId="77777777" w:rsidR="00CF2D46" w:rsidRPr="00990768" w:rsidRDefault="00CF2D46" w:rsidP="00691119">
            <w:pPr>
              <w:pStyle w:val="TableText"/>
              <w:tabs>
                <w:tab w:val="decimal" w:pos="600"/>
              </w:tabs>
              <w:rPr>
                <w:color w:val="000000"/>
              </w:rPr>
            </w:pPr>
            <w:r w:rsidRPr="00990768">
              <w:rPr>
                <w:color w:val="000000"/>
              </w:rPr>
              <w:t>0.51</w:t>
            </w:r>
          </w:p>
        </w:tc>
      </w:tr>
      <w:tr w:rsidR="00CF2D46" w:rsidRPr="005372A1" w14:paraId="0ACE54AE" w14:textId="77777777" w:rsidTr="00395913">
        <w:trPr>
          <w:cantSplit/>
        </w:trPr>
        <w:tc>
          <w:tcPr>
            <w:tcW w:w="2977" w:type="dxa"/>
            <w:shd w:val="clear" w:color="auto" w:fill="auto"/>
            <w:hideMark/>
          </w:tcPr>
          <w:p w14:paraId="6F6C8013" w14:textId="77777777" w:rsidR="00CF2D46" w:rsidRPr="00990768" w:rsidRDefault="00CF2D46" w:rsidP="00395913">
            <w:pPr>
              <w:pStyle w:val="TableText"/>
              <w:rPr>
                <w:color w:val="000000"/>
              </w:rPr>
            </w:pPr>
            <w:r w:rsidRPr="00990768">
              <w:rPr>
                <w:color w:val="000000"/>
              </w:rPr>
              <w:t>Dependent consumption (kg)</w:t>
            </w:r>
          </w:p>
        </w:tc>
        <w:tc>
          <w:tcPr>
            <w:tcW w:w="1701" w:type="dxa"/>
            <w:shd w:val="clear" w:color="auto" w:fill="auto"/>
            <w:noWrap/>
            <w:hideMark/>
          </w:tcPr>
          <w:p w14:paraId="307A5E93" w14:textId="77777777" w:rsidR="00CF2D46" w:rsidRPr="00990768" w:rsidRDefault="00CF2D46" w:rsidP="00691119">
            <w:pPr>
              <w:pStyle w:val="TableText"/>
              <w:tabs>
                <w:tab w:val="decimal" w:pos="816"/>
              </w:tabs>
              <w:rPr>
                <w:color w:val="000000"/>
              </w:rPr>
            </w:pPr>
            <w:r w:rsidRPr="00990768">
              <w:rPr>
                <w:color w:val="000000"/>
              </w:rPr>
              <w:t>130.66</w:t>
            </w:r>
          </w:p>
        </w:tc>
        <w:tc>
          <w:tcPr>
            <w:tcW w:w="1559" w:type="dxa"/>
            <w:shd w:val="clear" w:color="auto" w:fill="auto"/>
            <w:noWrap/>
            <w:hideMark/>
          </w:tcPr>
          <w:p w14:paraId="618B090A" w14:textId="77777777" w:rsidR="00CF2D46" w:rsidRPr="00990768" w:rsidRDefault="00CF2D46" w:rsidP="00691119">
            <w:pPr>
              <w:pStyle w:val="TableText"/>
              <w:tabs>
                <w:tab w:val="decimal" w:pos="816"/>
              </w:tabs>
              <w:rPr>
                <w:color w:val="000000"/>
              </w:rPr>
            </w:pPr>
            <w:r w:rsidRPr="00990768">
              <w:rPr>
                <w:color w:val="000000"/>
              </w:rPr>
              <w:t>16,185.78</w:t>
            </w:r>
          </w:p>
        </w:tc>
        <w:tc>
          <w:tcPr>
            <w:tcW w:w="1560" w:type="dxa"/>
            <w:shd w:val="clear" w:color="auto" w:fill="auto"/>
            <w:noWrap/>
            <w:hideMark/>
          </w:tcPr>
          <w:p w14:paraId="2DE6A418" w14:textId="77777777" w:rsidR="00CF2D46" w:rsidRPr="00990768" w:rsidRDefault="00CF2D46" w:rsidP="00691119">
            <w:pPr>
              <w:pStyle w:val="TableText"/>
              <w:tabs>
                <w:tab w:val="decimal" w:pos="816"/>
              </w:tabs>
              <w:rPr>
                <w:color w:val="000000"/>
              </w:rPr>
            </w:pPr>
            <w:r w:rsidRPr="00990768">
              <w:rPr>
                <w:color w:val="000000"/>
              </w:rPr>
              <w:t>2.52</w:t>
            </w:r>
          </w:p>
        </w:tc>
        <w:tc>
          <w:tcPr>
            <w:tcW w:w="1275" w:type="dxa"/>
            <w:shd w:val="clear" w:color="auto" w:fill="auto"/>
            <w:noWrap/>
            <w:hideMark/>
          </w:tcPr>
          <w:p w14:paraId="0431EFEF" w14:textId="77777777" w:rsidR="00CF2D46" w:rsidRPr="00990768" w:rsidRDefault="00CF2D46" w:rsidP="00691119">
            <w:pPr>
              <w:pStyle w:val="TableText"/>
              <w:tabs>
                <w:tab w:val="decimal" w:pos="600"/>
              </w:tabs>
              <w:rPr>
                <w:color w:val="000000"/>
              </w:rPr>
            </w:pPr>
            <w:r w:rsidRPr="00990768">
              <w:rPr>
                <w:color w:val="000000"/>
              </w:rPr>
              <w:t>255.01</w:t>
            </w:r>
          </w:p>
        </w:tc>
      </w:tr>
      <w:tr w:rsidR="00CF2D46" w:rsidRPr="005372A1" w14:paraId="4412D95C" w14:textId="77777777" w:rsidTr="00395913">
        <w:trPr>
          <w:cantSplit/>
        </w:trPr>
        <w:tc>
          <w:tcPr>
            <w:tcW w:w="2977" w:type="dxa"/>
            <w:shd w:val="clear" w:color="auto" w:fill="auto"/>
            <w:hideMark/>
          </w:tcPr>
          <w:p w14:paraId="28935B2C" w14:textId="77777777" w:rsidR="00CF2D46" w:rsidRPr="00990768" w:rsidRDefault="00CF2D46" w:rsidP="00395913">
            <w:pPr>
              <w:pStyle w:val="TableText"/>
              <w:rPr>
                <w:color w:val="000000"/>
              </w:rPr>
            </w:pPr>
            <w:r w:rsidRPr="00990768">
              <w:rPr>
                <w:color w:val="000000"/>
              </w:rPr>
              <w:t>Casual consumption (kg)</w:t>
            </w:r>
          </w:p>
        </w:tc>
        <w:tc>
          <w:tcPr>
            <w:tcW w:w="1701" w:type="dxa"/>
            <w:shd w:val="clear" w:color="auto" w:fill="auto"/>
            <w:noWrap/>
            <w:hideMark/>
          </w:tcPr>
          <w:p w14:paraId="381D7729" w14:textId="77777777" w:rsidR="00CF2D46" w:rsidRPr="00990768" w:rsidRDefault="00CF2D46" w:rsidP="00691119">
            <w:pPr>
              <w:pStyle w:val="TableText"/>
              <w:tabs>
                <w:tab w:val="decimal" w:pos="816"/>
              </w:tabs>
              <w:rPr>
                <w:color w:val="000000"/>
              </w:rPr>
            </w:pPr>
            <w:r w:rsidRPr="00990768">
              <w:rPr>
                <w:color w:val="000000"/>
              </w:rPr>
              <w:t>163.15</w:t>
            </w:r>
          </w:p>
        </w:tc>
        <w:tc>
          <w:tcPr>
            <w:tcW w:w="1559" w:type="dxa"/>
            <w:shd w:val="clear" w:color="auto" w:fill="auto"/>
            <w:noWrap/>
            <w:hideMark/>
          </w:tcPr>
          <w:p w14:paraId="5D712101" w14:textId="77777777" w:rsidR="00CF2D46" w:rsidRPr="00990768" w:rsidRDefault="00CF2D46" w:rsidP="00691119">
            <w:pPr>
              <w:pStyle w:val="TableText"/>
              <w:tabs>
                <w:tab w:val="decimal" w:pos="816"/>
              </w:tabs>
              <w:rPr>
                <w:color w:val="000000"/>
              </w:rPr>
            </w:pPr>
            <w:r w:rsidRPr="00990768">
              <w:rPr>
                <w:color w:val="000000"/>
              </w:rPr>
              <w:t>11,255.43</w:t>
            </w:r>
          </w:p>
        </w:tc>
        <w:tc>
          <w:tcPr>
            <w:tcW w:w="1560" w:type="dxa"/>
            <w:shd w:val="clear" w:color="auto" w:fill="auto"/>
            <w:noWrap/>
            <w:hideMark/>
          </w:tcPr>
          <w:p w14:paraId="580C1DA5" w14:textId="77777777" w:rsidR="00CF2D46" w:rsidRPr="00990768" w:rsidRDefault="00CF2D46" w:rsidP="00691119">
            <w:pPr>
              <w:pStyle w:val="TableText"/>
              <w:tabs>
                <w:tab w:val="decimal" w:pos="816"/>
              </w:tabs>
              <w:rPr>
                <w:color w:val="000000"/>
              </w:rPr>
            </w:pPr>
            <w:r w:rsidRPr="00990768">
              <w:rPr>
                <w:color w:val="000000"/>
              </w:rPr>
              <w:t>21.32</w:t>
            </w:r>
          </w:p>
        </w:tc>
        <w:tc>
          <w:tcPr>
            <w:tcW w:w="1275" w:type="dxa"/>
            <w:shd w:val="clear" w:color="auto" w:fill="auto"/>
            <w:noWrap/>
            <w:hideMark/>
          </w:tcPr>
          <w:p w14:paraId="63DA2D90" w14:textId="77777777" w:rsidR="00CF2D46" w:rsidRPr="00990768" w:rsidRDefault="00CF2D46" w:rsidP="00691119">
            <w:pPr>
              <w:pStyle w:val="TableText"/>
              <w:tabs>
                <w:tab w:val="decimal" w:pos="600"/>
              </w:tabs>
              <w:rPr>
                <w:color w:val="000000"/>
              </w:rPr>
            </w:pPr>
            <w:r w:rsidRPr="00990768">
              <w:rPr>
                <w:color w:val="000000"/>
              </w:rPr>
              <w:t>244.64</w:t>
            </w:r>
          </w:p>
        </w:tc>
      </w:tr>
      <w:tr w:rsidR="00CF2D46" w:rsidRPr="005372A1" w14:paraId="73735053" w14:textId="77777777" w:rsidTr="00395913">
        <w:trPr>
          <w:cantSplit/>
        </w:trPr>
        <w:tc>
          <w:tcPr>
            <w:tcW w:w="2977" w:type="dxa"/>
            <w:shd w:val="clear" w:color="auto" w:fill="auto"/>
            <w:hideMark/>
          </w:tcPr>
          <w:p w14:paraId="2229756A" w14:textId="77777777" w:rsidR="00CF2D46" w:rsidRPr="00990768" w:rsidRDefault="00CF2D46" w:rsidP="00395913">
            <w:pPr>
              <w:pStyle w:val="TableText"/>
              <w:rPr>
                <w:color w:val="000000"/>
              </w:rPr>
            </w:pPr>
            <w:r w:rsidRPr="00990768">
              <w:rPr>
                <w:color w:val="000000"/>
              </w:rPr>
              <w:t>Average consumption per dependent (g)</w:t>
            </w:r>
          </w:p>
        </w:tc>
        <w:tc>
          <w:tcPr>
            <w:tcW w:w="1701" w:type="dxa"/>
            <w:shd w:val="clear" w:color="auto" w:fill="auto"/>
            <w:noWrap/>
            <w:hideMark/>
          </w:tcPr>
          <w:p w14:paraId="2B8A38ED" w14:textId="77777777" w:rsidR="00CF2D46" w:rsidRPr="00990768" w:rsidRDefault="00CF2D46" w:rsidP="00691119">
            <w:pPr>
              <w:pStyle w:val="TableText"/>
              <w:tabs>
                <w:tab w:val="decimal" w:pos="816"/>
              </w:tabs>
              <w:rPr>
                <w:color w:val="000000"/>
              </w:rPr>
            </w:pPr>
            <w:r w:rsidRPr="00990768">
              <w:rPr>
                <w:color w:val="000000"/>
              </w:rPr>
              <w:t>93.89</w:t>
            </w:r>
          </w:p>
        </w:tc>
        <w:tc>
          <w:tcPr>
            <w:tcW w:w="1559" w:type="dxa"/>
            <w:shd w:val="clear" w:color="auto" w:fill="auto"/>
            <w:noWrap/>
            <w:hideMark/>
          </w:tcPr>
          <w:p w14:paraId="70B6B8A2" w14:textId="77777777" w:rsidR="00CF2D46" w:rsidRPr="00990768" w:rsidRDefault="00CF2D46" w:rsidP="00691119">
            <w:pPr>
              <w:pStyle w:val="TableText"/>
              <w:tabs>
                <w:tab w:val="decimal" w:pos="816"/>
              </w:tabs>
              <w:rPr>
                <w:color w:val="000000"/>
              </w:rPr>
            </w:pPr>
            <w:r w:rsidRPr="00990768">
              <w:rPr>
                <w:color w:val="000000"/>
              </w:rPr>
              <w:t>622.01</w:t>
            </w:r>
          </w:p>
        </w:tc>
        <w:tc>
          <w:tcPr>
            <w:tcW w:w="1560" w:type="dxa"/>
            <w:shd w:val="clear" w:color="auto" w:fill="auto"/>
            <w:noWrap/>
            <w:hideMark/>
          </w:tcPr>
          <w:p w14:paraId="2CD60535" w14:textId="77777777" w:rsidR="00CF2D46" w:rsidRPr="00990768" w:rsidRDefault="00CF2D46" w:rsidP="00691119">
            <w:pPr>
              <w:pStyle w:val="TableText"/>
              <w:tabs>
                <w:tab w:val="decimal" w:pos="816"/>
              </w:tabs>
              <w:rPr>
                <w:color w:val="000000"/>
              </w:rPr>
            </w:pPr>
            <w:r w:rsidRPr="00990768">
              <w:rPr>
                <w:color w:val="000000"/>
              </w:rPr>
              <w:t>5.61</w:t>
            </w:r>
          </w:p>
        </w:tc>
        <w:tc>
          <w:tcPr>
            <w:tcW w:w="1275" w:type="dxa"/>
            <w:shd w:val="clear" w:color="auto" w:fill="auto"/>
            <w:noWrap/>
            <w:hideMark/>
          </w:tcPr>
          <w:p w14:paraId="29927A87" w14:textId="77777777" w:rsidR="00CF2D46" w:rsidRPr="00990768" w:rsidRDefault="00CF2D46" w:rsidP="00691119">
            <w:pPr>
              <w:pStyle w:val="TableText"/>
              <w:tabs>
                <w:tab w:val="decimal" w:pos="600"/>
              </w:tabs>
              <w:rPr>
                <w:color w:val="000000"/>
              </w:rPr>
            </w:pPr>
            <w:r w:rsidRPr="00990768">
              <w:rPr>
                <w:color w:val="000000"/>
              </w:rPr>
              <w:t>125.94</w:t>
            </w:r>
          </w:p>
        </w:tc>
      </w:tr>
      <w:tr w:rsidR="00CF2D46" w:rsidRPr="005372A1" w14:paraId="10549D59" w14:textId="77777777" w:rsidTr="00395913">
        <w:trPr>
          <w:cantSplit/>
        </w:trPr>
        <w:tc>
          <w:tcPr>
            <w:tcW w:w="2977" w:type="dxa"/>
            <w:shd w:val="clear" w:color="auto" w:fill="auto"/>
            <w:hideMark/>
          </w:tcPr>
          <w:p w14:paraId="29DD84B4" w14:textId="77777777" w:rsidR="00CF2D46" w:rsidRPr="00990768" w:rsidRDefault="00CF2D46" w:rsidP="00395913">
            <w:pPr>
              <w:pStyle w:val="TableText"/>
              <w:rPr>
                <w:color w:val="000000"/>
              </w:rPr>
            </w:pPr>
            <w:r w:rsidRPr="00990768">
              <w:rPr>
                <w:color w:val="000000"/>
              </w:rPr>
              <w:t>Average consumption per casual (g)</w:t>
            </w:r>
          </w:p>
        </w:tc>
        <w:tc>
          <w:tcPr>
            <w:tcW w:w="1701" w:type="dxa"/>
            <w:shd w:val="clear" w:color="auto" w:fill="auto"/>
            <w:noWrap/>
            <w:hideMark/>
          </w:tcPr>
          <w:p w14:paraId="3238AD4E" w14:textId="77777777" w:rsidR="00CF2D46" w:rsidRPr="00990768" w:rsidRDefault="00CF2D46" w:rsidP="00691119">
            <w:pPr>
              <w:pStyle w:val="TableText"/>
              <w:tabs>
                <w:tab w:val="decimal" w:pos="816"/>
              </w:tabs>
              <w:rPr>
                <w:color w:val="000000"/>
              </w:rPr>
            </w:pPr>
            <w:r w:rsidRPr="00990768">
              <w:rPr>
                <w:color w:val="000000"/>
              </w:rPr>
              <w:t>6.71</w:t>
            </w:r>
          </w:p>
        </w:tc>
        <w:tc>
          <w:tcPr>
            <w:tcW w:w="1559" w:type="dxa"/>
            <w:shd w:val="clear" w:color="auto" w:fill="auto"/>
            <w:noWrap/>
            <w:hideMark/>
          </w:tcPr>
          <w:p w14:paraId="435D60DA" w14:textId="77777777" w:rsidR="00CF2D46" w:rsidRPr="00990768" w:rsidRDefault="00CF2D46" w:rsidP="00691119">
            <w:pPr>
              <w:pStyle w:val="TableText"/>
              <w:tabs>
                <w:tab w:val="decimal" w:pos="816"/>
              </w:tabs>
              <w:rPr>
                <w:color w:val="000000"/>
              </w:rPr>
            </w:pPr>
            <w:r w:rsidRPr="00990768">
              <w:rPr>
                <w:color w:val="000000"/>
              </w:rPr>
              <w:t>44.43</w:t>
            </w:r>
          </w:p>
        </w:tc>
        <w:tc>
          <w:tcPr>
            <w:tcW w:w="1560" w:type="dxa"/>
            <w:shd w:val="clear" w:color="auto" w:fill="auto"/>
            <w:noWrap/>
            <w:hideMark/>
          </w:tcPr>
          <w:p w14:paraId="70596B07" w14:textId="77777777" w:rsidR="00CF2D46" w:rsidRPr="00990768" w:rsidRDefault="00CF2D46" w:rsidP="00691119">
            <w:pPr>
              <w:pStyle w:val="TableText"/>
              <w:tabs>
                <w:tab w:val="decimal" w:pos="816"/>
              </w:tabs>
              <w:rPr>
                <w:color w:val="000000"/>
              </w:rPr>
            </w:pPr>
            <w:r w:rsidRPr="00990768">
              <w:rPr>
                <w:color w:val="000000"/>
              </w:rPr>
              <w:t>0.40</w:t>
            </w:r>
          </w:p>
        </w:tc>
        <w:tc>
          <w:tcPr>
            <w:tcW w:w="1275" w:type="dxa"/>
            <w:shd w:val="clear" w:color="auto" w:fill="auto"/>
            <w:noWrap/>
            <w:hideMark/>
          </w:tcPr>
          <w:p w14:paraId="316BD199" w14:textId="77777777" w:rsidR="00CF2D46" w:rsidRPr="00990768" w:rsidRDefault="00CF2D46" w:rsidP="00691119">
            <w:pPr>
              <w:pStyle w:val="TableText"/>
              <w:tabs>
                <w:tab w:val="decimal" w:pos="600"/>
              </w:tabs>
              <w:rPr>
                <w:color w:val="000000"/>
              </w:rPr>
            </w:pPr>
            <w:r w:rsidRPr="00990768">
              <w:rPr>
                <w:color w:val="000000"/>
              </w:rPr>
              <w:t>9.00</w:t>
            </w:r>
          </w:p>
        </w:tc>
      </w:tr>
      <w:tr w:rsidR="00CF2D46" w:rsidRPr="005372A1" w14:paraId="4DD5375E" w14:textId="77777777" w:rsidTr="00395913">
        <w:trPr>
          <w:cantSplit/>
        </w:trPr>
        <w:tc>
          <w:tcPr>
            <w:tcW w:w="2977" w:type="dxa"/>
            <w:shd w:val="clear" w:color="auto" w:fill="auto"/>
            <w:hideMark/>
          </w:tcPr>
          <w:p w14:paraId="19250CBE" w14:textId="77777777" w:rsidR="00CF2D46" w:rsidRPr="00990768" w:rsidRDefault="00CF2D46" w:rsidP="00395913">
            <w:pPr>
              <w:pStyle w:val="TableText"/>
              <w:rPr>
                <w:color w:val="000000"/>
              </w:rPr>
            </w:pPr>
            <w:r w:rsidRPr="00990768">
              <w:rPr>
                <w:color w:val="000000"/>
              </w:rPr>
              <w:t>Average consumption per user (g)</w:t>
            </w:r>
          </w:p>
        </w:tc>
        <w:tc>
          <w:tcPr>
            <w:tcW w:w="1701" w:type="dxa"/>
            <w:shd w:val="clear" w:color="auto" w:fill="auto"/>
            <w:noWrap/>
            <w:hideMark/>
          </w:tcPr>
          <w:p w14:paraId="3D668B59" w14:textId="77777777" w:rsidR="00CF2D46" w:rsidRPr="00990768" w:rsidRDefault="00CF2D46" w:rsidP="00691119">
            <w:pPr>
              <w:pStyle w:val="TableText"/>
              <w:tabs>
                <w:tab w:val="decimal" w:pos="816"/>
              </w:tabs>
              <w:rPr>
                <w:color w:val="000000"/>
              </w:rPr>
            </w:pPr>
            <w:r w:rsidRPr="00990768">
              <w:rPr>
                <w:color w:val="000000"/>
              </w:rPr>
              <w:t>11.42</w:t>
            </w:r>
          </w:p>
        </w:tc>
        <w:tc>
          <w:tcPr>
            <w:tcW w:w="1559" w:type="dxa"/>
            <w:shd w:val="clear" w:color="auto" w:fill="auto"/>
            <w:noWrap/>
            <w:hideMark/>
          </w:tcPr>
          <w:p w14:paraId="21FCA342" w14:textId="77777777" w:rsidR="00CF2D46" w:rsidRPr="00990768" w:rsidRDefault="00CF2D46" w:rsidP="00691119">
            <w:pPr>
              <w:pStyle w:val="TableText"/>
              <w:tabs>
                <w:tab w:val="decimal" w:pos="816"/>
              </w:tabs>
              <w:rPr>
                <w:color w:val="000000"/>
              </w:rPr>
            </w:pPr>
            <w:r w:rsidRPr="00990768">
              <w:rPr>
                <w:color w:val="000000"/>
              </w:rPr>
              <w:t>98.23</w:t>
            </w:r>
          </w:p>
        </w:tc>
        <w:tc>
          <w:tcPr>
            <w:tcW w:w="1560" w:type="dxa"/>
            <w:shd w:val="clear" w:color="auto" w:fill="auto"/>
            <w:noWrap/>
            <w:hideMark/>
          </w:tcPr>
          <w:p w14:paraId="740FF137" w14:textId="77777777" w:rsidR="00CF2D46" w:rsidRPr="00990768" w:rsidRDefault="00CF2D46" w:rsidP="00691119">
            <w:pPr>
              <w:pStyle w:val="TableText"/>
              <w:tabs>
                <w:tab w:val="decimal" w:pos="816"/>
              </w:tabs>
              <w:rPr>
                <w:color w:val="000000"/>
              </w:rPr>
            </w:pPr>
            <w:r w:rsidRPr="00990768">
              <w:rPr>
                <w:color w:val="000000"/>
              </w:rPr>
              <w:t>0.44</w:t>
            </w:r>
          </w:p>
        </w:tc>
        <w:tc>
          <w:tcPr>
            <w:tcW w:w="1275" w:type="dxa"/>
            <w:shd w:val="clear" w:color="auto" w:fill="auto"/>
            <w:noWrap/>
            <w:hideMark/>
          </w:tcPr>
          <w:p w14:paraId="22A5CDCF" w14:textId="77777777" w:rsidR="00CF2D46" w:rsidRPr="00990768" w:rsidRDefault="00CF2D46" w:rsidP="00691119">
            <w:pPr>
              <w:pStyle w:val="TableText"/>
              <w:tabs>
                <w:tab w:val="decimal" w:pos="600"/>
              </w:tabs>
              <w:rPr>
                <w:color w:val="000000"/>
              </w:rPr>
            </w:pPr>
            <w:r w:rsidRPr="00990768">
              <w:rPr>
                <w:color w:val="000000"/>
              </w:rPr>
              <w:t>17.10</w:t>
            </w:r>
          </w:p>
        </w:tc>
      </w:tr>
    </w:tbl>
    <w:p w14:paraId="07BA01B2" w14:textId="77777777" w:rsidR="008A6B2A" w:rsidRDefault="008A6B2A" w:rsidP="00395913"/>
    <w:p w14:paraId="05DFB666" w14:textId="77777777" w:rsidR="008A6B2A" w:rsidRDefault="008A6B2A" w:rsidP="008A6B2A">
      <w:r>
        <w:br w:type="page"/>
      </w:r>
    </w:p>
    <w:p w14:paraId="72652B63" w14:textId="77777777" w:rsidR="00CF2D46" w:rsidRPr="006048A8" w:rsidRDefault="00CF2D46" w:rsidP="008A6B2A">
      <w:pPr>
        <w:pStyle w:val="Heading1"/>
      </w:pPr>
      <w:bookmarkStart w:id="55" w:name="_Toc444941808"/>
      <w:r w:rsidRPr="006048A8">
        <w:t>A</w:t>
      </w:r>
      <w:r w:rsidR="008A6B2A">
        <w:t>ttachment</w:t>
      </w:r>
      <w:r w:rsidRPr="006048A8">
        <w:t xml:space="preserve"> </w:t>
      </w:r>
      <w:r>
        <w:t>B</w:t>
      </w:r>
      <w:r w:rsidR="008A6B2A">
        <w:t xml:space="preserve">: </w:t>
      </w:r>
      <w:r w:rsidRPr="006048A8">
        <w:rPr>
          <w:lang w:eastAsia="en-AU"/>
        </w:rPr>
        <w:t xml:space="preserve">Calculation of drug </w:t>
      </w:r>
      <w:r>
        <w:rPr>
          <w:lang w:eastAsia="en-AU"/>
        </w:rPr>
        <w:t>harms</w:t>
      </w:r>
      <w:bookmarkEnd w:id="55"/>
    </w:p>
    <w:p w14:paraId="2E3E67FB" w14:textId="77777777" w:rsidR="00CF2D46" w:rsidRPr="00003BA2" w:rsidRDefault="00CF2D46" w:rsidP="008A6B2A">
      <w:pPr>
        <w:pStyle w:val="Heading2"/>
      </w:pPr>
      <w:bookmarkStart w:id="56" w:name="_Toc444941809"/>
      <w:r w:rsidRPr="00003BA2">
        <w:t>Sources of data</w:t>
      </w:r>
      <w:bookmarkEnd w:id="56"/>
    </w:p>
    <w:p w14:paraId="2B27DB21" w14:textId="77777777" w:rsidR="00CF2D46" w:rsidRPr="005209C7" w:rsidRDefault="00CF2D46" w:rsidP="008A6B2A">
      <w:r w:rsidRPr="005209C7">
        <w:t>Information relating to the prevalence of drug use</w:t>
      </w:r>
      <w:r>
        <w:t xml:space="preserve"> including consumption was taken from Attachment</w:t>
      </w:r>
      <w:r w:rsidR="008A6B2A">
        <w:t> </w:t>
      </w:r>
      <w:r>
        <w:t>A.</w:t>
      </w:r>
    </w:p>
    <w:p w14:paraId="330E5DC0" w14:textId="77777777" w:rsidR="00CF2D46" w:rsidRDefault="00CF2D46" w:rsidP="008A6B2A">
      <w:r>
        <w:t>Other sources included:</w:t>
      </w:r>
    </w:p>
    <w:p w14:paraId="492F63A5" w14:textId="77777777" w:rsidR="00CF2D46" w:rsidRDefault="00CF2D46" w:rsidP="008A6B2A">
      <w:pPr>
        <w:pStyle w:val="References"/>
      </w:pPr>
      <w:r w:rsidRPr="00740692">
        <w:t>http://www.directfx.co.nz/CurrencyChart.html</w:t>
      </w:r>
    </w:p>
    <w:p w14:paraId="3A0E8310" w14:textId="77777777" w:rsidR="00990768" w:rsidRDefault="00CF2D46" w:rsidP="008A6B2A">
      <w:pPr>
        <w:pStyle w:val="References"/>
        <w:rPr>
          <w:rFonts w:ascii="Calibri" w:hAnsi="Calibri"/>
          <w:color w:val="000000"/>
        </w:rPr>
      </w:pPr>
      <w:r w:rsidRPr="00990768">
        <w:rPr>
          <w:rFonts w:ascii="Calibri" w:hAnsi="Calibri"/>
          <w:color w:val="000000"/>
        </w:rPr>
        <w:t>http://www.stats.govt.nz/browse_for_stats/economic_indicators/CPI_inflation/ConsumersPriceIndex_HOTPJun15qtr.aspx</w:t>
      </w:r>
    </w:p>
    <w:p w14:paraId="59C6D9A6" w14:textId="77777777" w:rsidR="00CF2D46" w:rsidRPr="00E8761B" w:rsidRDefault="00CF2D46" w:rsidP="008A6B2A">
      <w:pPr>
        <w:pStyle w:val="References"/>
      </w:pPr>
      <w:r>
        <w:t xml:space="preserve">Hughes C, Chalmers J, Bright D &amp; McFadden M (2015). </w:t>
      </w:r>
      <w:r w:rsidRPr="0016104A">
        <w:rPr>
          <w:i/>
        </w:rPr>
        <w:t>Trafficking in multiple commodities: Exposing Australia</w:t>
      </w:r>
      <w:r w:rsidR="00990768">
        <w:rPr>
          <w:i/>
        </w:rPr>
        <w:t>’</w:t>
      </w:r>
      <w:r w:rsidRPr="0016104A">
        <w:rPr>
          <w:i/>
        </w:rPr>
        <w:t xml:space="preserve">s </w:t>
      </w:r>
      <w:proofErr w:type="spellStart"/>
      <w:r>
        <w:rPr>
          <w:i/>
        </w:rPr>
        <w:t>polydrug</w:t>
      </w:r>
      <w:proofErr w:type="spellEnd"/>
      <w:r w:rsidRPr="0016104A">
        <w:rPr>
          <w:i/>
        </w:rPr>
        <w:t xml:space="preserve"> and poly-crime networks.</w:t>
      </w:r>
      <w:r>
        <w:t xml:space="preserve"> National Drug Law Enforcement Fund, Monograph. In press.</w:t>
      </w:r>
    </w:p>
    <w:p w14:paraId="3C98912B" w14:textId="77777777" w:rsidR="00CF2D46" w:rsidRPr="00E8761B" w:rsidRDefault="00CF2D46" w:rsidP="008A6B2A">
      <w:pPr>
        <w:pStyle w:val="References"/>
      </w:pPr>
      <w:r>
        <w:t xml:space="preserve">McFadden M (2015). </w:t>
      </w:r>
      <w:r w:rsidRPr="000B05C8">
        <w:rPr>
          <w:i/>
        </w:rPr>
        <w:t>Development of a Proceeds of Crime Disruption Index</w:t>
      </w:r>
      <w:r>
        <w:t>, New Zealand Police, Wellington.</w:t>
      </w:r>
    </w:p>
    <w:p w14:paraId="4405EC9F" w14:textId="77777777" w:rsidR="00990768" w:rsidRDefault="00CF2D46" w:rsidP="008A6B2A">
      <w:pPr>
        <w:pStyle w:val="References"/>
      </w:pPr>
      <w:proofErr w:type="spellStart"/>
      <w:r w:rsidRPr="00930A88">
        <w:t>Melberg</w:t>
      </w:r>
      <w:proofErr w:type="spellEnd"/>
      <w:r w:rsidRPr="00930A88">
        <w:t xml:space="preserve"> H, </w:t>
      </w:r>
      <w:proofErr w:type="spellStart"/>
      <w:r w:rsidRPr="00930A88">
        <w:t>Hakkarainen</w:t>
      </w:r>
      <w:proofErr w:type="spellEnd"/>
      <w:r w:rsidRPr="00930A88">
        <w:t xml:space="preserve"> P, </w:t>
      </w:r>
      <w:proofErr w:type="spellStart"/>
      <w:r w:rsidRPr="00930A88">
        <w:t>Houborg</w:t>
      </w:r>
      <w:proofErr w:type="spellEnd"/>
      <w:r w:rsidRPr="00930A88">
        <w:t xml:space="preserve"> E, </w:t>
      </w:r>
      <w:proofErr w:type="spellStart"/>
      <w:r w:rsidRPr="00930A88">
        <w:t>Jääskeläinen</w:t>
      </w:r>
      <w:proofErr w:type="spellEnd"/>
      <w:r w:rsidRPr="00930A88">
        <w:t xml:space="preserve"> M, </w:t>
      </w:r>
      <w:proofErr w:type="spellStart"/>
      <w:r w:rsidRPr="00930A88">
        <w:t>Skretting</w:t>
      </w:r>
      <w:proofErr w:type="spellEnd"/>
      <w:r w:rsidRPr="00930A88">
        <w:t xml:space="preserve"> A, </w:t>
      </w:r>
      <w:proofErr w:type="spellStart"/>
      <w:r w:rsidRPr="00930A88">
        <w:t>Ramstedt</w:t>
      </w:r>
      <w:proofErr w:type="spellEnd"/>
      <w:r w:rsidRPr="00930A88">
        <w:t xml:space="preserve"> M &amp; </w:t>
      </w:r>
      <w:proofErr w:type="spellStart"/>
      <w:r w:rsidRPr="00930A88">
        <w:t>Rosenqvist</w:t>
      </w:r>
      <w:proofErr w:type="spellEnd"/>
      <w:r w:rsidRPr="00930A88">
        <w:t xml:space="preserve"> P (2011). Measuring the harm of illicit drug use on friends and family, </w:t>
      </w:r>
      <w:r w:rsidRPr="0016104A">
        <w:rPr>
          <w:i/>
        </w:rPr>
        <w:t>Nordic Studies on Alcohol and Drugs</w:t>
      </w:r>
      <w:r w:rsidRPr="00930A88">
        <w:t>, 28, 2, 105–121.</w:t>
      </w:r>
    </w:p>
    <w:p w14:paraId="32536CF9" w14:textId="77777777" w:rsidR="00990768" w:rsidRDefault="00CF2D46" w:rsidP="008A6B2A">
      <w:pPr>
        <w:pStyle w:val="References"/>
      </w:pPr>
      <w:r w:rsidRPr="00E8761B">
        <w:rPr>
          <w:rFonts w:ascii="Calibri" w:hAnsi="Calibri"/>
          <w:color w:val="000000"/>
          <w:lang w:eastAsia="en-AU"/>
        </w:rPr>
        <w:t>Ministry of Transport (2014).</w:t>
      </w:r>
      <w:r w:rsidRPr="00E8761B">
        <w:rPr>
          <w:rFonts w:ascii="Calibri" w:hAnsi="Calibri"/>
          <w:i/>
          <w:iCs/>
          <w:color w:val="000000"/>
          <w:lang w:eastAsia="en-AU"/>
        </w:rPr>
        <w:t xml:space="preserve"> Social Cost of Road Crashes and Injuries 2014 update</w:t>
      </w:r>
      <w:r w:rsidRPr="00E8761B">
        <w:rPr>
          <w:rFonts w:ascii="Calibri" w:hAnsi="Calibri"/>
          <w:color w:val="000000"/>
          <w:lang w:eastAsia="en-AU"/>
        </w:rPr>
        <w:t>, Wellington.</w:t>
      </w:r>
    </w:p>
    <w:p w14:paraId="458864CC" w14:textId="77777777" w:rsidR="00990768" w:rsidRDefault="00CF2D46" w:rsidP="008A6B2A">
      <w:pPr>
        <w:pStyle w:val="References"/>
      </w:pPr>
      <w:r w:rsidRPr="00E8761B">
        <w:t xml:space="preserve">Moore T (2007). </w:t>
      </w:r>
      <w:r w:rsidRPr="00E8761B">
        <w:rPr>
          <w:i/>
        </w:rPr>
        <w:t>Working estimates of the social cost per gram and per user for cannabis, cocaine, opiates and amphetamines</w:t>
      </w:r>
      <w:r w:rsidRPr="00E8761B">
        <w:t>, Drug Policy Modelling Program Monograph 14, Turning Point.</w:t>
      </w:r>
    </w:p>
    <w:p w14:paraId="1C8FC5DF" w14:textId="77777777" w:rsidR="00990768" w:rsidRDefault="00CF2D46" w:rsidP="008A6B2A">
      <w:pPr>
        <w:pStyle w:val="References"/>
      </w:pPr>
      <w:r w:rsidRPr="00E8761B">
        <w:t xml:space="preserve">Murray C et al (2012). Disability-adjusted life years (DALYs) for 291 diseases and injuries in 21 regions, 1990–2010: a systematic analysis for the Global Burden of Disease Study 2010, </w:t>
      </w:r>
      <w:r w:rsidRPr="007246CA">
        <w:rPr>
          <w:i/>
        </w:rPr>
        <w:t>The Lancet</w:t>
      </w:r>
      <w:r w:rsidRPr="00E8761B">
        <w:t>, 380, 2213.</w:t>
      </w:r>
    </w:p>
    <w:p w14:paraId="52A6B4BB" w14:textId="77777777" w:rsidR="00CF2D46" w:rsidRDefault="00CF2D46" w:rsidP="008A6B2A">
      <w:pPr>
        <w:pStyle w:val="References"/>
      </w:pPr>
      <w:r>
        <w:t xml:space="preserve">National Drug Intelligence Bureau (2014). </w:t>
      </w:r>
      <w:r w:rsidRPr="0016104A">
        <w:rPr>
          <w:i/>
        </w:rPr>
        <w:t>Street-price of drugs.</w:t>
      </w:r>
    </w:p>
    <w:p w14:paraId="60705707" w14:textId="77777777" w:rsidR="00CF2D46" w:rsidRDefault="00CF2D46" w:rsidP="008A6B2A">
      <w:pPr>
        <w:pStyle w:val="References"/>
      </w:pPr>
      <w:r>
        <w:t xml:space="preserve">Roper T &amp; Thompson A (2006). </w:t>
      </w:r>
      <w:r w:rsidRPr="00BD3748">
        <w:rPr>
          <w:i/>
        </w:rPr>
        <w:t>Estimating the costs of crime in New Zealand in 2003/04</w:t>
      </w:r>
      <w:r>
        <w:t xml:space="preserve">, </w:t>
      </w:r>
      <w:proofErr w:type="gramStart"/>
      <w:r>
        <w:t>New</w:t>
      </w:r>
      <w:proofErr w:type="gramEnd"/>
      <w:r>
        <w:t xml:space="preserve"> Zealand Treasury Working Paper 06/04</w:t>
      </w:r>
      <w:r w:rsidR="008A6B2A">
        <w:t>.</w:t>
      </w:r>
    </w:p>
    <w:p w14:paraId="50C7935D" w14:textId="77777777" w:rsidR="00990768" w:rsidRDefault="00CF2D46" w:rsidP="008A6B2A">
      <w:pPr>
        <w:pStyle w:val="References"/>
      </w:pPr>
      <w:r w:rsidRPr="00E8761B">
        <w:t xml:space="preserve">United Nations Office on Drugs and Crime (2014). </w:t>
      </w:r>
      <w:proofErr w:type="gramStart"/>
      <w:r w:rsidRPr="00AE5A19">
        <w:rPr>
          <w:i/>
        </w:rPr>
        <w:t>Drug-</w:t>
      </w:r>
      <w:r w:rsidRPr="00A515B9">
        <w:rPr>
          <w:i/>
        </w:rPr>
        <w:t>Related Mortality With Ranking Of Drugs As Primary Cause Of</w:t>
      </w:r>
      <w:proofErr w:type="gramEnd"/>
      <w:r w:rsidRPr="00A515B9">
        <w:rPr>
          <w:i/>
        </w:rPr>
        <w:t xml:space="preserve"> Death (2012 Or Latest Year Available)</w:t>
      </w:r>
      <w:r w:rsidRPr="00E8761B">
        <w:t xml:space="preserve">, accessed 19 September 2015 at </w:t>
      </w:r>
      <w:r w:rsidRPr="00E33B1C">
        <w:t>www.unodc.org/documents/wdr2014/Statistics/Mortality_2014.xls</w:t>
      </w:r>
    </w:p>
    <w:p w14:paraId="136D3F3D" w14:textId="77777777" w:rsidR="00CF2D46" w:rsidRPr="00E33B1C" w:rsidRDefault="00CF2D46" w:rsidP="008A6B2A">
      <w:pPr>
        <w:pStyle w:val="Heading2"/>
      </w:pPr>
      <w:bookmarkStart w:id="57" w:name="_Toc444941810"/>
      <w:r w:rsidRPr="00E33B1C">
        <w:t>Personal harm</w:t>
      </w:r>
      <w:bookmarkEnd w:id="57"/>
    </w:p>
    <w:p w14:paraId="611FC294" w14:textId="233BAAC6" w:rsidR="00CF2D46" w:rsidRDefault="00CF2D46" w:rsidP="00866547">
      <w:pPr>
        <w:keepLines/>
      </w:pPr>
      <w:r>
        <w:t xml:space="preserve">Drug-related deaths were taken from the most recent New Zealand submission to the UNODC. There were 10 overdose deaths, which were assigned to the opioid and sedatives group. Although not mentioned in the submission, a small number of deaths can be attributed to the use of hallucinogens </w:t>
      </w:r>
      <w:r w:rsidR="008A6B2A">
        <w:t>and</w:t>
      </w:r>
      <w:r>
        <w:t xml:space="preserve"> psychedelic drugs. One death per annum was allocated to this group. Cannabis, amphetamines and cocaine were ranked in that order as the primary causes of death. As amphetamines and cocaine both belong to the same drug group, it was decided to split the remaining deaths between amphetamine-type stimulants and cannabinoid groups. The Ministry of Transport 2014 estimate of the value of a human life ($</w:t>
      </w:r>
      <w:r w:rsidRPr="00A153ED">
        <w:t>3,948,300</w:t>
      </w:r>
      <w:r>
        <w:t>) was used to calculate the economic cost.</w:t>
      </w:r>
    </w:p>
    <w:p w14:paraId="1A78832E" w14:textId="77777777" w:rsidR="00990768" w:rsidRDefault="00CF2D46" w:rsidP="008A6B2A">
      <w:pPr>
        <w:rPr>
          <w:color w:val="000000"/>
          <w:lang w:eastAsia="en-AU"/>
        </w:rPr>
      </w:pPr>
      <w:r>
        <w:t>A top-down approach was adopted to the calculation of harms relating to a reduced quality of life. Four studies reported both the harms associated with years of life lost through premature death and the years of life lost through disability (</w:t>
      </w:r>
      <w:proofErr w:type="spellStart"/>
      <w:r>
        <w:t>Degenhardt</w:t>
      </w:r>
      <w:proofErr w:type="spellEnd"/>
      <w:r>
        <w:t xml:space="preserve"> et al, 2013;</w:t>
      </w:r>
      <w:r w:rsidRPr="00A153ED">
        <w:t xml:space="preserve"> </w:t>
      </w:r>
      <w:proofErr w:type="spellStart"/>
      <w:r>
        <w:t>Melberg</w:t>
      </w:r>
      <w:proofErr w:type="spellEnd"/>
      <w:r>
        <w:t xml:space="preserve"> et al, 2011; Moore, 2007; and Murray et al, 2012). </w:t>
      </w:r>
      <w:r>
        <w:rPr>
          <w:color w:val="000000"/>
          <w:lang w:eastAsia="en-AU"/>
        </w:rPr>
        <w:t xml:space="preserve">There was general agreement between the studies that the overall cost of drug-related disability is nearly equivalent to the cost of premature death. </w:t>
      </w:r>
      <w:proofErr w:type="spellStart"/>
      <w:r>
        <w:rPr>
          <w:color w:val="000000"/>
          <w:lang w:eastAsia="en-AU"/>
        </w:rPr>
        <w:t>Degenhardt</w:t>
      </w:r>
      <w:proofErr w:type="spellEnd"/>
      <w:r>
        <w:rPr>
          <w:color w:val="000000"/>
          <w:lang w:eastAsia="en-AU"/>
        </w:rPr>
        <w:t xml:space="preserve"> et al (2013) is the exception, with disability-related costs exceeding those related to premature death by a factor of 4.58.</w:t>
      </w:r>
    </w:p>
    <w:p w14:paraId="1C4D4644" w14:textId="77777777" w:rsidR="00CF2D46" w:rsidRDefault="00CF2D46" w:rsidP="008A6B2A">
      <w:pPr>
        <w:spacing w:after="120"/>
        <w:rPr>
          <w:lang w:eastAsia="en-AU"/>
        </w:rPr>
      </w:pPr>
      <w:r>
        <w:rPr>
          <w:lang w:eastAsia="en-AU"/>
        </w:rPr>
        <w:t>Harms related to disability were estimated to be 103% of those associated with premature death. In the absence of other evidence, it was assumed that the multiplier of 103% was the same across drug groups. This has the potential to skew results across drug groups.</w:t>
      </w:r>
    </w:p>
    <w:tbl>
      <w:tblPr>
        <w:tblW w:w="0" w:type="auto"/>
        <w:tblInd w:w="85" w:type="dxa"/>
        <w:tblLayout w:type="fixed"/>
        <w:tblCellMar>
          <w:left w:w="85" w:type="dxa"/>
          <w:right w:w="85" w:type="dxa"/>
        </w:tblCellMar>
        <w:tblLook w:val="04A0" w:firstRow="1" w:lastRow="0" w:firstColumn="1" w:lastColumn="0" w:noHBand="0" w:noVBand="1"/>
      </w:tblPr>
      <w:tblGrid>
        <w:gridCol w:w="1696"/>
        <w:gridCol w:w="1193"/>
        <w:gridCol w:w="1390"/>
        <w:gridCol w:w="1391"/>
        <w:gridCol w:w="1276"/>
        <w:gridCol w:w="1134"/>
        <w:gridCol w:w="992"/>
      </w:tblGrid>
      <w:tr w:rsidR="00866547" w:rsidRPr="00866547" w14:paraId="14B0E8AA" w14:textId="77777777" w:rsidTr="00070E30">
        <w:trPr>
          <w:cantSplit/>
        </w:trPr>
        <w:tc>
          <w:tcPr>
            <w:tcW w:w="1696" w:type="dxa"/>
            <w:vMerge w:val="restart"/>
            <w:tcBorders>
              <w:top w:val="single" w:sz="4" w:space="0" w:color="auto"/>
              <w:left w:val="single" w:sz="4" w:space="0" w:color="auto"/>
              <w:right w:val="single" w:sz="4" w:space="0" w:color="auto"/>
            </w:tcBorders>
            <w:shd w:val="clear" w:color="auto" w:fill="auto"/>
            <w:noWrap/>
          </w:tcPr>
          <w:p w14:paraId="5B8D6E47" w14:textId="77777777" w:rsidR="00866547" w:rsidRPr="00866547" w:rsidRDefault="00866547" w:rsidP="00866547">
            <w:pPr>
              <w:pStyle w:val="TableText"/>
              <w:rPr>
                <w:b/>
                <w:sz w:val="20"/>
              </w:rPr>
            </w:pPr>
            <w:r w:rsidRPr="00866547">
              <w:rPr>
                <w:b/>
                <w:sz w:val="20"/>
              </w:rPr>
              <w:t>Drug group</w:t>
            </w:r>
          </w:p>
        </w:tc>
        <w:tc>
          <w:tcPr>
            <w:tcW w:w="1193" w:type="dxa"/>
            <w:vMerge w:val="restart"/>
            <w:tcBorders>
              <w:top w:val="single" w:sz="4" w:space="0" w:color="auto"/>
              <w:left w:val="single" w:sz="4" w:space="0" w:color="auto"/>
              <w:right w:val="single" w:sz="4" w:space="0" w:color="auto"/>
            </w:tcBorders>
            <w:shd w:val="clear" w:color="auto" w:fill="auto"/>
            <w:noWrap/>
          </w:tcPr>
          <w:p w14:paraId="5BCC6FE2" w14:textId="77777777" w:rsidR="00866547" w:rsidRPr="00866547" w:rsidRDefault="00866547" w:rsidP="00866547">
            <w:pPr>
              <w:pStyle w:val="TableText"/>
              <w:jc w:val="center"/>
              <w:rPr>
                <w:b/>
                <w:sz w:val="20"/>
              </w:rPr>
            </w:pPr>
            <w:r w:rsidRPr="00866547">
              <w:rPr>
                <w:b/>
                <w:sz w:val="20"/>
              </w:rPr>
              <w:t>Premature deaths</w:t>
            </w:r>
          </w:p>
        </w:tc>
        <w:tc>
          <w:tcPr>
            <w:tcW w:w="2781" w:type="dxa"/>
            <w:gridSpan w:val="2"/>
            <w:tcBorders>
              <w:top w:val="single" w:sz="4" w:space="0" w:color="auto"/>
              <w:left w:val="single" w:sz="4" w:space="0" w:color="auto"/>
              <w:bottom w:val="nil"/>
              <w:right w:val="single" w:sz="4" w:space="0" w:color="auto"/>
            </w:tcBorders>
            <w:shd w:val="clear" w:color="auto" w:fill="auto"/>
            <w:noWrap/>
            <w:hideMark/>
          </w:tcPr>
          <w:p w14:paraId="4CED25FD" w14:textId="77777777" w:rsidR="00866547" w:rsidRPr="00866547" w:rsidRDefault="00866547" w:rsidP="00866547">
            <w:pPr>
              <w:pStyle w:val="TableText"/>
              <w:jc w:val="center"/>
              <w:rPr>
                <w:b/>
                <w:sz w:val="20"/>
              </w:rPr>
            </w:pPr>
            <w:r w:rsidRPr="00866547">
              <w:rPr>
                <w:b/>
                <w:sz w:val="20"/>
              </w:rPr>
              <w:t>Estimated cost of:</w:t>
            </w:r>
          </w:p>
        </w:tc>
        <w:tc>
          <w:tcPr>
            <w:tcW w:w="1276" w:type="dxa"/>
            <w:vMerge w:val="restart"/>
            <w:tcBorders>
              <w:top w:val="single" w:sz="4" w:space="0" w:color="auto"/>
              <w:left w:val="single" w:sz="4" w:space="0" w:color="auto"/>
              <w:right w:val="single" w:sz="4" w:space="0" w:color="auto"/>
            </w:tcBorders>
            <w:shd w:val="clear" w:color="auto" w:fill="auto"/>
            <w:noWrap/>
            <w:hideMark/>
          </w:tcPr>
          <w:p w14:paraId="40D74289" w14:textId="77777777" w:rsidR="00866547" w:rsidRPr="00866547" w:rsidRDefault="00866547" w:rsidP="00866547">
            <w:pPr>
              <w:pStyle w:val="TableText"/>
              <w:jc w:val="center"/>
              <w:rPr>
                <w:b/>
                <w:sz w:val="20"/>
              </w:rPr>
            </w:pPr>
            <w:r w:rsidRPr="00866547">
              <w:rPr>
                <w:b/>
                <w:sz w:val="20"/>
              </w:rPr>
              <w:t>Total harm</w:t>
            </w:r>
          </w:p>
        </w:tc>
        <w:tc>
          <w:tcPr>
            <w:tcW w:w="1134" w:type="dxa"/>
            <w:vMerge w:val="restart"/>
            <w:tcBorders>
              <w:top w:val="single" w:sz="4" w:space="0" w:color="auto"/>
              <w:left w:val="single" w:sz="4" w:space="0" w:color="auto"/>
              <w:right w:val="single" w:sz="4" w:space="0" w:color="auto"/>
            </w:tcBorders>
          </w:tcPr>
          <w:p w14:paraId="1D2063A1" w14:textId="77777777" w:rsidR="00866547" w:rsidRPr="00866547" w:rsidRDefault="00866547" w:rsidP="00866547">
            <w:pPr>
              <w:pStyle w:val="TableText"/>
              <w:jc w:val="center"/>
              <w:rPr>
                <w:b/>
                <w:sz w:val="20"/>
              </w:rPr>
            </w:pPr>
            <w:r w:rsidRPr="00866547">
              <w:rPr>
                <w:b/>
                <w:sz w:val="20"/>
              </w:rPr>
              <w:t>Dependent users</w:t>
            </w:r>
          </w:p>
        </w:tc>
        <w:tc>
          <w:tcPr>
            <w:tcW w:w="992" w:type="dxa"/>
            <w:vMerge w:val="restart"/>
            <w:tcBorders>
              <w:top w:val="single" w:sz="4" w:space="0" w:color="auto"/>
              <w:left w:val="single" w:sz="4" w:space="0" w:color="auto"/>
              <w:right w:val="single" w:sz="4" w:space="0" w:color="auto"/>
            </w:tcBorders>
          </w:tcPr>
          <w:p w14:paraId="7E9AD381" w14:textId="77777777" w:rsidR="00866547" w:rsidRPr="00866547" w:rsidRDefault="00866547" w:rsidP="00866547">
            <w:pPr>
              <w:pStyle w:val="TableText"/>
              <w:jc w:val="center"/>
              <w:rPr>
                <w:b/>
                <w:sz w:val="20"/>
              </w:rPr>
            </w:pPr>
            <w:r w:rsidRPr="00866547">
              <w:rPr>
                <w:b/>
                <w:sz w:val="20"/>
              </w:rPr>
              <w:t>Cost per user</w:t>
            </w:r>
          </w:p>
        </w:tc>
      </w:tr>
      <w:tr w:rsidR="00866547" w:rsidRPr="00866547" w14:paraId="50F4258D" w14:textId="77777777" w:rsidTr="00070E30">
        <w:trPr>
          <w:cantSplit/>
        </w:trPr>
        <w:tc>
          <w:tcPr>
            <w:tcW w:w="1696" w:type="dxa"/>
            <w:vMerge/>
            <w:tcBorders>
              <w:left w:val="single" w:sz="4" w:space="0" w:color="auto"/>
              <w:bottom w:val="single" w:sz="4" w:space="0" w:color="auto"/>
              <w:right w:val="single" w:sz="4" w:space="0" w:color="auto"/>
            </w:tcBorders>
            <w:shd w:val="clear" w:color="auto" w:fill="auto"/>
            <w:noWrap/>
            <w:hideMark/>
          </w:tcPr>
          <w:p w14:paraId="61DA6B57" w14:textId="77777777" w:rsidR="00866547" w:rsidRPr="00866547" w:rsidRDefault="00866547" w:rsidP="00866547">
            <w:pPr>
              <w:pStyle w:val="TableText"/>
              <w:rPr>
                <w:b/>
                <w:sz w:val="20"/>
              </w:rPr>
            </w:pPr>
          </w:p>
        </w:tc>
        <w:tc>
          <w:tcPr>
            <w:tcW w:w="1193" w:type="dxa"/>
            <w:vMerge/>
            <w:tcBorders>
              <w:left w:val="single" w:sz="4" w:space="0" w:color="auto"/>
              <w:bottom w:val="single" w:sz="4" w:space="0" w:color="auto"/>
              <w:right w:val="single" w:sz="4" w:space="0" w:color="auto"/>
            </w:tcBorders>
            <w:shd w:val="clear" w:color="auto" w:fill="auto"/>
            <w:hideMark/>
          </w:tcPr>
          <w:p w14:paraId="1354E18B" w14:textId="77777777" w:rsidR="00866547" w:rsidRPr="00866547" w:rsidRDefault="00866547" w:rsidP="00866547">
            <w:pPr>
              <w:pStyle w:val="TableText"/>
              <w:jc w:val="center"/>
              <w:rPr>
                <w:b/>
                <w:sz w:val="20"/>
              </w:rPr>
            </w:pPr>
          </w:p>
        </w:tc>
        <w:tc>
          <w:tcPr>
            <w:tcW w:w="1390" w:type="dxa"/>
            <w:tcBorders>
              <w:top w:val="nil"/>
              <w:left w:val="single" w:sz="4" w:space="0" w:color="auto"/>
              <w:bottom w:val="single" w:sz="4" w:space="0" w:color="auto"/>
              <w:right w:val="nil"/>
            </w:tcBorders>
            <w:shd w:val="clear" w:color="auto" w:fill="auto"/>
            <w:hideMark/>
          </w:tcPr>
          <w:p w14:paraId="3A5D4B6B" w14:textId="77777777" w:rsidR="00866547" w:rsidRPr="00866547" w:rsidRDefault="00866547" w:rsidP="00866547">
            <w:pPr>
              <w:pStyle w:val="TableText"/>
              <w:spacing w:before="0"/>
              <w:jc w:val="center"/>
              <w:rPr>
                <w:b/>
                <w:sz w:val="20"/>
              </w:rPr>
            </w:pPr>
            <w:r w:rsidRPr="00866547">
              <w:rPr>
                <w:b/>
                <w:sz w:val="20"/>
              </w:rPr>
              <w:t>premature death</w:t>
            </w:r>
          </w:p>
        </w:tc>
        <w:tc>
          <w:tcPr>
            <w:tcW w:w="1391" w:type="dxa"/>
            <w:tcBorders>
              <w:top w:val="nil"/>
              <w:left w:val="nil"/>
              <w:bottom w:val="single" w:sz="4" w:space="0" w:color="auto"/>
              <w:right w:val="single" w:sz="4" w:space="0" w:color="auto"/>
            </w:tcBorders>
            <w:shd w:val="clear" w:color="auto" w:fill="auto"/>
            <w:hideMark/>
          </w:tcPr>
          <w:p w14:paraId="28230B02" w14:textId="77777777" w:rsidR="00866547" w:rsidRPr="00866547" w:rsidRDefault="00866547" w:rsidP="00866547">
            <w:pPr>
              <w:pStyle w:val="TableText"/>
              <w:spacing w:before="0"/>
              <w:jc w:val="center"/>
              <w:rPr>
                <w:b/>
                <w:sz w:val="20"/>
              </w:rPr>
            </w:pPr>
            <w:r w:rsidRPr="00866547">
              <w:rPr>
                <w:b/>
                <w:sz w:val="20"/>
              </w:rPr>
              <w:t>loss of quality of life</w:t>
            </w:r>
          </w:p>
        </w:tc>
        <w:tc>
          <w:tcPr>
            <w:tcW w:w="1276" w:type="dxa"/>
            <w:vMerge/>
            <w:tcBorders>
              <w:left w:val="single" w:sz="4" w:space="0" w:color="auto"/>
              <w:bottom w:val="single" w:sz="4" w:space="0" w:color="auto"/>
              <w:right w:val="single" w:sz="4" w:space="0" w:color="auto"/>
            </w:tcBorders>
            <w:shd w:val="clear" w:color="auto" w:fill="auto"/>
            <w:noWrap/>
            <w:hideMark/>
          </w:tcPr>
          <w:p w14:paraId="636A1BF9" w14:textId="77777777" w:rsidR="00866547" w:rsidRPr="00866547" w:rsidRDefault="00866547" w:rsidP="00866547">
            <w:pPr>
              <w:pStyle w:val="TableText"/>
              <w:jc w:val="center"/>
              <w:rPr>
                <w:b/>
                <w:sz w:val="20"/>
              </w:rPr>
            </w:pPr>
          </w:p>
        </w:tc>
        <w:tc>
          <w:tcPr>
            <w:tcW w:w="1134" w:type="dxa"/>
            <w:vMerge/>
            <w:tcBorders>
              <w:left w:val="single" w:sz="4" w:space="0" w:color="auto"/>
              <w:bottom w:val="single" w:sz="4" w:space="0" w:color="auto"/>
              <w:right w:val="single" w:sz="4" w:space="0" w:color="auto"/>
            </w:tcBorders>
          </w:tcPr>
          <w:p w14:paraId="78C00DE6" w14:textId="77777777" w:rsidR="00866547" w:rsidRPr="00866547" w:rsidRDefault="00866547" w:rsidP="00866547">
            <w:pPr>
              <w:pStyle w:val="TableText"/>
              <w:jc w:val="center"/>
              <w:rPr>
                <w:b/>
                <w:sz w:val="20"/>
              </w:rPr>
            </w:pPr>
          </w:p>
        </w:tc>
        <w:tc>
          <w:tcPr>
            <w:tcW w:w="992" w:type="dxa"/>
            <w:vMerge/>
            <w:tcBorders>
              <w:left w:val="single" w:sz="4" w:space="0" w:color="auto"/>
              <w:bottom w:val="single" w:sz="4" w:space="0" w:color="auto"/>
              <w:right w:val="single" w:sz="4" w:space="0" w:color="auto"/>
            </w:tcBorders>
          </w:tcPr>
          <w:p w14:paraId="7AE226B7" w14:textId="77777777" w:rsidR="00866547" w:rsidRPr="00866547" w:rsidRDefault="00866547" w:rsidP="00866547">
            <w:pPr>
              <w:pStyle w:val="TableText"/>
              <w:jc w:val="center"/>
              <w:rPr>
                <w:b/>
                <w:sz w:val="20"/>
              </w:rPr>
            </w:pPr>
          </w:p>
        </w:tc>
      </w:tr>
      <w:tr w:rsidR="00CF2D46" w:rsidRPr="00DB0564" w14:paraId="7C59B5C9" w14:textId="77777777" w:rsidTr="00070E30">
        <w:trPr>
          <w:cantSplit/>
        </w:trPr>
        <w:tc>
          <w:tcPr>
            <w:tcW w:w="1696" w:type="dxa"/>
            <w:tcBorders>
              <w:top w:val="single" w:sz="4" w:space="0" w:color="auto"/>
              <w:left w:val="single" w:sz="4" w:space="0" w:color="auto"/>
              <w:bottom w:val="nil"/>
              <w:right w:val="single" w:sz="4" w:space="0" w:color="auto"/>
            </w:tcBorders>
            <w:shd w:val="clear" w:color="auto" w:fill="auto"/>
            <w:noWrap/>
            <w:hideMark/>
          </w:tcPr>
          <w:p w14:paraId="415181CB" w14:textId="77777777" w:rsidR="00CF2D46" w:rsidRPr="00866547" w:rsidRDefault="00CF2D46" w:rsidP="00866547">
            <w:pPr>
              <w:pStyle w:val="TableText"/>
              <w:rPr>
                <w:sz w:val="20"/>
              </w:rPr>
            </w:pPr>
            <w:r w:rsidRPr="00866547">
              <w:rPr>
                <w:sz w:val="20"/>
              </w:rPr>
              <w:t>Amphetamine-type stimulants</w:t>
            </w:r>
          </w:p>
        </w:tc>
        <w:tc>
          <w:tcPr>
            <w:tcW w:w="1193" w:type="dxa"/>
            <w:tcBorders>
              <w:top w:val="single" w:sz="4" w:space="0" w:color="auto"/>
              <w:left w:val="single" w:sz="4" w:space="0" w:color="auto"/>
              <w:bottom w:val="nil"/>
              <w:right w:val="single" w:sz="4" w:space="0" w:color="auto"/>
            </w:tcBorders>
            <w:shd w:val="clear" w:color="auto" w:fill="auto"/>
            <w:noWrap/>
            <w:hideMark/>
          </w:tcPr>
          <w:p w14:paraId="6EED0DFA" w14:textId="77777777" w:rsidR="00CF2D46" w:rsidRPr="00866547" w:rsidRDefault="00CF2D46" w:rsidP="00866547">
            <w:pPr>
              <w:pStyle w:val="TableText"/>
              <w:tabs>
                <w:tab w:val="decimal" w:pos="606"/>
              </w:tabs>
              <w:rPr>
                <w:sz w:val="20"/>
              </w:rPr>
            </w:pPr>
            <w:r w:rsidRPr="00866547">
              <w:rPr>
                <w:sz w:val="20"/>
              </w:rPr>
              <w:t>32</w:t>
            </w:r>
          </w:p>
        </w:tc>
        <w:tc>
          <w:tcPr>
            <w:tcW w:w="1390" w:type="dxa"/>
            <w:tcBorders>
              <w:top w:val="single" w:sz="4" w:space="0" w:color="auto"/>
              <w:left w:val="single" w:sz="4" w:space="0" w:color="auto"/>
              <w:bottom w:val="nil"/>
              <w:right w:val="nil"/>
            </w:tcBorders>
            <w:shd w:val="clear" w:color="auto" w:fill="auto"/>
            <w:noWrap/>
            <w:hideMark/>
          </w:tcPr>
          <w:p w14:paraId="173E29BB" w14:textId="77777777" w:rsidR="00CF2D46" w:rsidRPr="00866547" w:rsidRDefault="00CF2D46" w:rsidP="00070E30">
            <w:pPr>
              <w:pStyle w:val="TableText"/>
              <w:tabs>
                <w:tab w:val="decimal" w:pos="1077"/>
              </w:tabs>
              <w:rPr>
                <w:sz w:val="20"/>
              </w:rPr>
            </w:pPr>
            <w:r w:rsidRPr="00866547">
              <w:rPr>
                <w:sz w:val="20"/>
              </w:rPr>
              <w:t>126,345,600</w:t>
            </w:r>
          </w:p>
        </w:tc>
        <w:tc>
          <w:tcPr>
            <w:tcW w:w="1391" w:type="dxa"/>
            <w:tcBorders>
              <w:top w:val="single" w:sz="4" w:space="0" w:color="auto"/>
              <w:left w:val="nil"/>
              <w:bottom w:val="nil"/>
              <w:right w:val="single" w:sz="4" w:space="0" w:color="auto"/>
            </w:tcBorders>
            <w:shd w:val="clear" w:color="auto" w:fill="auto"/>
            <w:noWrap/>
            <w:hideMark/>
          </w:tcPr>
          <w:p w14:paraId="46D3B2CA" w14:textId="77777777" w:rsidR="00CF2D46" w:rsidRPr="00866547" w:rsidRDefault="00CF2D46" w:rsidP="00070E30">
            <w:pPr>
              <w:pStyle w:val="TableText"/>
              <w:tabs>
                <w:tab w:val="decimal" w:pos="1077"/>
              </w:tabs>
              <w:rPr>
                <w:sz w:val="20"/>
              </w:rPr>
            </w:pPr>
            <w:r w:rsidRPr="00866547">
              <w:rPr>
                <w:sz w:val="20"/>
              </w:rPr>
              <w:t>130,066,581</w:t>
            </w:r>
          </w:p>
        </w:tc>
        <w:tc>
          <w:tcPr>
            <w:tcW w:w="1276" w:type="dxa"/>
            <w:tcBorders>
              <w:top w:val="single" w:sz="4" w:space="0" w:color="auto"/>
              <w:left w:val="single" w:sz="4" w:space="0" w:color="auto"/>
              <w:bottom w:val="nil"/>
              <w:right w:val="single" w:sz="4" w:space="0" w:color="auto"/>
            </w:tcBorders>
            <w:shd w:val="clear" w:color="auto" w:fill="auto"/>
            <w:noWrap/>
            <w:hideMark/>
          </w:tcPr>
          <w:p w14:paraId="427ED0A4" w14:textId="77777777" w:rsidR="00CF2D46" w:rsidRPr="00866547" w:rsidRDefault="00CF2D46" w:rsidP="00070E30">
            <w:pPr>
              <w:pStyle w:val="TableText"/>
              <w:tabs>
                <w:tab w:val="decimal" w:pos="1021"/>
              </w:tabs>
              <w:rPr>
                <w:sz w:val="20"/>
              </w:rPr>
            </w:pPr>
            <w:r w:rsidRPr="00866547">
              <w:rPr>
                <w:sz w:val="20"/>
              </w:rPr>
              <w:t>256,412,181</w:t>
            </w:r>
          </w:p>
        </w:tc>
        <w:tc>
          <w:tcPr>
            <w:tcW w:w="1134" w:type="dxa"/>
            <w:tcBorders>
              <w:top w:val="single" w:sz="4" w:space="0" w:color="auto"/>
              <w:left w:val="single" w:sz="4" w:space="0" w:color="auto"/>
              <w:bottom w:val="nil"/>
              <w:right w:val="single" w:sz="4" w:space="0" w:color="auto"/>
            </w:tcBorders>
          </w:tcPr>
          <w:p w14:paraId="1616F494" w14:textId="77777777" w:rsidR="00CF2D46" w:rsidRPr="00866547" w:rsidRDefault="00CF2D46" w:rsidP="00070E30">
            <w:pPr>
              <w:pStyle w:val="TableText"/>
              <w:tabs>
                <w:tab w:val="decimal" w:pos="766"/>
              </w:tabs>
              <w:rPr>
                <w:sz w:val="20"/>
              </w:rPr>
            </w:pPr>
            <w:r w:rsidRPr="00866547">
              <w:rPr>
                <w:sz w:val="20"/>
              </w:rPr>
              <w:t>1,392</w:t>
            </w:r>
          </w:p>
        </w:tc>
        <w:tc>
          <w:tcPr>
            <w:tcW w:w="992" w:type="dxa"/>
            <w:tcBorders>
              <w:top w:val="single" w:sz="4" w:space="0" w:color="auto"/>
              <w:left w:val="single" w:sz="4" w:space="0" w:color="auto"/>
              <w:bottom w:val="nil"/>
              <w:right w:val="single" w:sz="4" w:space="0" w:color="auto"/>
            </w:tcBorders>
          </w:tcPr>
          <w:p w14:paraId="09B192CF" w14:textId="77777777" w:rsidR="00CF2D46" w:rsidRPr="00866547" w:rsidRDefault="00CF2D46" w:rsidP="00070E30">
            <w:pPr>
              <w:pStyle w:val="TableText"/>
              <w:tabs>
                <w:tab w:val="decimal" w:pos="709"/>
              </w:tabs>
              <w:rPr>
                <w:sz w:val="20"/>
              </w:rPr>
            </w:pPr>
            <w:r w:rsidRPr="00866547">
              <w:rPr>
                <w:sz w:val="20"/>
              </w:rPr>
              <w:t>184,249</w:t>
            </w:r>
          </w:p>
        </w:tc>
      </w:tr>
      <w:tr w:rsidR="00CF2D46" w:rsidRPr="00DB0564" w14:paraId="17A4464F" w14:textId="77777777" w:rsidTr="00070E30">
        <w:trPr>
          <w:cantSplit/>
        </w:trPr>
        <w:tc>
          <w:tcPr>
            <w:tcW w:w="1696" w:type="dxa"/>
            <w:tcBorders>
              <w:top w:val="nil"/>
              <w:left w:val="single" w:sz="4" w:space="0" w:color="auto"/>
              <w:bottom w:val="nil"/>
              <w:right w:val="single" w:sz="4" w:space="0" w:color="auto"/>
            </w:tcBorders>
            <w:shd w:val="clear" w:color="auto" w:fill="auto"/>
            <w:noWrap/>
            <w:hideMark/>
          </w:tcPr>
          <w:p w14:paraId="189FCEC4" w14:textId="77777777" w:rsidR="00CF2D46" w:rsidRPr="00866547" w:rsidRDefault="00CF2D46" w:rsidP="00866547">
            <w:pPr>
              <w:pStyle w:val="TableText"/>
              <w:rPr>
                <w:sz w:val="20"/>
              </w:rPr>
            </w:pPr>
            <w:r w:rsidRPr="00866547">
              <w:rPr>
                <w:sz w:val="20"/>
              </w:rPr>
              <w:t>Cannabinoids</w:t>
            </w:r>
          </w:p>
        </w:tc>
        <w:tc>
          <w:tcPr>
            <w:tcW w:w="1193" w:type="dxa"/>
            <w:tcBorders>
              <w:top w:val="nil"/>
              <w:left w:val="single" w:sz="4" w:space="0" w:color="auto"/>
              <w:bottom w:val="nil"/>
              <w:right w:val="single" w:sz="4" w:space="0" w:color="auto"/>
            </w:tcBorders>
            <w:shd w:val="clear" w:color="auto" w:fill="auto"/>
            <w:noWrap/>
            <w:hideMark/>
          </w:tcPr>
          <w:p w14:paraId="45CBFAA9" w14:textId="77777777" w:rsidR="00CF2D46" w:rsidRPr="00866547" w:rsidRDefault="00CF2D46" w:rsidP="00866547">
            <w:pPr>
              <w:pStyle w:val="TableText"/>
              <w:tabs>
                <w:tab w:val="decimal" w:pos="606"/>
              </w:tabs>
              <w:rPr>
                <w:sz w:val="20"/>
              </w:rPr>
            </w:pPr>
            <w:r w:rsidRPr="00866547">
              <w:rPr>
                <w:sz w:val="20"/>
              </w:rPr>
              <w:t>32</w:t>
            </w:r>
          </w:p>
        </w:tc>
        <w:tc>
          <w:tcPr>
            <w:tcW w:w="1390" w:type="dxa"/>
            <w:tcBorders>
              <w:top w:val="nil"/>
              <w:left w:val="single" w:sz="4" w:space="0" w:color="auto"/>
              <w:bottom w:val="nil"/>
              <w:right w:val="nil"/>
            </w:tcBorders>
            <w:shd w:val="clear" w:color="auto" w:fill="auto"/>
            <w:noWrap/>
            <w:hideMark/>
          </w:tcPr>
          <w:p w14:paraId="3D5C0DD8" w14:textId="77777777" w:rsidR="00CF2D46" w:rsidRPr="00866547" w:rsidRDefault="00CF2D46" w:rsidP="00070E30">
            <w:pPr>
              <w:pStyle w:val="TableText"/>
              <w:tabs>
                <w:tab w:val="decimal" w:pos="1077"/>
              </w:tabs>
              <w:rPr>
                <w:sz w:val="20"/>
              </w:rPr>
            </w:pPr>
            <w:r w:rsidRPr="00866547">
              <w:rPr>
                <w:sz w:val="20"/>
              </w:rPr>
              <w:t>126,345,600</w:t>
            </w:r>
          </w:p>
        </w:tc>
        <w:tc>
          <w:tcPr>
            <w:tcW w:w="1391" w:type="dxa"/>
            <w:tcBorders>
              <w:top w:val="nil"/>
              <w:left w:val="nil"/>
              <w:bottom w:val="nil"/>
              <w:right w:val="single" w:sz="4" w:space="0" w:color="auto"/>
            </w:tcBorders>
            <w:shd w:val="clear" w:color="auto" w:fill="auto"/>
            <w:noWrap/>
            <w:hideMark/>
          </w:tcPr>
          <w:p w14:paraId="0F8BF941" w14:textId="77777777" w:rsidR="00CF2D46" w:rsidRPr="00866547" w:rsidRDefault="00CF2D46" w:rsidP="00070E30">
            <w:pPr>
              <w:pStyle w:val="TableText"/>
              <w:tabs>
                <w:tab w:val="decimal" w:pos="1077"/>
              </w:tabs>
              <w:rPr>
                <w:sz w:val="20"/>
              </w:rPr>
            </w:pPr>
            <w:r w:rsidRPr="00866547">
              <w:rPr>
                <w:sz w:val="20"/>
              </w:rPr>
              <w:t>130,066,581</w:t>
            </w:r>
          </w:p>
        </w:tc>
        <w:tc>
          <w:tcPr>
            <w:tcW w:w="1276" w:type="dxa"/>
            <w:tcBorders>
              <w:top w:val="nil"/>
              <w:left w:val="single" w:sz="4" w:space="0" w:color="auto"/>
              <w:bottom w:val="nil"/>
              <w:right w:val="single" w:sz="4" w:space="0" w:color="auto"/>
            </w:tcBorders>
            <w:shd w:val="clear" w:color="auto" w:fill="auto"/>
            <w:noWrap/>
            <w:hideMark/>
          </w:tcPr>
          <w:p w14:paraId="07E5E7AB" w14:textId="77777777" w:rsidR="00CF2D46" w:rsidRPr="00866547" w:rsidRDefault="00CF2D46" w:rsidP="00070E30">
            <w:pPr>
              <w:pStyle w:val="TableText"/>
              <w:tabs>
                <w:tab w:val="decimal" w:pos="1021"/>
              </w:tabs>
              <w:rPr>
                <w:sz w:val="20"/>
              </w:rPr>
            </w:pPr>
            <w:r w:rsidRPr="00866547">
              <w:rPr>
                <w:sz w:val="20"/>
              </w:rPr>
              <w:t>256,412,181</w:t>
            </w:r>
          </w:p>
        </w:tc>
        <w:tc>
          <w:tcPr>
            <w:tcW w:w="1134" w:type="dxa"/>
            <w:tcBorders>
              <w:top w:val="nil"/>
              <w:left w:val="single" w:sz="4" w:space="0" w:color="auto"/>
              <w:bottom w:val="nil"/>
              <w:right w:val="single" w:sz="4" w:space="0" w:color="auto"/>
            </w:tcBorders>
          </w:tcPr>
          <w:p w14:paraId="19F52F50" w14:textId="77777777" w:rsidR="00CF2D46" w:rsidRPr="00866547" w:rsidRDefault="00CF2D46" w:rsidP="00070E30">
            <w:pPr>
              <w:pStyle w:val="TableText"/>
              <w:tabs>
                <w:tab w:val="decimal" w:pos="766"/>
              </w:tabs>
              <w:rPr>
                <w:sz w:val="20"/>
              </w:rPr>
            </w:pPr>
            <w:r w:rsidRPr="00866547">
              <w:rPr>
                <w:sz w:val="20"/>
              </w:rPr>
              <w:t>26,022</w:t>
            </w:r>
          </w:p>
        </w:tc>
        <w:tc>
          <w:tcPr>
            <w:tcW w:w="992" w:type="dxa"/>
            <w:tcBorders>
              <w:top w:val="nil"/>
              <w:left w:val="single" w:sz="4" w:space="0" w:color="auto"/>
              <w:bottom w:val="nil"/>
              <w:right w:val="single" w:sz="4" w:space="0" w:color="auto"/>
            </w:tcBorders>
          </w:tcPr>
          <w:p w14:paraId="6E24DFA2" w14:textId="77777777" w:rsidR="00CF2D46" w:rsidRPr="00866547" w:rsidRDefault="00CF2D46" w:rsidP="00070E30">
            <w:pPr>
              <w:pStyle w:val="TableText"/>
              <w:tabs>
                <w:tab w:val="decimal" w:pos="709"/>
              </w:tabs>
              <w:rPr>
                <w:sz w:val="20"/>
              </w:rPr>
            </w:pPr>
            <w:r w:rsidRPr="00866547">
              <w:rPr>
                <w:sz w:val="20"/>
              </w:rPr>
              <w:t>9,854</w:t>
            </w:r>
          </w:p>
        </w:tc>
      </w:tr>
      <w:tr w:rsidR="00CF2D46" w:rsidRPr="00DB0564" w14:paraId="64A1F242" w14:textId="77777777" w:rsidTr="00070E30">
        <w:trPr>
          <w:cantSplit/>
        </w:trPr>
        <w:tc>
          <w:tcPr>
            <w:tcW w:w="1696" w:type="dxa"/>
            <w:tcBorders>
              <w:top w:val="nil"/>
              <w:left w:val="single" w:sz="4" w:space="0" w:color="auto"/>
              <w:bottom w:val="nil"/>
              <w:right w:val="single" w:sz="4" w:space="0" w:color="auto"/>
            </w:tcBorders>
            <w:shd w:val="clear" w:color="auto" w:fill="auto"/>
            <w:noWrap/>
            <w:hideMark/>
          </w:tcPr>
          <w:p w14:paraId="142A134D" w14:textId="43132D78" w:rsidR="00CF2D46" w:rsidRPr="00866547" w:rsidRDefault="00CF2D46">
            <w:pPr>
              <w:pStyle w:val="TableText"/>
              <w:rPr>
                <w:sz w:val="20"/>
              </w:rPr>
            </w:pPr>
            <w:r w:rsidRPr="00866547">
              <w:rPr>
                <w:sz w:val="20"/>
              </w:rPr>
              <w:t xml:space="preserve">Hallucinogenic </w:t>
            </w:r>
            <w:r w:rsidR="00866547" w:rsidRPr="00866547">
              <w:rPr>
                <w:sz w:val="20"/>
              </w:rPr>
              <w:t>and</w:t>
            </w:r>
            <w:r w:rsidRPr="00866547">
              <w:rPr>
                <w:sz w:val="20"/>
              </w:rPr>
              <w:t xml:space="preserve"> psychedelic</w:t>
            </w:r>
          </w:p>
        </w:tc>
        <w:tc>
          <w:tcPr>
            <w:tcW w:w="1193" w:type="dxa"/>
            <w:tcBorders>
              <w:top w:val="nil"/>
              <w:left w:val="single" w:sz="4" w:space="0" w:color="auto"/>
              <w:bottom w:val="nil"/>
              <w:right w:val="single" w:sz="4" w:space="0" w:color="auto"/>
            </w:tcBorders>
            <w:shd w:val="clear" w:color="auto" w:fill="auto"/>
            <w:noWrap/>
          </w:tcPr>
          <w:p w14:paraId="2D333934" w14:textId="77777777" w:rsidR="00CF2D46" w:rsidRPr="00866547" w:rsidRDefault="00CF2D46" w:rsidP="00866547">
            <w:pPr>
              <w:pStyle w:val="TableText"/>
              <w:tabs>
                <w:tab w:val="decimal" w:pos="606"/>
              </w:tabs>
              <w:rPr>
                <w:sz w:val="20"/>
              </w:rPr>
            </w:pPr>
            <w:r w:rsidRPr="00866547">
              <w:rPr>
                <w:sz w:val="20"/>
              </w:rPr>
              <w:t>1</w:t>
            </w:r>
          </w:p>
        </w:tc>
        <w:tc>
          <w:tcPr>
            <w:tcW w:w="1390" w:type="dxa"/>
            <w:tcBorders>
              <w:top w:val="nil"/>
              <w:left w:val="single" w:sz="4" w:space="0" w:color="auto"/>
              <w:bottom w:val="nil"/>
              <w:right w:val="nil"/>
            </w:tcBorders>
            <w:shd w:val="clear" w:color="auto" w:fill="auto"/>
            <w:noWrap/>
          </w:tcPr>
          <w:p w14:paraId="21265DA1" w14:textId="77777777" w:rsidR="00CF2D46" w:rsidRPr="00866547" w:rsidRDefault="00CF2D46" w:rsidP="00070E30">
            <w:pPr>
              <w:pStyle w:val="TableText"/>
              <w:tabs>
                <w:tab w:val="decimal" w:pos="1077"/>
              </w:tabs>
              <w:rPr>
                <w:sz w:val="20"/>
              </w:rPr>
            </w:pPr>
            <w:r w:rsidRPr="00866547">
              <w:rPr>
                <w:sz w:val="20"/>
              </w:rPr>
              <w:t>3,948,300</w:t>
            </w:r>
          </w:p>
        </w:tc>
        <w:tc>
          <w:tcPr>
            <w:tcW w:w="1391" w:type="dxa"/>
            <w:tcBorders>
              <w:top w:val="nil"/>
              <w:left w:val="nil"/>
              <w:bottom w:val="nil"/>
              <w:right w:val="single" w:sz="4" w:space="0" w:color="auto"/>
            </w:tcBorders>
            <w:shd w:val="clear" w:color="auto" w:fill="auto"/>
            <w:noWrap/>
            <w:hideMark/>
          </w:tcPr>
          <w:p w14:paraId="57E2A5E1" w14:textId="77777777" w:rsidR="00CF2D46" w:rsidRPr="00866547" w:rsidRDefault="00CF2D46" w:rsidP="00070E30">
            <w:pPr>
              <w:pStyle w:val="TableText"/>
              <w:tabs>
                <w:tab w:val="decimal" w:pos="1077"/>
              </w:tabs>
              <w:rPr>
                <w:sz w:val="20"/>
              </w:rPr>
            </w:pPr>
            <w:r w:rsidRPr="00866547">
              <w:rPr>
                <w:sz w:val="20"/>
              </w:rPr>
              <w:t>4,064,581</w:t>
            </w:r>
          </w:p>
        </w:tc>
        <w:tc>
          <w:tcPr>
            <w:tcW w:w="1276" w:type="dxa"/>
            <w:tcBorders>
              <w:top w:val="nil"/>
              <w:left w:val="single" w:sz="4" w:space="0" w:color="auto"/>
              <w:bottom w:val="nil"/>
              <w:right w:val="single" w:sz="4" w:space="0" w:color="auto"/>
            </w:tcBorders>
            <w:shd w:val="clear" w:color="auto" w:fill="auto"/>
            <w:noWrap/>
            <w:hideMark/>
          </w:tcPr>
          <w:p w14:paraId="2D029204" w14:textId="77777777" w:rsidR="00CF2D46" w:rsidRPr="00866547" w:rsidRDefault="00CF2D46" w:rsidP="00070E30">
            <w:pPr>
              <w:pStyle w:val="TableText"/>
              <w:tabs>
                <w:tab w:val="decimal" w:pos="1021"/>
              </w:tabs>
              <w:rPr>
                <w:sz w:val="20"/>
              </w:rPr>
            </w:pPr>
            <w:r w:rsidRPr="00866547">
              <w:rPr>
                <w:sz w:val="20"/>
              </w:rPr>
              <w:t>8,012,881</w:t>
            </w:r>
          </w:p>
        </w:tc>
        <w:tc>
          <w:tcPr>
            <w:tcW w:w="1134" w:type="dxa"/>
            <w:tcBorders>
              <w:top w:val="nil"/>
              <w:left w:val="single" w:sz="4" w:space="0" w:color="auto"/>
              <w:bottom w:val="nil"/>
              <w:right w:val="single" w:sz="4" w:space="0" w:color="auto"/>
            </w:tcBorders>
          </w:tcPr>
          <w:p w14:paraId="56A85ECC" w14:textId="77777777" w:rsidR="00CF2D46" w:rsidRPr="00866547" w:rsidRDefault="00CF2D46" w:rsidP="00070E30">
            <w:pPr>
              <w:pStyle w:val="TableText"/>
              <w:tabs>
                <w:tab w:val="decimal" w:pos="766"/>
              </w:tabs>
              <w:rPr>
                <w:sz w:val="20"/>
              </w:rPr>
            </w:pPr>
            <w:r w:rsidRPr="00866547">
              <w:rPr>
                <w:sz w:val="20"/>
              </w:rPr>
              <w:t>450</w:t>
            </w:r>
          </w:p>
        </w:tc>
        <w:tc>
          <w:tcPr>
            <w:tcW w:w="992" w:type="dxa"/>
            <w:tcBorders>
              <w:top w:val="nil"/>
              <w:left w:val="single" w:sz="4" w:space="0" w:color="auto"/>
              <w:bottom w:val="nil"/>
              <w:right w:val="single" w:sz="4" w:space="0" w:color="auto"/>
            </w:tcBorders>
          </w:tcPr>
          <w:p w14:paraId="14498C8E" w14:textId="77777777" w:rsidR="00CF2D46" w:rsidRPr="00866547" w:rsidRDefault="00CF2D46" w:rsidP="00070E30">
            <w:pPr>
              <w:pStyle w:val="TableText"/>
              <w:tabs>
                <w:tab w:val="decimal" w:pos="709"/>
              </w:tabs>
              <w:rPr>
                <w:sz w:val="20"/>
              </w:rPr>
            </w:pPr>
            <w:r w:rsidRPr="00866547">
              <w:rPr>
                <w:sz w:val="20"/>
              </w:rPr>
              <w:t>17,797</w:t>
            </w:r>
          </w:p>
        </w:tc>
      </w:tr>
      <w:tr w:rsidR="00CF2D46" w:rsidRPr="00DB0564" w14:paraId="0F7F85C0" w14:textId="77777777" w:rsidTr="00070E30">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33D7C38A" w14:textId="51C42FA2" w:rsidR="00CF2D46" w:rsidRPr="00866547" w:rsidRDefault="00866547">
            <w:pPr>
              <w:pStyle w:val="TableText"/>
              <w:rPr>
                <w:sz w:val="20"/>
              </w:rPr>
            </w:pPr>
            <w:r w:rsidRPr="00866547">
              <w:rPr>
                <w:sz w:val="20"/>
              </w:rPr>
              <w:t>Opioid and sedative</w:t>
            </w:r>
          </w:p>
        </w:tc>
        <w:tc>
          <w:tcPr>
            <w:tcW w:w="1193" w:type="dxa"/>
            <w:tcBorders>
              <w:top w:val="nil"/>
              <w:left w:val="single" w:sz="4" w:space="0" w:color="auto"/>
              <w:bottom w:val="single" w:sz="4" w:space="0" w:color="auto"/>
              <w:right w:val="single" w:sz="4" w:space="0" w:color="auto"/>
            </w:tcBorders>
            <w:shd w:val="clear" w:color="auto" w:fill="auto"/>
            <w:noWrap/>
            <w:hideMark/>
          </w:tcPr>
          <w:p w14:paraId="77755EBE" w14:textId="77777777" w:rsidR="00CF2D46" w:rsidRPr="00866547" w:rsidRDefault="00CF2D46" w:rsidP="00866547">
            <w:pPr>
              <w:pStyle w:val="TableText"/>
              <w:tabs>
                <w:tab w:val="decimal" w:pos="606"/>
              </w:tabs>
              <w:rPr>
                <w:sz w:val="20"/>
              </w:rPr>
            </w:pPr>
            <w:r w:rsidRPr="00866547">
              <w:rPr>
                <w:sz w:val="20"/>
              </w:rPr>
              <w:t>10</w:t>
            </w:r>
          </w:p>
        </w:tc>
        <w:tc>
          <w:tcPr>
            <w:tcW w:w="1390" w:type="dxa"/>
            <w:tcBorders>
              <w:top w:val="nil"/>
              <w:left w:val="single" w:sz="4" w:space="0" w:color="auto"/>
              <w:bottom w:val="single" w:sz="4" w:space="0" w:color="auto"/>
              <w:right w:val="nil"/>
            </w:tcBorders>
            <w:shd w:val="clear" w:color="auto" w:fill="auto"/>
            <w:noWrap/>
            <w:hideMark/>
          </w:tcPr>
          <w:p w14:paraId="6CC0A884" w14:textId="77777777" w:rsidR="00CF2D46" w:rsidRPr="00866547" w:rsidRDefault="00CF2D46" w:rsidP="00070E30">
            <w:pPr>
              <w:pStyle w:val="TableText"/>
              <w:tabs>
                <w:tab w:val="decimal" w:pos="1077"/>
              </w:tabs>
              <w:rPr>
                <w:sz w:val="20"/>
              </w:rPr>
            </w:pPr>
            <w:r w:rsidRPr="00866547">
              <w:rPr>
                <w:sz w:val="20"/>
              </w:rPr>
              <w:t>39,483,000</w:t>
            </w:r>
          </w:p>
        </w:tc>
        <w:tc>
          <w:tcPr>
            <w:tcW w:w="1391" w:type="dxa"/>
            <w:tcBorders>
              <w:top w:val="nil"/>
              <w:left w:val="nil"/>
              <w:bottom w:val="single" w:sz="4" w:space="0" w:color="auto"/>
              <w:right w:val="single" w:sz="4" w:space="0" w:color="auto"/>
            </w:tcBorders>
            <w:shd w:val="clear" w:color="auto" w:fill="auto"/>
            <w:noWrap/>
            <w:hideMark/>
          </w:tcPr>
          <w:p w14:paraId="360DB5C8" w14:textId="77777777" w:rsidR="00CF2D46" w:rsidRPr="00866547" w:rsidRDefault="00CF2D46" w:rsidP="00070E30">
            <w:pPr>
              <w:pStyle w:val="TableText"/>
              <w:tabs>
                <w:tab w:val="decimal" w:pos="1077"/>
              </w:tabs>
              <w:rPr>
                <w:sz w:val="20"/>
              </w:rPr>
            </w:pPr>
            <w:r w:rsidRPr="00866547">
              <w:rPr>
                <w:sz w:val="20"/>
              </w:rPr>
              <w:t>40,645,806</w:t>
            </w:r>
          </w:p>
        </w:tc>
        <w:tc>
          <w:tcPr>
            <w:tcW w:w="1276" w:type="dxa"/>
            <w:tcBorders>
              <w:top w:val="nil"/>
              <w:left w:val="single" w:sz="4" w:space="0" w:color="auto"/>
              <w:bottom w:val="single" w:sz="4" w:space="0" w:color="auto"/>
              <w:right w:val="single" w:sz="4" w:space="0" w:color="auto"/>
            </w:tcBorders>
            <w:shd w:val="clear" w:color="auto" w:fill="auto"/>
            <w:noWrap/>
            <w:hideMark/>
          </w:tcPr>
          <w:p w14:paraId="47038DCD" w14:textId="77777777" w:rsidR="00CF2D46" w:rsidRPr="00866547" w:rsidRDefault="00CF2D46" w:rsidP="00070E30">
            <w:pPr>
              <w:pStyle w:val="TableText"/>
              <w:tabs>
                <w:tab w:val="decimal" w:pos="1021"/>
              </w:tabs>
              <w:rPr>
                <w:sz w:val="20"/>
              </w:rPr>
            </w:pPr>
            <w:r w:rsidRPr="00866547">
              <w:rPr>
                <w:sz w:val="20"/>
              </w:rPr>
              <w:t>80,128,806</w:t>
            </w:r>
          </w:p>
        </w:tc>
        <w:tc>
          <w:tcPr>
            <w:tcW w:w="1134" w:type="dxa"/>
            <w:tcBorders>
              <w:top w:val="nil"/>
              <w:left w:val="single" w:sz="4" w:space="0" w:color="auto"/>
              <w:bottom w:val="single" w:sz="4" w:space="0" w:color="auto"/>
              <w:right w:val="single" w:sz="4" w:space="0" w:color="auto"/>
            </w:tcBorders>
          </w:tcPr>
          <w:p w14:paraId="6E63CAA3" w14:textId="77777777" w:rsidR="00CF2D46" w:rsidRPr="00866547" w:rsidRDefault="00CF2D46" w:rsidP="00070E30">
            <w:pPr>
              <w:pStyle w:val="TableText"/>
              <w:tabs>
                <w:tab w:val="decimal" w:pos="766"/>
              </w:tabs>
              <w:rPr>
                <w:sz w:val="20"/>
              </w:rPr>
            </w:pPr>
            <w:r w:rsidRPr="00866547">
              <w:rPr>
                <w:sz w:val="20"/>
              </w:rPr>
              <w:t>2,025</w:t>
            </w:r>
          </w:p>
        </w:tc>
        <w:tc>
          <w:tcPr>
            <w:tcW w:w="992" w:type="dxa"/>
            <w:tcBorders>
              <w:top w:val="nil"/>
              <w:left w:val="single" w:sz="4" w:space="0" w:color="auto"/>
              <w:bottom w:val="single" w:sz="4" w:space="0" w:color="auto"/>
              <w:right w:val="single" w:sz="4" w:space="0" w:color="auto"/>
            </w:tcBorders>
          </w:tcPr>
          <w:p w14:paraId="0561AEE7" w14:textId="77777777" w:rsidR="00CF2D46" w:rsidRPr="00866547" w:rsidRDefault="00CF2D46" w:rsidP="00070E30">
            <w:pPr>
              <w:pStyle w:val="TableText"/>
              <w:tabs>
                <w:tab w:val="decimal" w:pos="709"/>
              </w:tabs>
              <w:rPr>
                <w:sz w:val="20"/>
              </w:rPr>
            </w:pPr>
            <w:r w:rsidRPr="00866547">
              <w:rPr>
                <w:sz w:val="20"/>
              </w:rPr>
              <w:t>39,575</w:t>
            </w:r>
          </w:p>
        </w:tc>
      </w:tr>
      <w:tr w:rsidR="00CF2D46" w:rsidRPr="00866547" w14:paraId="7C9D6363" w14:textId="77777777" w:rsidTr="00070E30">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2A3AC236" w14:textId="77777777" w:rsidR="00CF2D46" w:rsidRPr="00866547" w:rsidRDefault="00CF2D46" w:rsidP="00866547">
            <w:pPr>
              <w:pStyle w:val="TableText"/>
              <w:ind w:right="142"/>
              <w:jc w:val="right"/>
              <w:rPr>
                <w:b/>
                <w:sz w:val="20"/>
              </w:rPr>
            </w:pPr>
            <w:r w:rsidRPr="00866547">
              <w:rPr>
                <w:b/>
                <w:sz w:val="20"/>
              </w:rPr>
              <w:t>Total</w:t>
            </w:r>
          </w:p>
        </w:tc>
        <w:tc>
          <w:tcPr>
            <w:tcW w:w="1193" w:type="dxa"/>
            <w:tcBorders>
              <w:top w:val="nil"/>
              <w:left w:val="single" w:sz="4" w:space="0" w:color="auto"/>
              <w:bottom w:val="single" w:sz="4" w:space="0" w:color="auto"/>
              <w:right w:val="single" w:sz="4" w:space="0" w:color="auto"/>
            </w:tcBorders>
            <w:shd w:val="clear" w:color="auto" w:fill="auto"/>
            <w:noWrap/>
            <w:hideMark/>
          </w:tcPr>
          <w:p w14:paraId="2B395295" w14:textId="77777777" w:rsidR="00CF2D46" w:rsidRPr="00866547" w:rsidRDefault="00CF2D46" w:rsidP="00866547">
            <w:pPr>
              <w:pStyle w:val="TableText"/>
              <w:tabs>
                <w:tab w:val="decimal" w:pos="606"/>
              </w:tabs>
              <w:rPr>
                <w:b/>
                <w:sz w:val="20"/>
              </w:rPr>
            </w:pPr>
            <w:r w:rsidRPr="00866547">
              <w:rPr>
                <w:b/>
                <w:sz w:val="20"/>
              </w:rPr>
              <w:t>75</w:t>
            </w:r>
          </w:p>
        </w:tc>
        <w:tc>
          <w:tcPr>
            <w:tcW w:w="1390" w:type="dxa"/>
            <w:tcBorders>
              <w:top w:val="nil"/>
              <w:left w:val="single" w:sz="4" w:space="0" w:color="auto"/>
              <w:bottom w:val="single" w:sz="4" w:space="0" w:color="auto"/>
              <w:right w:val="nil"/>
            </w:tcBorders>
            <w:shd w:val="clear" w:color="auto" w:fill="auto"/>
            <w:noWrap/>
            <w:hideMark/>
          </w:tcPr>
          <w:p w14:paraId="5121E41C" w14:textId="77777777" w:rsidR="00CF2D46" w:rsidRPr="00866547" w:rsidRDefault="00CF2D46" w:rsidP="00070E30">
            <w:pPr>
              <w:pStyle w:val="TableText"/>
              <w:tabs>
                <w:tab w:val="decimal" w:pos="1077"/>
              </w:tabs>
              <w:rPr>
                <w:b/>
                <w:sz w:val="20"/>
              </w:rPr>
            </w:pPr>
            <w:r w:rsidRPr="00866547">
              <w:rPr>
                <w:b/>
                <w:sz w:val="20"/>
              </w:rPr>
              <w:t>296,122,500</w:t>
            </w:r>
          </w:p>
        </w:tc>
        <w:tc>
          <w:tcPr>
            <w:tcW w:w="1391" w:type="dxa"/>
            <w:tcBorders>
              <w:top w:val="nil"/>
              <w:left w:val="nil"/>
              <w:bottom w:val="single" w:sz="4" w:space="0" w:color="auto"/>
              <w:right w:val="single" w:sz="4" w:space="0" w:color="auto"/>
            </w:tcBorders>
            <w:shd w:val="clear" w:color="auto" w:fill="auto"/>
            <w:noWrap/>
            <w:hideMark/>
          </w:tcPr>
          <w:p w14:paraId="1C38F90A" w14:textId="77777777" w:rsidR="00CF2D46" w:rsidRPr="00866547" w:rsidRDefault="00CF2D46" w:rsidP="00070E30">
            <w:pPr>
              <w:pStyle w:val="TableText"/>
              <w:tabs>
                <w:tab w:val="decimal" w:pos="1077"/>
              </w:tabs>
              <w:rPr>
                <w:b/>
                <w:sz w:val="20"/>
              </w:rPr>
            </w:pPr>
            <w:r w:rsidRPr="00866547">
              <w:rPr>
                <w:b/>
                <w:sz w:val="20"/>
              </w:rPr>
              <w:t>304,843,549</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0B6B991" w14:textId="77777777" w:rsidR="00CF2D46" w:rsidRPr="00866547" w:rsidRDefault="00CF2D46" w:rsidP="00070E30">
            <w:pPr>
              <w:pStyle w:val="TableText"/>
              <w:tabs>
                <w:tab w:val="decimal" w:pos="1021"/>
              </w:tabs>
              <w:rPr>
                <w:b/>
                <w:sz w:val="20"/>
              </w:rPr>
            </w:pPr>
            <w:r w:rsidRPr="00866547">
              <w:rPr>
                <w:b/>
                <w:sz w:val="20"/>
              </w:rPr>
              <w:t>600,966,049</w:t>
            </w:r>
          </w:p>
        </w:tc>
        <w:tc>
          <w:tcPr>
            <w:tcW w:w="1134" w:type="dxa"/>
            <w:tcBorders>
              <w:top w:val="single" w:sz="4" w:space="0" w:color="auto"/>
              <w:left w:val="single" w:sz="4" w:space="0" w:color="auto"/>
              <w:bottom w:val="single" w:sz="4" w:space="0" w:color="auto"/>
              <w:right w:val="single" w:sz="4" w:space="0" w:color="auto"/>
            </w:tcBorders>
          </w:tcPr>
          <w:p w14:paraId="0CF9CDB7" w14:textId="77777777" w:rsidR="00CF2D46" w:rsidRPr="00866547" w:rsidRDefault="00CF2D46" w:rsidP="00070E30">
            <w:pPr>
              <w:pStyle w:val="TableText"/>
              <w:tabs>
                <w:tab w:val="decimal" w:pos="766"/>
              </w:tabs>
              <w:rPr>
                <w:b/>
                <w:sz w:val="20"/>
              </w:rPr>
            </w:pPr>
            <w:r w:rsidRPr="00866547">
              <w:rPr>
                <w:b/>
                <w:sz w:val="20"/>
              </w:rPr>
              <w:t>29,889</w:t>
            </w:r>
          </w:p>
        </w:tc>
        <w:tc>
          <w:tcPr>
            <w:tcW w:w="992" w:type="dxa"/>
            <w:tcBorders>
              <w:top w:val="single" w:sz="4" w:space="0" w:color="auto"/>
              <w:left w:val="single" w:sz="4" w:space="0" w:color="auto"/>
              <w:bottom w:val="single" w:sz="4" w:space="0" w:color="auto"/>
              <w:right w:val="single" w:sz="4" w:space="0" w:color="auto"/>
            </w:tcBorders>
          </w:tcPr>
          <w:p w14:paraId="66559761" w14:textId="77777777" w:rsidR="00CF2D46" w:rsidRPr="00866547" w:rsidRDefault="00CF2D46" w:rsidP="00070E30">
            <w:pPr>
              <w:pStyle w:val="TableText"/>
              <w:tabs>
                <w:tab w:val="decimal" w:pos="709"/>
              </w:tabs>
              <w:rPr>
                <w:b/>
                <w:sz w:val="20"/>
              </w:rPr>
            </w:pPr>
            <w:r w:rsidRPr="00866547">
              <w:rPr>
                <w:b/>
                <w:sz w:val="20"/>
              </w:rPr>
              <w:t>20,107</w:t>
            </w:r>
          </w:p>
        </w:tc>
      </w:tr>
    </w:tbl>
    <w:p w14:paraId="3CFAD689" w14:textId="77777777" w:rsidR="00CF2D46" w:rsidRDefault="00CF2D46" w:rsidP="008A6B2A">
      <w:pPr>
        <w:pStyle w:val="Heading2"/>
      </w:pPr>
      <w:bookmarkStart w:id="58" w:name="_Toc444941811"/>
      <w:r w:rsidRPr="00033F6F">
        <w:t xml:space="preserve">Community </w:t>
      </w:r>
      <w:r>
        <w:t>h</w:t>
      </w:r>
      <w:r w:rsidRPr="00033F6F">
        <w:t>arms</w:t>
      </w:r>
      <w:bookmarkEnd w:id="58"/>
    </w:p>
    <w:p w14:paraId="7E050C20" w14:textId="77777777" w:rsidR="00CF2D46" w:rsidRDefault="008A6B2A" w:rsidP="008A6B2A">
      <w:pPr>
        <w:pStyle w:val="Heading3"/>
      </w:pPr>
      <w:r>
        <w:t>(a)</w:t>
      </w:r>
      <w:r>
        <w:tab/>
      </w:r>
      <w:r w:rsidR="00CF2D46" w:rsidRPr="00005174">
        <w:t>Harm to family and friend</w:t>
      </w:r>
      <w:r w:rsidR="00CF2D46">
        <w:t>s</w:t>
      </w:r>
    </w:p>
    <w:p w14:paraId="22AF16F8" w14:textId="77777777" w:rsidR="00CF2D46" w:rsidRDefault="00CF2D46" w:rsidP="008A6B2A">
      <w:proofErr w:type="spellStart"/>
      <w:r>
        <w:t>Melberg</w:t>
      </w:r>
      <w:proofErr w:type="spellEnd"/>
      <w:r>
        <w:t xml:space="preserve"> et al (2011</w:t>
      </w:r>
      <w:r w:rsidRPr="00D7780D">
        <w:t>) conducted research into the harms suffered by family and friends of drug users. His report suggested that approximately 50% of the public knew socially</w:t>
      </w:r>
      <w:r>
        <w:t>,</w:t>
      </w:r>
      <w:r w:rsidRPr="00D7780D">
        <w:t xml:space="preserve"> or were related to</w:t>
      </w:r>
      <w:r>
        <w:t>,</w:t>
      </w:r>
      <w:r w:rsidRPr="00D7780D">
        <w:t xml:space="preserve"> a drug user (i.e. family and friends). </w:t>
      </w:r>
      <w:r>
        <w:t>Furthermore, 14% of the f</w:t>
      </w:r>
      <w:r w:rsidRPr="00D7780D">
        <w:t>amily and friends of drug users were willing to spend between 500</w:t>
      </w:r>
      <w:r>
        <w:t xml:space="preserve"> and </w:t>
      </w:r>
      <w:r w:rsidRPr="00D7780D">
        <w:t>13,000 euros to treat the drug user.</w:t>
      </w:r>
      <w:r>
        <w:t xml:space="preserve"> Willingness-to-pay is assumed to be equivalent to the value of the harm suffered by family and friends. Total harm was distributed across drug groups by the number of dependent users.</w:t>
      </w:r>
    </w:p>
    <w:p w14:paraId="3210FEF0" w14:textId="77777777" w:rsidR="00CF2D46" w:rsidRDefault="00CF2D46" w:rsidP="008A6B2A">
      <w:r>
        <w:t>In the absence of any similar data from New Zealand these amounts adjusted to 2014 values were applied to the New Zealand population</w:t>
      </w:r>
      <w:r w:rsidRPr="00246E1A">
        <w:t>. The amount an individual was willing to pay was set at 500 euros, the lower end of the range</w:t>
      </w:r>
      <w:r>
        <w:t>.</w:t>
      </w:r>
    </w:p>
    <w:p w14:paraId="511104AB" w14:textId="77777777" w:rsidR="00CF2D46" w:rsidRDefault="00CF2D46" w:rsidP="008A6B2A">
      <w:pPr>
        <w:pStyle w:val="Bullet"/>
      </w:pPr>
      <w:r>
        <w:t>The 2010 exchange rate of New Zealand dollars to euros was approximately 2.</w:t>
      </w:r>
    </w:p>
    <w:p w14:paraId="14ECF8E7" w14:textId="77777777" w:rsidR="00CF2D46" w:rsidRDefault="00CF2D46" w:rsidP="008A6B2A">
      <w:pPr>
        <w:pStyle w:val="Bullet"/>
      </w:pPr>
      <w:r>
        <w:t>Therefore 500 euros converts to $1,000.</w:t>
      </w:r>
    </w:p>
    <w:p w14:paraId="62157528" w14:textId="77777777" w:rsidR="00CF2D46" w:rsidRDefault="00CF2D46" w:rsidP="008A6B2A">
      <w:pPr>
        <w:pStyle w:val="Bullet"/>
      </w:pPr>
      <w:r>
        <w:t>The increase in CPI in New Zealand was 5.8% from 2010 to 2014.</w:t>
      </w:r>
    </w:p>
    <w:p w14:paraId="6C3C650F" w14:textId="77777777" w:rsidR="00CF2D46" w:rsidRDefault="00CF2D46" w:rsidP="008A6B2A">
      <w:pPr>
        <w:pStyle w:val="Bullet"/>
      </w:pPr>
      <w:r>
        <w:t>The current value calculated at $1,058 was rounded to $1,060 for these calculations.</w:t>
      </w:r>
    </w:p>
    <w:p w14:paraId="63FDCF02" w14:textId="77777777" w:rsidR="00CF2D46" w:rsidRDefault="00CF2D46" w:rsidP="008A6B2A">
      <w:pPr>
        <w:pStyle w:val="Bullet"/>
      </w:pPr>
      <w:r>
        <w:t>The estimated n</w:t>
      </w:r>
      <w:r w:rsidRPr="00CF017E">
        <w:t>umber of family and friends</w:t>
      </w:r>
      <w:r>
        <w:t xml:space="preserve"> in 2014 was </w:t>
      </w:r>
      <w:r w:rsidRPr="00CF017E">
        <w:t>412,748</w:t>
      </w:r>
      <w:r>
        <w:t>.</w:t>
      </w:r>
    </w:p>
    <w:p w14:paraId="1AFB628F" w14:textId="77777777" w:rsidR="00CF2D46" w:rsidRDefault="00CF2D46" w:rsidP="008A6B2A">
      <w:pPr>
        <w:pStyle w:val="Bullet"/>
        <w:spacing w:after="240"/>
      </w:pPr>
      <w:r w:rsidRPr="00CF017E">
        <w:t xml:space="preserve">Total </w:t>
      </w:r>
      <w:r>
        <w:t>willingness-to-pay was estimated at $437,512,880.</w:t>
      </w:r>
    </w:p>
    <w:tbl>
      <w:tblPr>
        <w:tblW w:w="0" w:type="auto"/>
        <w:tblInd w:w="108" w:type="dxa"/>
        <w:tblLayout w:type="fixed"/>
        <w:tblLook w:val="04A0" w:firstRow="1" w:lastRow="0" w:firstColumn="1" w:lastColumn="0" w:noHBand="0" w:noVBand="1"/>
      </w:tblPr>
      <w:tblGrid>
        <w:gridCol w:w="3402"/>
        <w:gridCol w:w="1890"/>
        <w:gridCol w:w="1890"/>
        <w:gridCol w:w="1890"/>
      </w:tblGrid>
      <w:tr w:rsidR="00CF2D46" w:rsidRPr="00EA3AF8" w14:paraId="0F51B905" w14:textId="77777777" w:rsidTr="00EA3AF8">
        <w:trPr>
          <w:cantSplit/>
        </w:trPr>
        <w:tc>
          <w:tcPr>
            <w:tcW w:w="3402" w:type="dxa"/>
            <w:tcBorders>
              <w:top w:val="single" w:sz="4" w:space="0" w:color="auto"/>
              <w:left w:val="single" w:sz="4" w:space="0" w:color="auto"/>
              <w:bottom w:val="single" w:sz="4" w:space="0" w:color="auto"/>
              <w:right w:val="nil"/>
            </w:tcBorders>
            <w:shd w:val="clear" w:color="auto" w:fill="auto"/>
            <w:hideMark/>
          </w:tcPr>
          <w:p w14:paraId="3900D1D4" w14:textId="77777777" w:rsidR="00CF2D46" w:rsidRPr="00EA3AF8" w:rsidRDefault="00CF2D46" w:rsidP="00EA3AF8">
            <w:pPr>
              <w:pStyle w:val="TableText"/>
              <w:rPr>
                <w:b/>
              </w:rPr>
            </w:pPr>
            <w:r w:rsidRPr="00EA3AF8">
              <w:rPr>
                <w:b/>
              </w:rPr>
              <w:t>Drug type</w:t>
            </w:r>
          </w:p>
        </w:tc>
        <w:tc>
          <w:tcPr>
            <w:tcW w:w="1890" w:type="dxa"/>
            <w:tcBorders>
              <w:top w:val="single" w:sz="4" w:space="0" w:color="auto"/>
              <w:left w:val="nil"/>
              <w:bottom w:val="single" w:sz="4" w:space="0" w:color="auto"/>
              <w:right w:val="nil"/>
            </w:tcBorders>
            <w:shd w:val="clear" w:color="auto" w:fill="auto"/>
            <w:hideMark/>
          </w:tcPr>
          <w:p w14:paraId="6F7E8F99" w14:textId="77777777" w:rsidR="00CF2D46" w:rsidRPr="00EA3AF8" w:rsidRDefault="00CF2D46" w:rsidP="00EA3AF8">
            <w:pPr>
              <w:pStyle w:val="TableText"/>
              <w:jc w:val="center"/>
              <w:rPr>
                <w:b/>
              </w:rPr>
            </w:pPr>
            <w:r w:rsidRPr="00EA3AF8">
              <w:rPr>
                <w:b/>
              </w:rPr>
              <w:t>Dependent</w:t>
            </w:r>
            <w:r w:rsidR="00EA3AF8">
              <w:rPr>
                <w:b/>
              </w:rPr>
              <w:br/>
            </w:r>
            <w:r w:rsidRPr="00EA3AF8">
              <w:rPr>
                <w:b/>
              </w:rPr>
              <w:t>users</w:t>
            </w:r>
          </w:p>
        </w:tc>
        <w:tc>
          <w:tcPr>
            <w:tcW w:w="1890" w:type="dxa"/>
            <w:tcBorders>
              <w:top w:val="single" w:sz="4" w:space="0" w:color="auto"/>
              <w:left w:val="nil"/>
              <w:bottom w:val="single" w:sz="4" w:space="0" w:color="auto"/>
              <w:right w:val="nil"/>
            </w:tcBorders>
            <w:shd w:val="clear" w:color="auto" w:fill="auto"/>
            <w:hideMark/>
          </w:tcPr>
          <w:p w14:paraId="6557DBC3" w14:textId="77777777" w:rsidR="00CF2D46" w:rsidRPr="00EA3AF8" w:rsidRDefault="00CF2D46" w:rsidP="00EA3AF8">
            <w:pPr>
              <w:pStyle w:val="TableText"/>
              <w:jc w:val="center"/>
              <w:rPr>
                <w:b/>
              </w:rPr>
            </w:pPr>
            <w:r w:rsidRPr="00EA3AF8">
              <w:rPr>
                <w:b/>
              </w:rPr>
              <w:t>Estimated family and friends</w:t>
            </w:r>
          </w:p>
        </w:tc>
        <w:tc>
          <w:tcPr>
            <w:tcW w:w="1890" w:type="dxa"/>
            <w:tcBorders>
              <w:top w:val="single" w:sz="4" w:space="0" w:color="auto"/>
              <w:left w:val="nil"/>
              <w:bottom w:val="single" w:sz="4" w:space="0" w:color="auto"/>
              <w:right w:val="single" w:sz="4" w:space="0" w:color="auto"/>
            </w:tcBorders>
            <w:shd w:val="clear" w:color="auto" w:fill="auto"/>
            <w:hideMark/>
          </w:tcPr>
          <w:p w14:paraId="7696B95A" w14:textId="77777777" w:rsidR="00CF2D46" w:rsidRPr="00EA3AF8" w:rsidRDefault="00CF2D46" w:rsidP="00EA3AF8">
            <w:pPr>
              <w:pStyle w:val="TableText"/>
              <w:jc w:val="center"/>
              <w:rPr>
                <w:b/>
              </w:rPr>
            </w:pPr>
            <w:r w:rsidRPr="00EA3AF8">
              <w:rPr>
                <w:b/>
              </w:rPr>
              <w:t>Estimated harm ($)</w:t>
            </w:r>
          </w:p>
        </w:tc>
      </w:tr>
      <w:tr w:rsidR="00CF2D46" w:rsidRPr="00B5711D" w14:paraId="462B11C9" w14:textId="77777777" w:rsidTr="00EA3AF8">
        <w:trPr>
          <w:cantSplit/>
        </w:trPr>
        <w:tc>
          <w:tcPr>
            <w:tcW w:w="3402" w:type="dxa"/>
            <w:tcBorders>
              <w:top w:val="nil"/>
              <w:left w:val="single" w:sz="4" w:space="0" w:color="auto"/>
              <w:bottom w:val="nil"/>
              <w:right w:val="nil"/>
            </w:tcBorders>
            <w:shd w:val="clear" w:color="auto" w:fill="auto"/>
            <w:noWrap/>
            <w:hideMark/>
          </w:tcPr>
          <w:p w14:paraId="4D33AA17" w14:textId="6E6427ED" w:rsidR="00CF2D46" w:rsidRPr="00990768" w:rsidRDefault="00CF2D46">
            <w:pPr>
              <w:pStyle w:val="TableText"/>
            </w:pPr>
            <w:r w:rsidRPr="005D59D9">
              <w:t>Amphetamine</w:t>
            </w:r>
            <w:r w:rsidR="00FB17C9">
              <w:t>-</w:t>
            </w:r>
            <w:r w:rsidRPr="005D59D9">
              <w:t>type stimulants</w:t>
            </w:r>
          </w:p>
        </w:tc>
        <w:tc>
          <w:tcPr>
            <w:tcW w:w="1890" w:type="dxa"/>
            <w:tcBorders>
              <w:top w:val="nil"/>
              <w:left w:val="nil"/>
              <w:bottom w:val="nil"/>
              <w:right w:val="nil"/>
            </w:tcBorders>
            <w:shd w:val="clear" w:color="auto" w:fill="auto"/>
            <w:noWrap/>
            <w:hideMark/>
          </w:tcPr>
          <w:p w14:paraId="521113D0" w14:textId="77777777" w:rsidR="00CF2D46" w:rsidRPr="00990768" w:rsidRDefault="00CF2D46" w:rsidP="00EA3AF8">
            <w:pPr>
              <w:pStyle w:val="TableText"/>
              <w:tabs>
                <w:tab w:val="decimal" w:pos="1168"/>
              </w:tabs>
            </w:pPr>
            <w:r w:rsidRPr="00990768">
              <w:t>1,392</w:t>
            </w:r>
          </w:p>
        </w:tc>
        <w:tc>
          <w:tcPr>
            <w:tcW w:w="1890" w:type="dxa"/>
            <w:tcBorders>
              <w:top w:val="nil"/>
              <w:left w:val="nil"/>
              <w:bottom w:val="nil"/>
              <w:right w:val="nil"/>
            </w:tcBorders>
            <w:shd w:val="clear" w:color="auto" w:fill="auto"/>
            <w:noWrap/>
            <w:hideMark/>
          </w:tcPr>
          <w:p w14:paraId="7431FC22" w14:textId="77777777" w:rsidR="00CF2D46" w:rsidRPr="00990768" w:rsidRDefault="00CF2D46" w:rsidP="00EA3AF8">
            <w:pPr>
              <w:pStyle w:val="TableText"/>
              <w:tabs>
                <w:tab w:val="decimal" w:pos="1121"/>
              </w:tabs>
            </w:pPr>
            <w:r w:rsidRPr="00990768">
              <w:t>19,218.28</w:t>
            </w:r>
          </w:p>
        </w:tc>
        <w:tc>
          <w:tcPr>
            <w:tcW w:w="1890" w:type="dxa"/>
            <w:tcBorders>
              <w:top w:val="nil"/>
              <w:left w:val="nil"/>
              <w:bottom w:val="nil"/>
              <w:right w:val="single" w:sz="4" w:space="0" w:color="auto"/>
            </w:tcBorders>
            <w:shd w:val="clear" w:color="auto" w:fill="auto"/>
            <w:noWrap/>
            <w:hideMark/>
          </w:tcPr>
          <w:p w14:paraId="3CA2A1EF" w14:textId="77777777" w:rsidR="00CF2D46" w:rsidRPr="00990768" w:rsidRDefault="00CF2D46" w:rsidP="00EA3AF8">
            <w:pPr>
              <w:pStyle w:val="TableText"/>
              <w:tabs>
                <w:tab w:val="decimal" w:pos="1357"/>
              </w:tabs>
            </w:pPr>
            <w:r w:rsidRPr="00990768">
              <w:t>20,371,376</w:t>
            </w:r>
          </w:p>
        </w:tc>
      </w:tr>
      <w:tr w:rsidR="00CF2D46" w:rsidRPr="00B5711D" w14:paraId="7DA17E77" w14:textId="77777777" w:rsidTr="00EA3AF8">
        <w:trPr>
          <w:cantSplit/>
        </w:trPr>
        <w:tc>
          <w:tcPr>
            <w:tcW w:w="3402" w:type="dxa"/>
            <w:tcBorders>
              <w:top w:val="nil"/>
              <w:left w:val="single" w:sz="4" w:space="0" w:color="auto"/>
              <w:bottom w:val="nil"/>
              <w:right w:val="nil"/>
            </w:tcBorders>
            <w:shd w:val="clear" w:color="auto" w:fill="auto"/>
            <w:noWrap/>
            <w:hideMark/>
          </w:tcPr>
          <w:p w14:paraId="7D561C30" w14:textId="77777777" w:rsidR="00CF2D46" w:rsidRPr="00990768" w:rsidRDefault="00CF2D46" w:rsidP="00EA3AF8">
            <w:pPr>
              <w:pStyle w:val="TableText"/>
            </w:pPr>
            <w:r w:rsidRPr="005D59D9">
              <w:t>Cannabinoids</w:t>
            </w:r>
          </w:p>
        </w:tc>
        <w:tc>
          <w:tcPr>
            <w:tcW w:w="1890" w:type="dxa"/>
            <w:tcBorders>
              <w:top w:val="nil"/>
              <w:left w:val="nil"/>
              <w:bottom w:val="nil"/>
              <w:right w:val="nil"/>
            </w:tcBorders>
            <w:shd w:val="clear" w:color="auto" w:fill="auto"/>
            <w:noWrap/>
            <w:hideMark/>
          </w:tcPr>
          <w:p w14:paraId="6B846B46" w14:textId="77777777" w:rsidR="00CF2D46" w:rsidRPr="00990768" w:rsidRDefault="00CF2D46" w:rsidP="00EA3AF8">
            <w:pPr>
              <w:pStyle w:val="TableText"/>
              <w:tabs>
                <w:tab w:val="decimal" w:pos="1168"/>
              </w:tabs>
            </w:pPr>
            <w:r w:rsidRPr="00990768">
              <w:t>26,022</w:t>
            </w:r>
          </w:p>
        </w:tc>
        <w:tc>
          <w:tcPr>
            <w:tcW w:w="1890" w:type="dxa"/>
            <w:tcBorders>
              <w:top w:val="nil"/>
              <w:left w:val="nil"/>
              <w:bottom w:val="nil"/>
              <w:right w:val="nil"/>
            </w:tcBorders>
            <w:shd w:val="clear" w:color="auto" w:fill="auto"/>
            <w:noWrap/>
            <w:hideMark/>
          </w:tcPr>
          <w:p w14:paraId="521456C9" w14:textId="77777777" w:rsidR="00CF2D46" w:rsidRPr="00990768" w:rsidRDefault="00CF2D46" w:rsidP="00EA3AF8">
            <w:pPr>
              <w:pStyle w:val="TableText"/>
              <w:tabs>
                <w:tab w:val="decimal" w:pos="1121"/>
              </w:tabs>
            </w:pPr>
            <w:r w:rsidRPr="00990768">
              <w:t>359,351.08</w:t>
            </w:r>
          </w:p>
        </w:tc>
        <w:tc>
          <w:tcPr>
            <w:tcW w:w="1890" w:type="dxa"/>
            <w:tcBorders>
              <w:top w:val="nil"/>
              <w:left w:val="nil"/>
              <w:bottom w:val="nil"/>
              <w:right w:val="single" w:sz="4" w:space="0" w:color="auto"/>
            </w:tcBorders>
            <w:shd w:val="clear" w:color="auto" w:fill="auto"/>
            <w:noWrap/>
            <w:hideMark/>
          </w:tcPr>
          <w:p w14:paraId="71524EAF" w14:textId="77777777" w:rsidR="00CF2D46" w:rsidRPr="00990768" w:rsidRDefault="00CF2D46" w:rsidP="00EA3AF8">
            <w:pPr>
              <w:pStyle w:val="TableText"/>
              <w:tabs>
                <w:tab w:val="decimal" w:pos="1357"/>
              </w:tabs>
            </w:pPr>
            <w:r w:rsidRPr="00990768">
              <w:t>380,912,147</w:t>
            </w:r>
          </w:p>
        </w:tc>
      </w:tr>
      <w:tr w:rsidR="00CF2D46" w:rsidRPr="00B5711D" w14:paraId="40CC250D" w14:textId="77777777" w:rsidTr="00EA3AF8">
        <w:trPr>
          <w:cantSplit/>
        </w:trPr>
        <w:tc>
          <w:tcPr>
            <w:tcW w:w="3402" w:type="dxa"/>
            <w:tcBorders>
              <w:top w:val="nil"/>
              <w:left w:val="single" w:sz="4" w:space="0" w:color="auto"/>
              <w:bottom w:val="nil"/>
              <w:right w:val="nil"/>
            </w:tcBorders>
            <w:shd w:val="clear" w:color="auto" w:fill="auto"/>
            <w:noWrap/>
            <w:hideMark/>
          </w:tcPr>
          <w:p w14:paraId="377D94D7" w14:textId="135C9348" w:rsidR="00CF2D46" w:rsidRPr="00990768" w:rsidRDefault="00CF2D46">
            <w:pPr>
              <w:pStyle w:val="TableText"/>
            </w:pPr>
            <w:r>
              <w:t xml:space="preserve">Hallucinogenic </w:t>
            </w:r>
            <w:r w:rsidR="00EA3AF8">
              <w:t>and</w:t>
            </w:r>
            <w:r>
              <w:t xml:space="preserve"> psychedelic</w:t>
            </w:r>
          </w:p>
        </w:tc>
        <w:tc>
          <w:tcPr>
            <w:tcW w:w="1890" w:type="dxa"/>
            <w:tcBorders>
              <w:top w:val="nil"/>
              <w:left w:val="nil"/>
              <w:bottom w:val="nil"/>
              <w:right w:val="nil"/>
            </w:tcBorders>
            <w:shd w:val="clear" w:color="auto" w:fill="auto"/>
            <w:noWrap/>
            <w:hideMark/>
          </w:tcPr>
          <w:p w14:paraId="67C3CE73" w14:textId="77777777" w:rsidR="00CF2D46" w:rsidRPr="00990768" w:rsidRDefault="00CF2D46" w:rsidP="00EA3AF8">
            <w:pPr>
              <w:pStyle w:val="TableText"/>
              <w:tabs>
                <w:tab w:val="decimal" w:pos="1168"/>
              </w:tabs>
            </w:pPr>
            <w:r w:rsidRPr="00990768">
              <w:t>450</w:t>
            </w:r>
          </w:p>
        </w:tc>
        <w:tc>
          <w:tcPr>
            <w:tcW w:w="1890" w:type="dxa"/>
            <w:tcBorders>
              <w:top w:val="nil"/>
              <w:left w:val="nil"/>
              <w:bottom w:val="nil"/>
              <w:right w:val="nil"/>
            </w:tcBorders>
            <w:shd w:val="clear" w:color="auto" w:fill="auto"/>
            <w:noWrap/>
            <w:hideMark/>
          </w:tcPr>
          <w:p w14:paraId="5DD40384" w14:textId="77777777" w:rsidR="00CF2D46" w:rsidRPr="00990768" w:rsidRDefault="00CF2D46" w:rsidP="00EA3AF8">
            <w:pPr>
              <w:pStyle w:val="TableText"/>
              <w:tabs>
                <w:tab w:val="decimal" w:pos="1121"/>
              </w:tabs>
            </w:pPr>
            <w:r w:rsidRPr="00990768">
              <w:t>6,217.68</w:t>
            </w:r>
          </w:p>
        </w:tc>
        <w:tc>
          <w:tcPr>
            <w:tcW w:w="1890" w:type="dxa"/>
            <w:tcBorders>
              <w:top w:val="nil"/>
              <w:left w:val="nil"/>
              <w:bottom w:val="nil"/>
              <w:right w:val="single" w:sz="4" w:space="0" w:color="auto"/>
            </w:tcBorders>
            <w:shd w:val="clear" w:color="auto" w:fill="auto"/>
            <w:noWrap/>
            <w:hideMark/>
          </w:tcPr>
          <w:p w14:paraId="2997D4D1" w14:textId="77777777" w:rsidR="00CF2D46" w:rsidRPr="00990768" w:rsidRDefault="00CF2D46" w:rsidP="00EA3AF8">
            <w:pPr>
              <w:pStyle w:val="TableText"/>
              <w:tabs>
                <w:tab w:val="decimal" w:pos="1357"/>
              </w:tabs>
            </w:pPr>
            <w:r w:rsidRPr="00990768">
              <w:t>6,590,739</w:t>
            </w:r>
          </w:p>
        </w:tc>
      </w:tr>
      <w:tr w:rsidR="00CF2D46" w:rsidRPr="00B5711D" w14:paraId="741D919D" w14:textId="77777777" w:rsidTr="00EA3AF8">
        <w:trPr>
          <w:cantSplit/>
        </w:trPr>
        <w:tc>
          <w:tcPr>
            <w:tcW w:w="3402" w:type="dxa"/>
            <w:tcBorders>
              <w:top w:val="nil"/>
              <w:left w:val="single" w:sz="4" w:space="0" w:color="auto"/>
              <w:bottom w:val="single" w:sz="4" w:space="0" w:color="auto"/>
              <w:right w:val="nil"/>
            </w:tcBorders>
            <w:shd w:val="clear" w:color="auto" w:fill="auto"/>
            <w:noWrap/>
            <w:hideMark/>
          </w:tcPr>
          <w:p w14:paraId="72B6365E" w14:textId="618ADF16" w:rsidR="00CF2D46" w:rsidRPr="00990768" w:rsidRDefault="00CF2D46">
            <w:pPr>
              <w:pStyle w:val="TableText"/>
            </w:pPr>
            <w:r>
              <w:t xml:space="preserve">Opioid </w:t>
            </w:r>
            <w:r w:rsidR="00EA3AF8">
              <w:t>and sedative</w:t>
            </w:r>
          </w:p>
        </w:tc>
        <w:tc>
          <w:tcPr>
            <w:tcW w:w="1890" w:type="dxa"/>
            <w:tcBorders>
              <w:top w:val="nil"/>
              <w:left w:val="nil"/>
              <w:bottom w:val="single" w:sz="4" w:space="0" w:color="auto"/>
              <w:right w:val="nil"/>
            </w:tcBorders>
            <w:shd w:val="clear" w:color="auto" w:fill="auto"/>
            <w:noWrap/>
            <w:hideMark/>
          </w:tcPr>
          <w:p w14:paraId="53509B66" w14:textId="77777777" w:rsidR="00CF2D46" w:rsidRPr="00990768" w:rsidRDefault="00CF2D46" w:rsidP="00EA3AF8">
            <w:pPr>
              <w:pStyle w:val="TableText"/>
              <w:tabs>
                <w:tab w:val="decimal" w:pos="1168"/>
              </w:tabs>
            </w:pPr>
            <w:r w:rsidRPr="00990768">
              <w:t>2,025</w:t>
            </w:r>
          </w:p>
        </w:tc>
        <w:tc>
          <w:tcPr>
            <w:tcW w:w="1890" w:type="dxa"/>
            <w:tcBorders>
              <w:top w:val="nil"/>
              <w:left w:val="nil"/>
              <w:bottom w:val="single" w:sz="4" w:space="0" w:color="auto"/>
              <w:right w:val="nil"/>
            </w:tcBorders>
            <w:shd w:val="clear" w:color="auto" w:fill="auto"/>
            <w:noWrap/>
            <w:hideMark/>
          </w:tcPr>
          <w:p w14:paraId="56667D95" w14:textId="77777777" w:rsidR="00CF2D46" w:rsidRPr="00990768" w:rsidRDefault="00CF2D46" w:rsidP="00EA3AF8">
            <w:pPr>
              <w:pStyle w:val="TableText"/>
              <w:tabs>
                <w:tab w:val="decimal" w:pos="1121"/>
              </w:tabs>
            </w:pPr>
            <w:r w:rsidRPr="00990768">
              <w:t>27,960.96</w:t>
            </w:r>
          </w:p>
        </w:tc>
        <w:tc>
          <w:tcPr>
            <w:tcW w:w="1890" w:type="dxa"/>
            <w:tcBorders>
              <w:top w:val="nil"/>
              <w:left w:val="nil"/>
              <w:bottom w:val="single" w:sz="4" w:space="0" w:color="auto"/>
              <w:right w:val="single" w:sz="4" w:space="0" w:color="auto"/>
            </w:tcBorders>
            <w:shd w:val="clear" w:color="auto" w:fill="auto"/>
            <w:noWrap/>
            <w:hideMark/>
          </w:tcPr>
          <w:p w14:paraId="34EC9BB0" w14:textId="77777777" w:rsidR="00CF2D46" w:rsidRPr="00990768" w:rsidRDefault="00CF2D46" w:rsidP="00EA3AF8">
            <w:pPr>
              <w:pStyle w:val="TableText"/>
              <w:tabs>
                <w:tab w:val="decimal" w:pos="1357"/>
              </w:tabs>
            </w:pPr>
            <w:r w:rsidRPr="00990768">
              <w:t>29,638,618</w:t>
            </w:r>
          </w:p>
        </w:tc>
      </w:tr>
      <w:tr w:rsidR="00CF2D46" w:rsidRPr="00EA3AF8" w14:paraId="6A8A9031" w14:textId="77777777" w:rsidTr="00EA3AF8">
        <w:trPr>
          <w:cantSplit/>
        </w:trPr>
        <w:tc>
          <w:tcPr>
            <w:tcW w:w="3402" w:type="dxa"/>
            <w:tcBorders>
              <w:top w:val="nil"/>
              <w:left w:val="single" w:sz="4" w:space="0" w:color="auto"/>
              <w:bottom w:val="single" w:sz="4" w:space="0" w:color="auto"/>
              <w:right w:val="nil"/>
            </w:tcBorders>
            <w:shd w:val="clear" w:color="auto" w:fill="auto"/>
            <w:noWrap/>
            <w:hideMark/>
          </w:tcPr>
          <w:p w14:paraId="2D683CB5" w14:textId="77777777" w:rsidR="00CF2D46" w:rsidRPr="00EA3AF8" w:rsidRDefault="00CF2D46" w:rsidP="00EA3AF8">
            <w:pPr>
              <w:pStyle w:val="TableText"/>
              <w:ind w:right="142"/>
              <w:jc w:val="right"/>
              <w:rPr>
                <w:b/>
              </w:rPr>
            </w:pPr>
            <w:r w:rsidRPr="00EA3AF8">
              <w:rPr>
                <w:b/>
              </w:rPr>
              <w:t>Total</w:t>
            </w:r>
          </w:p>
        </w:tc>
        <w:tc>
          <w:tcPr>
            <w:tcW w:w="1890" w:type="dxa"/>
            <w:tcBorders>
              <w:top w:val="nil"/>
              <w:left w:val="nil"/>
              <w:bottom w:val="single" w:sz="4" w:space="0" w:color="auto"/>
              <w:right w:val="nil"/>
            </w:tcBorders>
            <w:shd w:val="clear" w:color="auto" w:fill="auto"/>
            <w:noWrap/>
            <w:hideMark/>
          </w:tcPr>
          <w:p w14:paraId="12EDAB39" w14:textId="77777777" w:rsidR="00CF2D46" w:rsidRPr="00EA3AF8" w:rsidRDefault="00CF2D46" w:rsidP="00EA3AF8">
            <w:pPr>
              <w:pStyle w:val="TableText"/>
              <w:tabs>
                <w:tab w:val="decimal" w:pos="1168"/>
              </w:tabs>
              <w:rPr>
                <w:b/>
              </w:rPr>
            </w:pPr>
            <w:r w:rsidRPr="00EA3AF8">
              <w:rPr>
                <w:b/>
              </w:rPr>
              <w:t>29,889</w:t>
            </w:r>
          </w:p>
        </w:tc>
        <w:tc>
          <w:tcPr>
            <w:tcW w:w="1890" w:type="dxa"/>
            <w:tcBorders>
              <w:top w:val="nil"/>
              <w:left w:val="nil"/>
              <w:bottom w:val="single" w:sz="4" w:space="0" w:color="auto"/>
              <w:right w:val="nil"/>
            </w:tcBorders>
            <w:shd w:val="clear" w:color="auto" w:fill="auto"/>
            <w:noWrap/>
            <w:hideMark/>
          </w:tcPr>
          <w:p w14:paraId="42CE576A" w14:textId="77777777" w:rsidR="00CF2D46" w:rsidRPr="00EA3AF8" w:rsidRDefault="00CF2D46" w:rsidP="00EA3AF8">
            <w:pPr>
              <w:pStyle w:val="TableText"/>
              <w:tabs>
                <w:tab w:val="decimal" w:pos="1121"/>
              </w:tabs>
              <w:rPr>
                <w:b/>
              </w:rPr>
            </w:pPr>
            <w:r w:rsidRPr="00EA3AF8">
              <w:rPr>
                <w:b/>
              </w:rPr>
              <w:t>412,748</w:t>
            </w:r>
          </w:p>
        </w:tc>
        <w:tc>
          <w:tcPr>
            <w:tcW w:w="1890" w:type="dxa"/>
            <w:tcBorders>
              <w:top w:val="nil"/>
              <w:left w:val="nil"/>
              <w:bottom w:val="single" w:sz="4" w:space="0" w:color="auto"/>
              <w:right w:val="single" w:sz="4" w:space="0" w:color="auto"/>
            </w:tcBorders>
            <w:shd w:val="clear" w:color="auto" w:fill="auto"/>
            <w:noWrap/>
            <w:hideMark/>
          </w:tcPr>
          <w:p w14:paraId="00FC4FB5" w14:textId="77777777" w:rsidR="00CF2D46" w:rsidRPr="00EA3AF8" w:rsidRDefault="00CF2D46" w:rsidP="00EA3AF8">
            <w:pPr>
              <w:pStyle w:val="TableText"/>
              <w:tabs>
                <w:tab w:val="decimal" w:pos="1357"/>
              </w:tabs>
              <w:rPr>
                <w:b/>
              </w:rPr>
            </w:pPr>
            <w:r w:rsidRPr="00EA3AF8">
              <w:rPr>
                <w:b/>
              </w:rPr>
              <w:t>437,512,880</w:t>
            </w:r>
          </w:p>
        </w:tc>
      </w:tr>
    </w:tbl>
    <w:p w14:paraId="60CAA5E8" w14:textId="77777777" w:rsidR="00CF2D46" w:rsidRDefault="008A6B2A" w:rsidP="008A6B2A">
      <w:pPr>
        <w:pStyle w:val="Heading3"/>
      </w:pPr>
      <w:r>
        <w:t>(b)</w:t>
      </w:r>
      <w:r>
        <w:tab/>
      </w:r>
      <w:r w:rsidR="00CF2D46">
        <w:t>Acquisitive crime</w:t>
      </w:r>
    </w:p>
    <w:p w14:paraId="594B8F1E" w14:textId="77777777" w:rsidR="00CF2D46" w:rsidRDefault="00CF2D46" w:rsidP="008A6B2A">
      <w:pPr>
        <w:spacing w:after="120"/>
      </w:pPr>
      <w:r>
        <w:t>Acquisitive crime was defined as either (a) unlawful entry with intent / burglary, break and enter, and (b) theft and related offences. According to the Statistics New Zealand website there were 53,265 reported cases of the former and 119,323 of the latter in 2014. Not all cases are reported. Multipliers provided by New Zealand Treasury (Roper &amp; Thompson, 2006) were used to estimate unreported cases of 63,918 and 564,398 respectively. The average cost of a burglary was $2,704 and theft $603 based on New Zealand Treasury estimates for 2006 adjusted to 2014 values. There has been considerable debate over the proportion of acquisitive crime that could be attributed to drugs. Using data from arrestees in 2014 the following table was generated.</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77"/>
        <w:gridCol w:w="2088"/>
        <w:gridCol w:w="1172"/>
        <w:gridCol w:w="945"/>
        <w:gridCol w:w="945"/>
        <w:gridCol w:w="945"/>
      </w:tblGrid>
      <w:tr w:rsidR="00CF2D46" w:rsidRPr="00973EF8" w14:paraId="04CD7BF4" w14:textId="77777777" w:rsidTr="00EA3AF8">
        <w:trPr>
          <w:cantSplit/>
        </w:trPr>
        <w:tc>
          <w:tcPr>
            <w:tcW w:w="2977" w:type="dxa"/>
            <w:tcBorders>
              <w:bottom w:val="single" w:sz="4" w:space="0" w:color="auto"/>
            </w:tcBorders>
            <w:shd w:val="clear" w:color="auto" w:fill="auto"/>
            <w:noWrap/>
            <w:hideMark/>
          </w:tcPr>
          <w:p w14:paraId="42BE69EF" w14:textId="77777777" w:rsidR="00CF2D46" w:rsidRPr="00990768" w:rsidRDefault="00CF2D46" w:rsidP="00EA3AF8">
            <w:pPr>
              <w:pStyle w:val="TableText"/>
            </w:pPr>
          </w:p>
        </w:tc>
        <w:tc>
          <w:tcPr>
            <w:tcW w:w="2088" w:type="dxa"/>
            <w:tcBorders>
              <w:bottom w:val="single" w:sz="4" w:space="0" w:color="auto"/>
            </w:tcBorders>
            <w:shd w:val="clear" w:color="auto" w:fill="auto"/>
            <w:noWrap/>
            <w:hideMark/>
          </w:tcPr>
          <w:p w14:paraId="1DF2CF37" w14:textId="77777777" w:rsidR="00CF2D46" w:rsidRPr="00EA3AF8" w:rsidRDefault="00CF2D46" w:rsidP="00EA3AF8">
            <w:pPr>
              <w:pStyle w:val="TableText"/>
              <w:jc w:val="center"/>
              <w:rPr>
                <w:rFonts w:ascii="Calibri" w:hAnsi="Calibri"/>
                <w:b/>
                <w:color w:val="000000"/>
              </w:rPr>
            </w:pPr>
            <w:r w:rsidRPr="00EA3AF8">
              <w:rPr>
                <w:rFonts w:ascii="Calibri" w:hAnsi="Calibri"/>
                <w:b/>
                <w:color w:val="000000"/>
              </w:rPr>
              <w:t>Methamphetamine</w:t>
            </w:r>
          </w:p>
        </w:tc>
        <w:tc>
          <w:tcPr>
            <w:tcW w:w="1172" w:type="dxa"/>
            <w:tcBorders>
              <w:bottom w:val="single" w:sz="4" w:space="0" w:color="auto"/>
            </w:tcBorders>
            <w:shd w:val="clear" w:color="auto" w:fill="auto"/>
            <w:noWrap/>
            <w:hideMark/>
          </w:tcPr>
          <w:p w14:paraId="07043F36" w14:textId="77777777" w:rsidR="00CF2D46" w:rsidRPr="00EA3AF8" w:rsidRDefault="00CF2D46" w:rsidP="00EA3AF8">
            <w:pPr>
              <w:pStyle w:val="TableText"/>
              <w:jc w:val="center"/>
              <w:rPr>
                <w:rFonts w:ascii="Calibri" w:hAnsi="Calibri"/>
                <w:b/>
                <w:color w:val="000000"/>
              </w:rPr>
            </w:pPr>
            <w:r w:rsidRPr="00EA3AF8">
              <w:rPr>
                <w:rFonts w:ascii="Calibri" w:hAnsi="Calibri"/>
                <w:b/>
                <w:color w:val="000000"/>
              </w:rPr>
              <w:t>Cannabis</w:t>
            </w:r>
          </w:p>
        </w:tc>
        <w:tc>
          <w:tcPr>
            <w:tcW w:w="945" w:type="dxa"/>
            <w:tcBorders>
              <w:bottom w:val="single" w:sz="4" w:space="0" w:color="auto"/>
            </w:tcBorders>
            <w:shd w:val="clear" w:color="auto" w:fill="auto"/>
            <w:noWrap/>
            <w:hideMark/>
          </w:tcPr>
          <w:p w14:paraId="48F9A002" w14:textId="77777777" w:rsidR="00CF2D46" w:rsidRPr="00EA3AF8" w:rsidRDefault="00CF2D46" w:rsidP="00EA3AF8">
            <w:pPr>
              <w:pStyle w:val="TableText"/>
              <w:jc w:val="center"/>
              <w:rPr>
                <w:rFonts w:ascii="Calibri" w:hAnsi="Calibri"/>
                <w:b/>
                <w:color w:val="000000"/>
              </w:rPr>
            </w:pPr>
            <w:r w:rsidRPr="00EA3AF8">
              <w:rPr>
                <w:rFonts w:ascii="Calibri" w:hAnsi="Calibri"/>
                <w:b/>
                <w:color w:val="000000"/>
              </w:rPr>
              <w:t>Ecstasy</w:t>
            </w:r>
          </w:p>
        </w:tc>
        <w:tc>
          <w:tcPr>
            <w:tcW w:w="945" w:type="dxa"/>
            <w:tcBorders>
              <w:bottom w:val="single" w:sz="4" w:space="0" w:color="auto"/>
            </w:tcBorders>
            <w:shd w:val="clear" w:color="auto" w:fill="auto"/>
            <w:noWrap/>
            <w:hideMark/>
          </w:tcPr>
          <w:p w14:paraId="2B7C38B5" w14:textId="77777777" w:rsidR="00CF2D46" w:rsidRPr="00EA3AF8" w:rsidRDefault="00CF2D46" w:rsidP="00EA3AF8">
            <w:pPr>
              <w:pStyle w:val="TableText"/>
              <w:jc w:val="center"/>
              <w:rPr>
                <w:rFonts w:ascii="Calibri" w:hAnsi="Calibri"/>
                <w:b/>
                <w:color w:val="000000"/>
              </w:rPr>
            </w:pPr>
            <w:r w:rsidRPr="00EA3AF8">
              <w:rPr>
                <w:rFonts w:ascii="Calibri" w:hAnsi="Calibri"/>
                <w:b/>
                <w:color w:val="000000"/>
              </w:rPr>
              <w:t>Opioids</w:t>
            </w:r>
          </w:p>
        </w:tc>
        <w:tc>
          <w:tcPr>
            <w:tcW w:w="945" w:type="dxa"/>
            <w:tcBorders>
              <w:bottom w:val="single" w:sz="4" w:space="0" w:color="auto"/>
            </w:tcBorders>
          </w:tcPr>
          <w:p w14:paraId="57983246" w14:textId="77777777" w:rsidR="00CF2D46" w:rsidRPr="00EA3AF8" w:rsidRDefault="00CF2D46" w:rsidP="00EA3AF8">
            <w:pPr>
              <w:pStyle w:val="TableText"/>
              <w:jc w:val="center"/>
              <w:rPr>
                <w:rFonts w:ascii="Calibri" w:hAnsi="Calibri"/>
                <w:b/>
                <w:color w:val="000000"/>
              </w:rPr>
            </w:pPr>
            <w:r w:rsidRPr="00EA3AF8">
              <w:rPr>
                <w:rFonts w:ascii="Calibri" w:hAnsi="Calibri"/>
                <w:b/>
                <w:color w:val="000000"/>
              </w:rPr>
              <w:t>Total</w:t>
            </w:r>
          </w:p>
        </w:tc>
      </w:tr>
      <w:tr w:rsidR="00CF2D46" w:rsidRPr="00973EF8" w14:paraId="07D71D88" w14:textId="77777777" w:rsidTr="00EA3AF8">
        <w:trPr>
          <w:cantSplit/>
        </w:trPr>
        <w:tc>
          <w:tcPr>
            <w:tcW w:w="2977" w:type="dxa"/>
            <w:tcBorders>
              <w:top w:val="single" w:sz="4" w:space="0" w:color="auto"/>
              <w:bottom w:val="nil"/>
            </w:tcBorders>
            <w:shd w:val="clear" w:color="auto" w:fill="auto"/>
            <w:noWrap/>
            <w:hideMark/>
          </w:tcPr>
          <w:p w14:paraId="5A18EEEB" w14:textId="77777777" w:rsidR="00CF2D46" w:rsidRPr="00990768" w:rsidRDefault="00CF2D46" w:rsidP="00EA3AF8">
            <w:pPr>
              <w:pStyle w:val="TableText"/>
              <w:rPr>
                <w:rFonts w:ascii="Calibri" w:hAnsi="Calibri"/>
                <w:color w:val="000000"/>
              </w:rPr>
            </w:pPr>
            <w:r w:rsidRPr="00990768">
              <w:rPr>
                <w:rFonts w:ascii="Calibri" w:hAnsi="Calibri"/>
                <w:color w:val="000000"/>
              </w:rPr>
              <w:t>% using in past 12 months</w:t>
            </w:r>
          </w:p>
        </w:tc>
        <w:tc>
          <w:tcPr>
            <w:tcW w:w="2088" w:type="dxa"/>
            <w:tcBorders>
              <w:top w:val="single" w:sz="4" w:space="0" w:color="auto"/>
              <w:bottom w:val="nil"/>
            </w:tcBorders>
            <w:shd w:val="clear" w:color="auto" w:fill="auto"/>
            <w:noWrap/>
            <w:hideMark/>
          </w:tcPr>
          <w:p w14:paraId="09929ED1" w14:textId="77777777" w:rsidR="00CF2D46" w:rsidRPr="00990768" w:rsidRDefault="00CF2D46" w:rsidP="00EA3AF8">
            <w:pPr>
              <w:pStyle w:val="TableText"/>
              <w:tabs>
                <w:tab w:val="decimal" w:pos="1078"/>
              </w:tabs>
              <w:rPr>
                <w:rFonts w:ascii="Calibri" w:hAnsi="Calibri"/>
                <w:color w:val="000000"/>
              </w:rPr>
            </w:pPr>
            <w:r w:rsidRPr="00990768">
              <w:rPr>
                <w:rFonts w:ascii="Calibri" w:hAnsi="Calibri"/>
                <w:color w:val="000000"/>
              </w:rPr>
              <w:t>30</w:t>
            </w:r>
          </w:p>
        </w:tc>
        <w:tc>
          <w:tcPr>
            <w:tcW w:w="1172" w:type="dxa"/>
            <w:tcBorders>
              <w:top w:val="single" w:sz="4" w:space="0" w:color="auto"/>
              <w:bottom w:val="nil"/>
            </w:tcBorders>
            <w:shd w:val="clear" w:color="auto" w:fill="auto"/>
            <w:noWrap/>
            <w:hideMark/>
          </w:tcPr>
          <w:p w14:paraId="58E36B8D" w14:textId="77777777" w:rsidR="00CF2D46" w:rsidRPr="00990768" w:rsidRDefault="00CF2D46" w:rsidP="00EA3AF8">
            <w:pPr>
              <w:pStyle w:val="TableText"/>
              <w:jc w:val="center"/>
              <w:rPr>
                <w:rFonts w:ascii="Calibri" w:hAnsi="Calibri"/>
                <w:color w:val="000000"/>
              </w:rPr>
            </w:pPr>
            <w:r w:rsidRPr="00990768">
              <w:rPr>
                <w:rFonts w:ascii="Calibri" w:hAnsi="Calibri"/>
                <w:color w:val="000000"/>
              </w:rPr>
              <w:t>68</w:t>
            </w:r>
          </w:p>
        </w:tc>
        <w:tc>
          <w:tcPr>
            <w:tcW w:w="945" w:type="dxa"/>
            <w:tcBorders>
              <w:top w:val="single" w:sz="4" w:space="0" w:color="auto"/>
              <w:bottom w:val="nil"/>
            </w:tcBorders>
            <w:shd w:val="clear" w:color="auto" w:fill="auto"/>
            <w:noWrap/>
            <w:hideMark/>
          </w:tcPr>
          <w:p w14:paraId="27A1DFD5" w14:textId="77777777" w:rsidR="00CF2D46" w:rsidRPr="00990768" w:rsidRDefault="00CF2D46" w:rsidP="00EA3AF8">
            <w:pPr>
              <w:pStyle w:val="TableText"/>
              <w:tabs>
                <w:tab w:val="decimal" w:pos="459"/>
              </w:tabs>
              <w:rPr>
                <w:rFonts w:ascii="Calibri" w:hAnsi="Calibri"/>
                <w:color w:val="000000"/>
              </w:rPr>
            </w:pPr>
            <w:r w:rsidRPr="00990768">
              <w:rPr>
                <w:rFonts w:ascii="Calibri" w:hAnsi="Calibri"/>
                <w:color w:val="000000"/>
              </w:rPr>
              <w:t>16</w:t>
            </w:r>
          </w:p>
        </w:tc>
        <w:tc>
          <w:tcPr>
            <w:tcW w:w="945" w:type="dxa"/>
            <w:tcBorders>
              <w:top w:val="single" w:sz="4" w:space="0" w:color="auto"/>
              <w:bottom w:val="nil"/>
            </w:tcBorders>
            <w:shd w:val="clear" w:color="auto" w:fill="auto"/>
            <w:noWrap/>
            <w:hideMark/>
          </w:tcPr>
          <w:p w14:paraId="0814BF88" w14:textId="77777777" w:rsidR="00CF2D46" w:rsidRPr="00990768" w:rsidRDefault="00CF2D46" w:rsidP="00EA3AF8">
            <w:pPr>
              <w:pStyle w:val="TableText"/>
              <w:tabs>
                <w:tab w:val="decimal" w:pos="459"/>
              </w:tabs>
              <w:rPr>
                <w:rFonts w:ascii="Calibri" w:hAnsi="Calibri"/>
                <w:color w:val="000000"/>
              </w:rPr>
            </w:pPr>
            <w:r w:rsidRPr="00990768">
              <w:rPr>
                <w:rFonts w:ascii="Calibri" w:hAnsi="Calibri"/>
                <w:color w:val="000000"/>
              </w:rPr>
              <w:t>47</w:t>
            </w:r>
          </w:p>
        </w:tc>
        <w:tc>
          <w:tcPr>
            <w:tcW w:w="945" w:type="dxa"/>
            <w:tcBorders>
              <w:top w:val="single" w:sz="4" w:space="0" w:color="auto"/>
              <w:bottom w:val="nil"/>
            </w:tcBorders>
          </w:tcPr>
          <w:p w14:paraId="1F046D05" w14:textId="77777777" w:rsidR="00CF2D46" w:rsidRPr="00D2357C" w:rsidRDefault="00CF2D46" w:rsidP="00EA3AF8">
            <w:pPr>
              <w:pStyle w:val="TableText"/>
              <w:tabs>
                <w:tab w:val="decimal" w:pos="554"/>
              </w:tabs>
              <w:rPr>
                <w:rFonts w:ascii="Calibri" w:hAnsi="Calibri"/>
                <w:b/>
                <w:color w:val="000000"/>
              </w:rPr>
            </w:pPr>
            <w:r w:rsidRPr="00D2357C">
              <w:rPr>
                <w:rFonts w:ascii="Calibri" w:hAnsi="Calibri"/>
                <w:b/>
                <w:color w:val="000000"/>
              </w:rPr>
              <w:t>161</w:t>
            </w:r>
          </w:p>
        </w:tc>
      </w:tr>
      <w:tr w:rsidR="00CF2D46" w:rsidRPr="00973EF8" w14:paraId="7A8D5159" w14:textId="77777777" w:rsidTr="00EA3AF8">
        <w:trPr>
          <w:cantSplit/>
        </w:trPr>
        <w:tc>
          <w:tcPr>
            <w:tcW w:w="2977" w:type="dxa"/>
            <w:tcBorders>
              <w:top w:val="nil"/>
              <w:bottom w:val="nil"/>
            </w:tcBorders>
            <w:shd w:val="clear" w:color="auto" w:fill="auto"/>
            <w:noWrap/>
            <w:hideMark/>
          </w:tcPr>
          <w:p w14:paraId="62948D2C" w14:textId="77777777" w:rsidR="00CF2D46" w:rsidRPr="00990768" w:rsidRDefault="00CF2D46" w:rsidP="00EA3AF8">
            <w:pPr>
              <w:pStyle w:val="TableText"/>
              <w:rPr>
                <w:rFonts w:ascii="Calibri" w:hAnsi="Calibri"/>
                <w:color w:val="000000"/>
              </w:rPr>
            </w:pPr>
            <w:r w:rsidRPr="00990768">
              <w:rPr>
                <w:rFonts w:ascii="Calibri" w:hAnsi="Calibri"/>
                <w:color w:val="000000"/>
              </w:rPr>
              <w:t>% of past-year user reporting dependent on drug</w:t>
            </w:r>
          </w:p>
        </w:tc>
        <w:tc>
          <w:tcPr>
            <w:tcW w:w="2088" w:type="dxa"/>
            <w:tcBorders>
              <w:top w:val="nil"/>
              <w:bottom w:val="nil"/>
            </w:tcBorders>
            <w:shd w:val="clear" w:color="auto" w:fill="auto"/>
            <w:noWrap/>
            <w:hideMark/>
          </w:tcPr>
          <w:p w14:paraId="77F8B59C" w14:textId="77777777" w:rsidR="00CF2D46" w:rsidRPr="00990768" w:rsidRDefault="00CF2D46" w:rsidP="00EA3AF8">
            <w:pPr>
              <w:pStyle w:val="TableText"/>
              <w:tabs>
                <w:tab w:val="decimal" w:pos="1078"/>
              </w:tabs>
              <w:rPr>
                <w:rFonts w:ascii="Calibri" w:hAnsi="Calibri"/>
                <w:color w:val="000000"/>
              </w:rPr>
            </w:pPr>
            <w:r w:rsidRPr="00990768">
              <w:rPr>
                <w:rFonts w:ascii="Calibri" w:hAnsi="Calibri"/>
                <w:color w:val="000000"/>
              </w:rPr>
              <w:t>37</w:t>
            </w:r>
          </w:p>
        </w:tc>
        <w:tc>
          <w:tcPr>
            <w:tcW w:w="1172" w:type="dxa"/>
            <w:tcBorders>
              <w:top w:val="nil"/>
              <w:bottom w:val="nil"/>
            </w:tcBorders>
            <w:shd w:val="clear" w:color="auto" w:fill="auto"/>
            <w:noWrap/>
            <w:hideMark/>
          </w:tcPr>
          <w:p w14:paraId="1B5C1FB4" w14:textId="77777777" w:rsidR="00CF2D46" w:rsidRPr="00990768" w:rsidRDefault="00CF2D46" w:rsidP="00EA3AF8">
            <w:pPr>
              <w:pStyle w:val="TableText"/>
              <w:jc w:val="center"/>
              <w:rPr>
                <w:rFonts w:ascii="Calibri" w:hAnsi="Calibri"/>
                <w:color w:val="000000"/>
              </w:rPr>
            </w:pPr>
            <w:r w:rsidRPr="00990768">
              <w:rPr>
                <w:rFonts w:ascii="Calibri" w:hAnsi="Calibri"/>
                <w:color w:val="000000"/>
              </w:rPr>
              <w:t>32</w:t>
            </w:r>
          </w:p>
        </w:tc>
        <w:tc>
          <w:tcPr>
            <w:tcW w:w="945" w:type="dxa"/>
            <w:tcBorders>
              <w:top w:val="nil"/>
              <w:bottom w:val="nil"/>
            </w:tcBorders>
            <w:shd w:val="clear" w:color="auto" w:fill="auto"/>
            <w:noWrap/>
            <w:hideMark/>
          </w:tcPr>
          <w:p w14:paraId="383903F3" w14:textId="77777777" w:rsidR="00CF2D46" w:rsidRPr="00990768" w:rsidRDefault="00CF2D46" w:rsidP="00EA3AF8">
            <w:pPr>
              <w:pStyle w:val="TableText"/>
              <w:tabs>
                <w:tab w:val="decimal" w:pos="459"/>
              </w:tabs>
              <w:rPr>
                <w:rFonts w:ascii="Calibri" w:hAnsi="Calibri"/>
                <w:color w:val="000000"/>
              </w:rPr>
            </w:pPr>
            <w:r w:rsidRPr="00990768">
              <w:rPr>
                <w:rFonts w:ascii="Calibri" w:hAnsi="Calibri"/>
                <w:color w:val="000000"/>
              </w:rPr>
              <w:t>4</w:t>
            </w:r>
          </w:p>
        </w:tc>
        <w:tc>
          <w:tcPr>
            <w:tcW w:w="945" w:type="dxa"/>
            <w:tcBorders>
              <w:top w:val="nil"/>
              <w:bottom w:val="nil"/>
            </w:tcBorders>
            <w:shd w:val="clear" w:color="auto" w:fill="auto"/>
            <w:noWrap/>
            <w:hideMark/>
          </w:tcPr>
          <w:p w14:paraId="7E5946A8" w14:textId="77777777" w:rsidR="00CF2D46" w:rsidRPr="00990768" w:rsidRDefault="00CF2D46" w:rsidP="00EA3AF8">
            <w:pPr>
              <w:pStyle w:val="TableText"/>
              <w:tabs>
                <w:tab w:val="decimal" w:pos="459"/>
              </w:tabs>
              <w:rPr>
                <w:rFonts w:ascii="Calibri" w:hAnsi="Calibri"/>
                <w:color w:val="000000"/>
              </w:rPr>
            </w:pPr>
            <w:r w:rsidRPr="00990768">
              <w:rPr>
                <w:rFonts w:ascii="Calibri" w:hAnsi="Calibri"/>
                <w:color w:val="000000"/>
              </w:rPr>
              <w:t>30</w:t>
            </w:r>
          </w:p>
        </w:tc>
        <w:tc>
          <w:tcPr>
            <w:tcW w:w="945" w:type="dxa"/>
            <w:tcBorders>
              <w:top w:val="nil"/>
              <w:bottom w:val="nil"/>
            </w:tcBorders>
          </w:tcPr>
          <w:p w14:paraId="41F8A2E0" w14:textId="77777777" w:rsidR="00CF2D46" w:rsidRPr="00D2357C" w:rsidRDefault="00CF2D46" w:rsidP="00EA3AF8">
            <w:pPr>
              <w:pStyle w:val="TableText"/>
              <w:tabs>
                <w:tab w:val="decimal" w:pos="554"/>
              </w:tabs>
              <w:rPr>
                <w:rFonts w:ascii="Calibri" w:hAnsi="Calibri"/>
                <w:b/>
                <w:color w:val="000000"/>
              </w:rPr>
            </w:pPr>
          </w:p>
        </w:tc>
      </w:tr>
      <w:tr w:rsidR="00CF2D46" w:rsidRPr="00973EF8" w14:paraId="6A4E4175" w14:textId="77777777" w:rsidTr="00EA3AF8">
        <w:trPr>
          <w:cantSplit/>
        </w:trPr>
        <w:tc>
          <w:tcPr>
            <w:tcW w:w="2977" w:type="dxa"/>
            <w:tcBorders>
              <w:top w:val="nil"/>
              <w:bottom w:val="single" w:sz="4" w:space="0" w:color="auto"/>
            </w:tcBorders>
            <w:shd w:val="clear" w:color="auto" w:fill="auto"/>
            <w:noWrap/>
            <w:hideMark/>
          </w:tcPr>
          <w:p w14:paraId="1A76CBB4" w14:textId="77777777" w:rsidR="00CF2D46" w:rsidRPr="00990768" w:rsidRDefault="00CF2D46" w:rsidP="00EA3AF8">
            <w:pPr>
              <w:pStyle w:val="TableText"/>
              <w:rPr>
                <w:rFonts w:ascii="Calibri" w:hAnsi="Calibri"/>
                <w:color w:val="000000"/>
              </w:rPr>
            </w:pPr>
            <w:r w:rsidRPr="00990768">
              <w:rPr>
                <w:rFonts w:ascii="Calibri" w:hAnsi="Calibri"/>
                <w:color w:val="000000"/>
              </w:rPr>
              <w:t>% fulfilling both of the above</w:t>
            </w:r>
          </w:p>
        </w:tc>
        <w:tc>
          <w:tcPr>
            <w:tcW w:w="2088" w:type="dxa"/>
            <w:tcBorders>
              <w:top w:val="nil"/>
              <w:bottom w:val="single" w:sz="4" w:space="0" w:color="auto"/>
            </w:tcBorders>
            <w:shd w:val="clear" w:color="auto" w:fill="auto"/>
            <w:noWrap/>
            <w:hideMark/>
          </w:tcPr>
          <w:p w14:paraId="5A718258" w14:textId="77777777" w:rsidR="00CF2D46" w:rsidRPr="00990768" w:rsidRDefault="00CF2D46" w:rsidP="00EA3AF8">
            <w:pPr>
              <w:pStyle w:val="TableText"/>
              <w:tabs>
                <w:tab w:val="decimal" w:pos="1078"/>
              </w:tabs>
              <w:rPr>
                <w:rFonts w:ascii="Calibri" w:hAnsi="Calibri"/>
                <w:color w:val="000000"/>
              </w:rPr>
            </w:pPr>
            <w:r w:rsidRPr="00990768">
              <w:rPr>
                <w:rFonts w:ascii="Calibri" w:hAnsi="Calibri"/>
                <w:color w:val="000000"/>
              </w:rPr>
              <w:t>11</w:t>
            </w:r>
          </w:p>
        </w:tc>
        <w:tc>
          <w:tcPr>
            <w:tcW w:w="1172" w:type="dxa"/>
            <w:tcBorders>
              <w:top w:val="nil"/>
              <w:bottom w:val="single" w:sz="4" w:space="0" w:color="auto"/>
            </w:tcBorders>
            <w:shd w:val="clear" w:color="auto" w:fill="auto"/>
            <w:noWrap/>
            <w:hideMark/>
          </w:tcPr>
          <w:p w14:paraId="4FA24E86" w14:textId="77777777" w:rsidR="00CF2D46" w:rsidRPr="00990768" w:rsidRDefault="00CF2D46" w:rsidP="00EA3AF8">
            <w:pPr>
              <w:pStyle w:val="TableText"/>
              <w:jc w:val="center"/>
              <w:rPr>
                <w:rFonts w:ascii="Calibri" w:hAnsi="Calibri"/>
                <w:color w:val="000000"/>
              </w:rPr>
            </w:pPr>
            <w:r w:rsidRPr="00990768">
              <w:rPr>
                <w:rFonts w:ascii="Calibri" w:hAnsi="Calibri"/>
                <w:color w:val="000000"/>
              </w:rPr>
              <w:t>22</w:t>
            </w:r>
          </w:p>
        </w:tc>
        <w:tc>
          <w:tcPr>
            <w:tcW w:w="945" w:type="dxa"/>
            <w:tcBorders>
              <w:top w:val="nil"/>
              <w:bottom w:val="single" w:sz="4" w:space="0" w:color="auto"/>
            </w:tcBorders>
            <w:shd w:val="clear" w:color="auto" w:fill="auto"/>
            <w:noWrap/>
            <w:hideMark/>
          </w:tcPr>
          <w:p w14:paraId="20AB3B61" w14:textId="77777777" w:rsidR="00CF2D46" w:rsidRPr="00990768" w:rsidRDefault="00CF2D46" w:rsidP="00EA3AF8">
            <w:pPr>
              <w:pStyle w:val="TableText"/>
              <w:tabs>
                <w:tab w:val="decimal" w:pos="459"/>
              </w:tabs>
              <w:rPr>
                <w:rFonts w:ascii="Calibri" w:hAnsi="Calibri"/>
                <w:color w:val="000000"/>
              </w:rPr>
            </w:pPr>
            <w:r w:rsidRPr="00990768">
              <w:rPr>
                <w:rFonts w:ascii="Calibri" w:hAnsi="Calibri"/>
                <w:color w:val="000000"/>
              </w:rPr>
              <w:t>1</w:t>
            </w:r>
          </w:p>
        </w:tc>
        <w:tc>
          <w:tcPr>
            <w:tcW w:w="945" w:type="dxa"/>
            <w:tcBorders>
              <w:top w:val="nil"/>
              <w:bottom w:val="single" w:sz="4" w:space="0" w:color="auto"/>
            </w:tcBorders>
            <w:shd w:val="clear" w:color="auto" w:fill="auto"/>
            <w:noWrap/>
            <w:hideMark/>
          </w:tcPr>
          <w:p w14:paraId="6411C3C4" w14:textId="77777777" w:rsidR="00CF2D46" w:rsidRPr="00990768" w:rsidRDefault="00CF2D46" w:rsidP="00EA3AF8">
            <w:pPr>
              <w:pStyle w:val="TableText"/>
              <w:tabs>
                <w:tab w:val="decimal" w:pos="459"/>
              </w:tabs>
              <w:rPr>
                <w:rFonts w:ascii="Calibri" w:hAnsi="Calibri"/>
                <w:color w:val="000000"/>
              </w:rPr>
            </w:pPr>
            <w:r w:rsidRPr="00990768">
              <w:rPr>
                <w:rFonts w:ascii="Calibri" w:hAnsi="Calibri"/>
                <w:color w:val="000000"/>
              </w:rPr>
              <w:t>14</w:t>
            </w:r>
          </w:p>
        </w:tc>
        <w:tc>
          <w:tcPr>
            <w:tcW w:w="945" w:type="dxa"/>
            <w:tcBorders>
              <w:top w:val="nil"/>
              <w:bottom w:val="single" w:sz="4" w:space="0" w:color="auto"/>
            </w:tcBorders>
          </w:tcPr>
          <w:p w14:paraId="189013A4" w14:textId="77777777" w:rsidR="00CF2D46" w:rsidRPr="00D2357C" w:rsidRDefault="00CF2D46" w:rsidP="00EA3AF8">
            <w:pPr>
              <w:pStyle w:val="TableText"/>
              <w:tabs>
                <w:tab w:val="decimal" w:pos="554"/>
              </w:tabs>
              <w:rPr>
                <w:rFonts w:ascii="Calibri" w:hAnsi="Calibri"/>
                <w:b/>
                <w:color w:val="000000"/>
              </w:rPr>
            </w:pPr>
            <w:r w:rsidRPr="00D2357C">
              <w:rPr>
                <w:b/>
              </w:rPr>
              <w:t>48</w:t>
            </w:r>
          </w:p>
        </w:tc>
      </w:tr>
      <w:tr w:rsidR="00CF2D46" w:rsidRPr="00973EF8" w14:paraId="44F90D6B" w14:textId="77777777" w:rsidTr="00EA3AF8">
        <w:trPr>
          <w:cantSplit/>
        </w:trPr>
        <w:tc>
          <w:tcPr>
            <w:tcW w:w="2977" w:type="dxa"/>
            <w:tcBorders>
              <w:top w:val="single" w:sz="4" w:space="0" w:color="auto"/>
            </w:tcBorders>
            <w:shd w:val="clear" w:color="auto" w:fill="auto"/>
            <w:noWrap/>
            <w:hideMark/>
          </w:tcPr>
          <w:p w14:paraId="57321F43" w14:textId="77777777" w:rsidR="00CF2D46" w:rsidRPr="00990768" w:rsidRDefault="00CF2D46" w:rsidP="00EA3AF8">
            <w:pPr>
              <w:pStyle w:val="TableText"/>
              <w:rPr>
                <w:rFonts w:ascii="Calibri" w:hAnsi="Calibri"/>
                <w:color w:val="000000"/>
              </w:rPr>
            </w:pPr>
            <w:r w:rsidRPr="00990768">
              <w:rPr>
                <w:rFonts w:ascii="Calibri" w:hAnsi="Calibri"/>
                <w:color w:val="000000"/>
              </w:rPr>
              <w:t xml:space="preserve">% adjusted for </w:t>
            </w:r>
            <w:proofErr w:type="spellStart"/>
            <w:r w:rsidRPr="00990768">
              <w:rPr>
                <w:rFonts w:ascii="Calibri" w:hAnsi="Calibri"/>
                <w:color w:val="000000"/>
              </w:rPr>
              <w:t>polydrug</w:t>
            </w:r>
            <w:proofErr w:type="spellEnd"/>
            <w:r w:rsidRPr="00990768">
              <w:rPr>
                <w:rFonts w:ascii="Calibri" w:hAnsi="Calibri"/>
                <w:color w:val="000000"/>
              </w:rPr>
              <w:t xml:space="preserve"> use*</w:t>
            </w:r>
          </w:p>
        </w:tc>
        <w:tc>
          <w:tcPr>
            <w:tcW w:w="2088" w:type="dxa"/>
            <w:tcBorders>
              <w:top w:val="single" w:sz="4" w:space="0" w:color="auto"/>
            </w:tcBorders>
            <w:shd w:val="clear" w:color="auto" w:fill="auto"/>
            <w:noWrap/>
            <w:hideMark/>
          </w:tcPr>
          <w:p w14:paraId="38E62D8C" w14:textId="77777777" w:rsidR="00CF2D46" w:rsidRPr="00990768" w:rsidRDefault="00CF2D46" w:rsidP="00EA3AF8">
            <w:pPr>
              <w:pStyle w:val="TableText"/>
              <w:tabs>
                <w:tab w:val="decimal" w:pos="1078"/>
              </w:tabs>
              <w:rPr>
                <w:rFonts w:ascii="Calibri" w:hAnsi="Calibri"/>
                <w:color w:val="000000"/>
              </w:rPr>
            </w:pPr>
            <w:r w:rsidRPr="00990768">
              <w:rPr>
                <w:rFonts w:ascii="Calibri" w:hAnsi="Calibri"/>
                <w:color w:val="000000"/>
              </w:rPr>
              <w:t>7</w:t>
            </w:r>
          </w:p>
        </w:tc>
        <w:tc>
          <w:tcPr>
            <w:tcW w:w="1172" w:type="dxa"/>
            <w:tcBorders>
              <w:top w:val="single" w:sz="4" w:space="0" w:color="auto"/>
            </w:tcBorders>
            <w:shd w:val="clear" w:color="auto" w:fill="auto"/>
            <w:noWrap/>
            <w:hideMark/>
          </w:tcPr>
          <w:p w14:paraId="716E3663" w14:textId="77777777" w:rsidR="00CF2D46" w:rsidRPr="00990768" w:rsidRDefault="00CF2D46" w:rsidP="00EA3AF8">
            <w:pPr>
              <w:pStyle w:val="TableText"/>
              <w:jc w:val="center"/>
              <w:rPr>
                <w:rFonts w:ascii="Calibri" w:hAnsi="Calibri"/>
                <w:color w:val="000000"/>
              </w:rPr>
            </w:pPr>
            <w:r w:rsidRPr="00990768">
              <w:rPr>
                <w:rFonts w:ascii="Calibri" w:hAnsi="Calibri"/>
                <w:color w:val="000000"/>
              </w:rPr>
              <w:t>14</w:t>
            </w:r>
          </w:p>
        </w:tc>
        <w:tc>
          <w:tcPr>
            <w:tcW w:w="945" w:type="dxa"/>
            <w:tcBorders>
              <w:top w:val="single" w:sz="4" w:space="0" w:color="auto"/>
            </w:tcBorders>
            <w:shd w:val="clear" w:color="auto" w:fill="auto"/>
            <w:noWrap/>
            <w:hideMark/>
          </w:tcPr>
          <w:p w14:paraId="2C296EB3" w14:textId="77777777" w:rsidR="00CF2D46" w:rsidRPr="00990768" w:rsidRDefault="00CF2D46" w:rsidP="00EA3AF8">
            <w:pPr>
              <w:pStyle w:val="TableText"/>
              <w:tabs>
                <w:tab w:val="decimal" w:pos="459"/>
              </w:tabs>
              <w:rPr>
                <w:rFonts w:ascii="Calibri" w:hAnsi="Calibri"/>
                <w:color w:val="000000"/>
              </w:rPr>
            </w:pPr>
            <w:r w:rsidRPr="00990768">
              <w:rPr>
                <w:rFonts w:ascii="Calibri" w:hAnsi="Calibri"/>
                <w:color w:val="000000"/>
              </w:rPr>
              <w:t>0</w:t>
            </w:r>
          </w:p>
        </w:tc>
        <w:tc>
          <w:tcPr>
            <w:tcW w:w="945" w:type="dxa"/>
            <w:tcBorders>
              <w:top w:val="single" w:sz="4" w:space="0" w:color="auto"/>
            </w:tcBorders>
            <w:shd w:val="clear" w:color="auto" w:fill="auto"/>
            <w:noWrap/>
            <w:hideMark/>
          </w:tcPr>
          <w:p w14:paraId="4C8890E2" w14:textId="77777777" w:rsidR="00CF2D46" w:rsidRPr="00990768" w:rsidRDefault="00CF2D46" w:rsidP="00EA3AF8">
            <w:pPr>
              <w:pStyle w:val="TableText"/>
              <w:tabs>
                <w:tab w:val="decimal" w:pos="459"/>
              </w:tabs>
              <w:rPr>
                <w:rFonts w:ascii="Calibri" w:hAnsi="Calibri"/>
                <w:color w:val="000000"/>
              </w:rPr>
            </w:pPr>
            <w:r w:rsidRPr="00990768">
              <w:rPr>
                <w:rFonts w:ascii="Calibri" w:hAnsi="Calibri"/>
                <w:color w:val="000000"/>
              </w:rPr>
              <w:t>9</w:t>
            </w:r>
          </w:p>
        </w:tc>
        <w:tc>
          <w:tcPr>
            <w:tcW w:w="945" w:type="dxa"/>
            <w:tcBorders>
              <w:top w:val="single" w:sz="4" w:space="0" w:color="auto"/>
            </w:tcBorders>
          </w:tcPr>
          <w:p w14:paraId="2E2B0F5C" w14:textId="77777777" w:rsidR="00CF2D46" w:rsidRPr="00D2357C" w:rsidRDefault="00CF2D46" w:rsidP="00EA3AF8">
            <w:pPr>
              <w:pStyle w:val="TableText"/>
              <w:tabs>
                <w:tab w:val="decimal" w:pos="554"/>
              </w:tabs>
              <w:rPr>
                <w:rFonts w:ascii="Calibri" w:hAnsi="Calibri"/>
                <w:b/>
                <w:color w:val="000000"/>
              </w:rPr>
            </w:pPr>
            <w:r w:rsidRPr="00D2357C">
              <w:rPr>
                <w:b/>
              </w:rPr>
              <w:t>30</w:t>
            </w:r>
          </w:p>
        </w:tc>
      </w:tr>
    </w:tbl>
    <w:p w14:paraId="2184A946" w14:textId="77777777" w:rsidR="00CF2D46" w:rsidRPr="00352056" w:rsidRDefault="00CF2D46" w:rsidP="008A6B2A">
      <w:pPr>
        <w:pStyle w:val="Note"/>
      </w:pPr>
      <w:r>
        <w:t>*</w:t>
      </w:r>
      <w:r w:rsidR="008A6B2A">
        <w:tab/>
      </w:r>
      <w:r w:rsidRPr="00352056">
        <w:t>The total proportion of arrestees reporting drug use exceeds 100%</w:t>
      </w:r>
      <w:r>
        <w:t>,</w:t>
      </w:r>
      <w:r w:rsidRPr="00352056">
        <w:t xml:space="preserve"> indicating significant </w:t>
      </w:r>
      <w:proofErr w:type="spellStart"/>
      <w:r w:rsidRPr="00352056">
        <w:t>polydrug</w:t>
      </w:r>
      <w:proofErr w:type="spellEnd"/>
      <w:r w:rsidRPr="00352056">
        <w:t xml:space="preserve"> use. Final estimates were adjusted by 100/161.</w:t>
      </w:r>
    </w:p>
    <w:p w14:paraId="795EAF61" w14:textId="77777777" w:rsidR="00CF2D46" w:rsidRDefault="00CF2D46" w:rsidP="00D2357C">
      <w:pPr>
        <w:keepNext/>
        <w:spacing w:after="120"/>
      </w:pPr>
      <w:r>
        <w:t>The above distribution was also used to spread costs over drug groups. Results are provided in the following table.</w:t>
      </w:r>
    </w:p>
    <w:tbl>
      <w:tblPr>
        <w:tblStyle w:val="TableGrid"/>
        <w:tblW w:w="0" w:type="auto"/>
        <w:tblInd w:w="108" w:type="dxa"/>
        <w:tblLayout w:type="fixed"/>
        <w:tblLook w:val="04A0" w:firstRow="1" w:lastRow="0" w:firstColumn="1" w:lastColumn="0" w:noHBand="0" w:noVBand="1"/>
      </w:tblPr>
      <w:tblGrid>
        <w:gridCol w:w="3969"/>
        <w:gridCol w:w="2410"/>
        <w:gridCol w:w="1346"/>
        <w:gridCol w:w="1347"/>
      </w:tblGrid>
      <w:tr w:rsidR="00CF2D46" w:rsidRPr="00D2357C" w14:paraId="2A1C9962" w14:textId="77777777" w:rsidTr="00D2357C">
        <w:trPr>
          <w:cantSplit/>
        </w:trPr>
        <w:tc>
          <w:tcPr>
            <w:tcW w:w="3969" w:type="dxa"/>
          </w:tcPr>
          <w:p w14:paraId="407B0AFC" w14:textId="77777777" w:rsidR="00CF2D46" w:rsidRPr="00D2357C" w:rsidRDefault="00CF2D46" w:rsidP="00D2357C">
            <w:pPr>
              <w:pStyle w:val="TableText"/>
              <w:keepNext/>
              <w:rPr>
                <w:b/>
              </w:rPr>
            </w:pPr>
          </w:p>
        </w:tc>
        <w:tc>
          <w:tcPr>
            <w:tcW w:w="2410" w:type="dxa"/>
          </w:tcPr>
          <w:p w14:paraId="4B612B01" w14:textId="77777777" w:rsidR="00CF2D46" w:rsidRPr="00D2357C" w:rsidRDefault="00CF2D46" w:rsidP="00D2357C">
            <w:pPr>
              <w:pStyle w:val="TableText"/>
              <w:keepNext/>
              <w:jc w:val="center"/>
              <w:rPr>
                <w:b/>
              </w:rPr>
            </w:pPr>
            <w:r w:rsidRPr="00D2357C">
              <w:rPr>
                <w:b/>
              </w:rPr>
              <w:t>Estimate</w:t>
            </w:r>
          </w:p>
        </w:tc>
        <w:tc>
          <w:tcPr>
            <w:tcW w:w="1346" w:type="dxa"/>
          </w:tcPr>
          <w:p w14:paraId="69BBADD0" w14:textId="77777777" w:rsidR="00CF2D46" w:rsidRPr="00D2357C" w:rsidRDefault="00CF2D46" w:rsidP="00D2357C">
            <w:pPr>
              <w:pStyle w:val="TableText"/>
              <w:keepNext/>
              <w:jc w:val="center"/>
              <w:rPr>
                <w:b/>
              </w:rPr>
            </w:pPr>
            <w:r w:rsidRPr="00D2357C">
              <w:rPr>
                <w:b/>
              </w:rPr>
              <w:t>Number of dependent users</w:t>
            </w:r>
          </w:p>
        </w:tc>
        <w:tc>
          <w:tcPr>
            <w:tcW w:w="1347" w:type="dxa"/>
          </w:tcPr>
          <w:p w14:paraId="6007E658" w14:textId="77777777" w:rsidR="00CF2D46" w:rsidRPr="00D2357C" w:rsidRDefault="00CF2D46" w:rsidP="00D2357C">
            <w:pPr>
              <w:pStyle w:val="TableText"/>
              <w:keepNext/>
              <w:jc w:val="center"/>
              <w:rPr>
                <w:b/>
              </w:rPr>
            </w:pPr>
            <w:r w:rsidRPr="00D2357C">
              <w:rPr>
                <w:b/>
              </w:rPr>
              <w:t>Cost per user ($)</w:t>
            </w:r>
          </w:p>
        </w:tc>
      </w:tr>
      <w:tr w:rsidR="00CF2D46" w14:paraId="076600AE" w14:textId="77777777" w:rsidTr="00D2357C">
        <w:trPr>
          <w:cantSplit/>
        </w:trPr>
        <w:tc>
          <w:tcPr>
            <w:tcW w:w="3969" w:type="dxa"/>
          </w:tcPr>
          <w:p w14:paraId="26350F28" w14:textId="77777777" w:rsidR="00CF2D46" w:rsidRDefault="00CF2D46" w:rsidP="00D2357C">
            <w:pPr>
              <w:pStyle w:val="TableText"/>
            </w:pPr>
            <w:r>
              <w:t>Number of acquisitive crime</w:t>
            </w:r>
          </w:p>
        </w:tc>
        <w:tc>
          <w:tcPr>
            <w:tcW w:w="2410" w:type="dxa"/>
          </w:tcPr>
          <w:p w14:paraId="5C93411B" w14:textId="77777777" w:rsidR="00CF2D46" w:rsidRDefault="00CF2D46" w:rsidP="00D2357C">
            <w:pPr>
              <w:pStyle w:val="TableText"/>
              <w:tabs>
                <w:tab w:val="decimal" w:pos="1735"/>
              </w:tabs>
            </w:pPr>
            <w:r>
              <w:rPr>
                <w:rFonts w:ascii="Calibri" w:hAnsi="Calibri"/>
                <w:color w:val="000000"/>
              </w:rPr>
              <w:t>800,904</w:t>
            </w:r>
          </w:p>
        </w:tc>
        <w:tc>
          <w:tcPr>
            <w:tcW w:w="1346" w:type="dxa"/>
          </w:tcPr>
          <w:p w14:paraId="18357EE7" w14:textId="77777777" w:rsidR="00CF2D46" w:rsidRDefault="00CF2D46" w:rsidP="00D2357C">
            <w:pPr>
              <w:pStyle w:val="TableText"/>
              <w:tabs>
                <w:tab w:val="decimal" w:pos="884"/>
              </w:tabs>
              <w:rPr>
                <w:rFonts w:ascii="Calibri" w:hAnsi="Calibri"/>
                <w:color w:val="000000"/>
              </w:rPr>
            </w:pPr>
          </w:p>
        </w:tc>
        <w:tc>
          <w:tcPr>
            <w:tcW w:w="1347" w:type="dxa"/>
          </w:tcPr>
          <w:p w14:paraId="57523271" w14:textId="77777777" w:rsidR="00CF2D46" w:rsidRDefault="00CF2D46" w:rsidP="00D2357C">
            <w:pPr>
              <w:pStyle w:val="TableText"/>
              <w:tabs>
                <w:tab w:val="decimal" w:pos="884"/>
              </w:tabs>
              <w:rPr>
                <w:rFonts w:ascii="Calibri" w:hAnsi="Calibri"/>
                <w:color w:val="000000"/>
              </w:rPr>
            </w:pPr>
          </w:p>
        </w:tc>
      </w:tr>
      <w:tr w:rsidR="00CF2D46" w14:paraId="07DBC2C3" w14:textId="77777777" w:rsidTr="00D2357C">
        <w:trPr>
          <w:cantSplit/>
        </w:trPr>
        <w:tc>
          <w:tcPr>
            <w:tcW w:w="3969" w:type="dxa"/>
          </w:tcPr>
          <w:p w14:paraId="6F34CEB4" w14:textId="77777777" w:rsidR="00CF2D46" w:rsidRDefault="00CF2D46" w:rsidP="00D2357C">
            <w:pPr>
              <w:pStyle w:val="TableText"/>
            </w:pPr>
            <w:r>
              <w:t>Average value of property lost</w:t>
            </w:r>
          </w:p>
        </w:tc>
        <w:tc>
          <w:tcPr>
            <w:tcW w:w="2410" w:type="dxa"/>
          </w:tcPr>
          <w:p w14:paraId="57EAB1C5" w14:textId="77777777" w:rsidR="00CF2D46" w:rsidRDefault="00CF2D46" w:rsidP="002941E1">
            <w:pPr>
              <w:pStyle w:val="TableText"/>
              <w:tabs>
                <w:tab w:val="right" w:pos="1735"/>
              </w:tabs>
            </w:pPr>
            <w:r>
              <w:t>Burglary</w:t>
            </w:r>
            <w:r>
              <w:tab/>
              <w:t>$2,704</w:t>
            </w:r>
            <w:r>
              <w:br/>
              <w:t>Theft</w:t>
            </w:r>
            <w:r>
              <w:tab/>
              <w:t>$603</w:t>
            </w:r>
          </w:p>
        </w:tc>
        <w:tc>
          <w:tcPr>
            <w:tcW w:w="1346" w:type="dxa"/>
          </w:tcPr>
          <w:p w14:paraId="61B2BF6F" w14:textId="77777777" w:rsidR="00CF2D46" w:rsidRDefault="00CF2D46" w:rsidP="00D2357C">
            <w:pPr>
              <w:pStyle w:val="TableText"/>
              <w:tabs>
                <w:tab w:val="decimal" w:pos="884"/>
              </w:tabs>
            </w:pPr>
          </w:p>
        </w:tc>
        <w:tc>
          <w:tcPr>
            <w:tcW w:w="1347" w:type="dxa"/>
          </w:tcPr>
          <w:p w14:paraId="2167029B" w14:textId="77777777" w:rsidR="00CF2D46" w:rsidRDefault="00CF2D46" w:rsidP="00D2357C">
            <w:pPr>
              <w:pStyle w:val="TableText"/>
              <w:tabs>
                <w:tab w:val="decimal" w:pos="884"/>
              </w:tabs>
            </w:pPr>
          </w:p>
        </w:tc>
      </w:tr>
      <w:tr w:rsidR="00CF2D46" w14:paraId="5659FC7B" w14:textId="77777777" w:rsidTr="00D2357C">
        <w:trPr>
          <w:cantSplit/>
        </w:trPr>
        <w:tc>
          <w:tcPr>
            <w:tcW w:w="3969" w:type="dxa"/>
          </w:tcPr>
          <w:p w14:paraId="14CB6D23" w14:textId="77777777" w:rsidR="00CF2D46" w:rsidRDefault="00CF2D46" w:rsidP="00D2357C">
            <w:pPr>
              <w:pStyle w:val="TableText"/>
            </w:pPr>
            <w:r>
              <w:t>Total value of property lost</w:t>
            </w:r>
          </w:p>
        </w:tc>
        <w:tc>
          <w:tcPr>
            <w:tcW w:w="2410" w:type="dxa"/>
          </w:tcPr>
          <w:p w14:paraId="5B269754" w14:textId="77777777" w:rsidR="00CF2D46" w:rsidRDefault="00CF2D46" w:rsidP="00D2357C">
            <w:pPr>
              <w:pStyle w:val="TableText"/>
              <w:tabs>
                <w:tab w:val="decimal" w:pos="1735"/>
              </w:tabs>
            </w:pPr>
            <w:r>
              <w:rPr>
                <w:rFonts w:ascii="Calibri" w:hAnsi="Calibri"/>
                <w:color w:val="000000"/>
              </w:rPr>
              <w:t>$472,476,453</w:t>
            </w:r>
          </w:p>
        </w:tc>
        <w:tc>
          <w:tcPr>
            <w:tcW w:w="1346" w:type="dxa"/>
          </w:tcPr>
          <w:p w14:paraId="72885385" w14:textId="77777777" w:rsidR="00CF2D46" w:rsidRDefault="00CF2D46" w:rsidP="00D2357C">
            <w:pPr>
              <w:pStyle w:val="TableText"/>
              <w:tabs>
                <w:tab w:val="decimal" w:pos="884"/>
              </w:tabs>
              <w:rPr>
                <w:rFonts w:ascii="Calibri" w:hAnsi="Calibri"/>
                <w:color w:val="000000"/>
              </w:rPr>
            </w:pPr>
          </w:p>
        </w:tc>
        <w:tc>
          <w:tcPr>
            <w:tcW w:w="1347" w:type="dxa"/>
          </w:tcPr>
          <w:p w14:paraId="72F905A2" w14:textId="77777777" w:rsidR="00CF2D46" w:rsidRDefault="00CF2D46" w:rsidP="00D2357C">
            <w:pPr>
              <w:pStyle w:val="TableText"/>
              <w:tabs>
                <w:tab w:val="decimal" w:pos="884"/>
              </w:tabs>
              <w:rPr>
                <w:rFonts w:ascii="Calibri" w:hAnsi="Calibri"/>
                <w:color w:val="000000"/>
              </w:rPr>
            </w:pPr>
          </w:p>
        </w:tc>
      </w:tr>
      <w:tr w:rsidR="00CF2D46" w14:paraId="53932BC3" w14:textId="77777777" w:rsidTr="00D2357C">
        <w:trPr>
          <w:cantSplit/>
        </w:trPr>
        <w:tc>
          <w:tcPr>
            <w:tcW w:w="3969" w:type="dxa"/>
          </w:tcPr>
          <w:p w14:paraId="5537D26C" w14:textId="77777777" w:rsidR="00CF2D46" w:rsidRDefault="00CF2D46" w:rsidP="00D2357C">
            <w:pPr>
              <w:pStyle w:val="TableText"/>
            </w:pPr>
            <w:r>
              <w:t>Total value of drug-related</w:t>
            </w:r>
          </w:p>
        </w:tc>
        <w:tc>
          <w:tcPr>
            <w:tcW w:w="2410" w:type="dxa"/>
          </w:tcPr>
          <w:p w14:paraId="59906DF9" w14:textId="77777777" w:rsidR="00CF2D46" w:rsidRDefault="00CF2D46" w:rsidP="00D2357C">
            <w:pPr>
              <w:pStyle w:val="TableText"/>
              <w:tabs>
                <w:tab w:val="decimal" w:pos="1735"/>
              </w:tabs>
            </w:pPr>
            <w:r>
              <w:rPr>
                <w:rFonts w:ascii="Calibri" w:hAnsi="Calibri"/>
                <w:color w:val="000000"/>
              </w:rPr>
              <w:t>$139,688,690</w:t>
            </w:r>
          </w:p>
        </w:tc>
        <w:tc>
          <w:tcPr>
            <w:tcW w:w="1346" w:type="dxa"/>
          </w:tcPr>
          <w:p w14:paraId="14D7C326" w14:textId="77777777" w:rsidR="00CF2D46" w:rsidRPr="000A2F67" w:rsidRDefault="00CF2D46" w:rsidP="00D2357C">
            <w:pPr>
              <w:pStyle w:val="TableText"/>
              <w:tabs>
                <w:tab w:val="decimal" w:pos="884"/>
              </w:tabs>
              <w:rPr>
                <w:rFonts w:ascii="Calibri" w:hAnsi="Calibri"/>
                <w:color w:val="000000"/>
              </w:rPr>
            </w:pPr>
            <w:r w:rsidRPr="00990768">
              <w:rPr>
                <w:rFonts w:ascii="Calibri" w:hAnsi="Calibri"/>
                <w:color w:val="000000"/>
              </w:rPr>
              <w:t>29,889</w:t>
            </w:r>
          </w:p>
        </w:tc>
        <w:tc>
          <w:tcPr>
            <w:tcW w:w="1347" w:type="dxa"/>
          </w:tcPr>
          <w:p w14:paraId="34664C8A" w14:textId="77777777" w:rsidR="00CF2D46" w:rsidRPr="00990768" w:rsidRDefault="00CF2D46" w:rsidP="00D2357C">
            <w:pPr>
              <w:pStyle w:val="TableText"/>
              <w:tabs>
                <w:tab w:val="decimal" w:pos="884"/>
              </w:tabs>
              <w:rPr>
                <w:rFonts w:ascii="Calibri" w:hAnsi="Calibri"/>
                <w:color w:val="000000"/>
              </w:rPr>
            </w:pPr>
            <w:r>
              <w:rPr>
                <w:rFonts w:ascii="Calibri" w:hAnsi="Calibri"/>
                <w:color w:val="000000"/>
              </w:rPr>
              <w:t>4,673</w:t>
            </w:r>
          </w:p>
        </w:tc>
      </w:tr>
      <w:tr w:rsidR="00CF2D46" w14:paraId="60C84CCB" w14:textId="77777777" w:rsidTr="00D2357C">
        <w:trPr>
          <w:cantSplit/>
        </w:trPr>
        <w:tc>
          <w:tcPr>
            <w:tcW w:w="3969" w:type="dxa"/>
          </w:tcPr>
          <w:p w14:paraId="5002CBAE" w14:textId="77777777" w:rsidR="00CF2D46" w:rsidRDefault="00CF2D46" w:rsidP="00D2357C">
            <w:pPr>
              <w:pStyle w:val="TableText"/>
              <w:ind w:left="284"/>
            </w:pPr>
            <w:r w:rsidRPr="005D59D9">
              <w:t>Amphetamine</w:t>
            </w:r>
            <w:r>
              <w:t>-</w:t>
            </w:r>
            <w:r w:rsidRPr="005D59D9">
              <w:t>type stimulants</w:t>
            </w:r>
          </w:p>
        </w:tc>
        <w:tc>
          <w:tcPr>
            <w:tcW w:w="2410" w:type="dxa"/>
          </w:tcPr>
          <w:p w14:paraId="164CA502" w14:textId="77777777" w:rsidR="00CF2D46" w:rsidRDefault="00CF2D46" w:rsidP="00D2357C">
            <w:pPr>
              <w:pStyle w:val="TableText"/>
              <w:tabs>
                <w:tab w:val="decimal" w:pos="1735"/>
              </w:tabs>
            </w:pPr>
            <w:r>
              <w:rPr>
                <w:rFonts w:ascii="Calibri" w:hAnsi="Calibri"/>
                <w:color w:val="000000"/>
              </w:rPr>
              <w:t>$32,574,464</w:t>
            </w:r>
          </w:p>
        </w:tc>
        <w:tc>
          <w:tcPr>
            <w:tcW w:w="1346" w:type="dxa"/>
          </w:tcPr>
          <w:p w14:paraId="15630C8E" w14:textId="77777777" w:rsidR="00CF2D46" w:rsidRDefault="00CF2D46" w:rsidP="00D2357C">
            <w:pPr>
              <w:pStyle w:val="TableText"/>
              <w:tabs>
                <w:tab w:val="decimal" w:pos="884"/>
              </w:tabs>
              <w:rPr>
                <w:rFonts w:ascii="Calibri" w:hAnsi="Calibri"/>
                <w:color w:val="000000"/>
              </w:rPr>
            </w:pPr>
            <w:r w:rsidRPr="00990768">
              <w:rPr>
                <w:rFonts w:ascii="Calibri" w:hAnsi="Calibri"/>
                <w:color w:val="000000"/>
              </w:rPr>
              <w:t>1,392</w:t>
            </w:r>
          </w:p>
        </w:tc>
        <w:tc>
          <w:tcPr>
            <w:tcW w:w="1347" w:type="dxa"/>
          </w:tcPr>
          <w:p w14:paraId="13E55A5D" w14:textId="77777777" w:rsidR="00CF2D46" w:rsidRPr="00990768" w:rsidRDefault="00CF2D46" w:rsidP="00D2357C">
            <w:pPr>
              <w:pStyle w:val="TableText"/>
              <w:tabs>
                <w:tab w:val="decimal" w:pos="884"/>
              </w:tabs>
              <w:rPr>
                <w:rFonts w:ascii="Calibri" w:hAnsi="Calibri"/>
                <w:color w:val="000000"/>
              </w:rPr>
            </w:pPr>
            <w:r>
              <w:rPr>
                <w:rFonts w:ascii="Calibri" w:hAnsi="Calibri"/>
                <w:color w:val="000000"/>
              </w:rPr>
              <w:t>23,401</w:t>
            </w:r>
          </w:p>
        </w:tc>
      </w:tr>
      <w:tr w:rsidR="00CF2D46" w14:paraId="16D96F7A" w14:textId="77777777" w:rsidTr="00D2357C">
        <w:trPr>
          <w:cantSplit/>
        </w:trPr>
        <w:tc>
          <w:tcPr>
            <w:tcW w:w="3969" w:type="dxa"/>
          </w:tcPr>
          <w:p w14:paraId="7F36EB9F" w14:textId="77777777" w:rsidR="00CF2D46" w:rsidRDefault="00CF2D46" w:rsidP="00D2357C">
            <w:pPr>
              <w:pStyle w:val="TableText"/>
              <w:ind w:left="284"/>
            </w:pPr>
            <w:r w:rsidRPr="005D59D9">
              <w:t>Cannabinoids</w:t>
            </w:r>
          </w:p>
        </w:tc>
        <w:tc>
          <w:tcPr>
            <w:tcW w:w="2410" w:type="dxa"/>
          </w:tcPr>
          <w:p w14:paraId="78FA37D5" w14:textId="77777777" w:rsidR="00CF2D46" w:rsidRDefault="00CF2D46" w:rsidP="00D2357C">
            <w:pPr>
              <w:pStyle w:val="TableText"/>
              <w:tabs>
                <w:tab w:val="decimal" w:pos="1735"/>
              </w:tabs>
            </w:pPr>
            <w:r>
              <w:rPr>
                <w:rFonts w:ascii="Calibri" w:hAnsi="Calibri"/>
                <w:color w:val="000000"/>
              </w:rPr>
              <w:t>$63,857,687</w:t>
            </w:r>
          </w:p>
        </w:tc>
        <w:tc>
          <w:tcPr>
            <w:tcW w:w="1346" w:type="dxa"/>
          </w:tcPr>
          <w:p w14:paraId="323CD6FF" w14:textId="77777777" w:rsidR="00CF2D46" w:rsidRDefault="00CF2D46" w:rsidP="00D2357C">
            <w:pPr>
              <w:pStyle w:val="TableText"/>
              <w:tabs>
                <w:tab w:val="decimal" w:pos="884"/>
              </w:tabs>
              <w:rPr>
                <w:rFonts w:ascii="Calibri" w:hAnsi="Calibri"/>
                <w:color w:val="000000"/>
              </w:rPr>
            </w:pPr>
            <w:r w:rsidRPr="00990768">
              <w:rPr>
                <w:rFonts w:ascii="Calibri" w:hAnsi="Calibri"/>
                <w:color w:val="000000"/>
              </w:rPr>
              <w:t>26,022</w:t>
            </w:r>
          </w:p>
        </w:tc>
        <w:tc>
          <w:tcPr>
            <w:tcW w:w="1347" w:type="dxa"/>
          </w:tcPr>
          <w:p w14:paraId="6310CEC6" w14:textId="77777777" w:rsidR="00CF2D46" w:rsidRPr="00990768" w:rsidRDefault="00CF2D46" w:rsidP="00D2357C">
            <w:pPr>
              <w:pStyle w:val="TableText"/>
              <w:tabs>
                <w:tab w:val="decimal" w:pos="884"/>
              </w:tabs>
              <w:rPr>
                <w:rFonts w:ascii="Calibri" w:hAnsi="Calibri"/>
                <w:color w:val="000000"/>
              </w:rPr>
            </w:pPr>
            <w:r>
              <w:rPr>
                <w:rFonts w:ascii="Calibri" w:hAnsi="Calibri"/>
                <w:color w:val="000000"/>
              </w:rPr>
              <w:t>2,454</w:t>
            </w:r>
          </w:p>
        </w:tc>
      </w:tr>
      <w:tr w:rsidR="00CF2D46" w14:paraId="69EF52C6" w14:textId="77777777" w:rsidTr="00D2357C">
        <w:trPr>
          <w:cantSplit/>
        </w:trPr>
        <w:tc>
          <w:tcPr>
            <w:tcW w:w="3969" w:type="dxa"/>
          </w:tcPr>
          <w:p w14:paraId="2E96643A" w14:textId="279D3618" w:rsidR="00CF2D46" w:rsidRDefault="00CF2D46">
            <w:pPr>
              <w:pStyle w:val="TableText"/>
              <w:ind w:left="284"/>
            </w:pPr>
            <w:r>
              <w:t xml:space="preserve">Hallucinogenic </w:t>
            </w:r>
            <w:r w:rsidR="00D2357C">
              <w:t>and</w:t>
            </w:r>
            <w:r>
              <w:t xml:space="preserve"> psychedelic</w:t>
            </w:r>
          </w:p>
        </w:tc>
        <w:tc>
          <w:tcPr>
            <w:tcW w:w="2410" w:type="dxa"/>
          </w:tcPr>
          <w:p w14:paraId="5A8FD4CB" w14:textId="77777777" w:rsidR="00CF2D46" w:rsidRDefault="00CF2D46" w:rsidP="00D2357C">
            <w:pPr>
              <w:pStyle w:val="TableText"/>
              <w:tabs>
                <w:tab w:val="decimal" w:pos="1735"/>
              </w:tabs>
            </w:pPr>
            <w:r>
              <w:rPr>
                <w:rFonts w:ascii="Calibri" w:hAnsi="Calibri"/>
                <w:color w:val="000000"/>
              </w:rPr>
              <w:t>$1,878,167</w:t>
            </w:r>
          </w:p>
        </w:tc>
        <w:tc>
          <w:tcPr>
            <w:tcW w:w="1346" w:type="dxa"/>
          </w:tcPr>
          <w:p w14:paraId="5AE353C6" w14:textId="77777777" w:rsidR="00CF2D46" w:rsidRDefault="00CF2D46" w:rsidP="00D2357C">
            <w:pPr>
              <w:pStyle w:val="TableText"/>
              <w:tabs>
                <w:tab w:val="decimal" w:pos="884"/>
              </w:tabs>
              <w:rPr>
                <w:rFonts w:ascii="Calibri" w:hAnsi="Calibri"/>
                <w:color w:val="000000"/>
              </w:rPr>
            </w:pPr>
            <w:r w:rsidRPr="00990768">
              <w:rPr>
                <w:rFonts w:ascii="Calibri" w:hAnsi="Calibri"/>
                <w:color w:val="000000"/>
              </w:rPr>
              <w:t>450</w:t>
            </w:r>
          </w:p>
        </w:tc>
        <w:tc>
          <w:tcPr>
            <w:tcW w:w="1347" w:type="dxa"/>
          </w:tcPr>
          <w:p w14:paraId="5E11BF93" w14:textId="77777777" w:rsidR="00CF2D46" w:rsidRPr="00990768" w:rsidRDefault="00CF2D46" w:rsidP="00D2357C">
            <w:pPr>
              <w:pStyle w:val="TableText"/>
              <w:tabs>
                <w:tab w:val="decimal" w:pos="884"/>
              </w:tabs>
              <w:rPr>
                <w:rFonts w:ascii="Calibri" w:hAnsi="Calibri"/>
                <w:color w:val="000000"/>
              </w:rPr>
            </w:pPr>
            <w:r>
              <w:rPr>
                <w:rFonts w:ascii="Calibri" w:hAnsi="Calibri"/>
                <w:color w:val="000000"/>
              </w:rPr>
              <w:t>4,174</w:t>
            </w:r>
          </w:p>
        </w:tc>
      </w:tr>
      <w:tr w:rsidR="00CF2D46" w14:paraId="239E5E54" w14:textId="77777777" w:rsidTr="00D2357C">
        <w:trPr>
          <w:cantSplit/>
        </w:trPr>
        <w:tc>
          <w:tcPr>
            <w:tcW w:w="3969" w:type="dxa"/>
          </w:tcPr>
          <w:p w14:paraId="1D47771C" w14:textId="55310E29" w:rsidR="00CF2D46" w:rsidRDefault="00CF2D46">
            <w:pPr>
              <w:pStyle w:val="TableText"/>
              <w:ind w:left="284"/>
            </w:pPr>
            <w:r>
              <w:t xml:space="preserve">Opioid </w:t>
            </w:r>
            <w:r w:rsidR="00D2357C">
              <w:t>and</w:t>
            </w:r>
            <w:r>
              <w:t xml:space="preserve"> sedative</w:t>
            </w:r>
          </w:p>
        </w:tc>
        <w:tc>
          <w:tcPr>
            <w:tcW w:w="2410" w:type="dxa"/>
          </w:tcPr>
          <w:p w14:paraId="59B12657" w14:textId="77777777" w:rsidR="00CF2D46" w:rsidRDefault="00CF2D46" w:rsidP="00D2357C">
            <w:pPr>
              <w:pStyle w:val="TableText"/>
              <w:tabs>
                <w:tab w:val="decimal" w:pos="1735"/>
              </w:tabs>
            </w:pPr>
            <w:r>
              <w:rPr>
                <w:rFonts w:ascii="Calibri" w:hAnsi="Calibri"/>
                <w:color w:val="000000"/>
              </w:rPr>
              <w:t>$41,378,373</w:t>
            </w:r>
          </w:p>
        </w:tc>
        <w:tc>
          <w:tcPr>
            <w:tcW w:w="1346" w:type="dxa"/>
          </w:tcPr>
          <w:p w14:paraId="7C18C825" w14:textId="77777777" w:rsidR="00CF2D46" w:rsidRDefault="00CF2D46" w:rsidP="00D2357C">
            <w:pPr>
              <w:pStyle w:val="TableText"/>
              <w:tabs>
                <w:tab w:val="decimal" w:pos="884"/>
              </w:tabs>
              <w:rPr>
                <w:rFonts w:ascii="Calibri" w:hAnsi="Calibri"/>
                <w:color w:val="000000"/>
              </w:rPr>
            </w:pPr>
            <w:r w:rsidRPr="00990768">
              <w:rPr>
                <w:rFonts w:ascii="Calibri" w:hAnsi="Calibri"/>
                <w:color w:val="000000"/>
              </w:rPr>
              <w:t>2,025</w:t>
            </w:r>
          </w:p>
        </w:tc>
        <w:tc>
          <w:tcPr>
            <w:tcW w:w="1347" w:type="dxa"/>
          </w:tcPr>
          <w:p w14:paraId="5DC32CE6" w14:textId="77777777" w:rsidR="00CF2D46" w:rsidRPr="00990768" w:rsidRDefault="00CF2D46" w:rsidP="00D2357C">
            <w:pPr>
              <w:pStyle w:val="TableText"/>
              <w:tabs>
                <w:tab w:val="decimal" w:pos="884"/>
              </w:tabs>
              <w:rPr>
                <w:rFonts w:ascii="Calibri" w:hAnsi="Calibri"/>
                <w:color w:val="000000"/>
              </w:rPr>
            </w:pPr>
            <w:r>
              <w:rPr>
                <w:rFonts w:ascii="Calibri" w:hAnsi="Calibri"/>
                <w:color w:val="000000"/>
              </w:rPr>
              <w:t>20,434</w:t>
            </w:r>
          </w:p>
        </w:tc>
      </w:tr>
    </w:tbl>
    <w:p w14:paraId="0D959024" w14:textId="77777777" w:rsidR="00CF2D46" w:rsidRDefault="008A6B2A" w:rsidP="008A6B2A">
      <w:pPr>
        <w:pStyle w:val="Heading3"/>
      </w:pPr>
      <w:r>
        <w:t>(c)</w:t>
      </w:r>
      <w:r>
        <w:tab/>
      </w:r>
      <w:r w:rsidR="00CF2D46">
        <w:t>Reinvestment in organised crime</w:t>
      </w:r>
    </w:p>
    <w:p w14:paraId="3DC75D77" w14:textId="77777777" w:rsidR="00CF2D46" w:rsidRDefault="00CF2D46" w:rsidP="008A6B2A">
      <w:r>
        <w:t>Organised crime reinvests some of its profits into further crime and the remainder into maintaining lifestyle. Based on an analysis of New Zealand Police criminal assets data, it is estimated 56% of revenue from drug trafficking is reinvested in further criminal activity (McFadden, 2015). Where that revenue is invested in drug trafficking, the consequent harm has already been included in the DHI. Some of this revenue is invested in other forms of crime, and these have not been included in the DHI at this point. A conservative estimate based on Hughes et al (2015) suggests that 20% of criminal revenue could be invested in further crime other than drug trafficking.</w:t>
      </w:r>
    </w:p>
    <w:p w14:paraId="24597466" w14:textId="77777777" w:rsidR="00CF2D46" w:rsidRDefault="00CF2D46" w:rsidP="008A6B2A">
      <w:pPr>
        <w:spacing w:after="120"/>
      </w:pPr>
      <w:r>
        <w:t>The calculation was based on the previously calculated estimate of consumption by drug group and user type. These amounts were multiplied by street prices provided by the National Drug Intelligence Bureau to generate estimated revenue. Estimated revenue was multiplied by 56% to generate the revenue reinvested in crime and the result multiplied by 20% to provide an estimate of the amount invested in other crime types.</w:t>
      </w:r>
    </w:p>
    <w:tbl>
      <w:tblPr>
        <w:tblW w:w="0" w:type="auto"/>
        <w:tblInd w:w="85" w:type="dxa"/>
        <w:tblBorders>
          <w:top w:val="single" w:sz="4" w:space="0" w:color="auto"/>
          <w:left w:val="single" w:sz="4" w:space="0" w:color="auto"/>
          <w:bottom w:val="single" w:sz="4" w:space="0" w:color="auto"/>
          <w:right w:val="single" w:sz="4" w:space="0" w:color="auto"/>
        </w:tblBorders>
        <w:tblLayout w:type="fixed"/>
        <w:tblCellMar>
          <w:left w:w="85" w:type="dxa"/>
          <w:right w:w="85" w:type="dxa"/>
        </w:tblCellMar>
        <w:tblLook w:val="04A0" w:firstRow="1" w:lastRow="0" w:firstColumn="1" w:lastColumn="0" w:noHBand="0" w:noVBand="1"/>
      </w:tblPr>
      <w:tblGrid>
        <w:gridCol w:w="1820"/>
        <w:gridCol w:w="1458"/>
        <w:gridCol w:w="1459"/>
        <w:gridCol w:w="1459"/>
        <w:gridCol w:w="1459"/>
        <w:gridCol w:w="1417"/>
      </w:tblGrid>
      <w:tr w:rsidR="00CF2D46" w:rsidRPr="002941E1" w14:paraId="7E547BA6" w14:textId="77777777" w:rsidTr="002941E1">
        <w:trPr>
          <w:cantSplit/>
        </w:trPr>
        <w:tc>
          <w:tcPr>
            <w:tcW w:w="1820" w:type="dxa"/>
            <w:tcBorders>
              <w:bottom w:val="single" w:sz="4" w:space="0" w:color="auto"/>
            </w:tcBorders>
            <w:shd w:val="clear" w:color="auto" w:fill="auto"/>
            <w:noWrap/>
            <w:hideMark/>
          </w:tcPr>
          <w:p w14:paraId="16D3428D" w14:textId="77777777" w:rsidR="00CF2D46" w:rsidRPr="002941E1" w:rsidRDefault="00CF2D46" w:rsidP="002941E1">
            <w:pPr>
              <w:pStyle w:val="TableText"/>
              <w:keepNext/>
              <w:rPr>
                <w:b/>
                <w:sz w:val="20"/>
              </w:rPr>
            </w:pPr>
            <w:r w:rsidRPr="002941E1">
              <w:rPr>
                <w:b/>
                <w:sz w:val="20"/>
              </w:rPr>
              <w:t>Drug type</w:t>
            </w:r>
          </w:p>
        </w:tc>
        <w:tc>
          <w:tcPr>
            <w:tcW w:w="1458" w:type="dxa"/>
            <w:tcBorders>
              <w:bottom w:val="single" w:sz="4" w:space="0" w:color="auto"/>
            </w:tcBorders>
            <w:shd w:val="clear" w:color="auto" w:fill="auto"/>
            <w:hideMark/>
          </w:tcPr>
          <w:p w14:paraId="41ACD85D" w14:textId="77777777" w:rsidR="00CF2D46" w:rsidRPr="002941E1" w:rsidRDefault="00CF2D46" w:rsidP="002941E1">
            <w:pPr>
              <w:pStyle w:val="TableText"/>
              <w:keepNext/>
              <w:jc w:val="center"/>
              <w:rPr>
                <w:b/>
                <w:sz w:val="20"/>
              </w:rPr>
            </w:pPr>
            <w:r w:rsidRPr="002941E1">
              <w:rPr>
                <w:b/>
                <w:sz w:val="20"/>
              </w:rPr>
              <w:t>Amphetamine-type stimulants</w:t>
            </w:r>
          </w:p>
        </w:tc>
        <w:tc>
          <w:tcPr>
            <w:tcW w:w="1459" w:type="dxa"/>
            <w:tcBorders>
              <w:bottom w:val="single" w:sz="4" w:space="0" w:color="auto"/>
            </w:tcBorders>
            <w:shd w:val="clear" w:color="auto" w:fill="auto"/>
            <w:hideMark/>
          </w:tcPr>
          <w:p w14:paraId="1EF54A05" w14:textId="77777777" w:rsidR="00CF2D46" w:rsidRPr="002941E1" w:rsidRDefault="00CF2D46" w:rsidP="002941E1">
            <w:pPr>
              <w:pStyle w:val="TableText"/>
              <w:keepNext/>
              <w:jc w:val="center"/>
              <w:rPr>
                <w:b/>
                <w:sz w:val="20"/>
              </w:rPr>
            </w:pPr>
            <w:r w:rsidRPr="002941E1">
              <w:rPr>
                <w:b/>
                <w:sz w:val="20"/>
              </w:rPr>
              <w:t>Cannabinoids</w:t>
            </w:r>
          </w:p>
        </w:tc>
        <w:tc>
          <w:tcPr>
            <w:tcW w:w="1459" w:type="dxa"/>
            <w:tcBorders>
              <w:bottom w:val="single" w:sz="4" w:space="0" w:color="auto"/>
            </w:tcBorders>
            <w:shd w:val="clear" w:color="auto" w:fill="auto"/>
            <w:hideMark/>
          </w:tcPr>
          <w:p w14:paraId="43255A50" w14:textId="55F913C2" w:rsidR="00CF2D46" w:rsidRPr="002941E1" w:rsidRDefault="00CF2D46">
            <w:pPr>
              <w:pStyle w:val="TableText"/>
              <w:keepNext/>
              <w:jc w:val="center"/>
              <w:rPr>
                <w:b/>
                <w:sz w:val="20"/>
              </w:rPr>
            </w:pPr>
            <w:r w:rsidRPr="002941E1">
              <w:rPr>
                <w:b/>
                <w:sz w:val="20"/>
              </w:rPr>
              <w:t xml:space="preserve">Hallucinogenic </w:t>
            </w:r>
            <w:r w:rsidR="002941E1">
              <w:rPr>
                <w:b/>
                <w:sz w:val="20"/>
              </w:rPr>
              <w:t>and</w:t>
            </w:r>
            <w:r w:rsidRPr="002941E1">
              <w:rPr>
                <w:b/>
                <w:sz w:val="20"/>
              </w:rPr>
              <w:t xml:space="preserve"> psychedelic</w:t>
            </w:r>
          </w:p>
        </w:tc>
        <w:tc>
          <w:tcPr>
            <w:tcW w:w="1459" w:type="dxa"/>
            <w:tcBorders>
              <w:bottom w:val="single" w:sz="4" w:space="0" w:color="auto"/>
            </w:tcBorders>
            <w:shd w:val="clear" w:color="auto" w:fill="auto"/>
            <w:hideMark/>
          </w:tcPr>
          <w:p w14:paraId="0B068742" w14:textId="4F77E3A6" w:rsidR="00CF2D46" w:rsidRPr="002941E1" w:rsidRDefault="00CF2D46">
            <w:pPr>
              <w:pStyle w:val="TableText"/>
              <w:keepNext/>
              <w:jc w:val="center"/>
              <w:rPr>
                <w:b/>
                <w:sz w:val="20"/>
              </w:rPr>
            </w:pPr>
            <w:r w:rsidRPr="002941E1">
              <w:rPr>
                <w:b/>
                <w:sz w:val="20"/>
              </w:rPr>
              <w:t xml:space="preserve">Opioid </w:t>
            </w:r>
            <w:r w:rsidR="002941E1">
              <w:rPr>
                <w:b/>
                <w:sz w:val="20"/>
              </w:rPr>
              <w:t>and</w:t>
            </w:r>
            <w:r w:rsidRPr="002941E1">
              <w:rPr>
                <w:b/>
                <w:sz w:val="20"/>
              </w:rPr>
              <w:t xml:space="preserve"> sedative</w:t>
            </w:r>
          </w:p>
        </w:tc>
        <w:tc>
          <w:tcPr>
            <w:tcW w:w="1417" w:type="dxa"/>
            <w:tcBorders>
              <w:bottom w:val="single" w:sz="4" w:space="0" w:color="auto"/>
            </w:tcBorders>
            <w:shd w:val="clear" w:color="auto" w:fill="auto"/>
            <w:noWrap/>
            <w:hideMark/>
          </w:tcPr>
          <w:p w14:paraId="147F9A70" w14:textId="77777777" w:rsidR="00CF2D46" w:rsidRPr="002941E1" w:rsidRDefault="00CF2D46" w:rsidP="002941E1">
            <w:pPr>
              <w:pStyle w:val="TableText"/>
              <w:keepNext/>
              <w:jc w:val="center"/>
              <w:rPr>
                <w:b/>
                <w:sz w:val="20"/>
              </w:rPr>
            </w:pPr>
            <w:r w:rsidRPr="002941E1">
              <w:rPr>
                <w:b/>
                <w:sz w:val="20"/>
              </w:rPr>
              <w:t>Total</w:t>
            </w:r>
          </w:p>
        </w:tc>
      </w:tr>
      <w:tr w:rsidR="00CF2D46" w:rsidRPr="007540D8" w14:paraId="6BAE48D2" w14:textId="77777777" w:rsidTr="002941E1">
        <w:trPr>
          <w:cantSplit/>
        </w:trPr>
        <w:tc>
          <w:tcPr>
            <w:tcW w:w="1820" w:type="dxa"/>
            <w:tcBorders>
              <w:top w:val="single" w:sz="4" w:space="0" w:color="auto"/>
              <w:bottom w:val="nil"/>
            </w:tcBorders>
            <w:shd w:val="clear" w:color="auto" w:fill="auto"/>
            <w:hideMark/>
          </w:tcPr>
          <w:p w14:paraId="0A187BA8" w14:textId="77777777" w:rsidR="00CF2D46" w:rsidRPr="002941E1" w:rsidRDefault="00CF2D46" w:rsidP="002941E1">
            <w:pPr>
              <w:pStyle w:val="TableText"/>
              <w:keepNext/>
              <w:rPr>
                <w:sz w:val="20"/>
              </w:rPr>
            </w:pPr>
            <w:r w:rsidRPr="002941E1">
              <w:rPr>
                <w:sz w:val="20"/>
              </w:rPr>
              <w:t>Dependent consumption (kg)</w:t>
            </w:r>
          </w:p>
        </w:tc>
        <w:tc>
          <w:tcPr>
            <w:tcW w:w="1458" w:type="dxa"/>
            <w:tcBorders>
              <w:top w:val="single" w:sz="4" w:space="0" w:color="auto"/>
              <w:bottom w:val="nil"/>
            </w:tcBorders>
            <w:shd w:val="clear" w:color="auto" w:fill="auto"/>
            <w:noWrap/>
            <w:hideMark/>
          </w:tcPr>
          <w:p w14:paraId="684C8251" w14:textId="77777777" w:rsidR="00CF2D46" w:rsidRPr="002941E1" w:rsidRDefault="00CF2D46" w:rsidP="002941E1">
            <w:pPr>
              <w:pStyle w:val="TableText"/>
              <w:keepNext/>
              <w:tabs>
                <w:tab w:val="decimal" w:pos="1072"/>
              </w:tabs>
              <w:rPr>
                <w:sz w:val="20"/>
              </w:rPr>
            </w:pPr>
            <w:r w:rsidRPr="002941E1">
              <w:rPr>
                <w:sz w:val="20"/>
              </w:rPr>
              <w:t>131</w:t>
            </w:r>
          </w:p>
        </w:tc>
        <w:tc>
          <w:tcPr>
            <w:tcW w:w="1459" w:type="dxa"/>
            <w:tcBorders>
              <w:top w:val="single" w:sz="4" w:space="0" w:color="auto"/>
              <w:bottom w:val="nil"/>
            </w:tcBorders>
            <w:shd w:val="clear" w:color="auto" w:fill="auto"/>
            <w:noWrap/>
            <w:hideMark/>
          </w:tcPr>
          <w:p w14:paraId="5A3056A9" w14:textId="77777777" w:rsidR="00CF2D46" w:rsidRPr="002941E1" w:rsidRDefault="00CF2D46" w:rsidP="002941E1">
            <w:pPr>
              <w:pStyle w:val="TableText"/>
              <w:keepNext/>
              <w:tabs>
                <w:tab w:val="decimal" w:pos="1072"/>
              </w:tabs>
              <w:rPr>
                <w:sz w:val="20"/>
              </w:rPr>
            </w:pPr>
            <w:r w:rsidRPr="002941E1">
              <w:rPr>
                <w:sz w:val="20"/>
              </w:rPr>
              <w:t>16,186</w:t>
            </w:r>
          </w:p>
        </w:tc>
        <w:tc>
          <w:tcPr>
            <w:tcW w:w="1459" w:type="dxa"/>
            <w:tcBorders>
              <w:top w:val="single" w:sz="4" w:space="0" w:color="auto"/>
              <w:bottom w:val="nil"/>
            </w:tcBorders>
            <w:shd w:val="clear" w:color="auto" w:fill="auto"/>
            <w:noWrap/>
            <w:hideMark/>
          </w:tcPr>
          <w:p w14:paraId="0B796731" w14:textId="77777777" w:rsidR="00CF2D46" w:rsidRPr="002941E1" w:rsidRDefault="00CF2D46" w:rsidP="002941E1">
            <w:pPr>
              <w:pStyle w:val="TableText"/>
              <w:keepNext/>
              <w:tabs>
                <w:tab w:val="decimal" w:pos="1072"/>
              </w:tabs>
              <w:rPr>
                <w:sz w:val="20"/>
              </w:rPr>
            </w:pPr>
            <w:r w:rsidRPr="002941E1">
              <w:rPr>
                <w:sz w:val="20"/>
              </w:rPr>
              <w:t>3</w:t>
            </w:r>
          </w:p>
        </w:tc>
        <w:tc>
          <w:tcPr>
            <w:tcW w:w="1459" w:type="dxa"/>
            <w:tcBorders>
              <w:top w:val="single" w:sz="4" w:space="0" w:color="auto"/>
              <w:bottom w:val="nil"/>
            </w:tcBorders>
            <w:shd w:val="clear" w:color="auto" w:fill="auto"/>
            <w:noWrap/>
            <w:hideMark/>
          </w:tcPr>
          <w:p w14:paraId="4B787574" w14:textId="77777777" w:rsidR="00CF2D46" w:rsidRPr="002941E1" w:rsidRDefault="00CF2D46" w:rsidP="002941E1">
            <w:pPr>
              <w:pStyle w:val="TableText"/>
              <w:keepNext/>
              <w:tabs>
                <w:tab w:val="decimal" w:pos="1072"/>
              </w:tabs>
              <w:rPr>
                <w:sz w:val="20"/>
              </w:rPr>
            </w:pPr>
            <w:r w:rsidRPr="002941E1">
              <w:rPr>
                <w:sz w:val="20"/>
              </w:rPr>
              <w:t>255</w:t>
            </w:r>
          </w:p>
        </w:tc>
        <w:tc>
          <w:tcPr>
            <w:tcW w:w="1417" w:type="dxa"/>
            <w:tcBorders>
              <w:top w:val="single" w:sz="4" w:space="0" w:color="auto"/>
              <w:bottom w:val="nil"/>
            </w:tcBorders>
            <w:shd w:val="clear" w:color="auto" w:fill="auto"/>
            <w:noWrap/>
            <w:hideMark/>
          </w:tcPr>
          <w:p w14:paraId="673EB4E3" w14:textId="77777777" w:rsidR="00CF2D46" w:rsidRPr="002941E1" w:rsidRDefault="00CF2D46" w:rsidP="002941E1">
            <w:pPr>
              <w:pStyle w:val="TableText"/>
              <w:keepNext/>
              <w:tabs>
                <w:tab w:val="decimal" w:pos="1049"/>
              </w:tabs>
              <w:rPr>
                <w:sz w:val="20"/>
              </w:rPr>
            </w:pPr>
          </w:p>
        </w:tc>
      </w:tr>
      <w:tr w:rsidR="00CF2D46" w:rsidRPr="007540D8" w14:paraId="0131BCF2" w14:textId="77777777" w:rsidTr="002941E1">
        <w:trPr>
          <w:cantSplit/>
        </w:trPr>
        <w:tc>
          <w:tcPr>
            <w:tcW w:w="1820" w:type="dxa"/>
            <w:tcBorders>
              <w:top w:val="nil"/>
              <w:bottom w:val="single" w:sz="4" w:space="0" w:color="auto"/>
            </w:tcBorders>
            <w:shd w:val="clear" w:color="auto" w:fill="auto"/>
            <w:hideMark/>
          </w:tcPr>
          <w:p w14:paraId="182C90C2" w14:textId="77777777" w:rsidR="00CF2D46" w:rsidRPr="002941E1" w:rsidRDefault="00CF2D46" w:rsidP="00E54096">
            <w:pPr>
              <w:pStyle w:val="TableText"/>
              <w:keepNext/>
              <w:spacing w:before="0"/>
              <w:rPr>
                <w:sz w:val="20"/>
              </w:rPr>
            </w:pPr>
            <w:r w:rsidRPr="002941E1">
              <w:rPr>
                <w:sz w:val="20"/>
              </w:rPr>
              <w:t>Casual consumption (kg)</w:t>
            </w:r>
          </w:p>
        </w:tc>
        <w:tc>
          <w:tcPr>
            <w:tcW w:w="1458" w:type="dxa"/>
            <w:tcBorders>
              <w:top w:val="nil"/>
              <w:bottom w:val="single" w:sz="4" w:space="0" w:color="auto"/>
            </w:tcBorders>
            <w:shd w:val="clear" w:color="auto" w:fill="auto"/>
            <w:noWrap/>
            <w:hideMark/>
          </w:tcPr>
          <w:p w14:paraId="00BA2EAF" w14:textId="77777777" w:rsidR="00CF2D46" w:rsidRPr="002941E1" w:rsidRDefault="00CF2D46" w:rsidP="00E54096">
            <w:pPr>
              <w:pStyle w:val="TableText"/>
              <w:keepNext/>
              <w:tabs>
                <w:tab w:val="decimal" w:pos="1072"/>
              </w:tabs>
              <w:spacing w:before="0"/>
              <w:rPr>
                <w:sz w:val="20"/>
              </w:rPr>
            </w:pPr>
            <w:r w:rsidRPr="002941E1">
              <w:rPr>
                <w:sz w:val="20"/>
              </w:rPr>
              <w:t>163</w:t>
            </w:r>
          </w:p>
        </w:tc>
        <w:tc>
          <w:tcPr>
            <w:tcW w:w="1459" w:type="dxa"/>
            <w:tcBorders>
              <w:top w:val="nil"/>
              <w:bottom w:val="single" w:sz="4" w:space="0" w:color="auto"/>
            </w:tcBorders>
            <w:shd w:val="clear" w:color="auto" w:fill="auto"/>
            <w:noWrap/>
            <w:hideMark/>
          </w:tcPr>
          <w:p w14:paraId="019D98A4" w14:textId="77777777" w:rsidR="00CF2D46" w:rsidRPr="002941E1" w:rsidRDefault="00CF2D46" w:rsidP="00E54096">
            <w:pPr>
              <w:pStyle w:val="TableText"/>
              <w:keepNext/>
              <w:tabs>
                <w:tab w:val="decimal" w:pos="1072"/>
              </w:tabs>
              <w:spacing w:before="0"/>
              <w:rPr>
                <w:sz w:val="20"/>
              </w:rPr>
            </w:pPr>
            <w:r w:rsidRPr="002941E1">
              <w:rPr>
                <w:sz w:val="20"/>
              </w:rPr>
              <w:t>11,255</w:t>
            </w:r>
          </w:p>
        </w:tc>
        <w:tc>
          <w:tcPr>
            <w:tcW w:w="1459" w:type="dxa"/>
            <w:tcBorders>
              <w:top w:val="nil"/>
              <w:bottom w:val="single" w:sz="4" w:space="0" w:color="auto"/>
            </w:tcBorders>
            <w:shd w:val="clear" w:color="auto" w:fill="auto"/>
            <w:noWrap/>
            <w:hideMark/>
          </w:tcPr>
          <w:p w14:paraId="15F56D60" w14:textId="77777777" w:rsidR="00CF2D46" w:rsidRPr="002941E1" w:rsidRDefault="00CF2D46" w:rsidP="00E54096">
            <w:pPr>
              <w:pStyle w:val="TableText"/>
              <w:keepNext/>
              <w:tabs>
                <w:tab w:val="decimal" w:pos="1072"/>
              </w:tabs>
              <w:spacing w:before="0"/>
              <w:rPr>
                <w:sz w:val="20"/>
              </w:rPr>
            </w:pPr>
            <w:r w:rsidRPr="002941E1">
              <w:rPr>
                <w:sz w:val="20"/>
              </w:rPr>
              <w:t>21</w:t>
            </w:r>
          </w:p>
        </w:tc>
        <w:tc>
          <w:tcPr>
            <w:tcW w:w="1459" w:type="dxa"/>
            <w:tcBorders>
              <w:top w:val="nil"/>
              <w:bottom w:val="single" w:sz="4" w:space="0" w:color="auto"/>
            </w:tcBorders>
            <w:shd w:val="clear" w:color="auto" w:fill="auto"/>
            <w:noWrap/>
            <w:hideMark/>
          </w:tcPr>
          <w:p w14:paraId="0371B7C8" w14:textId="77777777" w:rsidR="00CF2D46" w:rsidRPr="002941E1" w:rsidRDefault="00CF2D46" w:rsidP="00E54096">
            <w:pPr>
              <w:pStyle w:val="TableText"/>
              <w:keepNext/>
              <w:tabs>
                <w:tab w:val="decimal" w:pos="1072"/>
              </w:tabs>
              <w:spacing w:before="0"/>
              <w:rPr>
                <w:sz w:val="20"/>
              </w:rPr>
            </w:pPr>
            <w:r w:rsidRPr="002941E1">
              <w:rPr>
                <w:sz w:val="20"/>
              </w:rPr>
              <w:t>245</w:t>
            </w:r>
          </w:p>
        </w:tc>
        <w:tc>
          <w:tcPr>
            <w:tcW w:w="1417" w:type="dxa"/>
            <w:tcBorders>
              <w:top w:val="nil"/>
              <w:bottom w:val="single" w:sz="4" w:space="0" w:color="auto"/>
            </w:tcBorders>
            <w:shd w:val="clear" w:color="auto" w:fill="auto"/>
            <w:noWrap/>
            <w:hideMark/>
          </w:tcPr>
          <w:p w14:paraId="3CA42BD1" w14:textId="77777777" w:rsidR="00CF2D46" w:rsidRPr="002941E1" w:rsidRDefault="00CF2D46" w:rsidP="00E54096">
            <w:pPr>
              <w:pStyle w:val="TableText"/>
              <w:keepNext/>
              <w:tabs>
                <w:tab w:val="decimal" w:pos="1049"/>
              </w:tabs>
              <w:spacing w:before="0"/>
              <w:rPr>
                <w:sz w:val="20"/>
              </w:rPr>
            </w:pPr>
          </w:p>
        </w:tc>
      </w:tr>
      <w:tr w:rsidR="00CF2D46" w:rsidRPr="007540D8" w14:paraId="7EB8F170" w14:textId="77777777" w:rsidTr="002941E1">
        <w:trPr>
          <w:cantSplit/>
        </w:trPr>
        <w:tc>
          <w:tcPr>
            <w:tcW w:w="1820" w:type="dxa"/>
            <w:tcBorders>
              <w:top w:val="single" w:sz="4" w:space="0" w:color="auto"/>
              <w:bottom w:val="single" w:sz="4" w:space="0" w:color="auto"/>
            </w:tcBorders>
            <w:shd w:val="clear" w:color="auto" w:fill="auto"/>
            <w:hideMark/>
          </w:tcPr>
          <w:p w14:paraId="6C2A3AC5" w14:textId="77777777" w:rsidR="00CF2D46" w:rsidRPr="002941E1" w:rsidRDefault="00CF2D46" w:rsidP="002941E1">
            <w:pPr>
              <w:pStyle w:val="TableText"/>
              <w:keepNext/>
              <w:rPr>
                <w:sz w:val="20"/>
              </w:rPr>
            </w:pPr>
            <w:r w:rsidRPr="002941E1">
              <w:rPr>
                <w:sz w:val="20"/>
              </w:rPr>
              <w:t>Price per kg</w:t>
            </w:r>
          </w:p>
        </w:tc>
        <w:tc>
          <w:tcPr>
            <w:tcW w:w="1458" w:type="dxa"/>
            <w:tcBorders>
              <w:top w:val="single" w:sz="4" w:space="0" w:color="auto"/>
              <w:bottom w:val="single" w:sz="4" w:space="0" w:color="auto"/>
            </w:tcBorders>
            <w:shd w:val="clear" w:color="auto" w:fill="auto"/>
            <w:noWrap/>
            <w:hideMark/>
          </w:tcPr>
          <w:p w14:paraId="2B1D93E0" w14:textId="77777777" w:rsidR="00CF2D46" w:rsidRPr="002941E1" w:rsidRDefault="00CF2D46" w:rsidP="002941E1">
            <w:pPr>
              <w:pStyle w:val="TableText"/>
              <w:keepNext/>
              <w:tabs>
                <w:tab w:val="decimal" w:pos="1072"/>
              </w:tabs>
              <w:rPr>
                <w:sz w:val="20"/>
              </w:rPr>
            </w:pPr>
            <w:r w:rsidRPr="002941E1">
              <w:rPr>
                <w:sz w:val="20"/>
              </w:rPr>
              <w:t>$260,000</w:t>
            </w:r>
          </w:p>
        </w:tc>
        <w:tc>
          <w:tcPr>
            <w:tcW w:w="1459" w:type="dxa"/>
            <w:tcBorders>
              <w:top w:val="single" w:sz="4" w:space="0" w:color="auto"/>
              <w:bottom w:val="single" w:sz="4" w:space="0" w:color="auto"/>
            </w:tcBorders>
            <w:shd w:val="clear" w:color="auto" w:fill="auto"/>
            <w:noWrap/>
            <w:hideMark/>
          </w:tcPr>
          <w:p w14:paraId="28BEC494" w14:textId="77777777" w:rsidR="00CF2D46" w:rsidRPr="002941E1" w:rsidRDefault="00CF2D46" w:rsidP="002941E1">
            <w:pPr>
              <w:pStyle w:val="TableText"/>
              <w:keepNext/>
              <w:tabs>
                <w:tab w:val="decimal" w:pos="1072"/>
              </w:tabs>
              <w:rPr>
                <w:sz w:val="20"/>
              </w:rPr>
            </w:pPr>
            <w:r w:rsidRPr="002941E1">
              <w:rPr>
                <w:sz w:val="20"/>
              </w:rPr>
              <w:t>$20,000</w:t>
            </w:r>
          </w:p>
        </w:tc>
        <w:tc>
          <w:tcPr>
            <w:tcW w:w="1459" w:type="dxa"/>
            <w:tcBorders>
              <w:top w:val="single" w:sz="4" w:space="0" w:color="auto"/>
              <w:bottom w:val="single" w:sz="4" w:space="0" w:color="auto"/>
            </w:tcBorders>
            <w:shd w:val="clear" w:color="auto" w:fill="auto"/>
            <w:noWrap/>
            <w:hideMark/>
          </w:tcPr>
          <w:p w14:paraId="39883131" w14:textId="77777777" w:rsidR="00CF2D46" w:rsidRPr="002941E1" w:rsidRDefault="00CF2D46" w:rsidP="002941E1">
            <w:pPr>
              <w:pStyle w:val="TableText"/>
              <w:keepNext/>
              <w:tabs>
                <w:tab w:val="decimal" w:pos="1072"/>
              </w:tabs>
              <w:rPr>
                <w:sz w:val="20"/>
              </w:rPr>
            </w:pPr>
            <w:r w:rsidRPr="002941E1">
              <w:rPr>
                <w:sz w:val="20"/>
              </w:rPr>
              <w:t>$75,000</w:t>
            </w:r>
          </w:p>
        </w:tc>
        <w:tc>
          <w:tcPr>
            <w:tcW w:w="1459" w:type="dxa"/>
            <w:tcBorders>
              <w:top w:val="single" w:sz="4" w:space="0" w:color="auto"/>
              <w:bottom w:val="single" w:sz="4" w:space="0" w:color="auto"/>
            </w:tcBorders>
            <w:shd w:val="clear" w:color="auto" w:fill="auto"/>
            <w:noWrap/>
            <w:hideMark/>
          </w:tcPr>
          <w:p w14:paraId="38D3ECF5" w14:textId="77777777" w:rsidR="00CF2D46" w:rsidRPr="002941E1" w:rsidRDefault="00CF2D46" w:rsidP="002941E1">
            <w:pPr>
              <w:pStyle w:val="TableText"/>
              <w:keepNext/>
              <w:tabs>
                <w:tab w:val="decimal" w:pos="1072"/>
              </w:tabs>
              <w:rPr>
                <w:sz w:val="20"/>
              </w:rPr>
            </w:pPr>
            <w:r w:rsidRPr="002941E1">
              <w:rPr>
                <w:sz w:val="20"/>
              </w:rPr>
              <w:t>$4,000*</w:t>
            </w:r>
          </w:p>
        </w:tc>
        <w:tc>
          <w:tcPr>
            <w:tcW w:w="1417" w:type="dxa"/>
            <w:tcBorders>
              <w:top w:val="single" w:sz="4" w:space="0" w:color="auto"/>
              <w:bottom w:val="single" w:sz="4" w:space="0" w:color="auto"/>
            </w:tcBorders>
            <w:shd w:val="clear" w:color="auto" w:fill="auto"/>
            <w:noWrap/>
            <w:hideMark/>
          </w:tcPr>
          <w:p w14:paraId="353649C6" w14:textId="77777777" w:rsidR="00CF2D46" w:rsidRPr="002941E1" w:rsidRDefault="00CF2D46" w:rsidP="002941E1">
            <w:pPr>
              <w:pStyle w:val="TableText"/>
              <w:keepNext/>
              <w:tabs>
                <w:tab w:val="decimal" w:pos="1049"/>
              </w:tabs>
              <w:rPr>
                <w:sz w:val="20"/>
              </w:rPr>
            </w:pPr>
          </w:p>
        </w:tc>
      </w:tr>
      <w:tr w:rsidR="00CF2D46" w:rsidRPr="007540D8" w14:paraId="2E3E8A8F" w14:textId="77777777" w:rsidTr="002941E1">
        <w:trPr>
          <w:cantSplit/>
        </w:trPr>
        <w:tc>
          <w:tcPr>
            <w:tcW w:w="1820" w:type="dxa"/>
            <w:tcBorders>
              <w:top w:val="single" w:sz="4" w:space="0" w:color="auto"/>
              <w:bottom w:val="nil"/>
            </w:tcBorders>
            <w:shd w:val="clear" w:color="auto" w:fill="auto"/>
            <w:hideMark/>
          </w:tcPr>
          <w:p w14:paraId="181364F4" w14:textId="77777777" w:rsidR="00CF2D46" w:rsidRPr="002941E1" w:rsidRDefault="00CF2D46" w:rsidP="002941E1">
            <w:pPr>
              <w:pStyle w:val="TableText"/>
              <w:keepNext/>
              <w:rPr>
                <w:sz w:val="20"/>
              </w:rPr>
            </w:pPr>
            <w:r w:rsidRPr="002941E1">
              <w:rPr>
                <w:sz w:val="20"/>
              </w:rPr>
              <w:t>Income from dependent users</w:t>
            </w:r>
          </w:p>
        </w:tc>
        <w:tc>
          <w:tcPr>
            <w:tcW w:w="1458" w:type="dxa"/>
            <w:tcBorders>
              <w:top w:val="single" w:sz="4" w:space="0" w:color="auto"/>
              <w:bottom w:val="nil"/>
            </w:tcBorders>
            <w:shd w:val="clear" w:color="auto" w:fill="auto"/>
            <w:noWrap/>
            <w:hideMark/>
          </w:tcPr>
          <w:p w14:paraId="3B14A382" w14:textId="77777777" w:rsidR="00CF2D46" w:rsidRPr="002941E1" w:rsidRDefault="00CF2D46" w:rsidP="002941E1">
            <w:pPr>
              <w:pStyle w:val="TableText"/>
              <w:keepNext/>
              <w:tabs>
                <w:tab w:val="decimal" w:pos="1072"/>
              </w:tabs>
              <w:rPr>
                <w:sz w:val="20"/>
              </w:rPr>
            </w:pPr>
            <w:r w:rsidRPr="002941E1">
              <w:rPr>
                <w:sz w:val="20"/>
              </w:rPr>
              <w:t>$33,972,331</w:t>
            </w:r>
          </w:p>
        </w:tc>
        <w:tc>
          <w:tcPr>
            <w:tcW w:w="1459" w:type="dxa"/>
            <w:tcBorders>
              <w:top w:val="single" w:sz="4" w:space="0" w:color="auto"/>
              <w:bottom w:val="nil"/>
            </w:tcBorders>
            <w:shd w:val="clear" w:color="auto" w:fill="auto"/>
            <w:noWrap/>
            <w:hideMark/>
          </w:tcPr>
          <w:p w14:paraId="21D174EA" w14:textId="77777777" w:rsidR="00CF2D46" w:rsidRPr="002941E1" w:rsidRDefault="00CF2D46" w:rsidP="002941E1">
            <w:pPr>
              <w:pStyle w:val="TableText"/>
              <w:keepNext/>
              <w:tabs>
                <w:tab w:val="decimal" w:pos="1072"/>
              </w:tabs>
              <w:rPr>
                <w:sz w:val="20"/>
              </w:rPr>
            </w:pPr>
            <w:r w:rsidRPr="002941E1">
              <w:rPr>
                <w:sz w:val="20"/>
              </w:rPr>
              <w:t>$323,715,671</w:t>
            </w:r>
          </w:p>
        </w:tc>
        <w:tc>
          <w:tcPr>
            <w:tcW w:w="1459" w:type="dxa"/>
            <w:tcBorders>
              <w:top w:val="single" w:sz="4" w:space="0" w:color="auto"/>
              <w:bottom w:val="nil"/>
            </w:tcBorders>
            <w:shd w:val="clear" w:color="auto" w:fill="auto"/>
            <w:noWrap/>
            <w:hideMark/>
          </w:tcPr>
          <w:p w14:paraId="7B7F01CE" w14:textId="77777777" w:rsidR="00CF2D46" w:rsidRPr="002941E1" w:rsidRDefault="00CF2D46" w:rsidP="002941E1">
            <w:pPr>
              <w:pStyle w:val="TableText"/>
              <w:keepNext/>
              <w:tabs>
                <w:tab w:val="decimal" w:pos="1072"/>
              </w:tabs>
              <w:rPr>
                <w:sz w:val="20"/>
              </w:rPr>
            </w:pPr>
            <w:r w:rsidRPr="002941E1">
              <w:rPr>
                <w:sz w:val="20"/>
              </w:rPr>
              <w:t>$189,275</w:t>
            </w:r>
          </w:p>
        </w:tc>
        <w:tc>
          <w:tcPr>
            <w:tcW w:w="1459" w:type="dxa"/>
            <w:tcBorders>
              <w:top w:val="single" w:sz="4" w:space="0" w:color="auto"/>
              <w:bottom w:val="nil"/>
            </w:tcBorders>
            <w:shd w:val="clear" w:color="auto" w:fill="auto"/>
            <w:noWrap/>
            <w:hideMark/>
          </w:tcPr>
          <w:p w14:paraId="52754301" w14:textId="77777777" w:rsidR="00CF2D46" w:rsidRPr="002941E1" w:rsidRDefault="00CF2D46" w:rsidP="002941E1">
            <w:pPr>
              <w:pStyle w:val="TableText"/>
              <w:keepNext/>
              <w:tabs>
                <w:tab w:val="decimal" w:pos="1072"/>
              </w:tabs>
              <w:rPr>
                <w:sz w:val="20"/>
              </w:rPr>
            </w:pPr>
            <w:r w:rsidRPr="002941E1">
              <w:rPr>
                <w:sz w:val="20"/>
              </w:rPr>
              <w:t>$1,020,026</w:t>
            </w:r>
          </w:p>
        </w:tc>
        <w:tc>
          <w:tcPr>
            <w:tcW w:w="1417" w:type="dxa"/>
            <w:tcBorders>
              <w:top w:val="single" w:sz="4" w:space="0" w:color="auto"/>
              <w:bottom w:val="nil"/>
            </w:tcBorders>
            <w:shd w:val="clear" w:color="auto" w:fill="auto"/>
            <w:noWrap/>
            <w:hideMark/>
          </w:tcPr>
          <w:p w14:paraId="77987146" w14:textId="77777777" w:rsidR="00CF2D46" w:rsidRPr="00E54096" w:rsidRDefault="00CF2D46" w:rsidP="002941E1">
            <w:pPr>
              <w:pStyle w:val="TableText"/>
              <w:keepNext/>
              <w:tabs>
                <w:tab w:val="decimal" w:pos="1049"/>
              </w:tabs>
              <w:rPr>
                <w:b/>
                <w:sz w:val="20"/>
              </w:rPr>
            </w:pPr>
            <w:r w:rsidRPr="00E54096">
              <w:rPr>
                <w:b/>
                <w:sz w:val="20"/>
              </w:rPr>
              <w:t>$358,897,304</w:t>
            </w:r>
          </w:p>
        </w:tc>
      </w:tr>
      <w:tr w:rsidR="00CF2D46" w:rsidRPr="007540D8" w14:paraId="633FAE48" w14:textId="77777777" w:rsidTr="002941E1">
        <w:trPr>
          <w:cantSplit/>
        </w:trPr>
        <w:tc>
          <w:tcPr>
            <w:tcW w:w="1820" w:type="dxa"/>
            <w:tcBorders>
              <w:top w:val="nil"/>
              <w:bottom w:val="nil"/>
            </w:tcBorders>
            <w:shd w:val="clear" w:color="auto" w:fill="auto"/>
            <w:hideMark/>
          </w:tcPr>
          <w:p w14:paraId="30565ACE" w14:textId="77777777" w:rsidR="00CF2D46" w:rsidRPr="002941E1" w:rsidRDefault="00CF2D46" w:rsidP="00E54096">
            <w:pPr>
              <w:pStyle w:val="TableText"/>
              <w:keepNext/>
              <w:spacing w:before="0"/>
              <w:rPr>
                <w:sz w:val="20"/>
              </w:rPr>
            </w:pPr>
            <w:r w:rsidRPr="002941E1">
              <w:rPr>
                <w:sz w:val="20"/>
              </w:rPr>
              <w:t>Income from casual users</w:t>
            </w:r>
          </w:p>
        </w:tc>
        <w:tc>
          <w:tcPr>
            <w:tcW w:w="1458" w:type="dxa"/>
            <w:tcBorders>
              <w:top w:val="nil"/>
              <w:bottom w:val="nil"/>
            </w:tcBorders>
            <w:shd w:val="clear" w:color="auto" w:fill="auto"/>
            <w:noWrap/>
            <w:hideMark/>
          </w:tcPr>
          <w:p w14:paraId="7BE655EB" w14:textId="77777777" w:rsidR="00CF2D46" w:rsidRPr="002941E1" w:rsidRDefault="00CF2D46" w:rsidP="00E54096">
            <w:pPr>
              <w:pStyle w:val="TableText"/>
              <w:keepNext/>
              <w:tabs>
                <w:tab w:val="decimal" w:pos="1072"/>
              </w:tabs>
              <w:spacing w:before="0"/>
              <w:rPr>
                <w:sz w:val="20"/>
              </w:rPr>
            </w:pPr>
            <w:r w:rsidRPr="002941E1">
              <w:rPr>
                <w:sz w:val="20"/>
              </w:rPr>
              <w:t>$42,417,964</w:t>
            </w:r>
          </w:p>
        </w:tc>
        <w:tc>
          <w:tcPr>
            <w:tcW w:w="1459" w:type="dxa"/>
            <w:tcBorders>
              <w:top w:val="nil"/>
              <w:bottom w:val="nil"/>
            </w:tcBorders>
            <w:shd w:val="clear" w:color="auto" w:fill="auto"/>
            <w:noWrap/>
            <w:hideMark/>
          </w:tcPr>
          <w:p w14:paraId="4E7B0458" w14:textId="77777777" w:rsidR="00CF2D46" w:rsidRPr="002941E1" w:rsidRDefault="00CF2D46" w:rsidP="00E54096">
            <w:pPr>
              <w:pStyle w:val="TableText"/>
              <w:keepNext/>
              <w:tabs>
                <w:tab w:val="decimal" w:pos="1072"/>
              </w:tabs>
              <w:spacing w:before="0"/>
              <w:rPr>
                <w:sz w:val="20"/>
              </w:rPr>
            </w:pPr>
            <w:r w:rsidRPr="002941E1">
              <w:rPr>
                <w:sz w:val="20"/>
              </w:rPr>
              <w:t>$225,108,519</w:t>
            </w:r>
          </w:p>
        </w:tc>
        <w:tc>
          <w:tcPr>
            <w:tcW w:w="1459" w:type="dxa"/>
            <w:tcBorders>
              <w:top w:val="nil"/>
              <w:bottom w:val="nil"/>
            </w:tcBorders>
            <w:shd w:val="clear" w:color="auto" w:fill="auto"/>
            <w:noWrap/>
            <w:hideMark/>
          </w:tcPr>
          <w:p w14:paraId="60627411" w14:textId="77777777" w:rsidR="00CF2D46" w:rsidRPr="002941E1" w:rsidRDefault="00CF2D46" w:rsidP="00E54096">
            <w:pPr>
              <w:pStyle w:val="TableText"/>
              <w:keepNext/>
              <w:tabs>
                <w:tab w:val="decimal" w:pos="1072"/>
              </w:tabs>
              <w:spacing w:before="0"/>
              <w:rPr>
                <w:sz w:val="20"/>
              </w:rPr>
            </w:pPr>
            <w:r w:rsidRPr="002941E1">
              <w:rPr>
                <w:sz w:val="20"/>
              </w:rPr>
              <w:t>$1,599,117</w:t>
            </w:r>
          </w:p>
        </w:tc>
        <w:tc>
          <w:tcPr>
            <w:tcW w:w="1459" w:type="dxa"/>
            <w:tcBorders>
              <w:top w:val="nil"/>
              <w:bottom w:val="nil"/>
            </w:tcBorders>
            <w:shd w:val="clear" w:color="auto" w:fill="auto"/>
            <w:noWrap/>
            <w:hideMark/>
          </w:tcPr>
          <w:p w14:paraId="3C0B90AF" w14:textId="77777777" w:rsidR="00CF2D46" w:rsidRPr="002941E1" w:rsidRDefault="00CF2D46" w:rsidP="00E54096">
            <w:pPr>
              <w:pStyle w:val="TableText"/>
              <w:keepNext/>
              <w:tabs>
                <w:tab w:val="decimal" w:pos="1072"/>
              </w:tabs>
              <w:spacing w:before="0"/>
              <w:rPr>
                <w:sz w:val="20"/>
              </w:rPr>
            </w:pPr>
            <w:r w:rsidRPr="002941E1">
              <w:rPr>
                <w:sz w:val="20"/>
              </w:rPr>
              <w:t>$978,572</w:t>
            </w:r>
          </w:p>
        </w:tc>
        <w:tc>
          <w:tcPr>
            <w:tcW w:w="1417" w:type="dxa"/>
            <w:tcBorders>
              <w:top w:val="nil"/>
              <w:bottom w:val="nil"/>
            </w:tcBorders>
            <w:shd w:val="clear" w:color="auto" w:fill="auto"/>
            <w:noWrap/>
            <w:hideMark/>
          </w:tcPr>
          <w:p w14:paraId="22BA619E" w14:textId="77777777" w:rsidR="00CF2D46" w:rsidRPr="00E54096" w:rsidRDefault="00CF2D46" w:rsidP="00E54096">
            <w:pPr>
              <w:pStyle w:val="TableText"/>
              <w:keepNext/>
              <w:tabs>
                <w:tab w:val="decimal" w:pos="1049"/>
              </w:tabs>
              <w:spacing w:before="0"/>
              <w:rPr>
                <w:b/>
                <w:sz w:val="20"/>
              </w:rPr>
            </w:pPr>
            <w:r w:rsidRPr="00E54096">
              <w:rPr>
                <w:b/>
                <w:sz w:val="20"/>
              </w:rPr>
              <w:t>$270,104,172</w:t>
            </w:r>
          </w:p>
        </w:tc>
      </w:tr>
      <w:tr w:rsidR="00CF2D46" w:rsidRPr="007540D8" w14:paraId="02D602BA" w14:textId="77777777" w:rsidTr="002941E1">
        <w:trPr>
          <w:cantSplit/>
        </w:trPr>
        <w:tc>
          <w:tcPr>
            <w:tcW w:w="1820" w:type="dxa"/>
            <w:tcBorders>
              <w:top w:val="nil"/>
              <w:bottom w:val="single" w:sz="4" w:space="0" w:color="auto"/>
            </w:tcBorders>
            <w:shd w:val="clear" w:color="auto" w:fill="auto"/>
            <w:hideMark/>
          </w:tcPr>
          <w:p w14:paraId="1D0DEFBA" w14:textId="45653FE8" w:rsidR="00CF2D46" w:rsidRPr="002941E1" w:rsidRDefault="00CF2D46">
            <w:pPr>
              <w:pStyle w:val="TableText"/>
              <w:keepNext/>
              <w:spacing w:before="0"/>
              <w:rPr>
                <w:sz w:val="20"/>
              </w:rPr>
            </w:pPr>
            <w:r w:rsidRPr="002941E1">
              <w:rPr>
                <w:sz w:val="20"/>
              </w:rPr>
              <w:t xml:space="preserve">Total </w:t>
            </w:r>
            <w:r w:rsidR="00906CD5">
              <w:rPr>
                <w:sz w:val="20"/>
              </w:rPr>
              <w:t>i</w:t>
            </w:r>
            <w:r w:rsidRPr="002941E1">
              <w:rPr>
                <w:sz w:val="20"/>
              </w:rPr>
              <w:t>ncome</w:t>
            </w:r>
          </w:p>
        </w:tc>
        <w:tc>
          <w:tcPr>
            <w:tcW w:w="1458" w:type="dxa"/>
            <w:tcBorders>
              <w:top w:val="nil"/>
              <w:bottom w:val="single" w:sz="4" w:space="0" w:color="auto"/>
            </w:tcBorders>
            <w:shd w:val="clear" w:color="auto" w:fill="auto"/>
            <w:noWrap/>
            <w:hideMark/>
          </w:tcPr>
          <w:p w14:paraId="3AB277CE" w14:textId="77777777" w:rsidR="00CF2D46" w:rsidRPr="002941E1" w:rsidRDefault="00CF2D46" w:rsidP="00E54096">
            <w:pPr>
              <w:pStyle w:val="TableText"/>
              <w:keepNext/>
              <w:tabs>
                <w:tab w:val="decimal" w:pos="1072"/>
              </w:tabs>
              <w:spacing w:before="0"/>
              <w:rPr>
                <w:sz w:val="20"/>
              </w:rPr>
            </w:pPr>
            <w:r w:rsidRPr="002941E1">
              <w:rPr>
                <w:sz w:val="20"/>
              </w:rPr>
              <w:t>$76,390,296</w:t>
            </w:r>
          </w:p>
        </w:tc>
        <w:tc>
          <w:tcPr>
            <w:tcW w:w="1459" w:type="dxa"/>
            <w:tcBorders>
              <w:top w:val="nil"/>
              <w:bottom w:val="single" w:sz="4" w:space="0" w:color="auto"/>
            </w:tcBorders>
            <w:shd w:val="clear" w:color="auto" w:fill="auto"/>
            <w:noWrap/>
            <w:hideMark/>
          </w:tcPr>
          <w:p w14:paraId="6BAAED61" w14:textId="77777777" w:rsidR="00CF2D46" w:rsidRPr="002941E1" w:rsidRDefault="00CF2D46" w:rsidP="00E54096">
            <w:pPr>
              <w:pStyle w:val="TableText"/>
              <w:keepNext/>
              <w:tabs>
                <w:tab w:val="decimal" w:pos="1072"/>
              </w:tabs>
              <w:spacing w:before="0"/>
              <w:rPr>
                <w:sz w:val="20"/>
              </w:rPr>
            </w:pPr>
            <w:r w:rsidRPr="002941E1">
              <w:rPr>
                <w:sz w:val="20"/>
              </w:rPr>
              <w:t>$548,824,190</w:t>
            </w:r>
          </w:p>
        </w:tc>
        <w:tc>
          <w:tcPr>
            <w:tcW w:w="1459" w:type="dxa"/>
            <w:tcBorders>
              <w:top w:val="nil"/>
              <w:bottom w:val="single" w:sz="4" w:space="0" w:color="auto"/>
            </w:tcBorders>
            <w:shd w:val="clear" w:color="auto" w:fill="auto"/>
            <w:noWrap/>
            <w:hideMark/>
          </w:tcPr>
          <w:p w14:paraId="17619063" w14:textId="77777777" w:rsidR="00CF2D46" w:rsidRPr="002941E1" w:rsidRDefault="00CF2D46" w:rsidP="00E54096">
            <w:pPr>
              <w:pStyle w:val="TableText"/>
              <w:keepNext/>
              <w:tabs>
                <w:tab w:val="decimal" w:pos="1072"/>
              </w:tabs>
              <w:spacing w:before="0"/>
              <w:rPr>
                <w:sz w:val="20"/>
              </w:rPr>
            </w:pPr>
            <w:r w:rsidRPr="002941E1">
              <w:rPr>
                <w:sz w:val="20"/>
              </w:rPr>
              <w:t>$1,788,392</w:t>
            </w:r>
          </w:p>
        </w:tc>
        <w:tc>
          <w:tcPr>
            <w:tcW w:w="1459" w:type="dxa"/>
            <w:tcBorders>
              <w:top w:val="nil"/>
              <w:bottom w:val="single" w:sz="4" w:space="0" w:color="auto"/>
            </w:tcBorders>
            <w:shd w:val="clear" w:color="auto" w:fill="auto"/>
            <w:noWrap/>
            <w:hideMark/>
          </w:tcPr>
          <w:p w14:paraId="14ECDA0B" w14:textId="77777777" w:rsidR="00CF2D46" w:rsidRPr="002941E1" w:rsidRDefault="00CF2D46" w:rsidP="00E54096">
            <w:pPr>
              <w:pStyle w:val="TableText"/>
              <w:keepNext/>
              <w:tabs>
                <w:tab w:val="decimal" w:pos="1072"/>
              </w:tabs>
              <w:spacing w:before="0"/>
              <w:rPr>
                <w:sz w:val="20"/>
              </w:rPr>
            </w:pPr>
            <w:r w:rsidRPr="002941E1">
              <w:rPr>
                <w:sz w:val="20"/>
              </w:rPr>
              <w:t>$1,998,597</w:t>
            </w:r>
          </w:p>
        </w:tc>
        <w:tc>
          <w:tcPr>
            <w:tcW w:w="1417" w:type="dxa"/>
            <w:tcBorders>
              <w:top w:val="nil"/>
              <w:bottom w:val="single" w:sz="4" w:space="0" w:color="auto"/>
            </w:tcBorders>
            <w:shd w:val="clear" w:color="auto" w:fill="auto"/>
            <w:noWrap/>
            <w:hideMark/>
          </w:tcPr>
          <w:p w14:paraId="5D7594B0" w14:textId="77777777" w:rsidR="00CF2D46" w:rsidRPr="00E54096" w:rsidRDefault="00CF2D46" w:rsidP="00E54096">
            <w:pPr>
              <w:pStyle w:val="TableText"/>
              <w:keepNext/>
              <w:tabs>
                <w:tab w:val="decimal" w:pos="1049"/>
              </w:tabs>
              <w:spacing w:before="0"/>
              <w:rPr>
                <w:b/>
                <w:sz w:val="20"/>
              </w:rPr>
            </w:pPr>
            <w:r w:rsidRPr="00E54096">
              <w:rPr>
                <w:b/>
                <w:sz w:val="20"/>
              </w:rPr>
              <w:t>$629,001,475</w:t>
            </w:r>
          </w:p>
        </w:tc>
      </w:tr>
      <w:tr w:rsidR="00CF2D46" w:rsidRPr="007540D8" w14:paraId="2E3B42F0" w14:textId="77777777" w:rsidTr="002941E1">
        <w:trPr>
          <w:cantSplit/>
        </w:trPr>
        <w:tc>
          <w:tcPr>
            <w:tcW w:w="1820" w:type="dxa"/>
            <w:tcBorders>
              <w:top w:val="single" w:sz="4" w:space="0" w:color="auto"/>
              <w:bottom w:val="nil"/>
            </w:tcBorders>
            <w:shd w:val="clear" w:color="auto" w:fill="auto"/>
            <w:hideMark/>
          </w:tcPr>
          <w:p w14:paraId="6733446D" w14:textId="77777777" w:rsidR="00CF2D46" w:rsidRPr="002941E1" w:rsidRDefault="00CF2D46" w:rsidP="002941E1">
            <w:pPr>
              <w:pStyle w:val="TableText"/>
              <w:rPr>
                <w:sz w:val="20"/>
              </w:rPr>
            </w:pPr>
            <w:r w:rsidRPr="002941E1">
              <w:rPr>
                <w:sz w:val="20"/>
              </w:rPr>
              <w:t>Dependent reinvestment</w:t>
            </w:r>
          </w:p>
        </w:tc>
        <w:tc>
          <w:tcPr>
            <w:tcW w:w="1458" w:type="dxa"/>
            <w:tcBorders>
              <w:top w:val="single" w:sz="4" w:space="0" w:color="auto"/>
              <w:bottom w:val="nil"/>
            </w:tcBorders>
            <w:shd w:val="clear" w:color="auto" w:fill="auto"/>
            <w:noWrap/>
            <w:hideMark/>
          </w:tcPr>
          <w:p w14:paraId="34D505E8" w14:textId="77777777" w:rsidR="00CF2D46" w:rsidRPr="002941E1" w:rsidRDefault="00CF2D46" w:rsidP="002941E1">
            <w:pPr>
              <w:pStyle w:val="TableText"/>
              <w:tabs>
                <w:tab w:val="decimal" w:pos="1072"/>
              </w:tabs>
              <w:rPr>
                <w:sz w:val="20"/>
              </w:rPr>
            </w:pPr>
            <w:r w:rsidRPr="002941E1">
              <w:rPr>
                <w:sz w:val="20"/>
              </w:rPr>
              <w:t>$3,804,901</w:t>
            </w:r>
          </w:p>
        </w:tc>
        <w:tc>
          <w:tcPr>
            <w:tcW w:w="1459" w:type="dxa"/>
            <w:tcBorders>
              <w:top w:val="single" w:sz="4" w:space="0" w:color="auto"/>
              <w:bottom w:val="nil"/>
            </w:tcBorders>
            <w:shd w:val="clear" w:color="auto" w:fill="auto"/>
            <w:noWrap/>
            <w:hideMark/>
          </w:tcPr>
          <w:p w14:paraId="6B506CDF" w14:textId="77777777" w:rsidR="00CF2D46" w:rsidRPr="002941E1" w:rsidRDefault="00CF2D46" w:rsidP="002941E1">
            <w:pPr>
              <w:pStyle w:val="TableText"/>
              <w:tabs>
                <w:tab w:val="decimal" w:pos="1072"/>
              </w:tabs>
              <w:rPr>
                <w:sz w:val="20"/>
              </w:rPr>
            </w:pPr>
            <w:r w:rsidRPr="002941E1">
              <w:rPr>
                <w:sz w:val="20"/>
              </w:rPr>
              <w:t>$36,256,155</w:t>
            </w:r>
          </w:p>
        </w:tc>
        <w:tc>
          <w:tcPr>
            <w:tcW w:w="1459" w:type="dxa"/>
            <w:tcBorders>
              <w:top w:val="single" w:sz="4" w:space="0" w:color="auto"/>
              <w:bottom w:val="nil"/>
            </w:tcBorders>
            <w:shd w:val="clear" w:color="auto" w:fill="auto"/>
            <w:noWrap/>
            <w:hideMark/>
          </w:tcPr>
          <w:p w14:paraId="076D8DD1" w14:textId="77777777" w:rsidR="00CF2D46" w:rsidRPr="002941E1" w:rsidRDefault="00CF2D46" w:rsidP="002941E1">
            <w:pPr>
              <w:pStyle w:val="TableText"/>
              <w:tabs>
                <w:tab w:val="decimal" w:pos="1072"/>
              </w:tabs>
              <w:rPr>
                <w:sz w:val="20"/>
              </w:rPr>
            </w:pPr>
            <w:r w:rsidRPr="002941E1">
              <w:rPr>
                <w:sz w:val="20"/>
              </w:rPr>
              <w:t>$21,199</w:t>
            </w:r>
          </w:p>
        </w:tc>
        <w:tc>
          <w:tcPr>
            <w:tcW w:w="1459" w:type="dxa"/>
            <w:tcBorders>
              <w:top w:val="single" w:sz="4" w:space="0" w:color="auto"/>
              <w:bottom w:val="nil"/>
            </w:tcBorders>
            <w:shd w:val="clear" w:color="auto" w:fill="auto"/>
            <w:noWrap/>
            <w:hideMark/>
          </w:tcPr>
          <w:p w14:paraId="10E6467F" w14:textId="77777777" w:rsidR="00CF2D46" w:rsidRPr="002941E1" w:rsidRDefault="00CF2D46" w:rsidP="002941E1">
            <w:pPr>
              <w:pStyle w:val="TableText"/>
              <w:tabs>
                <w:tab w:val="decimal" w:pos="1072"/>
              </w:tabs>
              <w:rPr>
                <w:sz w:val="20"/>
              </w:rPr>
            </w:pPr>
            <w:r w:rsidRPr="002941E1">
              <w:rPr>
                <w:sz w:val="20"/>
              </w:rPr>
              <w:t>$114,243</w:t>
            </w:r>
          </w:p>
        </w:tc>
        <w:tc>
          <w:tcPr>
            <w:tcW w:w="1417" w:type="dxa"/>
            <w:tcBorders>
              <w:top w:val="single" w:sz="4" w:space="0" w:color="auto"/>
              <w:bottom w:val="nil"/>
            </w:tcBorders>
            <w:shd w:val="clear" w:color="auto" w:fill="auto"/>
            <w:noWrap/>
            <w:hideMark/>
          </w:tcPr>
          <w:p w14:paraId="6D2B391F" w14:textId="77777777" w:rsidR="00CF2D46" w:rsidRPr="00E54096" w:rsidRDefault="00CF2D46" w:rsidP="002941E1">
            <w:pPr>
              <w:pStyle w:val="TableText"/>
              <w:tabs>
                <w:tab w:val="decimal" w:pos="1049"/>
              </w:tabs>
              <w:rPr>
                <w:b/>
                <w:sz w:val="20"/>
              </w:rPr>
            </w:pPr>
            <w:r w:rsidRPr="00E54096">
              <w:rPr>
                <w:b/>
                <w:sz w:val="20"/>
              </w:rPr>
              <w:t>$40,196,498</w:t>
            </w:r>
          </w:p>
        </w:tc>
      </w:tr>
      <w:tr w:rsidR="00CF2D46" w:rsidRPr="007540D8" w14:paraId="2A13F878" w14:textId="77777777" w:rsidTr="002941E1">
        <w:trPr>
          <w:cantSplit/>
        </w:trPr>
        <w:tc>
          <w:tcPr>
            <w:tcW w:w="1820" w:type="dxa"/>
            <w:tcBorders>
              <w:top w:val="nil"/>
              <w:left w:val="single" w:sz="4" w:space="0" w:color="auto"/>
              <w:bottom w:val="nil"/>
            </w:tcBorders>
            <w:shd w:val="clear" w:color="auto" w:fill="auto"/>
            <w:hideMark/>
          </w:tcPr>
          <w:p w14:paraId="3283C196" w14:textId="77777777" w:rsidR="00CF2D46" w:rsidRPr="002941E1" w:rsidRDefault="00CF2D46" w:rsidP="00E54096">
            <w:pPr>
              <w:pStyle w:val="TableText"/>
              <w:spacing w:before="0"/>
              <w:rPr>
                <w:sz w:val="20"/>
              </w:rPr>
            </w:pPr>
            <w:r w:rsidRPr="002941E1">
              <w:rPr>
                <w:sz w:val="20"/>
              </w:rPr>
              <w:t>Casual reinvestment</w:t>
            </w:r>
          </w:p>
        </w:tc>
        <w:tc>
          <w:tcPr>
            <w:tcW w:w="1458" w:type="dxa"/>
            <w:tcBorders>
              <w:top w:val="nil"/>
              <w:bottom w:val="nil"/>
            </w:tcBorders>
            <w:shd w:val="clear" w:color="auto" w:fill="auto"/>
            <w:noWrap/>
            <w:hideMark/>
          </w:tcPr>
          <w:p w14:paraId="03A66D84" w14:textId="77777777" w:rsidR="00CF2D46" w:rsidRPr="002941E1" w:rsidRDefault="00CF2D46" w:rsidP="00E54096">
            <w:pPr>
              <w:pStyle w:val="TableText"/>
              <w:tabs>
                <w:tab w:val="decimal" w:pos="1072"/>
              </w:tabs>
              <w:spacing w:before="0"/>
              <w:rPr>
                <w:sz w:val="20"/>
              </w:rPr>
            </w:pPr>
            <w:r w:rsidRPr="002941E1">
              <w:rPr>
                <w:sz w:val="20"/>
              </w:rPr>
              <w:t>$4,750,812</w:t>
            </w:r>
          </w:p>
        </w:tc>
        <w:tc>
          <w:tcPr>
            <w:tcW w:w="1459" w:type="dxa"/>
            <w:tcBorders>
              <w:top w:val="nil"/>
              <w:bottom w:val="nil"/>
            </w:tcBorders>
            <w:shd w:val="clear" w:color="auto" w:fill="auto"/>
            <w:noWrap/>
            <w:hideMark/>
          </w:tcPr>
          <w:p w14:paraId="22C40226" w14:textId="77777777" w:rsidR="00CF2D46" w:rsidRPr="002941E1" w:rsidRDefault="00CF2D46" w:rsidP="00E54096">
            <w:pPr>
              <w:pStyle w:val="TableText"/>
              <w:tabs>
                <w:tab w:val="decimal" w:pos="1072"/>
              </w:tabs>
              <w:spacing w:before="0"/>
              <w:rPr>
                <w:sz w:val="20"/>
              </w:rPr>
            </w:pPr>
            <w:r w:rsidRPr="002941E1">
              <w:rPr>
                <w:sz w:val="20"/>
              </w:rPr>
              <w:t>$25,212,154</w:t>
            </w:r>
          </w:p>
        </w:tc>
        <w:tc>
          <w:tcPr>
            <w:tcW w:w="1459" w:type="dxa"/>
            <w:tcBorders>
              <w:top w:val="nil"/>
              <w:bottom w:val="nil"/>
            </w:tcBorders>
            <w:shd w:val="clear" w:color="auto" w:fill="auto"/>
            <w:noWrap/>
            <w:hideMark/>
          </w:tcPr>
          <w:p w14:paraId="54933130" w14:textId="77777777" w:rsidR="00CF2D46" w:rsidRPr="002941E1" w:rsidRDefault="00CF2D46" w:rsidP="00E54096">
            <w:pPr>
              <w:pStyle w:val="TableText"/>
              <w:tabs>
                <w:tab w:val="decimal" w:pos="1072"/>
              </w:tabs>
              <w:spacing w:before="0"/>
              <w:rPr>
                <w:sz w:val="20"/>
              </w:rPr>
            </w:pPr>
            <w:r w:rsidRPr="002941E1">
              <w:rPr>
                <w:sz w:val="20"/>
              </w:rPr>
              <w:t>$179,101</w:t>
            </w:r>
          </w:p>
        </w:tc>
        <w:tc>
          <w:tcPr>
            <w:tcW w:w="1459" w:type="dxa"/>
            <w:tcBorders>
              <w:top w:val="nil"/>
              <w:bottom w:val="nil"/>
            </w:tcBorders>
            <w:shd w:val="clear" w:color="auto" w:fill="auto"/>
            <w:noWrap/>
            <w:hideMark/>
          </w:tcPr>
          <w:p w14:paraId="2DD2DFEC" w14:textId="77777777" w:rsidR="00CF2D46" w:rsidRPr="002941E1" w:rsidRDefault="00CF2D46" w:rsidP="00E54096">
            <w:pPr>
              <w:pStyle w:val="TableText"/>
              <w:tabs>
                <w:tab w:val="decimal" w:pos="1072"/>
              </w:tabs>
              <w:spacing w:before="0"/>
              <w:rPr>
                <w:sz w:val="20"/>
              </w:rPr>
            </w:pPr>
            <w:r w:rsidRPr="002941E1">
              <w:rPr>
                <w:sz w:val="20"/>
              </w:rPr>
              <w:t>$109,600</w:t>
            </w:r>
          </w:p>
        </w:tc>
        <w:tc>
          <w:tcPr>
            <w:tcW w:w="1417" w:type="dxa"/>
            <w:tcBorders>
              <w:top w:val="nil"/>
              <w:bottom w:val="nil"/>
              <w:right w:val="single" w:sz="4" w:space="0" w:color="auto"/>
            </w:tcBorders>
            <w:shd w:val="clear" w:color="auto" w:fill="auto"/>
            <w:noWrap/>
            <w:hideMark/>
          </w:tcPr>
          <w:p w14:paraId="0DE52047" w14:textId="77777777" w:rsidR="00CF2D46" w:rsidRPr="00E54096" w:rsidRDefault="00CF2D46" w:rsidP="00E54096">
            <w:pPr>
              <w:pStyle w:val="TableText"/>
              <w:tabs>
                <w:tab w:val="decimal" w:pos="1049"/>
              </w:tabs>
              <w:spacing w:before="0"/>
              <w:rPr>
                <w:b/>
                <w:sz w:val="20"/>
              </w:rPr>
            </w:pPr>
            <w:r w:rsidRPr="00E54096">
              <w:rPr>
                <w:b/>
                <w:sz w:val="20"/>
              </w:rPr>
              <w:t>$30,251,667</w:t>
            </w:r>
          </w:p>
        </w:tc>
      </w:tr>
      <w:tr w:rsidR="00CF2D46" w:rsidRPr="007540D8" w14:paraId="59847701" w14:textId="77777777" w:rsidTr="002941E1">
        <w:trPr>
          <w:cantSplit/>
        </w:trPr>
        <w:tc>
          <w:tcPr>
            <w:tcW w:w="1820" w:type="dxa"/>
            <w:tcBorders>
              <w:top w:val="nil"/>
              <w:left w:val="single" w:sz="4" w:space="0" w:color="auto"/>
              <w:bottom w:val="single" w:sz="4" w:space="0" w:color="auto"/>
            </w:tcBorders>
            <w:shd w:val="clear" w:color="auto" w:fill="auto"/>
            <w:hideMark/>
          </w:tcPr>
          <w:p w14:paraId="5B2FE1AB" w14:textId="77777777" w:rsidR="00CF2D46" w:rsidRPr="00E54096" w:rsidRDefault="00CF2D46" w:rsidP="00E54096">
            <w:pPr>
              <w:pStyle w:val="TableText"/>
              <w:spacing w:before="0"/>
              <w:rPr>
                <w:b/>
                <w:sz w:val="20"/>
              </w:rPr>
            </w:pPr>
            <w:r w:rsidRPr="00E54096">
              <w:rPr>
                <w:b/>
                <w:sz w:val="20"/>
              </w:rPr>
              <w:t>Total reinvestment</w:t>
            </w:r>
          </w:p>
        </w:tc>
        <w:tc>
          <w:tcPr>
            <w:tcW w:w="1458" w:type="dxa"/>
            <w:tcBorders>
              <w:top w:val="nil"/>
              <w:bottom w:val="single" w:sz="4" w:space="0" w:color="auto"/>
            </w:tcBorders>
            <w:shd w:val="clear" w:color="auto" w:fill="auto"/>
            <w:noWrap/>
            <w:hideMark/>
          </w:tcPr>
          <w:p w14:paraId="56F1414D" w14:textId="77777777" w:rsidR="00CF2D46" w:rsidRPr="00E54096" w:rsidRDefault="00CF2D46" w:rsidP="00E54096">
            <w:pPr>
              <w:pStyle w:val="TableText"/>
              <w:tabs>
                <w:tab w:val="decimal" w:pos="1072"/>
              </w:tabs>
              <w:spacing w:before="0"/>
              <w:rPr>
                <w:b/>
                <w:sz w:val="20"/>
              </w:rPr>
            </w:pPr>
            <w:r w:rsidRPr="00E54096">
              <w:rPr>
                <w:b/>
                <w:sz w:val="20"/>
              </w:rPr>
              <w:t>$8,555,713</w:t>
            </w:r>
          </w:p>
        </w:tc>
        <w:tc>
          <w:tcPr>
            <w:tcW w:w="1459" w:type="dxa"/>
            <w:tcBorders>
              <w:top w:val="nil"/>
              <w:bottom w:val="single" w:sz="4" w:space="0" w:color="auto"/>
            </w:tcBorders>
            <w:shd w:val="clear" w:color="auto" w:fill="auto"/>
            <w:noWrap/>
            <w:hideMark/>
          </w:tcPr>
          <w:p w14:paraId="0062FB32" w14:textId="77777777" w:rsidR="00CF2D46" w:rsidRPr="00E54096" w:rsidRDefault="00CF2D46" w:rsidP="00E54096">
            <w:pPr>
              <w:pStyle w:val="TableText"/>
              <w:tabs>
                <w:tab w:val="decimal" w:pos="1072"/>
              </w:tabs>
              <w:spacing w:before="0"/>
              <w:rPr>
                <w:b/>
                <w:sz w:val="20"/>
              </w:rPr>
            </w:pPr>
            <w:r w:rsidRPr="00E54096">
              <w:rPr>
                <w:b/>
                <w:sz w:val="20"/>
              </w:rPr>
              <w:t>$61,468,309</w:t>
            </w:r>
          </w:p>
        </w:tc>
        <w:tc>
          <w:tcPr>
            <w:tcW w:w="1459" w:type="dxa"/>
            <w:tcBorders>
              <w:top w:val="nil"/>
              <w:bottom w:val="single" w:sz="4" w:space="0" w:color="auto"/>
            </w:tcBorders>
            <w:shd w:val="clear" w:color="auto" w:fill="auto"/>
            <w:noWrap/>
            <w:hideMark/>
          </w:tcPr>
          <w:p w14:paraId="704B66EE" w14:textId="77777777" w:rsidR="00CF2D46" w:rsidRPr="00E54096" w:rsidRDefault="00CF2D46" w:rsidP="00E54096">
            <w:pPr>
              <w:pStyle w:val="TableText"/>
              <w:tabs>
                <w:tab w:val="decimal" w:pos="1072"/>
              </w:tabs>
              <w:spacing w:before="0"/>
              <w:rPr>
                <w:b/>
                <w:sz w:val="20"/>
              </w:rPr>
            </w:pPr>
            <w:r w:rsidRPr="00E54096">
              <w:rPr>
                <w:b/>
                <w:sz w:val="20"/>
              </w:rPr>
              <w:t>$200,300</w:t>
            </w:r>
          </w:p>
        </w:tc>
        <w:tc>
          <w:tcPr>
            <w:tcW w:w="1459" w:type="dxa"/>
            <w:tcBorders>
              <w:top w:val="nil"/>
              <w:bottom w:val="single" w:sz="4" w:space="0" w:color="auto"/>
            </w:tcBorders>
            <w:shd w:val="clear" w:color="auto" w:fill="auto"/>
            <w:noWrap/>
            <w:hideMark/>
          </w:tcPr>
          <w:p w14:paraId="17B8BA64" w14:textId="77777777" w:rsidR="00CF2D46" w:rsidRPr="00E54096" w:rsidRDefault="00CF2D46" w:rsidP="00E54096">
            <w:pPr>
              <w:pStyle w:val="TableText"/>
              <w:tabs>
                <w:tab w:val="decimal" w:pos="1072"/>
              </w:tabs>
              <w:spacing w:before="0"/>
              <w:rPr>
                <w:b/>
                <w:sz w:val="20"/>
              </w:rPr>
            </w:pPr>
            <w:r w:rsidRPr="00E54096">
              <w:rPr>
                <w:b/>
                <w:sz w:val="20"/>
              </w:rPr>
              <w:t>$223,843</w:t>
            </w:r>
          </w:p>
        </w:tc>
        <w:tc>
          <w:tcPr>
            <w:tcW w:w="1417" w:type="dxa"/>
            <w:tcBorders>
              <w:top w:val="nil"/>
              <w:bottom w:val="single" w:sz="4" w:space="0" w:color="auto"/>
              <w:right w:val="single" w:sz="4" w:space="0" w:color="auto"/>
            </w:tcBorders>
            <w:shd w:val="clear" w:color="auto" w:fill="auto"/>
            <w:noWrap/>
            <w:hideMark/>
          </w:tcPr>
          <w:p w14:paraId="24D34ED8" w14:textId="77777777" w:rsidR="00CF2D46" w:rsidRPr="00E54096" w:rsidRDefault="00CF2D46" w:rsidP="00E54096">
            <w:pPr>
              <w:pStyle w:val="TableText"/>
              <w:tabs>
                <w:tab w:val="decimal" w:pos="1049"/>
              </w:tabs>
              <w:spacing w:before="0"/>
              <w:rPr>
                <w:b/>
                <w:sz w:val="20"/>
              </w:rPr>
            </w:pPr>
            <w:r w:rsidRPr="00E54096">
              <w:rPr>
                <w:b/>
                <w:sz w:val="20"/>
              </w:rPr>
              <w:t>$70,448,165</w:t>
            </w:r>
          </w:p>
        </w:tc>
      </w:tr>
      <w:tr w:rsidR="00CF2D46" w:rsidRPr="007540D8" w14:paraId="382F27CD" w14:textId="77777777" w:rsidTr="002941E1">
        <w:trPr>
          <w:cantSplit/>
        </w:trPr>
        <w:tc>
          <w:tcPr>
            <w:tcW w:w="1820" w:type="dxa"/>
            <w:tcBorders>
              <w:top w:val="single" w:sz="4" w:space="0" w:color="auto"/>
              <w:left w:val="single" w:sz="4" w:space="0" w:color="auto"/>
              <w:bottom w:val="nil"/>
            </w:tcBorders>
            <w:shd w:val="clear" w:color="auto" w:fill="auto"/>
          </w:tcPr>
          <w:p w14:paraId="49D64697" w14:textId="77777777" w:rsidR="00CF2D46" w:rsidRPr="002941E1" w:rsidRDefault="00CF2D46" w:rsidP="002941E1">
            <w:pPr>
              <w:pStyle w:val="TableText"/>
              <w:rPr>
                <w:sz w:val="20"/>
              </w:rPr>
            </w:pPr>
            <w:r w:rsidRPr="002941E1">
              <w:rPr>
                <w:sz w:val="20"/>
              </w:rPr>
              <w:t>Reinvestment per dependent user</w:t>
            </w:r>
          </w:p>
        </w:tc>
        <w:tc>
          <w:tcPr>
            <w:tcW w:w="1458" w:type="dxa"/>
            <w:tcBorders>
              <w:top w:val="single" w:sz="4" w:space="0" w:color="auto"/>
              <w:bottom w:val="nil"/>
            </w:tcBorders>
            <w:shd w:val="clear" w:color="auto" w:fill="auto"/>
            <w:noWrap/>
          </w:tcPr>
          <w:p w14:paraId="3C5EF7E8" w14:textId="77777777" w:rsidR="00CF2D46" w:rsidRPr="002941E1" w:rsidRDefault="00CF2D46" w:rsidP="002941E1">
            <w:pPr>
              <w:pStyle w:val="TableText"/>
              <w:tabs>
                <w:tab w:val="decimal" w:pos="1072"/>
              </w:tabs>
              <w:rPr>
                <w:sz w:val="20"/>
              </w:rPr>
            </w:pPr>
            <w:r w:rsidRPr="002941E1">
              <w:rPr>
                <w:sz w:val="20"/>
              </w:rPr>
              <w:t>$1,247</w:t>
            </w:r>
          </w:p>
        </w:tc>
        <w:tc>
          <w:tcPr>
            <w:tcW w:w="1459" w:type="dxa"/>
            <w:tcBorders>
              <w:top w:val="single" w:sz="4" w:space="0" w:color="auto"/>
              <w:bottom w:val="nil"/>
            </w:tcBorders>
            <w:shd w:val="clear" w:color="auto" w:fill="auto"/>
            <w:noWrap/>
          </w:tcPr>
          <w:p w14:paraId="22594C16" w14:textId="77777777" w:rsidR="00CF2D46" w:rsidRPr="002941E1" w:rsidRDefault="00CF2D46" w:rsidP="002941E1">
            <w:pPr>
              <w:pStyle w:val="TableText"/>
              <w:tabs>
                <w:tab w:val="decimal" w:pos="1072"/>
              </w:tabs>
              <w:rPr>
                <w:sz w:val="20"/>
              </w:rPr>
            </w:pPr>
            <w:r w:rsidRPr="002941E1">
              <w:rPr>
                <w:sz w:val="20"/>
              </w:rPr>
              <w:t>$311</w:t>
            </w:r>
          </w:p>
        </w:tc>
        <w:tc>
          <w:tcPr>
            <w:tcW w:w="1459" w:type="dxa"/>
            <w:tcBorders>
              <w:top w:val="single" w:sz="4" w:space="0" w:color="auto"/>
              <w:bottom w:val="nil"/>
            </w:tcBorders>
            <w:shd w:val="clear" w:color="auto" w:fill="auto"/>
            <w:noWrap/>
          </w:tcPr>
          <w:p w14:paraId="56C8A26F" w14:textId="77777777" w:rsidR="00CF2D46" w:rsidRPr="002941E1" w:rsidRDefault="00CF2D46" w:rsidP="002941E1">
            <w:pPr>
              <w:pStyle w:val="TableText"/>
              <w:tabs>
                <w:tab w:val="decimal" w:pos="1072"/>
              </w:tabs>
              <w:rPr>
                <w:sz w:val="20"/>
              </w:rPr>
            </w:pPr>
            <w:r w:rsidRPr="002941E1">
              <w:rPr>
                <w:sz w:val="20"/>
              </w:rPr>
              <w:t>$12</w:t>
            </w:r>
          </w:p>
        </w:tc>
        <w:tc>
          <w:tcPr>
            <w:tcW w:w="1459" w:type="dxa"/>
            <w:tcBorders>
              <w:top w:val="single" w:sz="4" w:space="0" w:color="auto"/>
              <w:bottom w:val="nil"/>
            </w:tcBorders>
            <w:shd w:val="clear" w:color="auto" w:fill="auto"/>
            <w:noWrap/>
          </w:tcPr>
          <w:p w14:paraId="6A0C703C" w14:textId="77777777" w:rsidR="00CF2D46" w:rsidRPr="002941E1" w:rsidRDefault="00CF2D46" w:rsidP="002941E1">
            <w:pPr>
              <w:pStyle w:val="TableText"/>
              <w:tabs>
                <w:tab w:val="decimal" w:pos="1072"/>
              </w:tabs>
              <w:rPr>
                <w:sz w:val="20"/>
              </w:rPr>
            </w:pPr>
            <w:r w:rsidRPr="002941E1">
              <w:rPr>
                <w:sz w:val="20"/>
              </w:rPr>
              <w:t>$17</w:t>
            </w:r>
          </w:p>
        </w:tc>
        <w:tc>
          <w:tcPr>
            <w:tcW w:w="1417" w:type="dxa"/>
            <w:tcBorders>
              <w:top w:val="single" w:sz="4" w:space="0" w:color="auto"/>
              <w:bottom w:val="nil"/>
              <w:right w:val="single" w:sz="4" w:space="0" w:color="auto"/>
            </w:tcBorders>
            <w:shd w:val="clear" w:color="auto" w:fill="auto"/>
            <w:noWrap/>
          </w:tcPr>
          <w:p w14:paraId="7A3AADEC" w14:textId="77777777" w:rsidR="00CF2D46" w:rsidRPr="00E54096" w:rsidRDefault="00CF2D46" w:rsidP="002941E1">
            <w:pPr>
              <w:pStyle w:val="TableText"/>
              <w:tabs>
                <w:tab w:val="decimal" w:pos="1049"/>
              </w:tabs>
              <w:rPr>
                <w:b/>
                <w:sz w:val="20"/>
              </w:rPr>
            </w:pPr>
            <w:r w:rsidRPr="00E54096">
              <w:rPr>
                <w:b/>
                <w:sz w:val="20"/>
              </w:rPr>
              <w:t>$314</w:t>
            </w:r>
          </w:p>
        </w:tc>
      </w:tr>
      <w:tr w:rsidR="00CF2D46" w:rsidRPr="007540D8" w14:paraId="33C65CFC" w14:textId="77777777" w:rsidTr="002941E1">
        <w:trPr>
          <w:cantSplit/>
        </w:trPr>
        <w:tc>
          <w:tcPr>
            <w:tcW w:w="1820" w:type="dxa"/>
            <w:tcBorders>
              <w:top w:val="nil"/>
              <w:left w:val="single" w:sz="4" w:space="0" w:color="auto"/>
              <w:bottom w:val="nil"/>
            </w:tcBorders>
            <w:shd w:val="clear" w:color="auto" w:fill="auto"/>
          </w:tcPr>
          <w:p w14:paraId="0416C110" w14:textId="77777777" w:rsidR="00CF2D46" w:rsidRPr="002941E1" w:rsidRDefault="00CF2D46" w:rsidP="00E54096">
            <w:pPr>
              <w:pStyle w:val="TableText"/>
              <w:spacing w:before="0"/>
              <w:rPr>
                <w:sz w:val="20"/>
              </w:rPr>
            </w:pPr>
            <w:r w:rsidRPr="002941E1">
              <w:rPr>
                <w:sz w:val="20"/>
              </w:rPr>
              <w:t>Reinvestment per casual user</w:t>
            </w:r>
          </w:p>
        </w:tc>
        <w:tc>
          <w:tcPr>
            <w:tcW w:w="1458" w:type="dxa"/>
            <w:tcBorders>
              <w:top w:val="nil"/>
              <w:bottom w:val="nil"/>
            </w:tcBorders>
            <w:shd w:val="clear" w:color="auto" w:fill="auto"/>
            <w:noWrap/>
          </w:tcPr>
          <w:p w14:paraId="77F93144" w14:textId="77777777" w:rsidR="00CF2D46" w:rsidRPr="002941E1" w:rsidRDefault="00CF2D46" w:rsidP="00E54096">
            <w:pPr>
              <w:pStyle w:val="TableText"/>
              <w:tabs>
                <w:tab w:val="decimal" w:pos="1072"/>
              </w:tabs>
              <w:spacing w:before="0"/>
              <w:rPr>
                <w:sz w:val="20"/>
              </w:rPr>
            </w:pPr>
            <w:r w:rsidRPr="002941E1">
              <w:rPr>
                <w:sz w:val="20"/>
              </w:rPr>
              <w:t>$210</w:t>
            </w:r>
          </w:p>
        </w:tc>
        <w:tc>
          <w:tcPr>
            <w:tcW w:w="1459" w:type="dxa"/>
            <w:tcBorders>
              <w:top w:val="nil"/>
              <w:bottom w:val="nil"/>
            </w:tcBorders>
            <w:shd w:val="clear" w:color="auto" w:fill="auto"/>
            <w:noWrap/>
          </w:tcPr>
          <w:p w14:paraId="2DE3EF39" w14:textId="77777777" w:rsidR="00CF2D46" w:rsidRPr="002941E1" w:rsidRDefault="00CF2D46" w:rsidP="00E54096">
            <w:pPr>
              <w:pStyle w:val="TableText"/>
              <w:tabs>
                <w:tab w:val="decimal" w:pos="1072"/>
              </w:tabs>
              <w:spacing w:before="0"/>
              <w:rPr>
                <w:sz w:val="20"/>
              </w:rPr>
            </w:pPr>
            <w:r w:rsidRPr="002941E1">
              <w:rPr>
                <w:sz w:val="20"/>
              </w:rPr>
              <w:t>$155</w:t>
            </w:r>
          </w:p>
        </w:tc>
        <w:tc>
          <w:tcPr>
            <w:tcW w:w="1459" w:type="dxa"/>
            <w:tcBorders>
              <w:top w:val="nil"/>
              <w:bottom w:val="nil"/>
            </w:tcBorders>
            <w:shd w:val="clear" w:color="auto" w:fill="auto"/>
            <w:noWrap/>
          </w:tcPr>
          <w:p w14:paraId="1C5D1861" w14:textId="77777777" w:rsidR="00CF2D46" w:rsidRPr="002941E1" w:rsidRDefault="00CF2D46" w:rsidP="00E54096">
            <w:pPr>
              <w:pStyle w:val="TableText"/>
              <w:tabs>
                <w:tab w:val="decimal" w:pos="1072"/>
              </w:tabs>
              <w:spacing w:before="0"/>
              <w:rPr>
                <w:sz w:val="20"/>
              </w:rPr>
            </w:pPr>
            <w:r w:rsidRPr="002941E1">
              <w:rPr>
                <w:sz w:val="20"/>
              </w:rPr>
              <w:t>$3</w:t>
            </w:r>
          </w:p>
        </w:tc>
        <w:tc>
          <w:tcPr>
            <w:tcW w:w="1459" w:type="dxa"/>
            <w:tcBorders>
              <w:top w:val="nil"/>
              <w:bottom w:val="nil"/>
            </w:tcBorders>
            <w:shd w:val="clear" w:color="auto" w:fill="auto"/>
            <w:noWrap/>
          </w:tcPr>
          <w:p w14:paraId="3A7CFD55" w14:textId="77777777" w:rsidR="00CF2D46" w:rsidRPr="002941E1" w:rsidRDefault="00CF2D46" w:rsidP="00E54096">
            <w:pPr>
              <w:pStyle w:val="TableText"/>
              <w:tabs>
                <w:tab w:val="decimal" w:pos="1072"/>
              </w:tabs>
              <w:spacing w:before="0"/>
              <w:rPr>
                <w:sz w:val="20"/>
              </w:rPr>
            </w:pPr>
            <w:r w:rsidRPr="002941E1">
              <w:rPr>
                <w:sz w:val="20"/>
              </w:rPr>
              <w:t>$5</w:t>
            </w:r>
          </w:p>
        </w:tc>
        <w:tc>
          <w:tcPr>
            <w:tcW w:w="1417" w:type="dxa"/>
            <w:tcBorders>
              <w:top w:val="nil"/>
              <w:bottom w:val="nil"/>
              <w:right w:val="single" w:sz="4" w:space="0" w:color="auto"/>
            </w:tcBorders>
            <w:shd w:val="clear" w:color="auto" w:fill="auto"/>
            <w:noWrap/>
          </w:tcPr>
          <w:p w14:paraId="680F7347" w14:textId="77777777" w:rsidR="00CF2D46" w:rsidRPr="00E54096" w:rsidRDefault="00CF2D46" w:rsidP="00E54096">
            <w:pPr>
              <w:pStyle w:val="TableText"/>
              <w:tabs>
                <w:tab w:val="decimal" w:pos="1049"/>
              </w:tabs>
              <w:spacing w:before="0"/>
              <w:rPr>
                <w:b/>
                <w:sz w:val="20"/>
              </w:rPr>
            </w:pPr>
            <w:r w:rsidRPr="00E54096">
              <w:rPr>
                <w:b/>
                <w:sz w:val="20"/>
              </w:rPr>
              <w:t>$116</w:t>
            </w:r>
          </w:p>
        </w:tc>
      </w:tr>
      <w:tr w:rsidR="00CF2D46" w:rsidRPr="007540D8" w14:paraId="564854B4" w14:textId="77777777" w:rsidTr="002941E1">
        <w:trPr>
          <w:cantSplit/>
        </w:trPr>
        <w:tc>
          <w:tcPr>
            <w:tcW w:w="1820" w:type="dxa"/>
            <w:tcBorders>
              <w:top w:val="nil"/>
              <w:left w:val="single" w:sz="4" w:space="0" w:color="auto"/>
              <w:bottom w:val="single" w:sz="4" w:space="0" w:color="auto"/>
            </w:tcBorders>
            <w:shd w:val="clear" w:color="auto" w:fill="auto"/>
          </w:tcPr>
          <w:p w14:paraId="5BEA027E" w14:textId="77777777" w:rsidR="00CF2D46" w:rsidRPr="002941E1" w:rsidRDefault="00CF2D46" w:rsidP="00E54096">
            <w:pPr>
              <w:pStyle w:val="TableText"/>
              <w:spacing w:before="0"/>
              <w:rPr>
                <w:sz w:val="20"/>
              </w:rPr>
            </w:pPr>
            <w:r w:rsidRPr="002941E1">
              <w:rPr>
                <w:sz w:val="20"/>
              </w:rPr>
              <w:t>Reinvestment per user</w:t>
            </w:r>
          </w:p>
        </w:tc>
        <w:tc>
          <w:tcPr>
            <w:tcW w:w="1458" w:type="dxa"/>
            <w:tcBorders>
              <w:top w:val="nil"/>
              <w:bottom w:val="single" w:sz="4" w:space="0" w:color="auto"/>
            </w:tcBorders>
            <w:shd w:val="clear" w:color="auto" w:fill="auto"/>
            <w:noWrap/>
          </w:tcPr>
          <w:p w14:paraId="3B6E7889" w14:textId="77777777" w:rsidR="00CF2D46" w:rsidRPr="002941E1" w:rsidRDefault="00CF2D46" w:rsidP="00E54096">
            <w:pPr>
              <w:pStyle w:val="TableText"/>
              <w:tabs>
                <w:tab w:val="decimal" w:pos="1072"/>
              </w:tabs>
              <w:spacing w:before="0"/>
              <w:rPr>
                <w:sz w:val="20"/>
              </w:rPr>
            </w:pPr>
            <w:r w:rsidRPr="002941E1">
              <w:rPr>
                <w:sz w:val="20"/>
              </w:rPr>
              <w:t>$333</w:t>
            </w:r>
          </w:p>
        </w:tc>
        <w:tc>
          <w:tcPr>
            <w:tcW w:w="1459" w:type="dxa"/>
            <w:tcBorders>
              <w:top w:val="nil"/>
              <w:bottom w:val="single" w:sz="4" w:space="0" w:color="auto"/>
            </w:tcBorders>
            <w:shd w:val="clear" w:color="auto" w:fill="auto"/>
            <w:noWrap/>
          </w:tcPr>
          <w:p w14:paraId="1812F4AB" w14:textId="77777777" w:rsidR="00CF2D46" w:rsidRPr="002941E1" w:rsidRDefault="00CF2D46" w:rsidP="00E54096">
            <w:pPr>
              <w:pStyle w:val="TableText"/>
              <w:tabs>
                <w:tab w:val="decimal" w:pos="1072"/>
              </w:tabs>
              <w:spacing w:before="0"/>
              <w:rPr>
                <w:sz w:val="20"/>
              </w:rPr>
            </w:pPr>
            <w:r w:rsidRPr="002941E1">
              <w:rPr>
                <w:sz w:val="20"/>
              </w:rPr>
              <w:t>$220</w:t>
            </w:r>
          </w:p>
        </w:tc>
        <w:tc>
          <w:tcPr>
            <w:tcW w:w="1459" w:type="dxa"/>
            <w:tcBorders>
              <w:top w:val="nil"/>
              <w:bottom w:val="single" w:sz="4" w:space="0" w:color="auto"/>
            </w:tcBorders>
            <w:shd w:val="clear" w:color="auto" w:fill="auto"/>
            <w:noWrap/>
          </w:tcPr>
          <w:p w14:paraId="2A40EFE2" w14:textId="77777777" w:rsidR="00CF2D46" w:rsidRPr="002941E1" w:rsidRDefault="00CF2D46" w:rsidP="00E54096">
            <w:pPr>
              <w:pStyle w:val="TableText"/>
              <w:tabs>
                <w:tab w:val="decimal" w:pos="1072"/>
              </w:tabs>
              <w:spacing w:before="0"/>
              <w:rPr>
                <w:sz w:val="20"/>
              </w:rPr>
            </w:pPr>
            <w:r w:rsidRPr="002941E1">
              <w:rPr>
                <w:sz w:val="20"/>
              </w:rPr>
              <w:t>$4</w:t>
            </w:r>
          </w:p>
        </w:tc>
        <w:tc>
          <w:tcPr>
            <w:tcW w:w="1459" w:type="dxa"/>
            <w:tcBorders>
              <w:top w:val="nil"/>
              <w:bottom w:val="single" w:sz="4" w:space="0" w:color="auto"/>
            </w:tcBorders>
            <w:shd w:val="clear" w:color="auto" w:fill="auto"/>
            <w:noWrap/>
          </w:tcPr>
          <w:p w14:paraId="183F6794" w14:textId="77777777" w:rsidR="00CF2D46" w:rsidRPr="002941E1" w:rsidRDefault="00CF2D46" w:rsidP="00E54096">
            <w:pPr>
              <w:pStyle w:val="TableText"/>
              <w:tabs>
                <w:tab w:val="decimal" w:pos="1072"/>
              </w:tabs>
              <w:spacing w:before="0"/>
              <w:rPr>
                <w:sz w:val="20"/>
              </w:rPr>
            </w:pPr>
            <w:r w:rsidRPr="002941E1">
              <w:rPr>
                <w:sz w:val="20"/>
              </w:rPr>
              <w:t>$8</w:t>
            </w:r>
          </w:p>
        </w:tc>
        <w:tc>
          <w:tcPr>
            <w:tcW w:w="1417" w:type="dxa"/>
            <w:tcBorders>
              <w:top w:val="nil"/>
              <w:bottom w:val="single" w:sz="4" w:space="0" w:color="auto"/>
              <w:right w:val="single" w:sz="4" w:space="0" w:color="auto"/>
            </w:tcBorders>
            <w:shd w:val="clear" w:color="auto" w:fill="auto"/>
            <w:noWrap/>
          </w:tcPr>
          <w:p w14:paraId="53754E43" w14:textId="77777777" w:rsidR="00CF2D46" w:rsidRPr="00E54096" w:rsidRDefault="00CF2D46" w:rsidP="00E54096">
            <w:pPr>
              <w:pStyle w:val="TableText"/>
              <w:tabs>
                <w:tab w:val="decimal" w:pos="1049"/>
              </w:tabs>
              <w:spacing w:before="0"/>
              <w:rPr>
                <w:b/>
                <w:sz w:val="20"/>
              </w:rPr>
            </w:pPr>
            <w:r w:rsidRPr="00E54096">
              <w:rPr>
                <w:b/>
                <w:sz w:val="20"/>
              </w:rPr>
              <w:t>$182</w:t>
            </w:r>
          </w:p>
        </w:tc>
      </w:tr>
    </w:tbl>
    <w:p w14:paraId="2FE65A9A" w14:textId="77777777" w:rsidR="00CF2D46" w:rsidRDefault="00CF2D46" w:rsidP="008A6B2A">
      <w:pPr>
        <w:pStyle w:val="Note"/>
      </w:pPr>
      <w:r>
        <w:t>*</w:t>
      </w:r>
      <w:r w:rsidR="008A6B2A">
        <w:tab/>
      </w:r>
      <w:r>
        <w:t>The majority of these drugs are pharma-opioids and pharma-sedatives.</w:t>
      </w:r>
    </w:p>
    <w:p w14:paraId="332E9E49" w14:textId="77777777" w:rsidR="00CF2D46" w:rsidRDefault="008A6B2A" w:rsidP="008A6B2A">
      <w:pPr>
        <w:pStyle w:val="Heading3"/>
      </w:pPr>
      <w:r>
        <w:t>(d)</w:t>
      </w:r>
      <w:r>
        <w:tab/>
      </w:r>
      <w:r w:rsidR="00CF2D46">
        <w:t>Reduced tax base</w:t>
      </w:r>
    </w:p>
    <w:p w14:paraId="1E7B3648" w14:textId="77777777" w:rsidR="00CF2D46" w:rsidRDefault="00CF2D46" w:rsidP="008A6B2A">
      <w:pPr>
        <w:spacing w:after="120"/>
      </w:pPr>
      <w:r>
        <w:t>The estimate of GST and company tax avoided by organised crime used a similar method to that above. Previously calculated estimates of revenue were adjusted by estimated expenses to provide estimated profit. McFadden (2015) estimated expenses as 17% of revenue. The GST rate of 15% and company tax rate of 32% were applied. It should be noted that GST is normally calculated against revenue, not profit. However, it was not possible to estimate GST credits or the impact on revenue of adding GST to the sale price of illicit drugs. Basing GST on profit should yield a conservative estimate of GST lost.</w:t>
      </w:r>
    </w:p>
    <w:tbl>
      <w:tblPr>
        <w:tblW w:w="0" w:type="auto"/>
        <w:tblInd w:w="85" w:type="dxa"/>
        <w:tblBorders>
          <w:top w:val="single" w:sz="4" w:space="0" w:color="auto"/>
          <w:left w:val="single" w:sz="4" w:space="0" w:color="auto"/>
          <w:bottom w:val="single" w:sz="4" w:space="0" w:color="auto"/>
          <w:right w:val="single" w:sz="4" w:space="0" w:color="auto"/>
        </w:tblBorders>
        <w:tblLayout w:type="fixed"/>
        <w:tblCellMar>
          <w:left w:w="85" w:type="dxa"/>
          <w:right w:w="85" w:type="dxa"/>
        </w:tblCellMar>
        <w:tblLook w:val="04A0" w:firstRow="1" w:lastRow="0" w:firstColumn="1" w:lastColumn="0" w:noHBand="0" w:noVBand="1"/>
      </w:tblPr>
      <w:tblGrid>
        <w:gridCol w:w="2127"/>
        <w:gridCol w:w="1388"/>
        <w:gridCol w:w="1388"/>
        <w:gridCol w:w="1388"/>
        <w:gridCol w:w="1388"/>
        <w:gridCol w:w="1388"/>
      </w:tblGrid>
      <w:tr w:rsidR="00CF2D46" w:rsidRPr="00906CD5" w14:paraId="71D0C5BF" w14:textId="77777777" w:rsidTr="00906CD5">
        <w:trPr>
          <w:cantSplit/>
        </w:trPr>
        <w:tc>
          <w:tcPr>
            <w:tcW w:w="2127" w:type="dxa"/>
            <w:tcBorders>
              <w:bottom w:val="single" w:sz="4" w:space="0" w:color="auto"/>
            </w:tcBorders>
            <w:shd w:val="clear" w:color="auto" w:fill="auto"/>
            <w:noWrap/>
            <w:hideMark/>
          </w:tcPr>
          <w:p w14:paraId="77DE20E0" w14:textId="77777777" w:rsidR="00CF2D46" w:rsidRPr="00906CD5" w:rsidRDefault="00CF2D46" w:rsidP="00906CD5">
            <w:pPr>
              <w:pStyle w:val="TableText"/>
              <w:keepNext/>
              <w:rPr>
                <w:b/>
                <w:sz w:val="20"/>
              </w:rPr>
            </w:pPr>
            <w:r w:rsidRPr="00906CD5">
              <w:rPr>
                <w:b/>
                <w:sz w:val="20"/>
              </w:rPr>
              <w:t>Drug type</w:t>
            </w:r>
          </w:p>
        </w:tc>
        <w:tc>
          <w:tcPr>
            <w:tcW w:w="1388" w:type="dxa"/>
            <w:tcBorders>
              <w:bottom w:val="single" w:sz="4" w:space="0" w:color="auto"/>
            </w:tcBorders>
            <w:shd w:val="clear" w:color="auto" w:fill="auto"/>
            <w:hideMark/>
          </w:tcPr>
          <w:p w14:paraId="1FA01E79" w14:textId="77777777" w:rsidR="00CF2D46" w:rsidRPr="00906CD5" w:rsidRDefault="00CF2D46" w:rsidP="00906CD5">
            <w:pPr>
              <w:pStyle w:val="TableText"/>
              <w:keepNext/>
              <w:jc w:val="center"/>
              <w:rPr>
                <w:b/>
                <w:sz w:val="20"/>
              </w:rPr>
            </w:pPr>
            <w:r w:rsidRPr="00906CD5">
              <w:rPr>
                <w:b/>
                <w:sz w:val="20"/>
              </w:rPr>
              <w:t>Amphetamine-type stimulants</w:t>
            </w:r>
          </w:p>
        </w:tc>
        <w:tc>
          <w:tcPr>
            <w:tcW w:w="1388" w:type="dxa"/>
            <w:tcBorders>
              <w:bottom w:val="single" w:sz="4" w:space="0" w:color="auto"/>
            </w:tcBorders>
            <w:shd w:val="clear" w:color="auto" w:fill="auto"/>
            <w:hideMark/>
          </w:tcPr>
          <w:p w14:paraId="5CBDCD6A" w14:textId="77777777" w:rsidR="00CF2D46" w:rsidRPr="00906CD5" w:rsidRDefault="00CF2D46" w:rsidP="00906CD5">
            <w:pPr>
              <w:pStyle w:val="TableText"/>
              <w:keepNext/>
              <w:jc w:val="center"/>
              <w:rPr>
                <w:b/>
                <w:sz w:val="20"/>
              </w:rPr>
            </w:pPr>
            <w:r w:rsidRPr="00906CD5">
              <w:rPr>
                <w:b/>
                <w:sz w:val="20"/>
              </w:rPr>
              <w:t>Cannabinoids</w:t>
            </w:r>
          </w:p>
        </w:tc>
        <w:tc>
          <w:tcPr>
            <w:tcW w:w="1388" w:type="dxa"/>
            <w:tcBorders>
              <w:bottom w:val="single" w:sz="4" w:space="0" w:color="auto"/>
            </w:tcBorders>
            <w:shd w:val="clear" w:color="auto" w:fill="auto"/>
            <w:hideMark/>
          </w:tcPr>
          <w:p w14:paraId="787E43F4" w14:textId="585170A3" w:rsidR="00CF2D46" w:rsidRPr="00906CD5" w:rsidRDefault="00CF2D46" w:rsidP="00AE5A19">
            <w:pPr>
              <w:pStyle w:val="TableText"/>
              <w:keepNext/>
              <w:jc w:val="center"/>
              <w:rPr>
                <w:b/>
                <w:sz w:val="20"/>
              </w:rPr>
            </w:pPr>
            <w:r w:rsidRPr="00906CD5">
              <w:rPr>
                <w:b/>
                <w:sz w:val="20"/>
              </w:rPr>
              <w:t xml:space="preserve">Hallucinogenic </w:t>
            </w:r>
            <w:r w:rsidR="00906CD5">
              <w:rPr>
                <w:b/>
                <w:sz w:val="20"/>
              </w:rPr>
              <w:t>and</w:t>
            </w:r>
            <w:r w:rsidRPr="00906CD5">
              <w:rPr>
                <w:b/>
                <w:sz w:val="20"/>
              </w:rPr>
              <w:t xml:space="preserve"> psychedelic</w:t>
            </w:r>
          </w:p>
        </w:tc>
        <w:tc>
          <w:tcPr>
            <w:tcW w:w="1388" w:type="dxa"/>
            <w:tcBorders>
              <w:bottom w:val="single" w:sz="4" w:space="0" w:color="auto"/>
            </w:tcBorders>
            <w:shd w:val="clear" w:color="auto" w:fill="auto"/>
            <w:hideMark/>
          </w:tcPr>
          <w:p w14:paraId="1F01EFCA" w14:textId="475AF063" w:rsidR="00CF2D46" w:rsidRPr="00906CD5" w:rsidRDefault="00CF2D46" w:rsidP="00AE5A19">
            <w:pPr>
              <w:pStyle w:val="TableText"/>
              <w:keepNext/>
              <w:jc w:val="center"/>
              <w:rPr>
                <w:b/>
                <w:sz w:val="20"/>
              </w:rPr>
            </w:pPr>
            <w:r w:rsidRPr="00906CD5">
              <w:rPr>
                <w:b/>
                <w:sz w:val="20"/>
              </w:rPr>
              <w:t xml:space="preserve">Opioid </w:t>
            </w:r>
            <w:r w:rsidR="00906CD5">
              <w:rPr>
                <w:b/>
                <w:sz w:val="20"/>
              </w:rPr>
              <w:t>and</w:t>
            </w:r>
            <w:r w:rsidRPr="00906CD5">
              <w:rPr>
                <w:b/>
                <w:sz w:val="20"/>
              </w:rPr>
              <w:t xml:space="preserve"> sedative</w:t>
            </w:r>
          </w:p>
        </w:tc>
        <w:tc>
          <w:tcPr>
            <w:tcW w:w="1388" w:type="dxa"/>
            <w:tcBorders>
              <w:bottom w:val="single" w:sz="4" w:space="0" w:color="auto"/>
            </w:tcBorders>
            <w:shd w:val="clear" w:color="auto" w:fill="auto"/>
            <w:noWrap/>
            <w:hideMark/>
          </w:tcPr>
          <w:p w14:paraId="2858CD82" w14:textId="77777777" w:rsidR="00CF2D46" w:rsidRPr="00906CD5" w:rsidRDefault="00CF2D46" w:rsidP="00906CD5">
            <w:pPr>
              <w:pStyle w:val="TableText"/>
              <w:keepNext/>
              <w:jc w:val="center"/>
              <w:rPr>
                <w:b/>
                <w:sz w:val="20"/>
              </w:rPr>
            </w:pPr>
            <w:r w:rsidRPr="00906CD5">
              <w:rPr>
                <w:b/>
                <w:sz w:val="20"/>
              </w:rPr>
              <w:t>Total</w:t>
            </w:r>
          </w:p>
        </w:tc>
      </w:tr>
      <w:tr w:rsidR="00CF2D46" w:rsidRPr="00944308" w14:paraId="2466537C" w14:textId="77777777" w:rsidTr="00906CD5">
        <w:trPr>
          <w:cantSplit/>
        </w:trPr>
        <w:tc>
          <w:tcPr>
            <w:tcW w:w="2127" w:type="dxa"/>
            <w:tcBorders>
              <w:top w:val="single" w:sz="4" w:space="0" w:color="auto"/>
              <w:bottom w:val="nil"/>
            </w:tcBorders>
            <w:shd w:val="clear" w:color="auto" w:fill="auto"/>
            <w:hideMark/>
          </w:tcPr>
          <w:p w14:paraId="713F2233" w14:textId="77777777" w:rsidR="00CF2D46" w:rsidRPr="00906CD5" w:rsidRDefault="00CF2D46" w:rsidP="00906CD5">
            <w:pPr>
              <w:pStyle w:val="TableText"/>
              <w:keepNext/>
              <w:rPr>
                <w:sz w:val="20"/>
              </w:rPr>
            </w:pPr>
            <w:r w:rsidRPr="00906CD5">
              <w:rPr>
                <w:sz w:val="20"/>
              </w:rPr>
              <w:t>Income from dependent users</w:t>
            </w:r>
          </w:p>
        </w:tc>
        <w:tc>
          <w:tcPr>
            <w:tcW w:w="1388" w:type="dxa"/>
            <w:tcBorders>
              <w:top w:val="single" w:sz="4" w:space="0" w:color="auto"/>
              <w:bottom w:val="nil"/>
            </w:tcBorders>
            <w:shd w:val="clear" w:color="auto" w:fill="auto"/>
            <w:noWrap/>
            <w:hideMark/>
          </w:tcPr>
          <w:p w14:paraId="1E0FFB6F" w14:textId="77777777" w:rsidR="00CF2D46" w:rsidRPr="00906CD5" w:rsidRDefault="00CF2D46" w:rsidP="00906CD5">
            <w:pPr>
              <w:pStyle w:val="TableText"/>
              <w:keepNext/>
              <w:tabs>
                <w:tab w:val="decimal" w:pos="1049"/>
              </w:tabs>
              <w:rPr>
                <w:sz w:val="20"/>
              </w:rPr>
            </w:pPr>
            <w:r w:rsidRPr="00906CD5">
              <w:rPr>
                <w:sz w:val="20"/>
              </w:rPr>
              <w:t>33,972,331</w:t>
            </w:r>
          </w:p>
        </w:tc>
        <w:tc>
          <w:tcPr>
            <w:tcW w:w="1388" w:type="dxa"/>
            <w:tcBorders>
              <w:top w:val="single" w:sz="4" w:space="0" w:color="auto"/>
              <w:bottom w:val="nil"/>
            </w:tcBorders>
            <w:shd w:val="clear" w:color="auto" w:fill="auto"/>
            <w:noWrap/>
            <w:hideMark/>
          </w:tcPr>
          <w:p w14:paraId="662DA35E" w14:textId="77777777" w:rsidR="00CF2D46" w:rsidRPr="00906CD5" w:rsidRDefault="00CF2D46" w:rsidP="00906CD5">
            <w:pPr>
              <w:pStyle w:val="TableText"/>
              <w:keepNext/>
              <w:tabs>
                <w:tab w:val="decimal" w:pos="1049"/>
              </w:tabs>
              <w:rPr>
                <w:sz w:val="20"/>
              </w:rPr>
            </w:pPr>
            <w:r w:rsidRPr="00906CD5">
              <w:rPr>
                <w:sz w:val="20"/>
              </w:rPr>
              <w:t>323,715,671</w:t>
            </w:r>
          </w:p>
        </w:tc>
        <w:tc>
          <w:tcPr>
            <w:tcW w:w="1388" w:type="dxa"/>
            <w:tcBorders>
              <w:top w:val="single" w:sz="4" w:space="0" w:color="auto"/>
              <w:bottom w:val="nil"/>
            </w:tcBorders>
            <w:shd w:val="clear" w:color="auto" w:fill="auto"/>
            <w:noWrap/>
            <w:hideMark/>
          </w:tcPr>
          <w:p w14:paraId="7FE14960" w14:textId="77777777" w:rsidR="00CF2D46" w:rsidRPr="00906CD5" w:rsidRDefault="00CF2D46" w:rsidP="00906CD5">
            <w:pPr>
              <w:pStyle w:val="TableText"/>
              <w:keepNext/>
              <w:tabs>
                <w:tab w:val="decimal" w:pos="1049"/>
              </w:tabs>
              <w:rPr>
                <w:sz w:val="20"/>
              </w:rPr>
            </w:pPr>
            <w:r w:rsidRPr="00906CD5">
              <w:rPr>
                <w:sz w:val="20"/>
              </w:rPr>
              <w:t>189,275</w:t>
            </w:r>
          </w:p>
        </w:tc>
        <w:tc>
          <w:tcPr>
            <w:tcW w:w="1388" w:type="dxa"/>
            <w:tcBorders>
              <w:top w:val="single" w:sz="4" w:space="0" w:color="auto"/>
              <w:bottom w:val="nil"/>
            </w:tcBorders>
            <w:shd w:val="clear" w:color="auto" w:fill="auto"/>
            <w:noWrap/>
            <w:hideMark/>
          </w:tcPr>
          <w:p w14:paraId="00C8EE3A" w14:textId="77777777" w:rsidR="00CF2D46" w:rsidRPr="00906CD5" w:rsidRDefault="00CF2D46" w:rsidP="00906CD5">
            <w:pPr>
              <w:pStyle w:val="TableText"/>
              <w:keepNext/>
              <w:tabs>
                <w:tab w:val="decimal" w:pos="1049"/>
              </w:tabs>
              <w:rPr>
                <w:sz w:val="20"/>
              </w:rPr>
            </w:pPr>
            <w:r w:rsidRPr="00906CD5">
              <w:rPr>
                <w:sz w:val="20"/>
              </w:rPr>
              <w:t>1,020,026</w:t>
            </w:r>
          </w:p>
        </w:tc>
        <w:tc>
          <w:tcPr>
            <w:tcW w:w="1388" w:type="dxa"/>
            <w:tcBorders>
              <w:top w:val="single" w:sz="4" w:space="0" w:color="auto"/>
              <w:bottom w:val="nil"/>
            </w:tcBorders>
            <w:shd w:val="clear" w:color="auto" w:fill="auto"/>
            <w:noWrap/>
            <w:hideMark/>
          </w:tcPr>
          <w:p w14:paraId="3767CE69" w14:textId="77777777" w:rsidR="00CF2D46" w:rsidRPr="00906CD5" w:rsidRDefault="00CF2D46" w:rsidP="00906CD5">
            <w:pPr>
              <w:pStyle w:val="TableText"/>
              <w:keepNext/>
              <w:tabs>
                <w:tab w:val="decimal" w:pos="1049"/>
              </w:tabs>
              <w:rPr>
                <w:sz w:val="20"/>
              </w:rPr>
            </w:pPr>
            <w:r w:rsidRPr="00906CD5">
              <w:rPr>
                <w:sz w:val="20"/>
              </w:rPr>
              <w:t>358,897,304</w:t>
            </w:r>
          </w:p>
        </w:tc>
      </w:tr>
      <w:tr w:rsidR="00CF2D46" w:rsidRPr="00944308" w14:paraId="7A0AC2DA" w14:textId="77777777" w:rsidTr="00906CD5">
        <w:trPr>
          <w:cantSplit/>
        </w:trPr>
        <w:tc>
          <w:tcPr>
            <w:tcW w:w="2127" w:type="dxa"/>
            <w:tcBorders>
              <w:top w:val="nil"/>
              <w:bottom w:val="nil"/>
            </w:tcBorders>
            <w:shd w:val="clear" w:color="auto" w:fill="auto"/>
            <w:hideMark/>
          </w:tcPr>
          <w:p w14:paraId="049D89FA" w14:textId="77777777" w:rsidR="00CF2D46" w:rsidRPr="00906CD5" w:rsidRDefault="00CF2D46" w:rsidP="00906CD5">
            <w:pPr>
              <w:pStyle w:val="TableText"/>
              <w:keepNext/>
              <w:spacing w:before="0"/>
              <w:rPr>
                <w:sz w:val="20"/>
              </w:rPr>
            </w:pPr>
            <w:r w:rsidRPr="00906CD5">
              <w:rPr>
                <w:sz w:val="20"/>
              </w:rPr>
              <w:t>Income from casual users</w:t>
            </w:r>
          </w:p>
        </w:tc>
        <w:tc>
          <w:tcPr>
            <w:tcW w:w="1388" w:type="dxa"/>
            <w:tcBorders>
              <w:top w:val="nil"/>
              <w:bottom w:val="nil"/>
            </w:tcBorders>
            <w:shd w:val="clear" w:color="auto" w:fill="auto"/>
            <w:noWrap/>
            <w:hideMark/>
          </w:tcPr>
          <w:p w14:paraId="2AC2EBB3" w14:textId="77777777" w:rsidR="00CF2D46" w:rsidRPr="00906CD5" w:rsidRDefault="00CF2D46" w:rsidP="00906CD5">
            <w:pPr>
              <w:pStyle w:val="TableText"/>
              <w:keepNext/>
              <w:tabs>
                <w:tab w:val="decimal" w:pos="1049"/>
              </w:tabs>
              <w:spacing w:before="0"/>
              <w:rPr>
                <w:sz w:val="20"/>
              </w:rPr>
            </w:pPr>
            <w:r w:rsidRPr="00906CD5">
              <w:rPr>
                <w:sz w:val="20"/>
              </w:rPr>
              <w:t>42,417,964</w:t>
            </w:r>
          </w:p>
        </w:tc>
        <w:tc>
          <w:tcPr>
            <w:tcW w:w="1388" w:type="dxa"/>
            <w:tcBorders>
              <w:top w:val="nil"/>
              <w:bottom w:val="nil"/>
            </w:tcBorders>
            <w:shd w:val="clear" w:color="auto" w:fill="auto"/>
            <w:noWrap/>
            <w:hideMark/>
          </w:tcPr>
          <w:p w14:paraId="12D90E7E" w14:textId="77777777" w:rsidR="00CF2D46" w:rsidRPr="00906CD5" w:rsidRDefault="00CF2D46" w:rsidP="00906CD5">
            <w:pPr>
              <w:pStyle w:val="TableText"/>
              <w:keepNext/>
              <w:tabs>
                <w:tab w:val="decimal" w:pos="1049"/>
              </w:tabs>
              <w:spacing w:before="0"/>
              <w:rPr>
                <w:sz w:val="20"/>
              </w:rPr>
            </w:pPr>
            <w:r w:rsidRPr="00906CD5">
              <w:rPr>
                <w:sz w:val="20"/>
              </w:rPr>
              <w:t>225,108,519</w:t>
            </w:r>
          </w:p>
        </w:tc>
        <w:tc>
          <w:tcPr>
            <w:tcW w:w="1388" w:type="dxa"/>
            <w:tcBorders>
              <w:top w:val="nil"/>
              <w:bottom w:val="nil"/>
            </w:tcBorders>
            <w:shd w:val="clear" w:color="auto" w:fill="auto"/>
            <w:noWrap/>
            <w:hideMark/>
          </w:tcPr>
          <w:p w14:paraId="2C0DB0CC" w14:textId="77777777" w:rsidR="00CF2D46" w:rsidRPr="00906CD5" w:rsidRDefault="00CF2D46" w:rsidP="00906CD5">
            <w:pPr>
              <w:pStyle w:val="TableText"/>
              <w:keepNext/>
              <w:tabs>
                <w:tab w:val="decimal" w:pos="1049"/>
              </w:tabs>
              <w:spacing w:before="0"/>
              <w:rPr>
                <w:sz w:val="20"/>
              </w:rPr>
            </w:pPr>
            <w:r w:rsidRPr="00906CD5">
              <w:rPr>
                <w:sz w:val="20"/>
              </w:rPr>
              <w:t>1,599,117</w:t>
            </w:r>
          </w:p>
        </w:tc>
        <w:tc>
          <w:tcPr>
            <w:tcW w:w="1388" w:type="dxa"/>
            <w:tcBorders>
              <w:top w:val="nil"/>
              <w:bottom w:val="nil"/>
            </w:tcBorders>
            <w:shd w:val="clear" w:color="auto" w:fill="auto"/>
            <w:noWrap/>
            <w:hideMark/>
          </w:tcPr>
          <w:p w14:paraId="24443E5B" w14:textId="77777777" w:rsidR="00CF2D46" w:rsidRPr="00906CD5" w:rsidRDefault="00CF2D46" w:rsidP="00906CD5">
            <w:pPr>
              <w:pStyle w:val="TableText"/>
              <w:keepNext/>
              <w:tabs>
                <w:tab w:val="decimal" w:pos="1049"/>
              </w:tabs>
              <w:spacing w:before="0"/>
              <w:rPr>
                <w:sz w:val="20"/>
              </w:rPr>
            </w:pPr>
            <w:r w:rsidRPr="00906CD5">
              <w:rPr>
                <w:sz w:val="20"/>
              </w:rPr>
              <w:t>978,572</w:t>
            </w:r>
          </w:p>
        </w:tc>
        <w:tc>
          <w:tcPr>
            <w:tcW w:w="1388" w:type="dxa"/>
            <w:tcBorders>
              <w:top w:val="nil"/>
              <w:bottom w:val="nil"/>
            </w:tcBorders>
            <w:shd w:val="clear" w:color="auto" w:fill="auto"/>
            <w:noWrap/>
            <w:hideMark/>
          </w:tcPr>
          <w:p w14:paraId="6918DE08" w14:textId="77777777" w:rsidR="00CF2D46" w:rsidRPr="00906CD5" w:rsidRDefault="00CF2D46" w:rsidP="00906CD5">
            <w:pPr>
              <w:pStyle w:val="TableText"/>
              <w:keepNext/>
              <w:tabs>
                <w:tab w:val="decimal" w:pos="1049"/>
              </w:tabs>
              <w:spacing w:before="0"/>
              <w:rPr>
                <w:sz w:val="20"/>
              </w:rPr>
            </w:pPr>
            <w:r w:rsidRPr="00906CD5">
              <w:rPr>
                <w:sz w:val="20"/>
              </w:rPr>
              <w:t>270,104,172</w:t>
            </w:r>
          </w:p>
        </w:tc>
      </w:tr>
      <w:tr w:rsidR="00CF2D46" w:rsidRPr="00944308" w14:paraId="730A4572" w14:textId="77777777" w:rsidTr="00906CD5">
        <w:trPr>
          <w:cantSplit/>
        </w:trPr>
        <w:tc>
          <w:tcPr>
            <w:tcW w:w="2127" w:type="dxa"/>
            <w:tcBorders>
              <w:top w:val="nil"/>
              <w:bottom w:val="single" w:sz="4" w:space="0" w:color="auto"/>
            </w:tcBorders>
            <w:shd w:val="clear" w:color="auto" w:fill="auto"/>
            <w:hideMark/>
          </w:tcPr>
          <w:p w14:paraId="09E21F42" w14:textId="06C4D146" w:rsidR="00CF2D46" w:rsidRPr="00906CD5" w:rsidRDefault="00CF2D46" w:rsidP="00AE5A19">
            <w:pPr>
              <w:pStyle w:val="TableText"/>
              <w:keepNext/>
              <w:spacing w:before="0"/>
              <w:rPr>
                <w:sz w:val="20"/>
              </w:rPr>
            </w:pPr>
            <w:r w:rsidRPr="00906CD5">
              <w:rPr>
                <w:sz w:val="20"/>
              </w:rPr>
              <w:t xml:space="preserve">Total </w:t>
            </w:r>
            <w:r w:rsidR="00906CD5">
              <w:rPr>
                <w:sz w:val="20"/>
              </w:rPr>
              <w:t>i</w:t>
            </w:r>
            <w:r w:rsidRPr="00906CD5">
              <w:rPr>
                <w:sz w:val="20"/>
              </w:rPr>
              <w:t>ncome</w:t>
            </w:r>
          </w:p>
        </w:tc>
        <w:tc>
          <w:tcPr>
            <w:tcW w:w="1388" w:type="dxa"/>
            <w:tcBorders>
              <w:top w:val="nil"/>
              <w:bottom w:val="single" w:sz="4" w:space="0" w:color="auto"/>
            </w:tcBorders>
            <w:shd w:val="clear" w:color="auto" w:fill="auto"/>
            <w:noWrap/>
            <w:hideMark/>
          </w:tcPr>
          <w:p w14:paraId="42D5D668" w14:textId="77777777" w:rsidR="00CF2D46" w:rsidRPr="00906CD5" w:rsidRDefault="00CF2D46" w:rsidP="00906CD5">
            <w:pPr>
              <w:pStyle w:val="TableText"/>
              <w:keepNext/>
              <w:tabs>
                <w:tab w:val="decimal" w:pos="1049"/>
              </w:tabs>
              <w:spacing w:before="0"/>
              <w:rPr>
                <w:sz w:val="20"/>
              </w:rPr>
            </w:pPr>
            <w:r w:rsidRPr="00906CD5">
              <w:rPr>
                <w:sz w:val="20"/>
              </w:rPr>
              <w:t>76,390,296</w:t>
            </w:r>
          </w:p>
        </w:tc>
        <w:tc>
          <w:tcPr>
            <w:tcW w:w="1388" w:type="dxa"/>
            <w:tcBorders>
              <w:top w:val="nil"/>
              <w:bottom w:val="single" w:sz="4" w:space="0" w:color="auto"/>
            </w:tcBorders>
            <w:shd w:val="clear" w:color="auto" w:fill="auto"/>
            <w:noWrap/>
            <w:hideMark/>
          </w:tcPr>
          <w:p w14:paraId="208F2CCC" w14:textId="77777777" w:rsidR="00CF2D46" w:rsidRPr="00906CD5" w:rsidRDefault="00CF2D46" w:rsidP="00906CD5">
            <w:pPr>
              <w:pStyle w:val="TableText"/>
              <w:keepNext/>
              <w:tabs>
                <w:tab w:val="decimal" w:pos="1049"/>
              </w:tabs>
              <w:spacing w:before="0"/>
              <w:rPr>
                <w:sz w:val="20"/>
              </w:rPr>
            </w:pPr>
            <w:r w:rsidRPr="00906CD5">
              <w:rPr>
                <w:sz w:val="20"/>
              </w:rPr>
              <w:t>548,824,190</w:t>
            </w:r>
          </w:p>
        </w:tc>
        <w:tc>
          <w:tcPr>
            <w:tcW w:w="1388" w:type="dxa"/>
            <w:tcBorders>
              <w:top w:val="nil"/>
              <w:bottom w:val="single" w:sz="4" w:space="0" w:color="auto"/>
            </w:tcBorders>
            <w:shd w:val="clear" w:color="auto" w:fill="auto"/>
            <w:noWrap/>
            <w:hideMark/>
          </w:tcPr>
          <w:p w14:paraId="2FB65FDC" w14:textId="77777777" w:rsidR="00CF2D46" w:rsidRPr="00906CD5" w:rsidRDefault="00CF2D46" w:rsidP="00906CD5">
            <w:pPr>
              <w:pStyle w:val="TableText"/>
              <w:keepNext/>
              <w:tabs>
                <w:tab w:val="decimal" w:pos="1049"/>
              </w:tabs>
              <w:spacing w:before="0"/>
              <w:rPr>
                <w:sz w:val="20"/>
              </w:rPr>
            </w:pPr>
            <w:r w:rsidRPr="00906CD5">
              <w:rPr>
                <w:sz w:val="20"/>
              </w:rPr>
              <w:t>1,788,392</w:t>
            </w:r>
          </w:p>
        </w:tc>
        <w:tc>
          <w:tcPr>
            <w:tcW w:w="1388" w:type="dxa"/>
            <w:tcBorders>
              <w:top w:val="nil"/>
              <w:bottom w:val="single" w:sz="4" w:space="0" w:color="auto"/>
            </w:tcBorders>
            <w:shd w:val="clear" w:color="auto" w:fill="auto"/>
            <w:noWrap/>
            <w:hideMark/>
          </w:tcPr>
          <w:p w14:paraId="028834EC" w14:textId="77777777" w:rsidR="00CF2D46" w:rsidRPr="00906CD5" w:rsidRDefault="00CF2D46" w:rsidP="00906CD5">
            <w:pPr>
              <w:pStyle w:val="TableText"/>
              <w:keepNext/>
              <w:tabs>
                <w:tab w:val="decimal" w:pos="1049"/>
              </w:tabs>
              <w:spacing w:before="0"/>
              <w:rPr>
                <w:sz w:val="20"/>
              </w:rPr>
            </w:pPr>
            <w:r w:rsidRPr="00906CD5">
              <w:rPr>
                <w:sz w:val="20"/>
              </w:rPr>
              <w:t>1,998,597</w:t>
            </w:r>
          </w:p>
        </w:tc>
        <w:tc>
          <w:tcPr>
            <w:tcW w:w="1388" w:type="dxa"/>
            <w:tcBorders>
              <w:top w:val="nil"/>
              <w:bottom w:val="single" w:sz="4" w:space="0" w:color="auto"/>
            </w:tcBorders>
            <w:shd w:val="clear" w:color="auto" w:fill="auto"/>
            <w:noWrap/>
            <w:hideMark/>
          </w:tcPr>
          <w:p w14:paraId="3E62E57A" w14:textId="77777777" w:rsidR="00CF2D46" w:rsidRPr="00906CD5" w:rsidRDefault="00CF2D46" w:rsidP="00906CD5">
            <w:pPr>
              <w:pStyle w:val="TableText"/>
              <w:keepNext/>
              <w:tabs>
                <w:tab w:val="decimal" w:pos="1049"/>
              </w:tabs>
              <w:spacing w:before="0"/>
              <w:rPr>
                <w:sz w:val="20"/>
              </w:rPr>
            </w:pPr>
            <w:r w:rsidRPr="00906CD5">
              <w:rPr>
                <w:sz w:val="20"/>
              </w:rPr>
              <w:t>629,001,475</w:t>
            </w:r>
          </w:p>
        </w:tc>
      </w:tr>
      <w:tr w:rsidR="00CF2D46" w:rsidRPr="00944308" w14:paraId="2A19B6E0" w14:textId="77777777" w:rsidTr="00906CD5">
        <w:trPr>
          <w:cantSplit/>
        </w:trPr>
        <w:tc>
          <w:tcPr>
            <w:tcW w:w="2127" w:type="dxa"/>
            <w:tcBorders>
              <w:top w:val="single" w:sz="4" w:space="0" w:color="auto"/>
              <w:bottom w:val="nil"/>
            </w:tcBorders>
            <w:shd w:val="clear" w:color="auto" w:fill="auto"/>
            <w:hideMark/>
          </w:tcPr>
          <w:p w14:paraId="6C172C3C" w14:textId="77777777" w:rsidR="00CF2D46" w:rsidRPr="00906CD5" w:rsidRDefault="00CF2D46" w:rsidP="00906CD5">
            <w:pPr>
              <w:pStyle w:val="TableText"/>
              <w:keepNext/>
              <w:rPr>
                <w:sz w:val="20"/>
              </w:rPr>
            </w:pPr>
            <w:r w:rsidRPr="00906CD5">
              <w:rPr>
                <w:sz w:val="20"/>
              </w:rPr>
              <w:t>Profit from dependent users</w:t>
            </w:r>
          </w:p>
        </w:tc>
        <w:tc>
          <w:tcPr>
            <w:tcW w:w="1388" w:type="dxa"/>
            <w:tcBorders>
              <w:top w:val="single" w:sz="4" w:space="0" w:color="auto"/>
              <w:bottom w:val="nil"/>
            </w:tcBorders>
            <w:shd w:val="clear" w:color="auto" w:fill="auto"/>
            <w:noWrap/>
          </w:tcPr>
          <w:p w14:paraId="5008E385" w14:textId="77777777" w:rsidR="00CF2D46" w:rsidRPr="00906CD5" w:rsidRDefault="00CF2D46" w:rsidP="00906CD5">
            <w:pPr>
              <w:pStyle w:val="TableText"/>
              <w:keepNext/>
              <w:tabs>
                <w:tab w:val="decimal" w:pos="1049"/>
              </w:tabs>
              <w:rPr>
                <w:sz w:val="20"/>
              </w:rPr>
            </w:pPr>
            <w:r w:rsidRPr="00906CD5">
              <w:rPr>
                <w:sz w:val="20"/>
              </w:rPr>
              <w:t>28,197,035</w:t>
            </w:r>
          </w:p>
        </w:tc>
        <w:tc>
          <w:tcPr>
            <w:tcW w:w="1388" w:type="dxa"/>
            <w:tcBorders>
              <w:top w:val="single" w:sz="4" w:space="0" w:color="auto"/>
              <w:bottom w:val="nil"/>
            </w:tcBorders>
            <w:shd w:val="clear" w:color="auto" w:fill="auto"/>
            <w:noWrap/>
          </w:tcPr>
          <w:p w14:paraId="000D4A8C" w14:textId="77777777" w:rsidR="00CF2D46" w:rsidRPr="00906CD5" w:rsidRDefault="00CF2D46" w:rsidP="00906CD5">
            <w:pPr>
              <w:pStyle w:val="TableText"/>
              <w:keepNext/>
              <w:tabs>
                <w:tab w:val="decimal" w:pos="1049"/>
              </w:tabs>
              <w:rPr>
                <w:sz w:val="20"/>
              </w:rPr>
            </w:pPr>
            <w:r w:rsidRPr="00906CD5">
              <w:rPr>
                <w:sz w:val="20"/>
              </w:rPr>
              <w:t>268,684,007</w:t>
            </w:r>
          </w:p>
        </w:tc>
        <w:tc>
          <w:tcPr>
            <w:tcW w:w="1388" w:type="dxa"/>
            <w:tcBorders>
              <w:top w:val="single" w:sz="4" w:space="0" w:color="auto"/>
              <w:bottom w:val="nil"/>
            </w:tcBorders>
            <w:shd w:val="clear" w:color="auto" w:fill="auto"/>
            <w:noWrap/>
          </w:tcPr>
          <w:p w14:paraId="18F19F8C" w14:textId="77777777" w:rsidR="00CF2D46" w:rsidRPr="00906CD5" w:rsidRDefault="00CF2D46" w:rsidP="00906CD5">
            <w:pPr>
              <w:pStyle w:val="TableText"/>
              <w:keepNext/>
              <w:tabs>
                <w:tab w:val="decimal" w:pos="1049"/>
              </w:tabs>
              <w:rPr>
                <w:sz w:val="20"/>
              </w:rPr>
            </w:pPr>
            <w:r w:rsidRPr="00906CD5">
              <w:rPr>
                <w:sz w:val="20"/>
              </w:rPr>
              <w:t>157,098</w:t>
            </w:r>
          </w:p>
        </w:tc>
        <w:tc>
          <w:tcPr>
            <w:tcW w:w="1388" w:type="dxa"/>
            <w:tcBorders>
              <w:top w:val="single" w:sz="4" w:space="0" w:color="auto"/>
              <w:bottom w:val="nil"/>
            </w:tcBorders>
            <w:shd w:val="clear" w:color="auto" w:fill="auto"/>
            <w:noWrap/>
          </w:tcPr>
          <w:p w14:paraId="08828AAA" w14:textId="77777777" w:rsidR="00CF2D46" w:rsidRPr="00906CD5" w:rsidRDefault="00CF2D46" w:rsidP="00906CD5">
            <w:pPr>
              <w:pStyle w:val="TableText"/>
              <w:keepNext/>
              <w:tabs>
                <w:tab w:val="decimal" w:pos="1049"/>
              </w:tabs>
              <w:rPr>
                <w:sz w:val="20"/>
              </w:rPr>
            </w:pPr>
            <w:r w:rsidRPr="00906CD5">
              <w:rPr>
                <w:sz w:val="20"/>
              </w:rPr>
              <w:t>846,622</w:t>
            </w:r>
          </w:p>
        </w:tc>
        <w:tc>
          <w:tcPr>
            <w:tcW w:w="1388" w:type="dxa"/>
            <w:tcBorders>
              <w:top w:val="single" w:sz="4" w:space="0" w:color="auto"/>
              <w:bottom w:val="nil"/>
            </w:tcBorders>
            <w:shd w:val="clear" w:color="auto" w:fill="auto"/>
            <w:noWrap/>
          </w:tcPr>
          <w:p w14:paraId="130E63DC" w14:textId="77777777" w:rsidR="00CF2D46" w:rsidRPr="00906CD5" w:rsidRDefault="00CF2D46" w:rsidP="00906CD5">
            <w:pPr>
              <w:pStyle w:val="TableText"/>
              <w:keepNext/>
              <w:tabs>
                <w:tab w:val="decimal" w:pos="1049"/>
              </w:tabs>
              <w:rPr>
                <w:sz w:val="20"/>
              </w:rPr>
            </w:pPr>
            <w:r w:rsidRPr="00906CD5">
              <w:rPr>
                <w:sz w:val="20"/>
              </w:rPr>
              <w:t>297,884,762</w:t>
            </w:r>
          </w:p>
        </w:tc>
      </w:tr>
      <w:tr w:rsidR="00CF2D46" w:rsidRPr="00944308" w14:paraId="49169011" w14:textId="77777777" w:rsidTr="00906CD5">
        <w:trPr>
          <w:cantSplit/>
        </w:trPr>
        <w:tc>
          <w:tcPr>
            <w:tcW w:w="2127" w:type="dxa"/>
            <w:tcBorders>
              <w:top w:val="nil"/>
              <w:left w:val="single" w:sz="4" w:space="0" w:color="auto"/>
              <w:bottom w:val="nil"/>
            </w:tcBorders>
            <w:shd w:val="clear" w:color="auto" w:fill="auto"/>
            <w:hideMark/>
          </w:tcPr>
          <w:p w14:paraId="37896964" w14:textId="77777777" w:rsidR="00CF2D46" w:rsidRPr="00906CD5" w:rsidRDefault="00CF2D46" w:rsidP="00906CD5">
            <w:pPr>
              <w:pStyle w:val="TableText"/>
              <w:keepNext/>
              <w:spacing w:before="0"/>
              <w:rPr>
                <w:sz w:val="20"/>
              </w:rPr>
            </w:pPr>
            <w:r w:rsidRPr="00906CD5">
              <w:rPr>
                <w:sz w:val="20"/>
              </w:rPr>
              <w:t>Profit from casual users</w:t>
            </w:r>
          </w:p>
        </w:tc>
        <w:tc>
          <w:tcPr>
            <w:tcW w:w="1388" w:type="dxa"/>
            <w:tcBorders>
              <w:top w:val="nil"/>
              <w:bottom w:val="nil"/>
            </w:tcBorders>
            <w:shd w:val="clear" w:color="auto" w:fill="auto"/>
            <w:noWrap/>
          </w:tcPr>
          <w:p w14:paraId="2D9CE391" w14:textId="77777777" w:rsidR="00CF2D46" w:rsidRPr="00906CD5" w:rsidRDefault="00CF2D46" w:rsidP="00906CD5">
            <w:pPr>
              <w:pStyle w:val="TableText"/>
              <w:keepNext/>
              <w:tabs>
                <w:tab w:val="decimal" w:pos="1049"/>
              </w:tabs>
              <w:spacing w:before="0"/>
              <w:rPr>
                <w:sz w:val="20"/>
              </w:rPr>
            </w:pPr>
            <w:r w:rsidRPr="00906CD5">
              <w:rPr>
                <w:sz w:val="20"/>
              </w:rPr>
              <w:t>35,206,910</w:t>
            </w:r>
          </w:p>
        </w:tc>
        <w:tc>
          <w:tcPr>
            <w:tcW w:w="1388" w:type="dxa"/>
            <w:tcBorders>
              <w:top w:val="nil"/>
              <w:bottom w:val="nil"/>
            </w:tcBorders>
            <w:shd w:val="clear" w:color="auto" w:fill="auto"/>
            <w:noWrap/>
          </w:tcPr>
          <w:p w14:paraId="76D2FB07" w14:textId="77777777" w:rsidR="00CF2D46" w:rsidRPr="00906CD5" w:rsidRDefault="00CF2D46" w:rsidP="00906CD5">
            <w:pPr>
              <w:pStyle w:val="TableText"/>
              <w:keepNext/>
              <w:tabs>
                <w:tab w:val="decimal" w:pos="1049"/>
              </w:tabs>
              <w:spacing w:before="0"/>
              <w:rPr>
                <w:sz w:val="20"/>
              </w:rPr>
            </w:pPr>
            <w:r w:rsidRPr="00906CD5">
              <w:rPr>
                <w:sz w:val="20"/>
              </w:rPr>
              <w:t>186,840,071</w:t>
            </w:r>
          </w:p>
        </w:tc>
        <w:tc>
          <w:tcPr>
            <w:tcW w:w="1388" w:type="dxa"/>
            <w:tcBorders>
              <w:top w:val="nil"/>
              <w:bottom w:val="nil"/>
            </w:tcBorders>
            <w:shd w:val="clear" w:color="auto" w:fill="auto"/>
            <w:noWrap/>
          </w:tcPr>
          <w:p w14:paraId="16F53514" w14:textId="77777777" w:rsidR="00CF2D46" w:rsidRPr="00906CD5" w:rsidRDefault="00CF2D46" w:rsidP="00906CD5">
            <w:pPr>
              <w:pStyle w:val="TableText"/>
              <w:keepNext/>
              <w:tabs>
                <w:tab w:val="decimal" w:pos="1049"/>
              </w:tabs>
              <w:spacing w:before="0"/>
              <w:rPr>
                <w:sz w:val="20"/>
              </w:rPr>
            </w:pPr>
            <w:r w:rsidRPr="00906CD5">
              <w:rPr>
                <w:sz w:val="20"/>
              </w:rPr>
              <w:t>1,327,267</w:t>
            </w:r>
          </w:p>
        </w:tc>
        <w:tc>
          <w:tcPr>
            <w:tcW w:w="1388" w:type="dxa"/>
            <w:tcBorders>
              <w:top w:val="nil"/>
              <w:bottom w:val="nil"/>
            </w:tcBorders>
            <w:shd w:val="clear" w:color="auto" w:fill="auto"/>
            <w:noWrap/>
          </w:tcPr>
          <w:p w14:paraId="58020BB8" w14:textId="77777777" w:rsidR="00CF2D46" w:rsidRPr="00906CD5" w:rsidRDefault="00CF2D46" w:rsidP="00906CD5">
            <w:pPr>
              <w:pStyle w:val="TableText"/>
              <w:keepNext/>
              <w:tabs>
                <w:tab w:val="decimal" w:pos="1049"/>
              </w:tabs>
              <w:spacing w:before="0"/>
              <w:rPr>
                <w:sz w:val="20"/>
              </w:rPr>
            </w:pPr>
            <w:r w:rsidRPr="00906CD5">
              <w:rPr>
                <w:sz w:val="20"/>
              </w:rPr>
              <w:t>812,215</w:t>
            </w:r>
          </w:p>
        </w:tc>
        <w:tc>
          <w:tcPr>
            <w:tcW w:w="1388" w:type="dxa"/>
            <w:tcBorders>
              <w:top w:val="nil"/>
              <w:bottom w:val="nil"/>
              <w:right w:val="single" w:sz="4" w:space="0" w:color="auto"/>
            </w:tcBorders>
            <w:shd w:val="clear" w:color="auto" w:fill="auto"/>
            <w:noWrap/>
          </w:tcPr>
          <w:p w14:paraId="6188684F" w14:textId="77777777" w:rsidR="00CF2D46" w:rsidRPr="00906CD5" w:rsidRDefault="00CF2D46" w:rsidP="00906CD5">
            <w:pPr>
              <w:pStyle w:val="TableText"/>
              <w:keepNext/>
              <w:tabs>
                <w:tab w:val="decimal" w:pos="1049"/>
              </w:tabs>
              <w:spacing w:before="0"/>
              <w:rPr>
                <w:sz w:val="20"/>
              </w:rPr>
            </w:pPr>
            <w:r w:rsidRPr="00906CD5">
              <w:rPr>
                <w:sz w:val="20"/>
              </w:rPr>
              <w:t>224,186,463</w:t>
            </w:r>
          </w:p>
        </w:tc>
      </w:tr>
      <w:tr w:rsidR="00CF2D46" w:rsidRPr="00944308" w14:paraId="727567C4" w14:textId="77777777" w:rsidTr="00906CD5">
        <w:trPr>
          <w:cantSplit/>
        </w:trPr>
        <w:tc>
          <w:tcPr>
            <w:tcW w:w="2127" w:type="dxa"/>
            <w:tcBorders>
              <w:top w:val="nil"/>
              <w:left w:val="single" w:sz="4" w:space="0" w:color="auto"/>
              <w:bottom w:val="single" w:sz="4" w:space="0" w:color="auto"/>
            </w:tcBorders>
            <w:shd w:val="clear" w:color="auto" w:fill="auto"/>
            <w:hideMark/>
          </w:tcPr>
          <w:p w14:paraId="01A1AF33" w14:textId="77777777" w:rsidR="00CF2D46" w:rsidRPr="00906CD5" w:rsidRDefault="00CF2D46" w:rsidP="00906CD5">
            <w:pPr>
              <w:pStyle w:val="TableText"/>
              <w:keepNext/>
              <w:spacing w:before="0"/>
              <w:rPr>
                <w:sz w:val="20"/>
              </w:rPr>
            </w:pPr>
            <w:r w:rsidRPr="00906CD5">
              <w:rPr>
                <w:sz w:val="20"/>
              </w:rPr>
              <w:t>Total profit</w:t>
            </w:r>
          </w:p>
        </w:tc>
        <w:tc>
          <w:tcPr>
            <w:tcW w:w="1388" w:type="dxa"/>
            <w:tcBorders>
              <w:top w:val="nil"/>
              <w:bottom w:val="single" w:sz="4" w:space="0" w:color="auto"/>
            </w:tcBorders>
            <w:shd w:val="clear" w:color="auto" w:fill="auto"/>
            <w:noWrap/>
          </w:tcPr>
          <w:p w14:paraId="32CAF4E5" w14:textId="77777777" w:rsidR="00CF2D46" w:rsidRPr="00906CD5" w:rsidRDefault="00CF2D46" w:rsidP="00906CD5">
            <w:pPr>
              <w:pStyle w:val="TableText"/>
              <w:keepNext/>
              <w:tabs>
                <w:tab w:val="decimal" w:pos="1049"/>
              </w:tabs>
              <w:spacing w:before="0"/>
              <w:rPr>
                <w:sz w:val="20"/>
              </w:rPr>
            </w:pPr>
            <w:r w:rsidRPr="00906CD5">
              <w:rPr>
                <w:sz w:val="20"/>
              </w:rPr>
              <w:t>63,403,946</w:t>
            </w:r>
          </w:p>
        </w:tc>
        <w:tc>
          <w:tcPr>
            <w:tcW w:w="1388" w:type="dxa"/>
            <w:tcBorders>
              <w:top w:val="nil"/>
              <w:bottom w:val="single" w:sz="4" w:space="0" w:color="auto"/>
            </w:tcBorders>
            <w:shd w:val="clear" w:color="auto" w:fill="auto"/>
            <w:noWrap/>
          </w:tcPr>
          <w:p w14:paraId="2F21C5F7" w14:textId="77777777" w:rsidR="00CF2D46" w:rsidRPr="00906CD5" w:rsidRDefault="00CF2D46" w:rsidP="00906CD5">
            <w:pPr>
              <w:pStyle w:val="TableText"/>
              <w:keepNext/>
              <w:tabs>
                <w:tab w:val="decimal" w:pos="1049"/>
              </w:tabs>
              <w:spacing w:before="0"/>
              <w:rPr>
                <w:sz w:val="20"/>
              </w:rPr>
            </w:pPr>
            <w:r w:rsidRPr="00906CD5">
              <w:rPr>
                <w:sz w:val="20"/>
              </w:rPr>
              <w:t>455,524,078</w:t>
            </w:r>
          </w:p>
        </w:tc>
        <w:tc>
          <w:tcPr>
            <w:tcW w:w="1388" w:type="dxa"/>
            <w:tcBorders>
              <w:top w:val="nil"/>
              <w:bottom w:val="single" w:sz="4" w:space="0" w:color="auto"/>
            </w:tcBorders>
            <w:shd w:val="clear" w:color="auto" w:fill="auto"/>
            <w:noWrap/>
          </w:tcPr>
          <w:p w14:paraId="3DB472BA" w14:textId="77777777" w:rsidR="00CF2D46" w:rsidRPr="00906CD5" w:rsidRDefault="00CF2D46" w:rsidP="00906CD5">
            <w:pPr>
              <w:pStyle w:val="TableText"/>
              <w:keepNext/>
              <w:tabs>
                <w:tab w:val="decimal" w:pos="1049"/>
              </w:tabs>
              <w:spacing w:before="0"/>
              <w:rPr>
                <w:sz w:val="20"/>
              </w:rPr>
            </w:pPr>
            <w:r w:rsidRPr="00906CD5">
              <w:rPr>
                <w:sz w:val="20"/>
              </w:rPr>
              <w:t>1,484,365</w:t>
            </w:r>
          </w:p>
        </w:tc>
        <w:tc>
          <w:tcPr>
            <w:tcW w:w="1388" w:type="dxa"/>
            <w:tcBorders>
              <w:top w:val="nil"/>
              <w:bottom w:val="single" w:sz="4" w:space="0" w:color="auto"/>
            </w:tcBorders>
            <w:shd w:val="clear" w:color="auto" w:fill="auto"/>
            <w:noWrap/>
          </w:tcPr>
          <w:p w14:paraId="4EA23188" w14:textId="77777777" w:rsidR="00CF2D46" w:rsidRPr="00906CD5" w:rsidRDefault="00CF2D46" w:rsidP="00906CD5">
            <w:pPr>
              <w:pStyle w:val="TableText"/>
              <w:keepNext/>
              <w:tabs>
                <w:tab w:val="decimal" w:pos="1049"/>
              </w:tabs>
              <w:spacing w:before="0"/>
              <w:rPr>
                <w:sz w:val="20"/>
              </w:rPr>
            </w:pPr>
            <w:r w:rsidRPr="00906CD5">
              <w:rPr>
                <w:sz w:val="20"/>
              </w:rPr>
              <w:t>1,658,836</w:t>
            </w:r>
          </w:p>
        </w:tc>
        <w:tc>
          <w:tcPr>
            <w:tcW w:w="1388" w:type="dxa"/>
            <w:tcBorders>
              <w:top w:val="nil"/>
              <w:bottom w:val="single" w:sz="4" w:space="0" w:color="auto"/>
              <w:right w:val="single" w:sz="4" w:space="0" w:color="auto"/>
            </w:tcBorders>
            <w:shd w:val="clear" w:color="auto" w:fill="auto"/>
            <w:noWrap/>
          </w:tcPr>
          <w:p w14:paraId="3F531C67" w14:textId="77777777" w:rsidR="00CF2D46" w:rsidRPr="00906CD5" w:rsidRDefault="00CF2D46" w:rsidP="00906CD5">
            <w:pPr>
              <w:pStyle w:val="TableText"/>
              <w:keepNext/>
              <w:tabs>
                <w:tab w:val="decimal" w:pos="1049"/>
              </w:tabs>
              <w:spacing w:before="0"/>
              <w:rPr>
                <w:sz w:val="20"/>
              </w:rPr>
            </w:pPr>
            <w:r w:rsidRPr="00906CD5">
              <w:rPr>
                <w:sz w:val="20"/>
              </w:rPr>
              <w:t>522,071,224</w:t>
            </w:r>
          </w:p>
        </w:tc>
      </w:tr>
      <w:tr w:rsidR="00CF2D46" w:rsidRPr="00944308" w14:paraId="798924F9" w14:textId="77777777" w:rsidTr="00906CD5">
        <w:trPr>
          <w:cantSplit/>
        </w:trPr>
        <w:tc>
          <w:tcPr>
            <w:tcW w:w="2127" w:type="dxa"/>
            <w:tcBorders>
              <w:top w:val="single" w:sz="4" w:space="0" w:color="auto"/>
              <w:left w:val="single" w:sz="4" w:space="0" w:color="auto"/>
              <w:bottom w:val="nil"/>
            </w:tcBorders>
            <w:shd w:val="clear" w:color="auto" w:fill="auto"/>
            <w:hideMark/>
          </w:tcPr>
          <w:p w14:paraId="1D1ACDEE" w14:textId="77777777" w:rsidR="00CF2D46" w:rsidRPr="00906CD5" w:rsidRDefault="00CF2D46" w:rsidP="00906CD5">
            <w:pPr>
              <w:pStyle w:val="TableText"/>
              <w:rPr>
                <w:sz w:val="20"/>
              </w:rPr>
            </w:pPr>
            <w:r w:rsidRPr="00906CD5">
              <w:rPr>
                <w:sz w:val="20"/>
              </w:rPr>
              <w:t>GST avoided (dependent)</w:t>
            </w:r>
          </w:p>
        </w:tc>
        <w:tc>
          <w:tcPr>
            <w:tcW w:w="1388" w:type="dxa"/>
            <w:tcBorders>
              <w:top w:val="single" w:sz="4" w:space="0" w:color="auto"/>
              <w:bottom w:val="nil"/>
            </w:tcBorders>
            <w:shd w:val="clear" w:color="auto" w:fill="auto"/>
            <w:noWrap/>
          </w:tcPr>
          <w:p w14:paraId="285AE387" w14:textId="77777777" w:rsidR="00CF2D46" w:rsidRPr="00906CD5" w:rsidRDefault="00CF2D46" w:rsidP="00906CD5">
            <w:pPr>
              <w:pStyle w:val="TableText"/>
              <w:tabs>
                <w:tab w:val="decimal" w:pos="1049"/>
              </w:tabs>
              <w:rPr>
                <w:sz w:val="20"/>
              </w:rPr>
            </w:pPr>
            <w:r w:rsidRPr="00906CD5">
              <w:rPr>
                <w:sz w:val="20"/>
              </w:rPr>
              <w:t>4,229,555</w:t>
            </w:r>
          </w:p>
        </w:tc>
        <w:tc>
          <w:tcPr>
            <w:tcW w:w="1388" w:type="dxa"/>
            <w:tcBorders>
              <w:top w:val="single" w:sz="4" w:space="0" w:color="auto"/>
              <w:bottom w:val="nil"/>
            </w:tcBorders>
            <w:shd w:val="clear" w:color="auto" w:fill="auto"/>
            <w:noWrap/>
          </w:tcPr>
          <w:p w14:paraId="41D77122" w14:textId="77777777" w:rsidR="00CF2D46" w:rsidRPr="00906CD5" w:rsidRDefault="00CF2D46" w:rsidP="00906CD5">
            <w:pPr>
              <w:pStyle w:val="TableText"/>
              <w:tabs>
                <w:tab w:val="decimal" w:pos="1049"/>
              </w:tabs>
              <w:rPr>
                <w:sz w:val="20"/>
              </w:rPr>
            </w:pPr>
            <w:r w:rsidRPr="00906CD5">
              <w:rPr>
                <w:sz w:val="20"/>
              </w:rPr>
              <w:t>40,302,601</w:t>
            </w:r>
          </w:p>
        </w:tc>
        <w:tc>
          <w:tcPr>
            <w:tcW w:w="1388" w:type="dxa"/>
            <w:tcBorders>
              <w:top w:val="single" w:sz="4" w:space="0" w:color="auto"/>
              <w:bottom w:val="nil"/>
            </w:tcBorders>
            <w:shd w:val="clear" w:color="auto" w:fill="auto"/>
            <w:noWrap/>
          </w:tcPr>
          <w:p w14:paraId="011BFCF2" w14:textId="77777777" w:rsidR="00CF2D46" w:rsidRPr="00906CD5" w:rsidRDefault="00CF2D46" w:rsidP="00906CD5">
            <w:pPr>
              <w:pStyle w:val="TableText"/>
              <w:tabs>
                <w:tab w:val="decimal" w:pos="1049"/>
              </w:tabs>
              <w:rPr>
                <w:sz w:val="20"/>
              </w:rPr>
            </w:pPr>
            <w:r w:rsidRPr="00906CD5">
              <w:rPr>
                <w:sz w:val="20"/>
              </w:rPr>
              <w:t>23,565</w:t>
            </w:r>
          </w:p>
        </w:tc>
        <w:tc>
          <w:tcPr>
            <w:tcW w:w="1388" w:type="dxa"/>
            <w:tcBorders>
              <w:top w:val="single" w:sz="4" w:space="0" w:color="auto"/>
              <w:bottom w:val="nil"/>
            </w:tcBorders>
            <w:shd w:val="clear" w:color="auto" w:fill="auto"/>
            <w:noWrap/>
          </w:tcPr>
          <w:p w14:paraId="29C3905B" w14:textId="77777777" w:rsidR="00CF2D46" w:rsidRPr="00906CD5" w:rsidRDefault="00CF2D46" w:rsidP="00906CD5">
            <w:pPr>
              <w:pStyle w:val="TableText"/>
              <w:tabs>
                <w:tab w:val="decimal" w:pos="1049"/>
              </w:tabs>
              <w:rPr>
                <w:sz w:val="20"/>
              </w:rPr>
            </w:pPr>
            <w:r w:rsidRPr="00906CD5">
              <w:rPr>
                <w:sz w:val="20"/>
              </w:rPr>
              <w:t>126,993</w:t>
            </w:r>
          </w:p>
        </w:tc>
        <w:tc>
          <w:tcPr>
            <w:tcW w:w="1388" w:type="dxa"/>
            <w:tcBorders>
              <w:top w:val="single" w:sz="4" w:space="0" w:color="auto"/>
              <w:bottom w:val="nil"/>
              <w:right w:val="single" w:sz="4" w:space="0" w:color="auto"/>
            </w:tcBorders>
            <w:shd w:val="clear" w:color="auto" w:fill="auto"/>
            <w:noWrap/>
          </w:tcPr>
          <w:p w14:paraId="4E85AEA1" w14:textId="77777777" w:rsidR="00CF2D46" w:rsidRPr="00906CD5" w:rsidRDefault="00CF2D46" w:rsidP="00906CD5">
            <w:pPr>
              <w:pStyle w:val="TableText"/>
              <w:tabs>
                <w:tab w:val="decimal" w:pos="1049"/>
              </w:tabs>
              <w:rPr>
                <w:sz w:val="20"/>
              </w:rPr>
            </w:pPr>
            <w:r w:rsidRPr="00906CD5">
              <w:rPr>
                <w:sz w:val="20"/>
              </w:rPr>
              <w:t>44,682,714</w:t>
            </w:r>
          </w:p>
        </w:tc>
      </w:tr>
      <w:tr w:rsidR="00CF2D46" w:rsidRPr="00944308" w14:paraId="63683A97" w14:textId="77777777" w:rsidTr="00906CD5">
        <w:trPr>
          <w:cantSplit/>
        </w:trPr>
        <w:tc>
          <w:tcPr>
            <w:tcW w:w="2127" w:type="dxa"/>
            <w:tcBorders>
              <w:top w:val="nil"/>
              <w:left w:val="single" w:sz="4" w:space="0" w:color="auto"/>
              <w:bottom w:val="nil"/>
            </w:tcBorders>
            <w:shd w:val="clear" w:color="auto" w:fill="auto"/>
            <w:hideMark/>
          </w:tcPr>
          <w:p w14:paraId="1D5C5BBF" w14:textId="77777777" w:rsidR="00CF2D46" w:rsidRPr="00906CD5" w:rsidRDefault="00CF2D46" w:rsidP="00906CD5">
            <w:pPr>
              <w:pStyle w:val="TableText"/>
              <w:spacing w:before="0"/>
              <w:rPr>
                <w:sz w:val="20"/>
              </w:rPr>
            </w:pPr>
            <w:r w:rsidRPr="00906CD5">
              <w:rPr>
                <w:sz w:val="20"/>
              </w:rPr>
              <w:t>GST avoided (casual)</w:t>
            </w:r>
          </w:p>
        </w:tc>
        <w:tc>
          <w:tcPr>
            <w:tcW w:w="1388" w:type="dxa"/>
            <w:tcBorders>
              <w:top w:val="nil"/>
              <w:bottom w:val="nil"/>
            </w:tcBorders>
            <w:shd w:val="clear" w:color="auto" w:fill="auto"/>
            <w:noWrap/>
          </w:tcPr>
          <w:p w14:paraId="7B386874" w14:textId="77777777" w:rsidR="00CF2D46" w:rsidRPr="00906CD5" w:rsidRDefault="00CF2D46" w:rsidP="00906CD5">
            <w:pPr>
              <w:pStyle w:val="TableText"/>
              <w:tabs>
                <w:tab w:val="decimal" w:pos="1049"/>
              </w:tabs>
              <w:spacing w:before="0"/>
              <w:rPr>
                <w:sz w:val="20"/>
              </w:rPr>
            </w:pPr>
            <w:r w:rsidRPr="00906CD5">
              <w:rPr>
                <w:sz w:val="20"/>
              </w:rPr>
              <w:t>5,281,036</w:t>
            </w:r>
          </w:p>
        </w:tc>
        <w:tc>
          <w:tcPr>
            <w:tcW w:w="1388" w:type="dxa"/>
            <w:tcBorders>
              <w:top w:val="nil"/>
              <w:bottom w:val="nil"/>
            </w:tcBorders>
            <w:shd w:val="clear" w:color="auto" w:fill="auto"/>
            <w:noWrap/>
          </w:tcPr>
          <w:p w14:paraId="3E0C2194" w14:textId="77777777" w:rsidR="00CF2D46" w:rsidRPr="00906CD5" w:rsidRDefault="00CF2D46" w:rsidP="00906CD5">
            <w:pPr>
              <w:pStyle w:val="TableText"/>
              <w:tabs>
                <w:tab w:val="decimal" w:pos="1049"/>
              </w:tabs>
              <w:spacing w:before="0"/>
              <w:rPr>
                <w:sz w:val="20"/>
              </w:rPr>
            </w:pPr>
            <w:r w:rsidRPr="00906CD5">
              <w:rPr>
                <w:sz w:val="20"/>
              </w:rPr>
              <w:t>28,026,011</w:t>
            </w:r>
          </w:p>
        </w:tc>
        <w:tc>
          <w:tcPr>
            <w:tcW w:w="1388" w:type="dxa"/>
            <w:tcBorders>
              <w:top w:val="nil"/>
              <w:bottom w:val="nil"/>
            </w:tcBorders>
            <w:shd w:val="clear" w:color="auto" w:fill="auto"/>
            <w:noWrap/>
          </w:tcPr>
          <w:p w14:paraId="7270F2EB" w14:textId="77777777" w:rsidR="00CF2D46" w:rsidRPr="00906CD5" w:rsidRDefault="00CF2D46" w:rsidP="00906CD5">
            <w:pPr>
              <w:pStyle w:val="TableText"/>
              <w:tabs>
                <w:tab w:val="decimal" w:pos="1049"/>
              </w:tabs>
              <w:spacing w:before="0"/>
              <w:rPr>
                <w:sz w:val="20"/>
              </w:rPr>
            </w:pPr>
            <w:r w:rsidRPr="00906CD5">
              <w:rPr>
                <w:sz w:val="20"/>
              </w:rPr>
              <w:t>199,090</w:t>
            </w:r>
          </w:p>
        </w:tc>
        <w:tc>
          <w:tcPr>
            <w:tcW w:w="1388" w:type="dxa"/>
            <w:tcBorders>
              <w:top w:val="nil"/>
              <w:bottom w:val="nil"/>
            </w:tcBorders>
            <w:shd w:val="clear" w:color="auto" w:fill="auto"/>
            <w:noWrap/>
          </w:tcPr>
          <w:p w14:paraId="72241E80" w14:textId="77777777" w:rsidR="00CF2D46" w:rsidRPr="00906CD5" w:rsidRDefault="00CF2D46" w:rsidP="00906CD5">
            <w:pPr>
              <w:pStyle w:val="TableText"/>
              <w:tabs>
                <w:tab w:val="decimal" w:pos="1049"/>
              </w:tabs>
              <w:spacing w:before="0"/>
              <w:rPr>
                <w:sz w:val="20"/>
              </w:rPr>
            </w:pPr>
            <w:r w:rsidRPr="00906CD5">
              <w:rPr>
                <w:sz w:val="20"/>
              </w:rPr>
              <w:t>121,832</w:t>
            </w:r>
          </w:p>
        </w:tc>
        <w:tc>
          <w:tcPr>
            <w:tcW w:w="1388" w:type="dxa"/>
            <w:tcBorders>
              <w:top w:val="nil"/>
              <w:bottom w:val="nil"/>
              <w:right w:val="single" w:sz="4" w:space="0" w:color="auto"/>
            </w:tcBorders>
            <w:shd w:val="clear" w:color="auto" w:fill="auto"/>
            <w:noWrap/>
          </w:tcPr>
          <w:p w14:paraId="6EB2FB86" w14:textId="77777777" w:rsidR="00CF2D46" w:rsidRPr="00906CD5" w:rsidRDefault="00CF2D46" w:rsidP="00906CD5">
            <w:pPr>
              <w:pStyle w:val="TableText"/>
              <w:tabs>
                <w:tab w:val="decimal" w:pos="1049"/>
              </w:tabs>
              <w:spacing w:before="0"/>
              <w:rPr>
                <w:sz w:val="20"/>
              </w:rPr>
            </w:pPr>
            <w:r w:rsidRPr="00906CD5">
              <w:rPr>
                <w:sz w:val="20"/>
              </w:rPr>
              <w:t>33,627,969</w:t>
            </w:r>
          </w:p>
        </w:tc>
      </w:tr>
      <w:tr w:rsidR="00CF2D46" w:rsidRPr="00944308" w14:paraId="2F5E7725" w14:textId="77777777" w:rsidTr="00906CD5">
        <w:trPr>
          <w:cantSplit/>
        </w:trPr>
        <w:tc>
          <w:tcPr>
            <w:tcW w:w="2127" w:type="dxa"/>
            <w:tcBorders>
              <w:top w:val="nil"/>
              <w:left w:val="single" w:sz="4" w:space="0" w:color="auto"/>
              <w:bottom w:val="single" w:sz="4" w:space="0" w:color="auto"/>
            </w:tcBorders>
            <w:shd w:val="clear" w:color="auto" w:fill="auto"/>
            <w:hideMark/>
          </w:tcPr>
          <w:p w14:paraId="309C96E3" w14:textId="77777777" w:rsidR="00CF2D46" w:rsidRPr="00906CD5" w:rsidRDefault="00CF2D46" w:rsidP="00906CD5">
            <w:pPr>
              <w:pStyle w:val="TableText"/>
              <w:spacing w:before="0"/>
              <w:rPr>
                <w:sz w:val="20"/>
              </w:rPr>
            </w:pPr>
            <w:r w:rsidRPr="00906CD5">
              <w:rPr>
                <w:sz w:val="20"/>
              </w:rPr>
              <w:t>Total GST avoided</w:t>
            </w:r>
          </w:p>
        </w:tc>
        <w:tc>
          <w:tcPr>
            <w:tcW w:w="1388" w:type="dxa"/>
            <w:tcBorders>
              <w:top w:val="nil"/>
              <w:bottom w:val="single" w:sz="4" w:space="0" w:color="auto"/>
            </w:tcBorders>
            <w:shd w:val="clear" w:color="auto" w:fill="auto"/>
            <w:noWrap/>
          </w:tcPr>
          <w:p w14:paraId="025548C0" w14:textId="77777777" w:rsidR="00CF2D46" w:rsidRPr="00906CD5" w:rsidRDefault="00CF2D46" w:rsidP="00906CD5">
            <w:pPr>
              <w:pStyle w:val="TableText"/>
              <w:tabs>
                <w:tab w:val="decimal" w:pos="1049"/>
              </w:tabs>
              <w:spacing w:before="0"/>
              <w:rPr>
                <w:sz w:val="20"/>
              </w:rPr>
            </w:pPr>
            <w:r w:rsidRPr="00906CD5">
              <w:rPr>
                <w:sz w:val="20"/>
              </w:rPr>
              <w:t>9,510,592</w:t>
            </w:r>
          </w:p>
        </w:tc>
        <w:tc>
          <w:tcPr>
            <w:tcW w:w="1388" w:type="dxa"/>
            <w:tcBorders>
              <w:top w:val="nil"/>
              <w:bottom w:val="single" w:sz="4" w:space="0" w:color="auto"/>
            </w:tcBorders>
            <w:shd w:val="clear" w:color="auto" w:fill="auto"/>
            <w:noWrap/>
          </w:tcPr>
          <w:p w14:paraId="1CD4AFC4" w14:textId="77777777" w:rsidR="00CF2D46" w:rsidRPr="00906CD5" w:rsidRDefault="00CF2D46" w:rsidP="00906CD5">
            <w:pPr>
              <w:pStyle w:val="TableText"/>
              <w:tabs>
                <w:tab w:val="decimal" w:pos="1049"/>
              </w:tabs>
              <w:spacing w:before="0"/>
              <w:rPr>
                <w:sz w:val="20"/>
              </w:rPr>
            </w:pPr>
            <w:r w:rsidRPr="00906CD5">
              <w:rPr>
                <w:sz w:val="20"/>
              </w:rPr>
              <w:t>68,328,6112</w:t>
            </w:r>
          </w:p>
        </w:tc>
        <w:tc>
          <w:tcPr>
            <w:tcW w:w="1388" w:type="dxa"/>
            <w:tcBorders>
              <w:top w:val="nil"/>
              <w:bottom w:val="single" w:sz="4" w:space="0" w:color="auto"/>
            </w:tcBorders>
            <w:shd w:val="clear" w:color="auto" w:fill="auto"/>
            <w:noWrap/>
          </w:tcPr>
          <w:p w14:paraId="2667A6A8" w14:textId="77777777" w:rsidR="00CF2D46" w:rsidRPr="00906CD5" w:rsidRDefault="00CF2D46" w:rsidP="00906CD5">
            <w:pPr>
              <w:pStyle w:val="TableText"/>
              <w:tabs>
                <w:tab w:val="decimal" w:pos="1049"/>
              </w:tabs>
              <w:spacing w:before="0"/>
              <w:rPr>
                <w:sz w:val="20"/>
              </w:rPr>
            </w:pPr>
            <w:r w:rsidRPr="00906CD5">
              <w:rPr>
                <w:sz w:val="20"/>
              </w:rPr>
              <w:t>222,655</w:t>
            </w:r>
          </w:p>
        </w:tc>
        <w:tc>
          <w:tcPr>
            <w:tcW w:w="1388" w:type="dxa"/>
            <w:tcBorders>
              <w:top w:val="nil"/>
              <w:bottom w:val="single" w:sz="4" w:space="0" w:color="auto"/>
            </w:tcBorders>
            <w:shd w:val="clear" w:color="auto" w:fill="auto"/>
            <w:noWrap/>
          </w:tcPr>
          <w:p w14:paraId="71714B34" w14:textId="77777777" w:rsidR="00CF2D46" w:rsidRPr="00906CD5" w:rsidRDefault="00CF2D46" w:rsidP="00906CD5">
            <w:pPr>
              <w:pStyle w:val="TableText"/>
              <w:tabs>
                <w:tab w:val="decimal" w:pos="1049"/>
              </w:tabs>
              <w:spacing w:before="0"/>
              <w:rPr>
                <w:sz w:val="20"/>
              </w:rPr>
            </w:pPr>
            <w:r w:rsidRPr="00906CD5">
              <w:rPr>
                <w:sz w:val="20"/>
              </w:rPr>
              <w:t>248,825</w:t>
            </w:r>
          </w:p>
        </w:tc>
        <w:tc>
          <w:tcPr>
            <w:tcW w:w="1388" w:type="dxa"/>
            <w:tcBorders>
              <w:top w:val="nil"/>
              <w:bottom w:val="single" w:sz="4" w:space="0" w:color="auto"/>
              <w:right w:val="single" w:sz="4" w:space="0" w:color="auto"/>
            </w:tcBorders>
            <w:shd w:val="clear" w:color="auto" w:fill="auto"/>
            <w:noWrap/>
          </w:tcPr>
          <w:p w14:paraId="225EF15E" w14:textId="77777777" w:rsidR="00CF2D46" w:rsidRPr="00906CD5" w:rsidRDefault="00CF2D46" w:rsidP="00906CD5">
            <w:pPr>
              <w:pStyle w:val="TableText"/>
              <w:tabs>
                <w:tab w:val="decimal" w:pos="1049"/>
              </w:tabs>
              <w:spacing w:before="0"/>
              <w:rPr>
                <w:sz w:val="20"/>
              </w:rPr>
            </w:pPr>
            <w:r w:rsidRPr="00906CD5">
              <w:rPr>
                <w:sz w:val="20"/>
              </w:rPr>
              <w:t>78,310,684</w:t>
            </w:r>
          </w:p>
        </w:tc>
      </w:tr>
      <w:tr w:rsidR="00CF2D46" w:rsidRPr="00944308" w14:paraId="78423B0C" w14:textId="77777777" w:rsidTr="00906CD5">
        <w:trPr>
          <w:cantSplit/>
        </w:trPr>
        <w:tc>
          <w:tcPr>
            <w:tcW w:w="2127" w:type="dxa"/>
            <w:tcBorders>
              <w:top w:val="single" w:sz="4" w:space="0" w:color="auto"/>
              <w:left w:val="single" w:sz="4" w:space="0" w:color="auto"/>
              <w:bottom w:val="nil"/>
            </w:tcBorders>
            <w:shd w:val="clear" w:color="auto" w:fill="auto"/>
            <w:hideMark/>
          </w:tcPr>
          <w:p w14:paraId="560D91AB" w14:textId="77777777" w:rsidR="00CF2D46" w:rsidRPr="00906CD5" w:rsidRDefault="00CF2D46" w:rsidP="00906CD5">
            <w:pPr>
              <w:pStyle w:val="TableText"/>
              <w:rPr>
                <w:sz w:val="20"/>
              </w:rPr>
            </w:pPr>
            <w:r w:rsidRPr="00906CD5">
              <w:rPr>
                <w:sz w:val="20"/>
              </w:rPr>
              <w:t>Company tax avoided (dependent)</w:t>
            </w:r>
          </w:p>
        </w:tc>
        <w:tc>
          <w:tcPr>
            <w:tcW w:w="1388" w:type="dxa"/>
            <w:tcBorders>
              <w:top w:val="single" w:sz="4" w:space="0" w:color="auto"/>
              <w:bottom w:val="nil"/>
            </w:tcBorders>
            <w:shd w:val="clear" w:color="auto" w:fill="auto"/>
            <w:noWrap/>
          </w:tcPr>
          <w:p w14:paraId="619A350B" w14:textId="77777777" w:rsidR="00CF2D46" w:rsidRPr="00906CD5" w:rsidRDefault="00CF2D46" w:rsidP="00906CD5">
            <w:pPr>
              <w:pStyle w:val="TableText"/>
              <w:tabs>
                <w:tab w:val="decimal" w:pos="1049"/>
              </w:tabs>
              <w:rPr>
                <w:sz w:val="20"/>
              </w:rPr>
            </w:pPr>
            <w:r w:rsidRPr="00906CD5">
              <w:rPr>
                <w:sz w:val="20"/>
              </w:rPr>
              <w:t>9,023,051</w:t>
            </w:r>
          </w:p>
        </w:tc>
        <w:tc>
          <w:tcPr>
            <w:tcW w:w="1388" w:type="dxa"/>
            <w:tcBorders>
              <w:top w:val="single" w:sz="4" w:space="0" w:color="auto"/>
              <w:bottom w:val="nil"/>
            </w:tcBorders>
            <w:shd w:val="clear" w:color="auto" w:fill="auto"/>
            <w:noWrap/>
          </w:tcPr>
          <w:p w14:paraId="73F1E4B9" w14:textId="77777777" w:rsidR="00CF2D46" w:rsidRPr="00906CD5" w:rsidRDefault="00CF2D46" w:rsidP="00906CD5">
            <w:pPr>
              <w:pStyle w:val="TableText"/>
              <w:tabs>
                <w:tab w:val="decimal" w:pos="1049"/>
              </w:tabs>
              <w:rPr>
                <w:sz w:val="20"/>
              </w:rPr>
            </w:pPr>
            <w:r w:rsidRPr="00906CD5">
              <w:rPr>
                <w:sz w:val="20"/>
              </w:rPr>
              <w:t>85,978,882</w:t>
            </w:r>
          </w:p>
        </w:tc>
        <w:tc>
          <w:tcPr>
            <w:tcW w:w="1388" w:type="dxa"/>
            <w:tcBorders>
              <w:top w:val="single" w:sz="4" w:space="0" w:color="auto"/>
              <w:bottom w:val="nil"/>
            </w:tcBorders>
            <w:shd w:val="clear" w:color="auto" w:fill="auto"/>
            <w:noWrap/>
          </w:tcPr>
          <w:p w14:paraId="21E08578" w14:textId="77777777" w:rsidR="00CF2D46" w:rsidRPr="00906CD5" w:rsidRDefault="00CF2D46" w:rsidP="00906CD5">
            <w:pPr>
              <w:pStyle w:val="TableText"/>
              <w:tabs>
                <w:tab w:val="decimal" w:pos="1049"/>
              </w:tabs>
              <w:rPr>
                <w:sz w:val="20"/>
              </w:rPr>
            </w:pPr>
            <w:r w:rsidRPr="00906CD5">
              <w:rPr>
                <w:sz w:val="20"/>
              </w:rPr>
              <w:t>50,271</w:t>
            </w:r>
          </w:p>
        </w:tc>
        <w:tc>
          <w:tcPr>
            <w:tcW w:w="1388" w:type="dxa"/>
            <w:tcBorders>
              <w:top w:val="single" w:sz="4" w:space="0" w:color="auto"/>
              <w:bottom w:val="nil"/>
            </w:tcBorders>
            <w:shd w:val="clear" w:color="auto" w:fill="auto"/>
            <w:noWrap/>
          </w:tcPr>
          <w:p w14:paraId="3D6D149A" w14:textId="77777777" w:rsidR="00CF2D46" w:rsidRPr="00906CD5" w:rsidRDefault="00CF2D46" w:rsidP="00906CD5">
            <w:pPr>
              <w:pStyle w:val="TableText"/>
              <w:tabs>
                <w:tab w:val="decimal" w:pos="1049"/>
              </w:tabs>
              <w:rPr>
                <w:sz w:val="20"/>
              </w:rPr>
            </w:pPr>
            <w:r w:rsidRPr="00906CD5">
              <w:rPr>
                <w:sz w:val="20"/>
              </w:rPr>
              <w:t>270,919</w:t>
            </w:r>
          </w:p>
        </w:tc>
        <w:tc>
          <w:tcPr>
            <w:tcW w:w="1388" w:type="dxa"/>
            <w:tcBorders>
              <w:top w:val="single" w:sz="4" w:space="0" w:color="auto"/>
              <w:bottom w:val="nil"/>
              <w:right w:val="single" w:sz="4" w:space="0" w:color="auto"/>
            </w:tcBorders>
            <w:shd w:val="clear" w:color="auto" w:fill="auto"/>
            <w:noWrap/>
          </w:tcPr>
          <w:p w14:paraId="1CBC20C7" w14:textId="77777777" w:rsidR="00CF2D46" w:rsidRPr="00906CD5" w:rsidRDefault="00CF2D46" w:rsidP="00906CD5">
            <w:pPr>
              <w:pStyle w:val="TableText"/>
              <w:tabs>
                <w:tab w:val="decimal" w:pos="1049"/>
              </w:tabs>
              <w:rPr>
                <w:sz w:val="20"/>
              </w:rPr>
            </w:pPr>
            <w:r w:rsidRPr="00906CD5">
              <w:rPr>
                <w:sz w:val="20"/>
              </w:rPr>
              <w:t>95,323,124</w:t>
            </w:r>
          </w:p>
        </w:tc>
      </w:tr>
      <w:tr w:rsidR="00CF2D46" w:rsidRPr="00944308" w14:paraId="6D4E0DF1" w14:textId="77777777" w:rsidTr="00906CD5">
        <w:trPr>
          <w:cantSplit/>
        </w:trPr>
        <w:tc>
          <w:tcPr>
            <w:tcW w:w="2127" w:type="dxa"/>
            <w:tcBorders>
              <w:top w:val="nil"/>
              <w:left w:val="single" w:sz="4" w:space="0" w:color="auto"/>
              <w:bottom w:val="nil"/>
            </w:tcBorders>
            <w:shd w:val="clear" w:color="auto" w:fill="auto"/>
            <w:hideMark/>
          </w:tcPr>
          <w:p w14:paraId="1FE02383" w14:textId="77777777" w:rsidR="00CF2D46" w:rsidRPr="00906CD5" w:rsidRDefault="00CF2D46" w:rsidP="00906CD5">
            <w:pPr>
              <w:pStyle w:val="TableText"/>
              <w:spacing w:before="0"/>
              <w:rPr>
                <w:sz w:val="20"/>
              </w:rPr>
            </w:pPr>
            <w:r w:rsidRPr="00906CD5">
              <w:rPr>
                <w:sz w:val="20"/>
              </w:rPr>
              <w:t>Company tax avoided (casual)</w:t>
            </w:r>
          </w:p>
        </w:tc>
        <w:tc>
          <w:tcPr>
            <w:tcW w:w="1388" w:type="dxa"/>
            <w:tcBorders>
              <w:top w:val="nil"/>
              <w:bottom w:val="nil"/>
            </w:tcBorders>
            <w:shd w:val="clear" w:color="auto" w:fill="auto"/>
            <w:noWrap/>
          </w:tcPr>
          <w:p w14:paraId="74BF1EA5" w14:textId="77777777" w:rsidR="00CF2D46" w:rsidRPr="00906CD5" w:rsidRDefault="00CF2D46" w:rsidP="00906CD5">
            <w:pPr>
              <w:pStyle w:val="TableText"/>
              <w:tabs>
                <w:tab w:val="decimal" w:pos="1049"/>
              </w:tabs>
              <w:spacing w:before="0"/>
              <w:rPr>
                <w:sz w:val="20"/>
              </w:rPr>
            </w:pPr>
            <w:r w:rsidRPr="00906CD5">
              <w:rPr>
                <w:sz w:val="20"/>
              </w:rPr>
              <w:t>11,266,211</w:t>
            </w:r>
          </w:p>
        </w:tc>
        <w:tc>
          <w:tcPr>
            <w:tcW w:w="1388" w:type="dxa"/>
            <w:tcBorders>
              <w:top w:val="nil"/>
              <w:bottom w:val="nil"/>
            </w:tcBorders>
            <w:shd w:val="clear" w:color="auto" w:fill="auto"/>
            <w:noWrap/>
          </w:tcPr>
          <w:p w14:paraId="630799C6" w14:textId="77777777" w:rsidR="00CF2D46" w:rsidRPr="00906CD5" w:rsidRDefault="00CF2D46" w:rsidP="00906CD5">
            <w:pPr>
              <w:pStyle w:val="TableText"/>
              <w:tabs>
                <w:tab w:val="decimal" w:pos="1049"/>
              </w:tabs>
              <w:spacing w:before="0"/>
              <w:rPr>
                <w:sz w:val="20"/>
              </w:rPr>
            </w:pPr>
            <w:r w:rsidRPr="00906CD5">
              <w:rPr>
                <w:sz w:val="20"/>
              </w:rPr>
              <w:t>59,788,823</w:t>
            </w:r>
          </w:p>
        </w:tc>
        <w:tc>
          <w:tcPr>
            <w:tcW w:w="1388" w:type="dxa"/>
            <w:tcBorders>
              <w:top w:val="nil"/>
              <w:bottom w:val="nil"/>
            </w:tcBorders>
            <w:shd w:val="clear" w:color="auto" w:fill="auto"/>
            <w:noWrap/>
          </w:tcPr>
          <w:p w14:paraId="35A32842" w14:textId="77777777" w:rsidR="00CF2D46" w:rsidRPr="00906CD5" w:rsidRDefault="00CF2D46" w:rsidP="00906CD5">
            <w:pPr>
              <w:pStyle w:val="TableText"/>
              <w:tabs>
                <w:tab w:val="decimal" w:pos="1049"/>
              </w:tabs>
              <w:spacing w:before="0"/>
              <w:rPr>
                <w:sz w:val="20"/>
              </w:rPr>
            </w:pPr>
            <w:r w:rsidRPr="00906CD5">
              <w:rPr>
                <w:sz w:val="20"/>
              </w:rPr>
              <w:t>424,725</w:t>
            </w:r>
          </w:p>
        </w:tc>
        <w:tc>
          <w:tcPr>
            <w:tcW w:w="1388" w:type="dxa"/>
            <w:tcBorders>
              <w:top w:val="nil"/>
              <w:bottom w:val="nil"/>
            </w:tcBorders>
            <w:shd w:val="clear" w:color="auto" w:fill="auto"/>
            <w:noWrap/>
          </w:tcPr>
          <w:p w14:paraId="4F4C31F5" w14:textId="77777777" w:rsidR="00CF2D46" w:rsidRPr="00906CD5" w:rsidRDefault="00CF2D46" w:rsidP="00906CD5">
            <w:pPr>
              <w:pStyle w:val="TableText"/>
              <w:tabs>
                <w:tab w:val="decimal" w:pos="1049"/>
              </w:tabs>
              <w:spacing w:before="0"/>
              <w:rPr>
                <w:sz w:val="20"/>
              </w:rPr>
            </w:pPr>
            <w:r w:rsidRPr="00906CD5">
              <w:rPr>
                <w:sz w:val="20"/>
              </w:rPr>
              <w:t>259,909</w:t>
            </w:r>
          </w:p>
        </w:tc>
        <w:tc>
          <w:tcPr>
            <w:tcW w:w="1388" w:type="dxa"/>
            <w:tcBorders>
              <w:top w:val="nil"/>
              <w:bottom w:val="nil"/>
              <w:right w:val="single" w:sz="4" w:space="0" w:color="auto"/>
            </w:tcBorders>
            <w:shd w:val="clear" w:color="auto" w:fill="auto"/>
            <w:noWrap/>
          </w:tcPr>
          <w:p w14:paraId="392576DF" w14:textId="77777777" w:rsidR="00CF2D46" w:rsidRPr="00906CD5" w:rsidRDefault="00CF2D46" w:rsidP="00906CD5">
            <w:pPr>
              <w:pStyle w:val="TableText"/>
              <w:tabs>
                <w:tab w:val="decimal" w:pos="1049"/>
              </w:tabs>
              <w:spacing w:before="0"/>
              <w:rPr>
                <w:sz w:val="20"/>
              </w:rPr>
            </w:pPr>
            <w:r w:rsidRPr="00906CD5">
              <w:rPr>
                <w:sz w:val="20"/>
              </w:rPr>
              <w:t>71,739,668</w:t>
            </w:r>
          </w:p>
        </w:tc>
      </w:tr>
      <w:tr w:rsidR="00CF2D46" w:rsidRPr="00944308" w14:paraId="4603BD0E" w14:textId="77777777" w:rsidTr="00906CD5">
        <w:trPr>
          <w:cantSplit/>
        </w:trPr>
        <w:tc>
          <w:tcPr>
            <w:tcW w:w="2127" w:type="dxa"/>
            <w:tcBorders>
              <w:top w:val="nil"/>
              <w:left w:val="single" w:sz="4" w:space="0" w:color="auto"/>
              <w:bottom w:val="single" w:sz="4" w:space="0" w:color="auto"/>
            </w:tcBorders>
            <w:shd w:val="clear" w:color="auto" w:fill="auto"/>
            <w:hideMark/>
          </w:tcPr>
          <w:p w14:paraId="6679DAF2" w14:textId="77777777" w:rsidR="00CF2D46" w:rsidRPr="00906CD5" w:rsidRDefault="00CF2D46" w:rsidP="00906CD5">
            <w:pPr>
              <w:pStyle w:val="TableText"/>
              <w:spacing w:before="0"/>
              <w:rPr>
                <w:sz w:val="20"/>
              </w:rPr>
            </w:pPr>
            <w:r w:rsidRPr="00906CD5">
              <w:rPr>
                <w:sz w:val="20"/>
              </w:rPr>
              <w:t>Total company tax avoided</w:t>
            </w:r>
          </w:p>
        </w:tc>
        <w:tc>
          <w:tcPr>
            <w:tcW w:w="1388" w:type="dxa"/>
            <w:tcBorders>
              <w:top w:val="nil"/>
              <w:bottom w:val="single" w:sz="4" w:space="0" w:color="auto"/>
            </w:tcBorders>
            <w:shd w:val="clear" w:color="auto" w:fill="auto"/>
            <w:noWrap/>
          </w:tcPr>
          <w:p w14:paraId="6BD1749E" w14:textId="77777777" w:rsidR="00CF2D46" w:rsidRPr="00906CD5" w:rsidRDefault="00CF2D46" w:rsidP="00906CD5">
            <w:pPr>
              <w:pStyle w:val="TableText"/>
              <w:tabs>
                <w:tab w:val="decimal" w:pos="1049"/>
              </w:tabs>
              <w:spacing w:before="0"/>
              <w:rPr>
                <w:sz w:val="20"/>
              </w:rPr>
            </w:pPr>
            <w:r w:rsidRPr="00906CD5">
              <w:rPr>
                <w:sz w:val="20"/>
              </w:rPr>
              <w:t>20,289,263</w:t>
            </w:r>
          </w:p>
        </w:tc>
        <w:tc>
          <w:tcPr>
            <w:tcW w:w="1388" w:type="dxa"/>
            <w:tcBorders>
              <w:top w:val="nil"/>
              <w:bottom w:val="single" w:sz="4" w:space="0" w:color="auto"/>
            </w:tcBorders>
            <w:shd w:val="clear" w:color="auto" w:fill="auto"/>
            <w:noWrap/>
          </w:tcPr>
          <w:p w14:paraId="5D73B128" w14:textId="77777777" w:rsidR="00CF2D46" w:rsidRPr="00906CD5" w:rsidRDefault="00CF2D46" w:rsidP="00906CD5">
            <w:pPr>
              <w:pStyle w:val="TableText"/>
              <w:tabs>
                <w:tab w:val="decimal" w:pos="1049"/>
              </w:tabs>
              <w:spacing w:before="0"/>
              <w:rPr>
                <w:sz w:val="20"/>
              </w:rPr>
            </w:pPr>
            <w:r w:rsidRPr="00906CD5">
              <w:rPr>
                <w:sz w:val="20"/>
              </w:rPr>
              <w:t>145,767,705</w:t>
            </w:r>
          </w:p>
        </w:tc>
        <w:tc>
          <w:tcPr>
            <w:tcW w:w="1388" w:type="dxa"/>
            <w:tcBorders>
              <w:top w:val="nil"/>
              <w:bottom w:val="single" w:sz="4" w:space="0" w:color="auto"/>
            </w:tcBorders>
            <w:shd w:val="clear" w:color="auto" w:fill="auto"/>
            <w:noWrap/>
          </w:tcPr>
          <w:p w14:paraId="3A602AC4" w14:textId="77777777" w:rsidR="00CF2D46" w:rsidRPr="00906CD5" w:rsidRDefault="00CF2D46" w:rsidP="00906CD5">
            <w:pPr>
              <w:pStyle w:val="TableText"/>
              <w:tabs>
                <w:tab w:val="decimal" w:pos="1049"/>
              </w:tabs>
              <w:spacing w:before="0"/>
              <w:rPr>
                <w:sz w:val="20"/>
              </w:rPr>
            </w:pPr>
            <w:r w:rsidRPr="00906CD5">
              <w:rPr>
                <w:sz w:val="20"/>
              </w:rPr>
              <w:t>474,997</w:t>
            </w:r>
          </w:p>
        </w:tc>
        <w:tc>
          <w:tcPr>
            <w:tcW w:w="1388" w:type="dxa"/>
            <w:tcBorders>
              <w:top w:val="nil"/>
              <w:bottom w:val="single" w:sz="4" w:space="0" w:color="auto"/>
            </w:tcBorders>
            <w:shd w:val="clear" w:color="auto" w:fill="auto"/>
            <w:noWrap/>
          </w:tcPr>
          <w:p w14:paraId="165575E0" w14:textId="77777777" w:rsidR="00CF2D46" w:rsidRPr="00906CD5" w:rsidRDefault="00CF2D46" w:rsidP="00906CD5">
            <w:pPr>
              <w:pStyle w:val="TableText"/>
              <w:tabs>
                <w:tab w:val="decimal" w:pos="1049"/>
              </w:tabs>
              <w:spacing w:before="0"/>
              <w:rPr>
                <w:sz w:val="20"/>
              </w:rPr>
            </w:pPr>
            <w:r w:rsidRPr="00906CD5">
              <w:rPr>
                <w:sz w:val="20"/>
              </w:rPr>
              <w:t>530,827</w:t>
            </w:r>
          </w:p>
        </w:tc>
        <w:tc>
          <w:tcPr>
            <w:tcW w:w="1388" w:type="dxa"/>
            <w:tcBorders>
              <w:top w:val="nil"/>
              <w:bottom w:val="single" w:sz="4" w:space="0" w:color="auto"/>
              <w:right w:val="single" w:sz="4" w:space="0" w:color="auto"/>
            </w:tcBorders>
            <w:shd w:val="clear" w:color="auto" w:fill="auto"/>
            <w:noWrap/>
          </w:tcPr>
          <w:p w14:paraId="6797CF97" w14:textId="77777777" w:rsidR="00CF2D46" w:rsidRPr="00906CD5" w:rsidRDefault="00CF2D46" w:rsidP="00906CD5">
            <w:pPr>
              <w:pStyle w:val="TableText"/>
              <w:tabs>
                <w:tab w:val="decimal" w:pos="1049"/>
              </w:tabs>
              <w:spacing w:before="0"/>
              <w:rPr>
                <w:sz w:val="20"/>
              </w:rPr>
            </w:pPr>
            <w:r w:rsidRPr="00906CD5">
              <w:rPr>
                <w:sz w:val="20"/>
              </w:rPr>
              <w:t>167,062,792</w:t>
            </w:r>
          </w:p>
        </w:tc>
      </w:tr>
      <w:tr w:rsidR="00CF2D46" w:rsidRPr="00944308" w14:paraId="3164D43F" w14:textId="77777777" w:rsidTr="00906CD5">
        <w:trPr>
          <w:cantSplit/>
        </w:trPr>
        <w:tc>
          <w:tcPr>
            <w:tcW w:w="2127" w:type="dxa"/>
            <w:tcBorders>
              <w:top w:val="single" w:sz="4" w:space="0" w:color="auto"/>
              <w:left w:val="single" w:sz="4" w:space="0" w:color="auto"/>
              <w:bottom w:val="nil"/>
            </w:tcBorders>
            <w:shd w:val="clear" w:color="auto" w:fill="auto"/>
            <w:hideMark/>
          </w:tcPr>
          <w:p w14:paraId="18789CD4" w14:textId="77777777" w:rsidR="00CF2D46" w:rsidRPr="00906CD5" w:rsidRDefault="00CF2D46" w:rsidP="00906CD5">
            <w:pPr>
              <w:pStyle w:val="TableText"/>
              <w:rPr>
                <w:sz w:val="20"/>
              </w:rPr>
            </w:pPr>
            <w:r w:rsidRPr="00906CD5">
              <w:rPr>
                <w:sz w:val="20"/>
              </w:rPr>
              <w:t>All tax avoided (dependent)</w:t>
            </w:r>
          </w:p>
        </w:tc>
        <w:tc>
          <w:tcPr>
            <w:tcW w:w="1388" w:type="dxa"/>
            <w:tcBorders>
              <w:top w:val="single" w:sz="4" w:space="0" w:color="auto"/>
              <w:bottom w:val="nil"/>
            </w:tcBorders>
            <w:shd w:val="clear" w:color="auto" w:fill="auto"/>
            <w:noWrap/>
          </w:tcPr>
          <w:p w14:paraId="66252337" w14:textId="77777777" w:rsidR="00CF2D46" w:rsidRPr="00906CD5" w:rsidRDefault="00CF2D46" w:rsidP="00906CD5">
            <w:pPr>
              <w:pStyle w:val="TableText"/>
              <w:tabs>
                <w:tab w:val="decimal" w:pos="1049"/>
              </w:tabs>
              <w:rPr>
                <w:sz w:val="20"/>
              </w:rPr>
            </w:pPr>
            <w:r w:rsidRPr="00906CD5">
              <w:rPr>
                <w:sz w:val="20"/>
              </w:rPr>
              <w:t>13,252,606</w:t>
            </w:r>
          </w:p>
        </w:tc>
        <w:tc>
          <w:tcPr>
            <w:tcW w:w="1388" w:type="dxa"/>
            <w:tcBorders>
              <w:top w:val="single" w:sz="4" w:space="0" w:color="auto"/>
              <w:bottom w:val="nil"/>
            </w:tcBorders>
            <w:shd w:val="clear" w:color="auto" w:fill="auto"/>
            <w:noWrap/>
          </w:tcPr>
          <w:p w14:paraId="39C4E9A5" w14:textId="77777777" w:rsidR="00CF2D46" w:rsidRPr="00906CD5" w:rsidRDefault="00CF2D46" w:rsidP="00906CD5">
            <w:pPr>
              <w:pStyle w:val="TableText"/>
              <w:tabs>
                <w:tab w:val="decimal" w:pos="1049"/>
              </w:tabs>
              <w:rPr>
                <w:sz w:val="20"/>
              </w:rPr>
            </w:pPr>
            <w:r w:rsidRPr="00906CD5">
              <w:rPr>
                <w:sz w:val="20"/>
              </w:rPr>
              <w:t>126,281,483</w:t>
            </w:r>
          </w:p>
        </w:tc>
        <w:tc>
          <w:tcPr>
            <w:tcW w:w="1388" w:type="dxa"/>
            <w:tcBorders>
              <w:top w:val="single" w:sz="4" w:space="0" w:color="auto"/>
              <w:bottom w:val="nil"/>
            </w:tcBorders>
            <w:shd w:val="clear" w:color="auto" w:fill="auto"/>
            <w:noWrap/>
          </w:tcPr>
          <w:p w14:paraId="524431A9" w14:textId="77777777" w:rsidR="00CF2D46" w:rsidRPr="00906CD5" w:rsidRDefault="00CF2D46" w:rsidP="00906CD5">
            <w:pPr>
              <w:pStyle w:val="TableText"/>
              <w:tabs>
                <w:tab w:val="decimal" w:pos="1049"/>
              </w:tabs>
              <w:rPr>
                <w:sz w:val="20"/>
              </w:rPr>
            </w:pPr>
            <w:r w:rsidRPr="00906CD5">
              <w:rPr>
                <w:sz w:val="20"/>
              </w:rPr>
              <w:t>73,836</w:t>
            </w:r>
          </w:p>
        </w:tc>
        <w:tc>
          <w:tcPr>
            <w:tcW w:w="1388" w:type="dxa"/>
            <w:tcBorders>
              <w:top w:val="single" w:sz="4" w:space="0" w:color="auto"/>
              <w:bottom w:val="nil"/>
            </w:tcBorders>
            <w:shd w:val="clear" w:color="auto" w:fill="auto"/>
            <w:noWrap/>
          </w:tcPr>
          <w:p w14:paraId="1D320E9E" w14:textId="77777777" w:rsidR="00CF2D46" w:rsidRPr="00906CD5" w:rsidRDefault="00CF2D46" w:rsidP="00906CD5">
            <w:pPr>
              <w:pStyle w:val="TableText"/>
              <w:tabs>
                <w:tab w:val="decimal" w:pos="1049"/>
              </w:tabs>
              <w:rPr>
                <w:sz w:val="20"/>
              </w:rPr>
            </w:pPr>
            <w:r w:rsidRPr="00906CD5">
              <w:rPr>
                <w:sz w:val="20"/>
              </w:rPr>
              <w:t>397,912</w:t>
            </w:r>
          </w:p>
        </w:tc>
        <w:tc>
          <w:tcPr>
            <w:tcW w:w="1388" w:type="dxa"/>
            <w:tcBorders>
              <w:top w:val="single" w:sz="4" w:space="0" w:color="auto"/>
              <w:bottom w:val="nil"/>
              <w:right w:val="single" w:sz="4" w:space="0" w:color="auto"/>
            </w:tcBorders>
            <w:shd w:val="clear" w:color="auto" w:fill="auto"/>
            <w:noWrap/>
          </w:tcPr>
          <w:p w14:paraId="24677E4B" w14:textId="77777777" w:rsidR="00CF2D46" w:rsidRPr="00906CD5" w:rsidRDefault="00CF2D46" w:rsidP="00906CD5">
            <w:pPr>
              <w:pStyle w:val="TableText"/>
              <w:tabs>
                <w:tab w:val="decimal" w:pos="1049"/>
              </w:tabs>
              <w:rPr>
                <w:sz w:val="20"/>
              </w:rPr>
            </w:pPr>
            <w:r w:rsidRPr="00906CD5">
              <w:rPr>
                <w:sz w:val="20"/>
              </w:rPr>
              <w:t>140,005,838</w:t>
            </w:r>
          </w:p>
        </w:tc>
      </w:tr>
      <w:tr w:rsidR="00CF2D46" w:rsidRPr="00944308" w14:paraId="7F366548" w14:textId="77777777" w:rsidTr="00906CD5">
        <w:trPr>
          <w:cantSplit/>
        </w:trPr>
        <w:tc>
          <w:tcPr>
            <w:tcW w:w="2127" w:type="dxa"/>
            <w:tcBorders>
              <w:top w:val="nil"/>
              <w:left w:val="single" w:sz="4" w:space="0" w:color="auto"/>
              <w:bottom w:val="nil"/>
            </w:tcBorders>
            <w:shd w:val="clear" w:color="auto" w:fill="auto"/>
            <w:hideMark/>
          </w:tcPr>
          <w:p w14:paraId="042F35EE" w14:textId="77777777" w:rsidR="00CF2D46" w:rsidRPr="00906CD5" w:rsidRDefault="00CF2D46" w:rsidP="00906CD5">
            <w:pPr>
              <w:pStyle w:val="TableText"/>
              <w:spacing w:before="0"/>
              <w:rPr>
                <w:sz w:val="20"/>
              </w:rPr>
            </w:pPr>
            <w:r w:rsidRPr="00906CD5">
              <w:rPr>
                <w:sz w:val="20"/>
              </w:rPr>
              <w:t>All tax avoided (casual)</w:t>
            </w:r>
          </w:p>
        </w:tc>
        <w:tc>
          <w:tcPr>
            <w:tcW w:w="1388" w:type="dxa"/>
            <w:tcBorders>
              <w:top w:val="nil"/>
              <w:bottom w:val="nil"/>
            </w:tcBorders>
            <w:shd w:val="clear" w:color="auto" w:fill="auto"/>
            <w:noWrap/>
          </w:tcPr>
          <w:p w14:paraId="2234920D" w14:textId="77777777" w:rsidR="00CF2D46" w:rsidRPr="00906CD5" w:rsidRDefault="00CF2D46" w:rsidP="00906CD5">
            <w:pPr>
              <w:pStyle w:val="TableText"/>
              <w:tabs>
                <w:tab w:val="decimal" w:pos="1049"/>
              </w:tabs>
              <w:spacing w:before="0"/>
              <w:rPr>
                <w:sz w:val="20"/>
              </w:rPr>
            </w:pPr>
            <w:r w:rsidRPr="00906CD5">
              <w:rPr>
                <w:sz w:val="20"/>
              </w:rPr>
              <w:t>16,547,248</w:t>
            </w:r>
          </w:p>
        </w:tc>
        <w:tc>
          <w:tcPr>
            <w:tcW w:w="1388" w:type="dxa"/>
            <w:tcBorders>
              <w:top w:val="nil"/>
              <w:bottom w:val="nil"/>
            </w:tcBorders>
            <w:shd w:val="clear" w:color="auto" w:fill="auto"/>
            <w:noWrap/>
          </w:tcPr>
          <w:p w14:paraId="55D3C51A" w14:textId="77777777" w:rsidR="00CF2D46" w:rsidRPr="00906CD5" w:rsidRDefault="00CF2D46" w:rsidP="00906CD5">
            <w:pPr>
              <w:pStyle w:val="TableText"/>
              <w:tabs>
                <w:tab w:val="decimal" w:pos="1049"/>
              </w:tabs>
              <w:spacing w:before="0"/>
              <w:rPr>
                <w:sz w:val="20"/>
              </w:rPr>
            </w:pPr>
            <w:r w:rsidRPr="00906CD5">
              <w:rPr>
                <w:sz w:val="20"/>
              </w:rPr>
              <w:t>87,814,833</w:t>
            </w:r>
          </w:p>
        </w:tc>
        <w:tc>
          <w:tcPr>
            <w:tcW w:w="1388" w:type="dxa"/>
            <w:tcBorders>
              <w:top w:val="nil"/>
              <w:bottom w:val="nil"/>
            </w:tcBorders>
            <w:shd w:val="clear" w:color="auto" w:fill="auto"/>
            <w:noWrap/>
          </w:tcPr>
          <w:p w14:paraId="383D621E" w14:textId="77777777" w:rsidR="00CF2D46" w:rsidRPr="00906CD5" w:rsidRDefault="00CF2D46" w:rsidP="00906CD5">
            <w:pPr>
              <w:pStyle w:val="TableText"/>
              <w:tabs>
                <w:tab w:val="decimal" w:pos="1049"/>
              </w:tabs>
              <w:spacing w:before="0"/>
              <w:rPr>
                <w:sz w:val="20"/>
              </w:rPr>
            </w:pPr>
            <w:r w:rsidRPr="00906CD5">
              <w:rPr>
                <w:sz w:val="20"/>
              </w:rPr>
              <w:t>623,816</w:t>
            </w:r>
          </w:p>
        </w:tc>
        <w:tc>
          <w:tcPr>
            <w:tcW w:w="1388" w:type="dxa"/>
            <w:tcBorders>
              <w:top w:val="nil"/>
              <w:bottom w:val="nil"/>
            </w:tcBorders>
            <w:shd w:val="clear" w:color="auto" w:fill="auto"/>
            <w:noWrap/>
          </w:tcPr>
          <w:p w14:paraId="25E9F36A" w14:textId="77777777" w:rsidR="00CF2D46" w:rsidRPr="00906CD5" w:rsidRDefault="00CF2D46" w:rsidP="00906CD5">
            <w:pPr>
              <w:pStyle w:val="TableText"/>
              <w:tabs>
                <w:tab w:val="decimal" w:pos="1049"/>
              </w:tabs>
              <w:spacing w:before="0"/>
              <w:rPr>
                <w:sz w:val="20"/>
              </w:rPr>
            </w:pPr>
            <w:r w:rsidRPr="00906CD5">
              <w:rPr>
                <w:sz w:val="20"/>
              </w:rPr>
              <w:t>381,741</w:t>
            </w:r>
          </w:p>
        </w:tc>
        <w:tc>
          <w:tcPr>
            <w:tcW w:w="1388" w:type="dxa"/>
            <w:tcBorders>
              <w:top w:val="nil"/>
              <w:bottom w:val="nil"/>
              <w:right w:val="single" w:sz="4" w:space="0" w:color="auto"/>
            </w:tcBorders>
            <w:shd w:val="clear" w:color="auto" w:fill="auto"/>
            <w:noWrap/>
          </w:tcPr>
          <w:p w14:paraId="1B2BED2C" w14:textId="77777777" w:rsidR="00CF2D46" w:rsidRPr="00906CD5" w:rsidRDefault="00CF2D46" w:rsidP="00906CD5">
            <w:pPr>
              <w:pStyle w:val="TableText"/>
              <w:tabs>
                <w:tab w:val="decimal" w:pos="1049"/>
              </w:tabs>
              <w:spacing w:before="0"/>
              <w:rPr>
                <w:sz w:val="20"/>
              </w:rPr>
            </w:pPr>
            <w:r w:rsidRPr="00906CD5">
              <w:rPr>
                <w:sz w:val="20"/>
              </w:rPr>
              <w:t>105,367,638</w:t>
            </w:r>
          </w:p>
        </w:tc>
      </w:tr>
      <w:tr w:rsidR="00CF2D46" w:rsidRPr="00906CD5" w14:paraId="357F45F7" w14:textId="77777777" w:rsidTr="00906CD5">
        <w:trPr>
          <w:cantSplit/>
        </w:trPr>
        <w:tc>
          <w:tcPr>
            <w:tcW w:w="2127" w:type="dxa"/>
            <w:tcBorders>
              <w:top w:val="nil"/>
              <w:left w:val="single" w:sz="4" w:space="0" w:color="auto"/>
              <w:bottom w:val="single" w:sz="4" w:space="0" w:color="auto"/>
            </w:tcBorders>
            <w:shd w:val="clear" w:color="auto" w:fill="auto"/>
            <w:hideMark/>
          </w:tcPr>
          <w:p w14:paraId="64D8731D" w14:textId="77777777" w:rsidR="00CF2D46" w:rsidRPr="00906CD5" w:rsidRDefault="00CF2D46" w:rsidP="00906CD5">
            <w:pPr>
              <w:pStyle w:val="TableText"/>
              <w:spacing w:before="0"/>
              <w:rPr>
                <w:b/>
                <w:sz w:val="20"/>
              </w:rPr>
            </w:pPr>
            <w:r w:rsidRPr="00906CD5">
              <w:rPr>
                <w:b/>
                <w:sz w:val="20"/>
              </w:rPr>
              <w:t>Total tax avoided</w:t>
            </w:r>
          </w:p>
        </w:tc>
        <w:tc>
          <w:tcPr>
            <w:tcW w:w="1388" w:type="dxa"/>
            <w:tcBorders>
              <w:top w:val="nil"/>
              <w:bottom w:val="single" w:sz="4" w:space="0" w:color="auto"/>
            </w:tcBorders>
            <w:shd w:val="clear" w:color="auto" w:fill="auto"/>
            <w:noWrap/>
          </w:tcPr>
          <w:p w14:paraId="5EC51865" w14:textId="77777777" w:rsidR="00CF2D46" w:rsidRPr="00906CD5" w:rsidRDefault="00CF2D46" w:rsidP="00906CD5">
            <w:pPr>
              <w:pStyle w:val="TableText"/>
              <w:tabs>
                <w:tab w:val="decimal" w:pos="1049"/>
              </w:tabs>
              <w:spacing w:before="0"/>
              <w:rPr>
                <w:b/>
                <w:sz w:val="20"/>
              </w:rPr>
            </w:pPr>
            <w:r w:rsidRPr="00906CD5">
              <w:rPr>
                <w:b/>
                <w:sz w:val="20"/>
              </w:rPr>
              <w:t>29,799,854</w:t>
            </w:r>
          </w:p>
        </w:tc>
        <w:tc>
          <w:tcPr>
            <w:tcW w:w="1388" w:type="dxa"/>
            <w:tcBorders>
              <w:top w:val="nil"/>
              <w:bottom w:val="single" w:sz="4" w:space="0" w:color="auto"/>
            </w:tcBorders>
            <w:shd w:val="clear" w:color="auto" w:fill="auto"/>
            <w:noWrap/>
          </w:tcPr>
          <w:p w14:paraId="4A45B401" w14:textId="77777777" w:rsidR="00CF2D46" w:rsidRPr="00906CD5" w:rsidRDefault="00CF2D46" w:rsidP="00906CD5">
            <w:pPr>
              <w:pStyle w:val="TableText"/>
              <w:tabs>
                <w:tab w:val="decimal" w:pos="1049"/>
              </w:tabs>
              <w:spacing w:before="0"/>
              <w:rPr>
                <w:b/>
                <w:sz w:val="20"/>
              </w:rPr>
            </w:pPr>
            <w:r w:rsidRPr="00906CD5">
              <w:rPr>
                <w:b/>
                <w:sz w:val="20"/>
              </w:rPr>
              <w:t>214,096,317</w:t>
            </w:r>
          </w:p>
        </w:tc>
        <w:tc>
          <w:tcPr>
            <w:tcW w:w="1388" w:type="dxa"/>
            <w:tcBorders>
              <w:top w:val="nil"/>
              <w:bottom w:val="single" w:sz="4" w:space="0" w:color="auto"/>
            </w:tcBorders>
            <w:shd w:val="clear" w:color="auto" w:fill="auto"/>
            <w:noWrap/>
          </w:tcPr>
          <w:p w14:paraId="6F1777FB" w14:textId="77777777" w:rsidR="00CF2D46" w:rsidRPr="00906CD5" w:rsidRDefault="00CF2D46" w:rsidP="00906CD5">
            <w:pPr>
              <w:pStyle w:val="TableText"/>
              <w:tabs>
                <w:tab w:val="decimal" w:pos="1049"/>
              </w:tabs>
              <w:spacing w:before="0"/>
              <w:rPr>
                <w:b/>
                <w:sz w:val="20"/>
              </w:rPr>
            </w:pPr>
            <w:r w:rsidRPr="00906CD5">
              <w:rPr>
                <w:b/>
                <w:sz w:val="20"/>
              </w:rPr>
              <w:t>697,652</w:t>
            </w:r>
          </w:p>
        </w:tc>
        <w:tc>
          <w:tcPr>
            <w:tcW w:w="1388" w:type="dxa"/>
            <w:tcBorders>
              <w:top w:val="nil"/>
              <w:bottom w:val="single" w:sz="4" w:space="0" w:color="auto"/>
            </w:tcBorders>
            <w:shd w:val="clear" w:color="auto" w:fill="auto"/>
            <w:noWrap/>
          </w:tcPr>
          <w:p w14:paraId="7262CE6B" w14:textId="77777777" w:rsidR="00CF2D46" w:rsidRPr="00906CD5" w:rsidRDefault="00CF2D46" w:rsidP="00906CD5">
            <w:pPr>
              <w:pStyle w:val="TableText"/>
              <w:tabs>
                <w:tab w:val="decimal" w:pos="1049"/>
              </w:tabs>
              <w:spacing w:before="0"/>
              <w:rPr>
                <w:b/>
                <w:sz w:val="20"/>
              </w:rPr>
            </w:pPr>
            <w:r w:rsidRPr="00906CD5">
              <w:rPr>
                <w:b/>
                <w:sz w:val="20"/>
              </w:rPr>
              <w:t>779,653</w:t>
            </w:r>
          </w:p>
        </w:tc>
        <w:tc>
          <w:tcPr>
            <w:tcW w:w="1388" w:type="dxa"/>
            <w:tcBorders>
              <w:top w:val="nil"/>
              <w:bottom w:val="single" w:sz="4" w:space="0" w:color="auto"/>
              <w:right w:val="single" w:sz="4" w:space="0" w:color="auto"/>
            </w:tcBorders>
            <w:shd w:val="clear" w:color="auto" w:fill="auto"/>
            <w:noWrap/>
          </w:tcPr>
          <w:p w14:paraId="5395D0FC" w14:textId="77777777" w:rsidR="00CF2D46" w:rsidRPr="00906CD5" w:rsidRDefault="00CF2D46" w:rsidP="00906CD5">
            <w:pPr>
              <w:pStyle w:val="TableText"/>
              <w:tabs>
                <w:tab w:val="decimal" w:pos="1049"/>
              </w:tabs>
              <w:spacing w:before="0"/>
              <w:rPr>
                <w:b/>
                <w:sz w:val="20"/>
              </w:rPr>
            </w:pPr>
            <w:r w:rsidRPr="00906CD5">
              <w:rPr>
                <w:b/>
                <w:sz w:val="20"/>
              </w:rPr>
              <w:t>245,373,475</w:t>
            </w:r>
          </w:p>
        </w:tc>
      </w:tr>
    </w:tbl>
    <w:p w14:paraId="6EABD637" w14:textId="77777777" w:rsidR="00BE5C5B" w:rsidRPr="00BE5C5B" w:rsidRDefault="00BE5C5B" w:rsidP="008A6B2A"/>
    <w:sectPr w:rsidR="00BE5C5B" w:rsidRPr="00BE5C5B" w:rsidSect="00177412">
      <w:headerReference w:type="default" r:id="rId22"/>
      <w:footerReference w:type="default" r:id="rId23"/>
      <w:pgSz w:w="11907" w:h="16834" w:code="9"/>
      <w:pgMar w:top="1418" w:right="1418" w:bottom="1134" w:left="1418" w:header="425" w:footer="42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56607" w14:textId="77777777" w:rsidR="00B82A55" w:rsidRDefault="00B82A55">
      <w:pPr>
        <w:spacing w:line="240" w:lineRule="auto"/>
      </w:pPr>
      <w:r>
        <w:separator/>
      </w:r>
    </w:p>
    <w:p w14:paraId="1797E373" w14:textId="77777777" w:rsidR="00B82A55" w:rsidRDefault="00B82A55"/>
  </w:endnote>
  <w:endnote w:type="continuationSeparator" w:id="0">
    <w:p w14:paraId="70844C87" w14:textId="77777777" w:rsidR="00B82A55" w:rsidRDefault="00B82A55">
      <w:pPr>
        <w:spacing w:line="240" w:lineRule="auto"/>
      </w:pPr>
      <w:r>
        <w:continuationSeparator/>
      </w:r>
    </w:p>
    <w:p w14:paraId="1E78C3B1" w14:textId="77777777" w:rsidR="00B82A55" w:rsidRDefault="00B82A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DCAF3" w14:textId="77777777" w:rsidR="00B82A55" w:rsidRDefault="00B82A55" w:rsidP="004D6689">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BAE17" w14:textId="77777777" w:rsidR="00B82A55" w:rsidRDefault="00B82A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30118" w14:textId="77777777" w:rsidR="00B82A55" w:rsidRPr="00275D08" w:rsidRDefault="00B82A55"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Pr>
        <w:rStyle w:val="PageNumber"/>
        <w:noProof/>
      </w:rPr>
      <w:t>iv</w:t>
    </w:r>
    <w:r w:rsidRPr="00FC46E7">
      <w:rPr>
        <w:rStyle w:val="PageNumber"/>
      </w:rPr>
      <w:fldChar w:fldCharType="end"/>
    </w:r>
    <w:r>
      <w:tab/>
      <w:t>[Title: Subhead]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66847" w14:textId="77777777" w:rsidR="00B82A55" w:rsidRDefault="00B82A55" w:rsidP="00BF2A2C">
    <w:pPr>
      <w:pStyle w:val="Footer"/>
    </w:pPr>
    <w:r>
      <w:rPr>
        <w:rStyle w:val="PageNumber"/>
      </w:rPr>
      <w:fldChar w:fldCharType="begin"/>
    </w:r>
    <w:r>
      <w:rPr>
        <w:rStyle w:val="PageNumber"/>
      </w:rPr>
      <w:instrText xml:space="preserve"> PAGE </w:instrText>
    </w:r>
    <w:r>
      <w:rPr>
        <w:rStyle w:val="PageNumber"/>
      </w:rPr>
      <w:fldChar w:fldCharType="separate"/>
    </w:r>
    <w:r w:rsidR="00A511BD">
      <w:rPr>
        <w:rStyle w:val="PageNumber"/>
        <w:noProof/>
      </w:rPr>
      <w:t>iv</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2452B" w14:textId="77777777" w:rsidR="00B82A55" w:rsidRDefault="00B82A55" w:rsidP="009E3C8C">
    <w:pPr>
      <w:pStyle w:val="RectoFooter"/>
    </w:pPr>
    <w:r>
      <w:rPr>
        <w:rStyle w:val="PageNumber"/>
      </w:rPr>
      <w:fldChar w:fldCharType="begin"/>
    </w:r>
    <w:r>
      <w:rPr>
        <w:rStyle w:val="PageNumber"/>
      </w:rPr>
      <w:instrText xml:space="preserve"> PAGE </w:instrText>
    </w:r>
    <w:r>
      <w:rPr>
        <w:rStyle w:val="PageNumber"/>
      </w:rPr>
      <w:fldChar w:fldCharType="separate"/>
    </w:r>
    <w:r w:rsidR="00A511BD">
      <w:rPr>
        <w:rStyle w:val="PageNumber"/>
        <w:noProof/>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AF9CE" w14:textId="77777777" w:rsidR="00B82A55" w:rsidRPr="00A26E6B" w:rsidRDefault="00B82A55" w:rsidP="00A26E6B"/>
  </w:footnote>
  <w:footnote w:type="continuationSeparator" w:id="0">
    <w:p w14:paraId="65598BAD" w14:textId="77777777" w:rsidR="00B82A55" w:rsidRDefault="00B82A55">
      <w:pPr>
        <w:spacing w:line="240" w:lineRule="auto"/>
      </w:pPr>
      <w:r>
        <w:continuationSeparator/>
      </w:r>
    </w:p>
    <w:p w14:paraId="37505BA4" w14:textId="77777777" w:rsidR="00B82A55" w:rsidRDefault="00B82A55"/>
  </w:footnote>
  <w:footnote w:id="1">
    <w:p w14:paraId="11BD60A2" w14:textId="77777777" w:rsidR="00B82A55" w:rsidRPr="00AB5DB3" w:rsidRDefault="00B82A55" w:rsidP="00D05B3E">
      <w:pPr>
        <w:pStyle w:val="FootnoteText"/>
      </w:pPr>
      <w:r w:rsidRPr="00D05B3E">
        <w:rPr>
          <w:rStyle w:val="FootnoteReference"/>
        </w:rPr>
        <w:footnoteRef/>
      </w:r>
      <w:r>
        <w:tab/>
      </w:r>
      <w:r w:rsidRPr="00AB5DB3">
        <w:t xml:space="preserve">Request for Proposal, </w:t>
      </w:r>
      <w:r w:rsidRPr="00AB5DB3">
        <w:rPr>
          <w:i/>
        </w:rPr>
        <w:t>Development of a New Drug Harm Index</w:t>
      </w:r>
      <w:r w:rsidRPr="00AB5DB3">
        <w:t>. Date RFP issued: Friday, 29 May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EA4B0" w14:textId="77777777" w:rsidR="00B82A55" w:rsidRDefault="00B82A55" w:rsidP="009216CC">
    <w:pPr>
      <w:pStyle w:val="Header"/>
      <w:ind w:left="-155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751DC" w14:textId="77777777" w:rsidR="00B82A55" w:rsidRDefault="00B82A55"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B6A01" w14:textId="2F848AA2" w:rsidR="00B82A55" w:rsidRPr="001145A3" w:rsidRDefault="00B82A55" w:rsidP="00D05B3E">
    <w:pPr>
      <w:tabs>
        <w:tab w:val="right" w:pos="9072"/>
      </w:tabs>
      <w:spacing w:before="0" w:line="240" w:lineRule="auto"/>
      <w:rPr>
        <w:i/>
        <w:color w:val="0070C0"/>
      </w:rPr>
    </w:pPr>
    <w:r>
      <w:rPr>
        <w:i/>
        <w:color w:val="0070C0"/>
      </w:rPr>
      <w:t>New Zealand Drug Harm Index</w:t>
    </w:r>
    <w:r>
      <w:rPr>
        <w:i/>
        <w:color w:val="0070C0"/>
      </w:rPr>
      <w:tab/>
    </w:r>
    <w:r w:rsidR="00B8567E">
      <w:rPr>
        <w:i/>
        <w:color w:val="0070C0"/>
      </w:rPr>
      <w:t>July</w:t>
    </w:r>
    <w:r>
      <w:rPr>
        <w:i/>
        <w:color w:val="0070C0"/>
      </w:rPr>
      <w:t xml:space="preserve"> </w:t>
    </w:r>
    <w:r w:rsidRPr="0058023D">
      <w:rPr>
        <w:i/>
        <w:color w:val="0070C0"/>
      </w:rPr>
      <w:t>2016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0119D" w14:textId="4B172955" w:rsidR="00B82A55" w:rsidRPr="0058023D" w:rsidRDefault="00B82A55" w:rsidP="00D05B3E">
    <w:pPr>
      <w:tabs>
        <w:tab w:val="right" w:pos="9072"/>
      </w:tabs>
      <w:spacing w:before="0" w:line="240" w:lineRule="auto"/>
      <w:rPr>
        <w:i/>
        <w:color w:val="0070C0"/>
      </w:rPr>
    </w:pPr>
    <w:r>
      <w:rPr>
        <w:i/>
        <w:color w:val="0070C0"/>
      </w:rPr>
      <w:t>New Zealand Drug Harm Index</w:t>
    </w:r>
    <w:r>
      <w:rPr>
        <w:i/>
        <w:color w:val="0070C0"/>
      </w:rPr>
      <w:tab/>
    </w:r>
    <w:r w:rsidR="00B8567E">
      <w:rPr>
        <w:i/>
        <w:color w:val="0070C0"/>
      </w:rPr>
      <w:t>July</w:t>
    </w:r>
    <w:r w:rsidRPr="0058023D">
      <w:rPr>
        <w:i/>
        <w:color w:val="0070C0"/>
      </w:rPr>
      <w:t xml:space="preserv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5E85D2C"/>
    <w:multiLevelType w:val="hybridMultilevel"/>
    <w:tmpl w:val="3EA22978"/>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4">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5">
    <w:nsid w:val="73EA3459"/>
    <w:multiLevelType w:val="hybridMultilevel"/>
    <w:tmpl w:val="063EB9B0"/>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6">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6"/>
  </w:num>
  <w:num w:numId="2">
    <w:abstractNumId w:val="4"/>
  </w:num>
  <w:num w:numId="3">
    <w:abstractNumId w:val="1"/>
  </w:num>
  <w:num w:numId="4">
    <w:abstractNumId w:val="2"/>
  </w:num>
  <w:num w:numId="5">
    <w:abstractNumId w:val="0"/>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EB"/>
    <w:rsid w:val="00004BD7"/>
    <w:rsid w:val="00030B26"/>
    <w:rsid w:val="0006228D"/>
    <w:rsid w:val="00070E30"/>
    <w:rsid w:val="00071854"/>
    <w:rsid w:val="00072BD6"/>
    <w:rsid w:val="00075B78"/>
    <w:rsid w:val="000779D5"/>
    <w:rsid w:val="00082CD6"/>
    <w:rsid w:val="00085AFE"/>
    <w:rsid w:val="0009005F"/>
    <w:rsid w:val="00090B19"/>
    <w:rsid w:val="000A6E86"/>
    <w:rsid w:val="000B0730"/>
    <w:rsid w:val="000C0F07"/>
    <w:rsid w:val="000F2AE2"/>
    <w:rsid w:val="00102063"/>
    <w:rsid w:val="00103FC9"/>
    <w:rsid w:val="0010541C"/>
    <w:rsid w:val="00106F93"/>
    <w:rsid w:val="00111D50"/>
    <w:rsid w:val="00112190"/>
    <w:rsid w:val="00113B8E"/>
    <w:rsid w:val="001145A3"/>
    <w:rsid w:val="001261E5"/>
    <w:rsid w:val="001342C7"/>
    <w:rsid w:val="0013585C"/>
    <w:rsid w:val="00142954"/>
    <w:rsid w:val="001460E0"/>
    <w:rsid w:val="00147F71"/>
    <w:rsid w:val="00150A6E"/>
    <w:rsid w:val="0016468A"/>
    <w:rsid w:val="00177412"/>
    <w:rsid w:val="001A5CF5"/>
    <w:rsid w:val="001B39D2"/>
    <w:rsid w:val="001B4BF8"/>
    <w:rsid w:val="001C4326"/>
    <w:rsid w:val="001C4696"/>
    <w:rsid w:val="001C5825"/>
    <w:rsid w:val="001D3541"/>
    <w:rsid w:val="00201A01"/>
    <w:rsid w:val="002104D3"/>
    <w:rsid w:val="00213A33"/>
    <w:rsid w:val="0021763B"/>
    <w:rsid w:val="00223B2E"/>
    <w:rsid w:val="00246DB1"/>
    <w:rsid w:val="002476B5"/>
    <w:rsid w:val="002507C5"/>
    <w:rsid w:val="00253ECF"/>
    <w:rsid w:val="002546A1"/>
    <w:rsid w:val="00275D08"/>
    <w:rsid w:val="002858E3"/>
    <w:rsid w:val="0029190A"/>
    <w:rsid w:val="00292C5A"/>
    <w:rsid w:val="002941E1"/>
    <w:rsid w:val="00295241"/>
    <w:rsid w:val="002B047D"/>
    <w:rsid w:val="002B5908"/>
    <w:rsid w:val="002B732B"/>
    <w:rsid w:val="002C1476"/>
    <w:rsid w:val="002C2219"/>
    <w:rsid w:val="002D0DF2"/>
    <w:rsid w:val="002D23BD"/>
    <w:rsid w:val="002E0B47"/>
    <w:rsid w:val="002E4398"/>
    <w:rsid w:val="002F7213"/>
    <w:rsid w:val="0030382F"/>
    <w:rsid w:val="0030408D"/>
    <w:rsid w:val="003060E4"/>
    <w:rsid w:val="003160E7"/>
    <w:rsid w:val="0031739E"/>
    <w:rsid w:val="0032784D"/>
    <w:rsid w:val="003325AB"/>
    <w:rsid w:val="0033412B"/>
    <w:rsid w:val="00343365"/>
    <w:rsid w:val="00353501"/>
    <w:rsid w:val="003606F8"/>
    <w:rsid w:val="003648EF"/>
    <w:rsid w:val="003673E6"/>
    <w:rsid w:val="00377264"/>
    <w:rsid w:val="00395913"/>
    <w:rsid w:val="003A26A5"/>
    <w:rsid w:val="003A3761"/>
    <w:rsid w:val="003A5FEA"/>
    <w:rsid w:val="003B1D10"/>
    <w:rsid w:val="003C76D4"/>
    <w:rsid w:val="003D174B"/>
    <w:rsid w:val="003D2CC5"/>
    <w:rsid w:val="003E1D35"/>
    <w:rsid w:val="003E6F8E"/>
    <w:rsid w:val="003E7C46"/>
    <w:rsid w:val="003F52A7"/>
    <w:rsid w:val="00400673"/>
    <w:rsid w:val="0040240C"/>
    <w:rsid w:val="00413021"/>
    <w:rsid w:val="00432D81"/>
    <w:rsid w:val="00440BE0"/>
    <w:rsid w:val="00442C1C"/>
    <w:rsid w:val="0044584B"/>
    <w:rsid w:val="00447CB7"/>
    <w:rsid w:val="00460826"/>
    <w:rsid w:val="00460EA7"/>
    <w:rsid w:val="0046195B"/>
    <w:rsid w:val="00463D96"/>
    <w:rsid w:val="0046596D"/>
    <w:rsid w:val="004755EC"/>
    <w:rsid w:val="004835E4"/>
    <w:rsid w:val="00487C04"/>
    <w:rsid w:val="004907E1"/>
    <w:rsid w:val="004A035B"/>
    <w:rsid w:val="004A38D7"/>
    <w:rsid w:val="004A778C"/>
    <w:rsid w:val="004C2E6A"/>
    <w:rsid w:val="004C64B8"/>
    <w:rsid w:val="004D2A2D"/>
    <w:rsid w:val="004D2E6E"/>
    <w:rsid w:val="004D6689"/>
    <w:rsid w:val="004E1D1D"/>
    <w:rsid w:val="004E7AC8"/>
    <w:rsid w:val="004F0C94"/>
    <w:rsid w:val="005019AE"/>
    <w:rsid w:val="00503749"/>
    <w:rsid w:val="00504CF4"/>
    <w:rsid w:val="0050635B"/>
    <w:rsid w:val="0053199F"/>
    <w:rsid w:val="00533B90"/>
    <w:rsid w:val="005410F8"/>
    <w:rsid w:val="005441E2"/>
    <w:rsid w:val="005448EC"/>
    <w:rsid w:val="00545963"/>
    <w:rsid w:val="00550256"/>
    <w:rsid w:val="00553958"/>
    <w:rsid w:val="0055763D"/>
    <w:rsid w:val="005621F2"/>
    <w:rsid w:val="00567B58"/>
    <w:rsid w:val="005763E0"/>
    <w:rsid w:val="0058023D"/>
    <w:rsid w:val="00581136"/>
    <w:rsid w:val="0059554F"/>
    <w:rsid w:val="005A27CA"/>
    <w:rsid w:val="005A43BD"/>
    <w:rsid w:val="005B50D8"/>
    <w:rsid w:val="005D1E96"/>
    <w:rsid w:val="005D61FD"/>
    <w:rsid w:val="005E226E"/>
    <w:rsid w:val="00600A3E"/>
    <w:rsid w:val="006015D7"/>
    <w:rsid w:val="00601B21"/>
    <w:rsid w:val="0062203C"/>
    <w:rsid w:val="00626CF8"/>
    <w:rsid w:val="00634FE4"/>
    <w:rsid w:val="00636D7D"/>
    <w:rsid w:val="00637408"/>
    <w:rsid w:val="00642868"/>
    <w:rsid w:val="00647AFE"/>
    <w:rsid w:val="006512BC"/>
    <w:rsid w:val="00653A5A"/>
    <w:rsid w:val="006575F4"/>
    <w:rsid w:val="006579E6"/>
    <w:rsid w:val="00663EDC"/>
    <w:rsid w:val="006677AC"/>
    <w:rsid w:val="00671078"/>
    <w:rsid w:val="006758CA"/>
    <w:rsid w:val="00680A04"/>
    <w:rsid w:val="00686D80"/>
    <w:rsid w:val="00691119"/>
    <w:rsid w:val="00694895"/>
    <w:rsid w:val="00697E2E"/>
    <w:rsid w:val="006A25A2"/>
    <w:rsid w:val="006B0E73"/>
    <w:rsid w:val="006B4A4D"/>
    <w:rsid w:val="006B5695"/>
    <w:rsid w:val="006C78EB"/>
    <w:rsid w:val="006D1660"/>
    <w:rsid w:val="006F1B67"/>
    <w:rsid w:val="0070091D"/>
    <w:rsid w:val="00702854"/>
    <w:rsid w:val="0071741C"/>
    <w:rsid w:val="00742B90"/>
    <w:rsid w:val="0074434D"/>
    <w:rsid w:val="00745A87"/>
    <w:rsid w:val="00771B1E"/>
    <w:rsid w:val="00773C95"/>
    <w:rsid w:val="00773D90"/>
    <w:rsid w:val="007741BE"/>
    <w:rsid w:val="0078171E"/>
    <w:rsid w:val="00795B34"/>
    <w:rsid w:val="007B1770"/>
    <w:rsid w:val="007B4D3E"/>
    <w:rsid w:val="007B7C70"/>
    <w:rsid w:val="007D2151"/>
    <w:rsid w:val="007D42CC"/>
    <w:rsid w:val="007D5DE4"/>
    <w:rsid w:val="007E0777"/>
    <w:rsid w:val="007E1341"/>
    <w:rsid w:val="007E1B41"/>
    <w:rsid w:val="007E30B9"/>
    <w:rsid w:val="007E74F1"/>
    <w:rsid w:val="007F0F0C"/>
    <w:rsid w:val="007F1288"/>
    <w:rsid w:val="00800A8A"/>
    <w:rsid w:val="0080155C"/>
    <w:rsid w:val="008052E1"/>
    <w:rsid w:val="008171D2"/>
    <w:rsid w:val="00822F2C"/>
    <w:rsid w:val="008305E8"/>
    <w:rsid w:val="00855926"/>
    <w:rsid w:val="00860826"/>
    <w:rsid w:val="00860E21"/>
    <w:rsid w:val="00863117"/>
    <w:rsid w:val="0086388B"/>
    <w:rsid w:val="008642E5"/>
    <w:rsid w:val="00865C2B"/>
    <w:rsid w:val="00866547"/>
    <w:rsid w:val="00866E30"/>
    <w:rsid w:val="00872D93"/>
    <w:rsid w:val="00876973"/>
    <w:rsid w:val="00880470"/>
    <w:rsid w:val="00880D94"/>
    <w:rsid w:val="008924DE"/>
    <w:rsid w:val="008A22DA"/>
    <w:rsid w:val="008A3755"/>
    <w:rsid w:val="008A6B2A"/>
    <w:rsid w:val="008B264F"/>
    <w:rsid w:val="008B6F83"/>
    <w:rsid w:val="008B7FD8"/>
    <w:rsid w:val="008C2973"/>
    <w:rsid w:val="008C64C4"/>
    <w:rsid w:val="008D74D5"/>
    <w:rsid w:val="008F29BE"/>
    <w:rsid w:val="008F4AE5"/>
    <w:rsid w:val="008F51EB"/>
    <w:rsid w:val="00900197"/>
    <w:rsid w:val="00902F55"/>
    <w:rsid w:val="0090582B"/>
    <w:rsid w:val="009060C0"/>
    <w:rsid w:val="00906CD5"/>
    <w:rsid w:val="009133F5"/>
    <w:rsid w:val="00920A27"/>
    <w:rsid w:val="00921216"/>
    <w:rsid w:val="009216CC"/>
    <w:rsid w:val="00932D69"/>
    <w:rsid w:val="00935BD9"/>
    <w:rsid w:val="00944647"/>
    <w:rsid w:val="00977942"/>
    <w:rsid w:val="00977B8A"/>
    <w:rsid w:val="00982971"/>
    <w:rsid w:val="009845AD"/>
    <w:rsid w:val="00990768"/>
    <w:rsid w:val="00995BA0"/>
    <w:rsid w:val="009A418B"/>
    <w:rsid w:val="009A4473"/>
    <w:rsid w:val="009A61F4"/>
    <w:rsid w:val="009B7394"/>
    <w:rsid w:val="009C151C"/>
    <w:rsid w:val="009D5125"/>
    <w:rsid w:val="009D60B8"/>
    <w:rsid w:val="009D7D4B"/>
    <w:rsid w:val="009E36ED"/>
    <w:rsid w:val="009E3C8C"/>
    <w:rsid w:val="009E6B77"/>
    <w:rsid w:val="009F460A"/>
    <w:rsid w:val="00A02757"/>
    <w:rsid w:val="00A043FB"/>
    <w:rsid w:val="00A0729C"/>
    <w:rsid w:val="00A07779"/>
    <w:rsid w:val="00A20B2E"/>
    <w:rsid w:val="00A25069"/>
    <w:rsid w:val="00A26E6B"/>
    <w:rsid w:val="00A3068F"/>
    <w:rsid w:val="00A3145B"/>
    <w:rsid w:val="00A339D0"/>
    <w:rsid w:val="00A36DC4"/>
    <w:rsid w:val="00A41002"/>
    <w:rsid w:val="00A4201A"/>
    <w:rsid w:val="00A511BD"/>
    <w:rsid w:val="00A553CE"/>
    <w:rsid w:val="00A5677A"/>
    <w:rsid w:val="00A5723A"/>
    <w:rsid w:val="00A6490D"/>
    <w:rsid w:val="00A80363"/>
    <w:rsid w:val="00A819AE"/>
    <w:rsid w:val="00A9169D"/>
    <w:rsid w:val="00AA240C"/>
    <w:rsid w:val="00AC101C"/>
    <w:rsid w:val="00AC5F01"/>
    <w:rsid w:val="00AD4CF1"/>
    <w:rsid w:val="00AD5988"/>
    <w:rsid w:val="00AE5A19"/>
    <w:rsid w:val="00AF26EC"/>
    <w:rsid w:val="00AF7800"/>
    <w:rsid w:val="00B0157F"/>
    <w:rsid w:val="00B072E0"/>
    <w:rsid w:val="00B074D1"/>
    <w:rsid w:val="00B253F6"/>
    <w:rsid w:val="00B305DB"/>
    <w:rsid w:val="00B332F8"/>
    <w:rsid w:val="00B3492B"/>
    <w:rsid w:val="00B34BA8"/>
    <w:rsid w:val="00B4646F"/>
    <w:rsid w:val="00B46D21"/>
    <w:rsid w:val="00B53C9A"/>
    <w:rsid w:val="00B55C7D"/>
    <w:rsid w:val="00B63038"/>
    <w:rsid w:val="00B64BD8"/>
    <w:rsid w:val="00B701D1"/>
    <w:rsid w:val="00B73AF2"/>
    <w:rsid w:val="00B7551A"/>
    <w:rsid w:val="00B82A55"/>
    <w:rsid w:val="00B8567E"/>
    <w:rsid w:val="00BC59F1"/>
    <w:rsid w:val="00BE5C5B"/>
    <w:rsid w:val="00BF2A2C"/>
    <w:rsid w:val="00BF3DE1"/>
    <w:rsid w:val="00BF4843"/>
    <w:rsid w:val="00BF5205"/>
    <w:rsid w:val="00C12508"/>
    <w:rsid w:val="00C45AA2"/>
    <w:rsid w:val="00C66296"/>
    <w:rsid w:val="00C77282"/>
    <w:rsid w:val="00C84DE5"/>
    <w:rsid w:val="00C85839"/>
    <w:rsid w:val="00C86248"/>
    <w:rsid w:val="00CA4C33"/>
    <w:rsid w:val="00CA6F4A"/>
    <w:rsid w:val="00CC64C6"/>
    <w:rsid w:val="00CD2119"/>
    <w:rsid w:val="00CD237A"/>
    <w:rsid w:val="00CD36AC"/>
    <w:rsid w:val="00CF1747"/>
    <w:rsid w:val="00CF2D46"/>
    <w:rsid w:val="00CF5331"/>
    <w:rsid w:val="00CF5CA6"/>
    <w:rsid w:val="00D05B3E"/>
    <w:rsid w:val="00D23323"/>
    <w:rsid w:val="00D2357C"/>
    <w:rsid w:val="00D2392A"/>
    <w:rsid w:val="00D25FFE"/>
    <w:rsid w:val="00D2762A"/>
    <w:rsid w:val="00D4476F"/>
    <w:rsid w:val="00D44E87"/>
    <w:rsid w:val="00D54D50"/>
    <w:rsid w:val="00D66797"/>
    <w:rsid w:val="00D67D3B"/>
    <w:rsid w:val="00D7087C"/>
    <w:rsid w:val="00D70C3C"/>
    <w:rsid w:val="00D72BE5"/>
    <w:rsid w:val="00D82F26"/>
    <w:rsid w:val="00D863D0"/>
    <w:rsid w:val="00D87C87"/>
    <w:rsid w:val="00D938CE"/>
    <w:rsid w:val="00DA22AA"/>
    <w:rsid w:val="00DB1AED"/>
    <w:rsid w:val="00DB39CF"/>
    <w:rsid w:val="00DD447A"/>
    <w:rsid w:val="00DD78F1"/>
    <w:rsid w:val="00DE3B20"/>
    <w:rsid w:val="00DE6C94"/>
    <w:rsid w:val="00DE6FD7"/>
    <w:rsid w:val="00E23271"/>
    <w:rsid w:val="00E24F80"/>
    <w:rsid w:val="00E259F3"/>
    <w:rsid w:val="00E33238"/>
    <w:rsid w:val="00E33480"/>
    <w:rsid w:val="00E4486C"/>
    <w:rsid w:val="00E460B6"/>
    <w:rsid w:val="00E511D5"/>
    <w:rsid w:val="00E54096"/>
    <w:rsid w:val="00E60249"/>
    <w:rsid w:val="00E65269"/>
    <w:rsid w:val="00E7421D"/>
    <w:rsid w:val="00E76D66"/>
    <w:rsid w:val="00E8264E"/>
    <w:rsid w:val="00EA3AF8"/>
    <w:rsid w:val="00EA562A"/>
    <w:rsid w:val="00EA796A"/>
    <w:rsid w:val="00EB1856"/>
    <w:rsid w:val="00EB6AE2"/>
    <w:rsid w:val="00EC50CE"/>
    <w:rsid w:val="00EC5B34"/>
    <w:rsid w:val="00ED5061"/>
    <w:rsid w:val="00EE4ADE"/>
    <w:rsid w:val="00EE5CB7"/>
    <w:rsid w:val="00EF536E"/>
    <w:rsid w:val="00F024FE"/>
    <w:rsid w:val="00F05AD4"/>
    <w:rsid w:val="00F14F38"/>
    <w:rsid w:val="00F215C6"/>
    <w:rsid w:val="00F25970"/>
    <w:rsid w:val="00F431DD"/>
    <w:rsid w:val="00F5180D"/>
    <w:rsid w:val="00F67496"/>
    <w:rsid w:val="00F76945"/>
    <w:rsid w:val="00F801BA"/>
    <w:rsid w:val="00F9366A"/>
    <w:rsid w:val="00F946C9"/>
    <w:rsid w:val="00FA21BE"/>
    <w:rsid w:val="00FA74EE"/>
    <w:rsid w:val="00FA7E90"/>
    <w:rsid w:val="00FB17C9"/>
    <w:rsid w:val="00FC3711"/>
    <w:rsid w:val="00FC46E7"/>
    <w:rsid w:val="00FC5D25"/>
    <w:rsid w:val="00FC7D54"/>
    <w:rsid w:val="00FD0D7E"/>
    <w:rsid w:val="00FD7633"/>
    <w:rsid w:val="00FE026C"/>
    <w:rsid w:val="00FE6E13"/>
    <w:rsid w:val="00FF15F6"/>
    <w:rsid w:val="00FF527C"/>
    <w:rsid w:val="00FF65CD"/>
    <w:rsid w:val="00FF7FC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5CC21C7"/>
  <w15:docId w15:val="{83AB6ABD-97AB-4958-9968-199ED021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F01"/>
    <w:pPr>
      <w:spacing w:before="240" w:line="264" w:lineRule="auto"/>
    </w:pPr>
    <w:rPr>
      <w:rFonts w:asciiTheme="minorHAnsi" w:hAnsiTheme="minorHAnsi"/>
      <w:sz w:val="22"/>
      <w:lang w:eastAsia="en-GB"/>
    </w:rPr>
  </w:style>
  <w:style w:type="paragraph" w:styleId="Heading1">
    <w:name w:val="heading 1"/>
    <w:basedOn w:val="Normal"/>
    <w:next w:val="Normal"/>
    <w:link w:val="Heading1Char"/>
    <w:qFormat/>
    <w:rsid w:val="00090B19"/>
    <w:pPr>
      <w:spacing w:before="0" w:after="360"/>
      <w:outlineLvl w:val="0"/>
    </w:pPr>
    <w:rPr>
      <w:b/>
      <w:sz w:val="36"/>
    </w:rPr>
  </w:style>
  <w:style w:type="paragraph" w:styleId="Heading2">
    <w:name w:val="heading 2"/>
    <w:basedOn w:val="Normal"/>
    <w:next w:val="Normal"/>
    <w:link w:val="Heading2Char"/>
    <w:qFormat/>
    <w:rsid w:val="00935BD9"/>
    <w:pPr>
      <w:keepNext/>
      <w:spacing w:before="480" w:after="120"/>
      <w:outlineLvl w:val="1"/>
    </w:pPr>
    <w:rPr>
      <w:b/>
      <w:sz w:val="28"/>
    </w:rPr>
  </w:style>
  <w:style w:type="paragraph" w:styleId="Heading3">
    <w:name w:val="heading 3"/>
    <w:basedOn w:val="Normal"/>
    <w:next w:val="Normal"/>
    <w:link w:val="Heading3Char"/>
    <w:qFormat/>
    <w:rsid w:val="00CF5331"/>
    <w:pPr>
      <w:keepNext/>
      <w:spacing w:before="300" w:after="120"/>
      <w:outlineLvl w:val="2"/>
    </w:pPr>
    <w:rPr>
      <w:b/>
      <w:sz w:val="24"/>
    </w:rPr>
  </w:style>
  <w:style w:type="paragraph" w:styleId="Heading4">
    <w:name w:val="heading 4"/>
    <w:basedOn w:val="Normal"/>
    <w:next w:val="Normal"/>
    <w:qFormat/>
    <w:rsid w:val="007D5DE4"/>
    <w:pPr>
      <w:keepNext/>
      <w:spacing w:before="120" w:after="120"/>
      <w:outlineLvl w:val="3"/>
    </w:pPr>
    <w:rPr>
      <w:b/>
    </w:rPr>
  </w:style>
  <w:style w:type="paragraph" w:styleId="Heading5">
    <w:name w:val="heading 5"/>
    <w:basedOn w:val="Normal"/>
    <w:next w:val="Normal"/>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A5723A"/>
    <w:pPr>
      <w:tabs>
        <w:tab w:val="right" w:pos="9072"/>
      </w:tabs>
      <w:ind w:right="567"/>
    </w:pPr>
    <w:rPr>
      <w:b/>
    </w:rPr>
  </w:style>
  <w:style w:type="paragraph" w:styleId="TOC2">
    <w:name w:val="toc 2"/>
    <w:basedOn w:val="Normal"/>
    <w:next w:val="Normal"/>
    <w:uiPriority w:val="39"/>
    <w:rsid w:val="00DB1AED"/>
    <w:pPr>
      <w:tabs>
        <w:tab w:val="right" w:pos="9072"/>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EF536E"/>
    <w:pPr>
      <w:numPr>
        <w:numId w:val="1"/>
      </w:numPr>
      <w:tabs>
        <w:tab w:val="clear" w:pos="284"/>
      </w:tabs>
      <w:spacing w:before="90"/>
      <w:ind w:left="850" w:hanging="425"/>
    </w:pPr>
  </w:style>
  <w:style w:type="paragraph" w:styleId="Quote">
    <w:name w:val="Quote"/>
    <w:basedOn w:val="Normal"/>
    <w:next w:val="Normal"/>
    <w:qFormat/>
    <w:rsid w:val="00177412"/>
    <w:pPr>
      <w:spacing w:before="120"/>
      <w:ind w:left="567" w:right="567"/>
    </w:pPr>
    <w:rPr>
      <w:i/>
      <w:sz w:val="20"/>
    </w:rPr>
  </w:style>
  <w:style w:type="paragraph" w:styleId="FootnoteText">
    <w:name w:val="footnote text"/>
    <w:basedOn w:val="Normal"/>
    <w:link w:val="FootnoteTextChar"/>
    <w:uiPriority w:val="99"/>
    <w:rsid w:val="003060E4"/>
    <w:pPr>
      <w:spacing w:before="60"/>
      <w:ind w:left="284" w:hanging="284"/>
    </w:pPr>
    <w:rPr>
      <w:sz w:val="18"/>
    </w:rPr>
  </w:style>
  <w:style w:type="paragraph" w:styleId="Header">
    <w:name w:val="header"/>
    <w:basedOn w:val="Normal"/>
    <w:link w:val="HeaderChar"/>
    <w:uiPriority w:val="99"/>
    <w:qFormat/>
    <w:rsid w:val="00D25FFE"/>
  </w:style>
  <w:style w:type="paragraph" w:styleId="Title">
    <w:name w:val="Title"/>
    <w:basedOn w:val="Normal"/>
    <w:next w:val="Normal"/>
    <w:link w:val="TitleChar"/>
    <w:uiPriority w:val="10"/>
    <w:qFormat/>
    <w:rsid w:val="001C5825"/>
    <w:pPr>
      <w:spacing w:before="0"/>
      <w:jc w:val="center"/>
    </w:pPr>
    <w:rPr>
      <w:b/>
      <w:caps/>
      <w:color w:val="FFFFFF" w:themeColor="background1"/>
      <w:sz w:val="36"/>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BF2A2C"/>
    <w:pPr>
      <w:jc w:val="center"/>
    </w:pPr>
  </w:style>
  <w:style w:type="character" w:styleId="PageNumber">
    <w:name w:val="page number"/>
    <w:rsid w:val="00BF2A2C"/>
    <w:rPr>
      <w:rFonts w:asciiTheme="minorHAnsi" w:hAnsiTheme="minorHAnsi"/>
      <w:b w:val="0"/>
      <w:sz w:val="22"/>
    </w:rPr>
  </w:style>
  <w:style w:type="paragraph" w:customStyle="1" w:styleId="VersoFooter">
    <w:name w:val="Verso Footer"/>
    <w:basedOn w:val="Footer"/>
    <w:rsid w:val="002546A1"/>
    <w:pPr>
      <w:pBdr>
        <w:top w:val="single" w:sz="4" w:space="4" w:color="auto"/>
      </w:pBdr>
      <w:ind w:left="709" w:hanging="709"/>
    </w:pPr>
    <w:rPr>
      <w:sz w:val="20"/>
    </w:rPr>
  </w:style>
  <w:style w:type="paragraph" w:customStyle="1" w:styleId="RectoFooter">
    <w:name w:val="Recto Footer"/>
    <w:basedOn w:val="Footer"/>
    <w:rsid w:val="00A36DC4"/>
    <w:pPr>
      <w:spacing w:before="0" w:line="240" w:lineRule="auto"/>
    </w:pPr>
  </w:style>
  <w:style w:type="paragraph" w:customStyle="1" w:styleId="Figure">
    <w:name w:val="Figure"/>
    <w:basedOn w:val="Normal"/>
    <w:next w:val="Normal"/>
    <w:qFormat/>
    <w:rsid w:val="004755EC"/>
    <w:pPr>
      <w:keepNext/>
      <w:spacing w:before="360" w:after="120"/>
    </w:pPr>
    <w:rPr>
      <w:i/>
    </w:rPr>
  </w:style>
  <w:style w:type="character" w:styleId="FootnoteReference">
    <w:name w:val="footnote reference"/>
    <w:uiPriority w:val="99"/>
    <w:rPr>
      <w:vertAlign w:val="superscript"/>
    </w:rPr>
  </w:style>
  <w:style w:type="paragraph" w:customStyle="1" w:styleId="Table">
    <w:name w:val="Table"/>
    <w:basedOn w:val="Figure"/>
    <w:qFormat/>
    <w:rsid w:val="004755EC"/>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CF5331"/>
    <w:pPr>
      <w:spacing w:before="60" w:after="60" w:line="240" w:lineRule="auto"/>
    </w:pPr>
  </w:style>
  <w:style w:type="paragraph" w:customStyle="1" w:styleId="TableBullet">
    <w:name w:val="TableBullet"/>
    <w:basedOn w:val="TableText"/>
    <w:qFormat/>
    <w:rsid w:val="00CF5331"/>
    <w:pPr>
      <w:numPr>
        <w:numId w:val="5"/>
      </w:numPr>
    </w:pPr>
  </w:style>
  <w:style w:type="paragraph" w:customStyle="1" w:styleId="Box">
    <w:name w:val="Box"/>
    <w:basedOn w:val="Normal"/>
    <w:qFormat/>
    <w:rsid w:val="008A22DA"/>
    <w:pPr>
      <w:pBdr>
        <w:top w:val="single" w:sz="4" w:space="12" w:color="41719C"/>
        <w:left w:val="single" w:sz="4" w:space="12" w:color="41719C"/>
        <w:bottom w:val="single" w:sz="4" w:space="12" w:color="41719C"/>
        <w:right w:val="single" w:sz="4" w:space="12" w:color="41719C"/>
      </w:pBdr>
      <w:shd w:val="clear" w:color="auto" w:fill="BDD7EE"/>
      <w:spacing w:before="120" w:after="120"/>
      <w:ind w:left="284" w:right="284"/>
    </w:pPr>
  </w:style>
  <w:style w:type="paragraph" w:customStyle="1" w:styleId="BoxHeading">
    <w:name w:val="BoxHeading"/>
    <w:basedOn w:val="Box"/>
    <w:qFormat/>
    <w:rsid w:val="008A22DA"/>
    <w:pPr>
      <w:spacing w:before="240" w:after="180"/>
    </w:pPr>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F5331"/>
    <w:pPr>
      <w:spacing w:before="80"/>
      <w:ind w:left="284" w:hanging="284"/>
    </w:pPr>
    <w:rPr>
      <w:sz w:val="18"/>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D2762A"/>
    <w:pPr>
      <w:spacing w:before="180"/>
      <w:ind w:left="567" w:hanging="567"/>
    </w:p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CF5331"/>
    <w:rPr>
      <w:rFonts w:asciiTheme="minorHAnsi" w:hAnsiTheme="minorHAnsi"/>
      <w:sz w:val="18"/>
      <w:lang w:eastAsia="en-GB"/>
    </w:rPr>
  </w:style>
  <w:style w:type="character" w:customStyle="1" w:styleId="FootnoteTextChar">
    <w:name w:val="Footnote Text Char"/>
    <w:link w:val="FootnoteText"/>
    <w:uiPriority w:val="99"/>
    <w:rsid w:val="003060E4"/>
    <w:rPr>
      <w:rFonts w:ascii="Georgia" w:hAnsi="Georgia"/>
      <w:sz w:val="18"/>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BF2A2C"/>
    <w:rPr>
      <w:rFonts w:asciiTheme="minorHAnsi" w:hAnsiTheme="minorHAnsi"/>
      <w:sz w:val="22"/>
      <w:lang w:eastAsia="en-GB"/>
    </w:rPr>
  </w:style>
  <w:style w:type="character" w:customStyle="1" w:styleId="Heading1Char">
    <w:name w:val="Heading 1 Char"/>
    <w:link w:val="Heading1"/>
    <w:rsid w:val="00090B19"/>
    <w:rPr>
      <w:rFonts w:asciiTheme="minorHAnsi" w:hAnsiTheme="minorHAnsi"/>
      <w:b/>
      <w:sz w:val="36"/>
      <w:lang w:eastAsia="en-GB"/>
    </w:rPr>
  </w:style>
  <w:style w:type="paragraph" w:styleId="Revision">
    <w:name w:val="Revision"/>
    <w:hidden/>
    <w:uiPriority w:val="99"/>
    <w:semiHidden/>
    <w:rsid w:val="0086388B"/>
    <w:rPr>
      <w:rFonts w:ascii="Calibri" w:eastAsia="Calibri" w:hAnsi="Calibri"/>
      <w:sz w:val="22"/>
      <w:szCs w:val="22"/>
      <w:lang w:val="en-US" w:eastAsia="en-US"/>
    </w:rPr>
  </w:style>
  <w:style w:type="character" w:customStyle="1" w:styleId="Heading2Char">
    <w:name w:val="Heading 2 Char"/>
    <w:link w:val="Heading2"/>
    <w:rsid w:val="00935BD9"/>
    <w:rPr>
      <w:rFonts w:asciiTheme="minorHAnsi" w:hAnsiTheme="minorHAnsi"/>
      <w:b/>
      <w:sz w:val="28"/>
      <w:lang w:eastAsia="en-GB"/>
    </w:rPr>
  </w:style>
  <w:style w:type="character" w:customStyle="1" w:styleId="Heading3Char">
    <w:name w:val="Heading 3 Char"/>
    <w:link w:val="Heading3"/>
    <w:rsid w:val="00CF5331"/>
    <w:rPr>
      <w:rFonts w:asciiTheme="minorHAnsi" w:hAnsiTheme="minorHAnsi"/>
      <w:b/>
      <w:sz w:val="24"/>
      <w:lang w:eastAsia="en-GB"/>
    </w:rPr>
  </w:style>
  <w:style w:type="character" w:customStyle="1" w:styleId="TitleChar">
    <w:name w:val="Title Char"/>
    <w:basedOn w:val="DefaultParagraphFont"/>
    <w:link w:val="Title"/>
    <w:uiPriority w:val="10"/>
    <w:rsid w:val="001C5825"/>
    <w:rPr>
      <w:rFonts w:asciiTheme="minorHAnsi" w:hAnsiTheme="minorHAnsi"/>
      <w:b/>
      <w:caps/>
      <w:color w:val="FFFFFF" w:themeColor="background1"/>
      <w:sz w:val="36"/>
      <w:lang w:eastAsia="en-GB"/>
    </w:rPr>
  </w:style>
  <w:style w:type="character" w:styleId="CommentReference">
    <w:name w:val="annotation reference"/>
    <w:basedOn w:val="DefaultParagraphFont"/>
    <w:uiPriority w:val="99"/>
    <w:semiHidden/>
    <w:unhideWhenUsed/>
    <w:rsid w:val="000C0F07"/>
    <w:rPr>
      <w:sz w:val="16"/>
      <w:szCs w:val="16"/>
    </w:rPr>
  </w:style>
  <w:style w:type="paragraph" w:styleId="CommentText">
    <w:name w:val="annotation text"/>
    <w:basedOn w:val="Normal"/>
    <w:link w:val="CommentTextChar"/>
    <w:uiPriority w:val="99"/>
    <w:semiHidden/>
    <w:unhideWhenUsed/>
    <w:rsid w:val="000C0F07"/>
    <w:pPr>
      <w:spacing w:line="240" w:lineRule="auto"/>
    </w:pPr>
    <w:rPr>
      <w:sz w:val="20"/>
    </w:rPr>
  </w:style>
  <w:style w:type="character" w:customStyle="1" w:styleId="CommentTextChar">
    <w:name w:val="Comment Text Char"/>
    <w:basedOn w:val="DefaultParagraphFont"/>
    <w:link w:val="CommentText"/>
    <w:uiPriority w:val="99"/>
    <w:semiHidden/>
    <w:rsid w:val="000C0F07"/>
    <w:rPr>
      <w:rFonts w:asciiTheme="minorHAnsi" w:hAnsiTheme="minorHAnsi"/>
      <w:lang w:eastAsia="en-GB"/>
    </w:rPr>
  </w:style>
  <w:style w:type="paragraph" w:styleId="CommentSubject">
    <w:name w:val="annotation subject"/>
    <w:basedOn w:val="CommentText"/>
    <w:next w:val="CommentText"/>
    <w:link w:val="CommentSubjectChar"/>
    <w:uiPriority w:val="99"/>
    <w:semiHidden/>
    <w:unhideWhenUsed/>
    <w:rsid w:val="000C0F07"/>
    <w:rPr>
      <w:b/>
      <w:bCs/>
    </w:rPr>
  </w:style>
  <w:style w:type="character" w:customStyle="1" w:styleId="CommentSubjectChar">
    <w:name w:val="Comment Subject Char"/>
    <w:basedOn w:val="CommentTextChar"/>
    <w:link w:val="CommentSubject"/>
    <w:uiPriority w:val="99"/>
    <w:semiHidden/>
    <w:rsid w:val="000C0F07"/>
    <w:rPr>
      <w:rFonts w:asciiTheme="minorHAnsi" w:hAnsiTheme="minorHAnsi"/>
      <w:b/>
      <w:bCs/>
      <w:lang w:eastAsia="en-GB"/>
    </w:rPr>
  </w:style>
  <w:style w:type="paragraph" w:styleId="BalloonText">
    <w:name w:val="Balloon Text"/>
    <w:basedOn w:val="Normal"/>
    <w:link w:val="BalloonTextChar"/>
    <w:uiPriority w:val="99"/>
    <w:semiHidden/>
    <w:unhideWhenUsed/>
    <w:rsid w:val="000C0F0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F07"/>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yperlink" Target="http://www.unodc.org/documents/wdr2014/Statistics/Mortality_2014.xl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www.economist.com/blogs/dailychart/2010/11/drugs_cause_most_ha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helancet.com/journals/lancet/article/PIIS0140-6736(10)61462-6/abstract" TargetMode="Externa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s://dpmp.unsw.edu.au/project/exploring-economic-costs-family-members-affected-drug-use-discrete-choice-experimen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ichael\Desktop\2015-3%20NZ%20DHI\Expert%20panel%20survey\Drug%20Harm%20Index%20Questionnaire%20Respons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ichael\Desktop\2015-3%20NZ%20DHI\Expert%20panel%20survey\Drug%20Harm%20Index%20Questionnaire%20Respons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Analysis!$G$36:$G$37</c:f>
              <c:strCache>
                <c:ptCount val="2"/>
                <c:pt idx="0">
                  <c:v>Dependent</c:v>
                </c:pt>
                <c:pt idx="1">
                  <c:v>Personal</c:v>
                </c:pt>
              </c:strCache>
            </c:strRef>
          </c:tx>
          <c:spPr>
            <a:solidFill>
              <a:schemeClr val="accent1"/>
            </a:solidFill>
            <a:ln>
              <a:noFill/>
            </a:ln>
            <a:effectLst/>
          </c:spPr>
          <c:invertIfNegative val="0"/>
          <c:cat>
            <c:strRef>
              <c:f>Analysis!$F$38:$F$51</c:f>
              <c:strCache>
                <c:ptCount val="14"/>
                <c:pt idx="0">
                  <c:v>Methamphetamine</c:v>
                </c:pt>
                <c:pt idx="1">
                  <c:v>Heroin/homebake</c:v>
                </c:pt>
                <c:pt idx="2">
                  <c:v>Pharma-opioids</c:v>
                </c:pt>
                <c:pt idx="3">
                  <c:v>Cocaine</c:v>
                </c:pt>
                <c:pt idx="4">
                  <c:v>Synthetic cannabis</c:v>
                </c:pt>
                <c:pt idx="5">
                  <c:v>Pharma-sedatives</c:v>
                </c:pt>
                <c:pt idx="6">
                  <c:v>Amphetamine</c:v>
                </c:pt>
                <c:pt idx="7">
                  <c:v>Dexamphetamine</c:v>
                </c:pt>
                <c:pt idx="8">
                  <c:v>Ketamine</c:v>
                </c:pt>
                <c:pt idx="9">
                  <c:v>GHB</c:v>
                </c:pt>
                <c:pt idx="10">
                  <c:v>Pharma stimulants</c:v>
                </c:pt>
                <c:pt idx="11">
                  <c:v>Cannabis</c:v>
                </c:pt>
                <c:pt idx="12">
                  <c:v>LSD</c:v>
                </c:pt>
                <c:pt idx="13">
                  <c:v>Ecstasy</c:v>
                </c:pt>
              </c:strCache>
            </c:strRef>
          </c:cat>
          <c:val>
            <c:numRef>
              <c:f>Analysis!$G$38:$G$51</c:f>
              <c:numCache>
                <c:formatCode>0.0</c:formatCode>
                <c:ptCount val="14"/>
                <c:pt idx="0">
                  <c:v>4.5</c:v>
                </c:pt>
                <c:pt idx="1">
                  <c:v>4.333333333333333</c:v>
                </c:pt>
                <c:pt idx="2">
                  <c:v>3.5</c:v>
                </c:pt>
                <c:pt idx="3">
                  <c:v>3.6363636363636362</c:v>
                </c:pt>
                <c:pt idx="4">
                  <c:v>3.5</c:v>
                </c:pt>
                <c:pt idx="5">
                  <c:v>3.25</c:v>
                </c:pt>
                <c:pt idx="6">
                  <c:v>3.3333333333333335</c:v>
                </c:pt>
                <c:pt idx="7">
                  <c:v>3</c:v>
                </c:pt>
                <c:pt idx="8">
                  <c:v>3.1666666666666665</c:v>
                </c:pt>
                <c:pt idx="9">
                  <c:v>3.0833333333333335</c:v>
                </c:pt>
                <c:pt idx="10">
                  <c:v>2.9166666666666665</c:v>
                </c:pt>
                <c:pt idx="11">
                  <c:v>2.4166666666666665</c:v>
                </c:pt>
                <c:pt idx="12">
                  <c:v>2.8333333333333335</c:v>
                </c:pt>
                <c:pt idx="13">
                  <c:v>2.6666666666666665</c:v>
                </c:pt>
              </c:numCache>
            </c:numRef>
          </c:val>
          <c:extLst xmlns:c16r2="http://schemas.microsoft.com/office/drawing/2015/06/chart">
            <c:ext xmlns:c16="http://schemas.microsoft.com/office/drawing/2014/chart" uri="{C3380CC4-5D6E-409C-BE32-E72D297353CC}">
              <c16:uniqueId val="{00000000-AD87-4067-8786-4C3CC5A02350}"/>
            </c:ext>
          </c:extLst>
        </c:ser>
        <c:ser>
          <c:idx val="1"/>
          <c:order val="1"/>
          <c:tx>
            <c:strRef>
              <c:f>Analysis!$H$36:$H$37</c:f>
              <c:strCache>
                <c:ptCount val="2"/>
                <c:pt idx="0">
                  <c:v>Dependent</c:v>
                </c:pt>
                <c:pt idx="1">
                  <c:v>Community</c:v>
                </c:pt>
              </c:strCache>
            </c:strRef>
          </c:tx>
          <c:spPr>
            <a:solidFill>
              <a:schemeClr val="accent2"/>
            </a:solidFill>
            <a:ln>
              <a:noFill/>
            </a:ln>
            <a:effectLst/>
          </c:spPr>
          <c:invertIfNegative val="0"/>
          <c:cat>
            <c:strRef>
              <c:f>Analysis!$F$38:$F$51</c:f>
              <c:strCache>
                <c:ptCount val="14"/>
                <c:pt idx="0">
                  <c:v>Methamphetamine</c:v>
                </c:pt>
                <c:pt idx="1">
                  <c:v>Heroin/homebake</c:v>
                </c:pt>
                <c:pt idx="2">
                  <c:v>Pharma-opioids</c:v>
                </c:pt>
                <c:pt idx="3">
                  <c:v>Cocaine</c:v>
                </c:pt>
                <c:pt idx="4">
                  <c:v>Synthetic cannabis</c:v>
                </c:pt>
                <c:pt idx="5">
                  <c:v>Pharma-sedatives</c:v>
                </c:pt>
                <c:pt idx="6">
                  <c:v>Amphetamine</c:v>
                </c:pt>
                <c:pt idx="7">
                  <c:v>Dexamphetamine</c:v>
                </c:pt>
                <c:pt idx="8">
                  <c:v>Ketamine</c:v>
                </c:pt>
                <c:pt idx="9">
                  <c:v>GHB</c:v>
                </c:pt>
                <c:pt idx="10">
                  <c:v>Pharma stimulants</c:v>
                </c:pt>
                <c:pt idx="11">
                  <c:v>Cannabis</c:v>
                </c:pt>
                <c:pt idx="12">
                  <c:v>LSD</c:v>
                </c:pt>
                <c:pt idx="13">
                  <c:v>Ecstasy</c:v>
                </c:pt>
              </c:strCache>
            </c:strRef>
          </c:cat>
          <c:val>
            <c:numRef>
              <c:f>Analysis!$H$38:$H$51</c:f>
              <c:numCache>
                <c:formatCode>0.0</c:formatCode>
                <c:ptCount val="14"/>
                <c:pt idx="0">
                  <c:v>4</c:v>
                </c:pt>
                <c:pt idx="1">
                  <c:v>3.8333333333333335</c:v>
                </c:pt>
                <c:pt idx="2">
                  <c:v>3.0833333333333335</c:v>
                </c:pt>
                <c:pt idx="3">
                  <c:v>2.7272727272727271</c:v>
                </c:pt>
                <c:pt idx="4">
                  <c:v>2.8333333333333335</c:v>
                </c:pt>
                <c:pt idx="5">
                  <c:v>2.6666666666666665</c:v>
                </c:pt>
                <c:pt idx="6">
                  <c:v>2.5</c:v>
                </c:pt>
                <c:pt idx="7">
                  <c:v>2.4166666666666665</c:v>
                </c:pt>
                <c:pt idx="8">
                  <c:v>2.1666666666666665</c:v>
                </c:pt>
                <c:pt idx="9">
                  <c:v>2.1666666666666665</c:v>
                </c:pt>
                <c:pt idx="10">
                  <c:v>2.25</c:v>
                </c:pt>
                <c:pt idx="11">
                  <c:v>2.5</c:v>
                </c:pt>
                <c:pt idx="12">
                  <c:v>1.8333333333333333</c:v>
                </c:pt>
                <c:pt idx="13">
                  <c:v>2</c:v>
                </c:pt>
              </c:numCache>
            </c:numRef>
          </c:val>
          <c:extLst xmlns:c16r2="http://schemas.microsoft.com/office/drawing/2015/06/chart">
            <c:ext xmlns:c16="http://schemas.microsoft.com/office/drawing/2014/chart" uri="{C3380CC4-5D6E-409C-BE32-E72D297353CC}">
              <c16:uniqueId val="{00000001-AD87-4067-8786-4C3CC5A02350}"/>
            </c:ext>
          </c:extLst>
        </c:ser>
        <c:dLbls>
          <c:showLegendKey val="0"/>
          <c:showVal val="0"/>
          <c:showCatName val="0"/>
          <c:showSerName val="0"/>
          <c:showPercent val="0"/>
          <c:showBubbleSize val="0"/>
        </c:dLbls>
        <c:gapWidth val="150"/>
        <c:overlap val="100"/>
        <c:axId val="253365600"/>
        <c:axId val="253363248"/>
      </c:barChart>
      <c:catAx>
        <c:axId val="25336560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53363248"/>
        <c:crosses val="autoZero"/>
        <c:auto val="1"/>
        <c:lblAlgn val="ctr"/>
        <c:lblOffset val="100"/>
        <c:noMultiLvlLbl val="0"/>
      </c:catAx>
      <c:valAx>
        <c:axId val="253363248"/>
        <c:scaling>
          <c:orientation val="minMax"/>
          <c:max val="10"/>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3365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Analysis!$G$53:$G$54</c:f>
              <c:strCache>
                <c:ptCount val="2"/>
                <c:pt idx="0">
                  <c:v>Casual</c:v>
                </c:pt>
                <c:pt idx="1">
                  <c:v>Personal</c:v>
                </c:pt>
              </c:strCache>
            </c:strRef>
          </c:tx>
          <c:spPr>
            <a:solidFill>
              <a:schemeClr val="accent1"/>
            </a:solidFill>
            <a:ln>
              <a:noFill/>
            </a:ln>
            <a:effectLst/>
          </c:spPr>
          <c:invertIfNegative val="0"/>
          <c:cat>
            <c:strRef>
              <c:f>Analysis!$F$55:$F$68</c:f>
              <c:strCache>
                <c:ptCount val="14"/>
                <c:pt idx="0">
                  <c:v>Heroin/homebake</c:v>
                </c:pt>
                <c:pt idx="1">
                  <c:v>Methamphetamine</c:v>
                </c:pt>
                <c:pt idx="2">
                  <c:v>Pharma-opioids</c:v>
                </c:pt>
                <c:pt idx="3">
                  <c:v>Synthetic cannabis</c:v>
                </c:pt>
                <c:pt idx="4">
                  <c:v>Cocaine</c:v>
                </c:pt>
                <c:pt idx="5">
                  <c:v>Pharma-sedatives</c:v>
                </c:pt>
                <c:pt idx="6">
                  <c:v>GHB</c:v>
                </c:pt>
                <c:pt idx="7">
                  <c:v>Amphetamine</c:v>
                </c:pt>
                <c:pt idx="8">
                  <c:v>Ketamine</c:v>
                </c:pt>
                <c:pt idx="9">
                  <c:v>Dexamphetamine</c:v>
                </c:pt>
                <c:pt idx="10">
                  <c:v>Pharma stimulants</c:v>
                </c:pt>
                <c:pt idx="11">
                  <c:v>LSD</c:v>
                </c:pt>
                <c:pt idx="12">
                  <c:v>Cannabis</c:v>
                </c:pt>
                <c:pt idx="13">
                  <c:v>Ecstasy</c:v>
                </c:pt>
              </c:strCache>
            </c:strRef>
          </c:cat>
          <c:val>
            <c:numRef>
              <c:f>Analysis!$G$55:$G$68</c:f>
              <c:numCache>
                <c:formatCode>0.0</c:formatCode>
                <c:ptCount val="14"/>
                <c:pt idx="0">
                  <c:v>3.6666666666666665</c:v>
                </c:pt>
                <c:pt idx="1">
                  <c:v>3.0833333333333335</c:v>
                </c:pt>
                <c:pt idx="2">
                  <c:v>3</c:v>
                </c:pt>
                <c:pt idx="3">
                  <c:v>2.3333333333333335</c:v>
                </c:pt>
                <c:pt idx="4">
                  <c:v>2.3636363636363638</c:v>
                </c:pt>
                <c:pt idx="5">
                  <c:v>2.25</c:v>
                </c:pt>
                <c:pt idx="6">
                  <c:v>2.5</c:v>
                </c:pt>
                <c:pt idx="7">
                  <c:v>2.0833333333333335</c:v>
                </c:pt>
                <c:pt idx="8">
                  <c:v>2.0833333333333335</c:v>
                </c:pt>
                <c:pt idx="9">
                  <c:v>1.9166666666666667</c:v>
                </c:pt>
                <c:pt idx="10">
                  <c:v>1.75</c:v>
                </c:pt>
                <c:pt idx="11">
                  <c:v>1.9166666666666667</c:v>
                </c:pt>
                <c:pt idx="12">
                  <c:v>1.4166666666666667</c:v>
                </c:pt>
                <c:pt idx="13">
                  <c:v>1.5833333333333333</c:v>
                </c:pt>
              </c:numCache>
            </c:numRef>
          </c:val>
          <c:extLst xmlns:c16r2="http://schemas.microsoft.com/office/drawing/2015/06/chart">
            <c:ext xmlns:c16="http://schemas.microsoft.com/office/drawing/2014/chart" uri="{C3380CC4-5D6E-409C-BE32-E72D297353CC}">
              <c16:uniqueId val="{00000000-9055-440E-9995-54C1D6CF15CA}"/>
            </c:ext>
          </c:extLst>
        </c:ser>
        <c:ser>
          <c:idx val="1"/>
          <c:order val="1"/>
          <c:tx>
            <c:strRef>
              <c:f>Analysis!$H$53:$H$54</c:f>
              <c:strCache>
                <c:ptCount val="2"/>
                <c:pt idx="0">
                  <c:v>Casual</c:v>
                </c:pt>
                <c:pt idx="1">
                  <c:v>Community</c:v>
                </c:pt>
              </c:strCache>
            </c:strRef>
          </c:tx>
          <c:spPr>
            <a:solidFill>
              <a:schemeClr val="accent2"/>
            </a:solidFill>
            <a:ln>
              <a:noFill/>
            </a:ln>
            <a:effectLst/>
          </c:spPr>
          <c:invertIfNegative val="0"/>
          <c:cat>
            <c:strRef>
              <c:f>Analysis!$F$55:$F$68</c:f>
              <c:strCache>
                <c:ptCount val="14"/>
                <c:pt idx="0">
                  <c:v>Heroin/homebake</c:v>
                </c:pt>
                <c:pt idx="1">
                  <c:v>Methamphetamine</c:v>
                </c:pt>
                <c:pt idx="2">
                  <c:v>Pharma-opioids</c:v>
                </c:pt>
                <c:pt idx="3">
                  <c:v>Synthetic cannabis</c:v>
                </c:pt>
                <c:pt idx="4">
                  <c:v>Cocaine</c:v>
                </c:pt>
                <c:pt idx="5">
                  <c:v>Pharma-sedatives</c:v>
                </c:pt>
                <c:pt idx="6">
                  <c:v>GHB</c:v>
                </c:pt>
                <c:pt idx="7">
                  <c:v>Amphetamine</c:v>
                </c:pt>
                <c:pt idx="8">
                  <c:v>Ketamine</c:v>
                </c:pt>
                <c:pt idx="9">
                  <c:v>Dexamphetamine</c:v>
                </c:pt>
                <c:pt idx="10">
                  <c:v>Pharma stimulants</c:v>
                </c:pt>
                <c:pt idx="11">
                  <c:v>LSD</c:v>
                </c:pt>
                <c:pt idx="12">
                  <c:v>Cannabis</c:v>
                </c:pt>
                <c:pt idx="13">
                  <c:v>Ecstasy</c:v>
                </c:pt>
              </c:strCache>
            </c:strRef>
          </c:cat>
          <c:val>
            <c:numRef>
              <c:f>Analysis!$H$55:$H$68</c:f>
              <c:numCache>
                <c:formatCode>0.0</c:formatCode>
                <c:ptCount val="14"/>
                <c:pt idx="0">
                  <c:v>2.75</c:v>
                </c:pt>
                <c:pt idx="1">
                  <c:v>2.6666666666666665</c:v>
                </c:pt>
                <c:pt idx="2">
                  <c:v>2.0833333333333335</c:v>
                </c:pt>
                <c:pt idx="3">
                  <c:v>2.0833333333333335</c:v>
                </c:pt>
                <c:pt idx="4">
                  <c:v>1.8181818181818181</c:v>
                </c:pt>
                <c:pt idx="5">
                  <c:v>1.75</c:v>
                </c:pt>
                <c:pt idx="6">
                  <c:v>1.4166666666666667</c:v>
                </c:pt>
                <c:pt idx="7">
                  <c:v>1.5833333333333333</c:v>
                </c:pt>
                <c:pt idx="8">
                  <c:v>1.5833333333333333</c:v>
                </c:pt>
                <c:pt idx="9">
                  <c:v>1.5833333333333333</c:v>
                </c:pt>
                <c:pt idx="10">
                  <c:v>1.4166666666666667</c:v>
                </c:pt>
                <c:pt idx="11">
                  <c:v>1.25</c:v>
                </c:pt>
                <c:pt idx="12">
                  <c:v>1.5</c:v>
                </c:pt>
                <c:pt idx="13">
                  <c:v>1.3333333333333333</c:v>
                </c:pt>
              </c:numCache>
            </c:numRef>
          </c:val>
          <c:extLst xmlns:c16r2="http://schemas.microsoft.com/office/drawing/2015/06/chart">
            <c:ext xmlns:c16="http://schemas.microsoft.com/office/drawing/2014/chart" uri="{C3380CC4-5D6E-409C-BE32-E72D297353CC}">
              <c16:uniqueId val="{00000001-9055-440E-9995-54C1D6CF15CA}"/>
            </c:ext>
          </c:extLst>
        </c:ser>
        <c:dLbls>
          <c:showLegendKey val="0"/>
          <c:showVal val="0"/>
          <c:showCatName val="0"/>
          <c:showSerName val="0"/>
          <c:showPercent val="0"/>
          <c:showBubbleSize val="0"/>
        </c:dLbls>
        <c:gapWidth val="150"/>
        <c:overlap val="100"/>
        <c:axId val="183179776"/>
        <c:axId val="427199528"/>
      </c:barChart>
      <c:catAx>
        <c:axId val="1831797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27199528"/>
        <c:crosses val="autoZero"/>
        <c:auto val="1"/>
        <c:lblAlgn val="ctr"/>
        <c:lblOffset val="100"/>
        <c:noMultiLvlLbl val="0"/>
      </c:catAx>
      <c:valAx>
        <c:axId val="427199528"/>
        <c:scaling>
          <c:orientation val="minMax"/>
          <c:max val="10"/>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1797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58E4E-16C4-4B70-810A-EDF8179EB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63</TotalTime>
  <Pages>54</Pages>
  <Words>19750</Words>
  <Characters>104280</Characters>
  <Application>Microsoft Office Word</Application>
  <DocSecurity>0</DocSecurity>
  <Lines>2896</Lines>
  <Paragraphs>1937</Paragraphs>
  <ScaleCrop>false</ScaleCrop>
  <HeadingPairs>
    <vt:vector size="2" baseType="variant">
      <vt:variant>
        <vt:lpstr>Title</vt:lpstr>
      </vt:variant>
      <vt:variant>
        <vt:i4>1</vt:i4>
      </vt:variant>
    </vt:vector>
  </HeadingPairs>
  <TitlesOfParts>
    <vt:vector size="1" baseType="lpstr">
      <vt:lpstr>Research Report: The New Zealand Drug Harm Index 2016</vt:lpstr>
    </vt:vector>
  </TitlesOfParts>
  <Company>Microsoft</Company>
  <LinksUpToDate>false</LinksUpToDate>
  <CharactersWithSpaces>122093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Report: The New Zealand Drug Harm Index 2016</dc:title>
  <dc:creator>McFadden Consultancy</dc:creator>
  <cp:lastModifiedBy>Jane Adam</cp:lastModifiedBy>
  <cp:revision>7</cp:revision>
  <cp:lastPrinted>2016-07-04T22:45:00Z</cp:lastPrinted>
  <dcterms:created xsi:type="dcterms:W3CDTF">2016-03-30T22:56:00Z</dcterms:created>
  <dcterms:modified xsi:type="dcterms:W3CDTF">2016-07-04T22:59:00Z</dcterms:modified>
</cp:coreProperties>
</file>