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64667" w14:textId="3B022106" w:rsidR="005B50D8" w:rsidRPr="003E0609" w:rsidRDefault="003E0609" w:rsidP="003E0609">
      <w:pPr>
        <w:spacing w:before="6000"/>
        <w:jc w:val="center"/>
        <w:rPr>
          <w:b/>
          <w:sz w:val="44"/>
          <w:szCs w:val="44"/>
        </w:rPr>
      </w:pPr>
      <w:r w:rsidRPr="003E0609">
        <w:rPr>
          <w:b/>
          <w:sz w:val="44"/>
          <w:szCs w:val="44"/>
        </w:rPr>
        <w:t xml:space="preserve">A Guide to the </w:t>
      </w:r>
      <w:r w:rsidRPr="003E0609">
        <w:rPr>
          <w:b/>
          <w:sz w:val="44"/>
          <w:szCs w:val="44"/>
        </w:rPr>
        <w:br/>
      </w:r>
      <w:r w:rsidRPr="003E0609">
        <w:rPr>
          <w:b/>
          <w:sz w:val="44"/>
          <w:szCs w:val="44"/>
        </w:rPr>
        <w:t xml:space="preserve">Practical Application of the </w:t>
      </w:r>
      <w:r w:rsidRPr="003E0609">
        <w:rPr>
          <w:b/>
          <w:sz w:val="44"/>
          <w:szCs w:val="44"/>
        </w:rPr>
        <w:br/>
      </w:r>
      <w:r w:rsidRPr="003E0609">
        <w:rPr>
          <w:b/>
          <w:sz w:val="44"/>
          <w:szCs w:val="44"/>
        </w:rPr>
        <w:t>New Zealand Drug Harm Index 2016</w:t>
      </w:r>
    </w:p>
    <w:p w14:paraId="4367BB74" w14:textId="77777777" w:rsidR="00142954" w:rsidRPr="00142954" w:rsidRDefault="00142954" w:rsidP="00142954">
      <w:pPr>
        <w:sectPr w:rsidR="00142954" w:rsidRPr="00142954" w:rsidSect="002507C5">
          <w:headerReference w:type="default" r:id="rId9"/>
          <w:pgSz w:w="11907" w:h="16834" w:code="9"/>
          <w:pgMar w:top="340" w:right="567" w:bottom="340" w:left="567" w:header="142" w:footer="142" w:gutter="0"/>
          <w:cols w:space="720"/>
        </w:sectPr>
      </w:pPr>
    </w:p>
    <w:p w14:paraId="7D8F2967" w14:textId="4C961654" w:rsidR="00A80363" w:rsidRPr="00442C1C" w:rsidRDefault="00A80363">
      <w:pPr>
        <w:pStyle w:val="Imprint"/>
      </w:pPr>
      <w:r>
        <w:lastRenderedPageBreak/>
        <w:t xml:space="preserve">Citation: </w:t>
      </w:r>
      <w:r w:rsidR="000D5A4F">
        <w:t>McFadden Consultancy</w:t>
      </w:r>
      <w:r w:rsidR="00442C1C">
        <w:t xml:space="preserve">. </w:t>
      </w:r>
      <w:r w:rsidR="00EB6AE2">
        <w:t>2016</w:t>
      </w:r>
      <w:r w:rsidR="00442C1C">
        <w:t xml:space="preserve">. </w:t>
      </w:r>
      <w:r w:rsidR="00EB6AE2">
        <w:rPr>
          <w:i/>
        </w:rPr>
        <w:t>A Guide to the Practical Application of the</w:t>
      </w:r>
      <w:r w:rsidR="00EB6AE2">
        <w:rPr>
          <w:i/>
        </w:rPr>
        <w:br/>
        <w:t>New Zealand Drug Harm Index 2016</w:t>
      </w:r>
      <w:r w:rsidR="00442C1C">
        <w:t>. Wellington: Ministry of Health.</w:t>
      </w:r>
    </w:p>
    <w:p w14:paraId="78345391" w14:textId="0FA512F1" w:rsidR="00C86248" w:rsidRDefault="00C86248">
      <w:pPr>
        <w:pStyle w:val="Imprint"/>
      </w:pPr>
      <w:r>
        <w:t xml:space="preserve">Published in </w:t>
      </w:r>
      <w:r w:rsidR="003E0609">
        <w:t>April</w:t>
      </w:r>
      <w:r w:rsidR="003E0609">
        <w:t xml:space="preserve"> </w:t>
      </w:r>
      <w:r w:rsidR="000D5A4F">
        <w:t>2016</w:t>
      </w:r>
      <w:r w:rsidR="005019AE">
        <w:br/>
      </w:r>
      <w:r>
        <w:t>by the</w:t>
      </w:r>
      <w:r w:rsidR="00442C1C">
        <w:t xml:space="preserve"> </w:t>
      </w:r>
      <w:r>
        <w:t>Ministry of Health</w:t>
      </w:r>
      <w:r>
        <w:br/>
        <w:t>PO Box 5013, Wellington</w:t>
      </w:r>
      <w:r w:rsidR="00A80363">
        <w:t xml:space="preserve"> 6145</w:t>
      </w:r>
      <w:r>
        <w:t>, New Zealand</w:t>
      </w:r>
    </w:p>
    <w:p w14:paraId="0A76EB53" w14:textId="490D8A6E" w:rsidR="00082CD6" w:rsidRPr="009C0F2D" w:rsidRDefault="00D863D0" w:rsidP="00082CD6">
      <w:pPr>
        <w:pStyle w:val="Imprint"/>
      </w:pPr>
      <w:r>
        <w:t>ISBN</w:t>
      </w:r>
      <w:r w:rsidR="00442C1C">
        <w:t>:</w:t>
      </w:r>
      <w:r w:rsidR="003E0609">
        <w:t xml:space="preserve"> </w:t>
      </w:r>
      <w:r w:rsidR="000D5A4F">
        <w:t>978-0-947491-77-2</w:t>
      </w:r>
      <w:r w:rsidR="00442C1C">
        <w:t xml:space="preserve"> </w:t>
      </w:r>
      <w:r>
        <w:t>(</w:t>
      </w:r>
      <w:r w:rsidR="00442C1C">
        <w:t>online</w:t>
      </w:r>
      <w:proofErr w:type="gramStart"/>
      <w:r>
        <w:t>)</w:t>
      </w:r>
      <w:proofErr w:type="gramEnd"/>
      <w:r w:rsidR="00082CD6">
        <w:br/>
      </w:r>
      <w:r w:rsidR="00082CD6" w:rsidRPr="009C0F2D">
        <w:t xml:space="preserve">HP </w:t>
      </w:r>
      <w:r w:rsidR="000D5A4F">
        <w:t>6372</w:t>
      </w:r>
    </w:p>
    <w:p w14:paraId="0F2E7631" w14:textId="7B3ED72C" w:rsidR="00C86248" w:rsidRDefault="00C86248">
      <w:pPr>
        <w:pStyle w:val="Imprint"/>
      </w:pPr>
      <w:r>
        <w:t xml:space="preserve">This document is available </w:t>
      </w:r>
      <w:r w:rsidR="0071741C">
        <w:t xml:space="preserve">at </w:t>
      </w:r>
      <w:r>
        <w:t>h</w:t>
      </w:r>
      <w:r w:rsidR="00A80363">
        <w:t>ealth</w:t>
      </w:r>
      <w:r>
        <w:t>.govt.nz</w:t>
      </w:r>
    </w:p>
    <w:p w14:paraId="047901A2" w14:textId="4167E01D" w:rsidR="00C86248" w:rsidRDefault="00C86248">
      <w:pPr>
        <w:jc w:val="center"/>
      </w:pPr>
    </w:p>
    <w:p w14:paraId="0B5A8F17" w14:textId="77777777" w:rsidR="00C86248" w:rsidRDefault="00C86248">
      <w:pPr>
        <w:jc w:val="center"/>
        <w:sectPr w:rsidR="00C86248" w:rsidSect="0009005F">
          <w:footerReference w:type="even" r:id="rId10"/>
          <w:footerReference w:type="default" r:id="rId11"/>
          <w:pgSz w:w="11907" w:h="16834" w:code="9"/>
          <w:pgMar w:top="1701" w:right="1418" w:bottom="1418" w:left="1418" w:header="425" w:footer="425" w:gutter="0"/>
          <w:cols w:space="720"/>
          <w:vAlign w:val="bottom"/>
        </w:sectPr>
      </w:pPr>
    </w:p>
    <w:p w14:paraId="2C3013E3" w14:textId="77777777" w:rsidR="00C86248" w:rsidRDefault="00C86248">
      <w:pPr>
        <w:pStyle w:val="IntroHead"/>
      </w:pPr>
      <w:bookmarkStart w:id="0" w:name="_Toc405792991"/>
      <w:bookmarkStart w:id="1" w:name="_Toc405793224"/>
      <w:r>
        <w:lastRenderedPageBreak/>
        <w:t>Contents</w:t>
      </w:r>
      <w:bookmarkEnd w:id="0"/>
      <w:bookmarkEnd w:id="1"/>
    </w:p>
    <w:p w14:paraId="4B77BD96" w14:textId="77777777" w:rsidR="008E1E2B" w:rsidRDefault="00C86248">
      <w:pPr>
        <w:pStyle w:val="TOC1"/>
        <w:rPr>
          <w:rFonts w:eastAsiaTheme="minorEastAsia" w:cstheme="minorBidi"/>
          <w:b w:val="0"/>
          <w:noProof/>
          <w:szCs w:val="22"/>
          <w:lang w:eastAsia="en-NZ"/>
        </w:rPr>
      </w:pPr>
      <w:r>
        <w:rPr>
          <w:b w:val="0"/>
        </w:rPr>
        <w:fldChar w:fldCharType="begin"/>
      </w:r>
      <w:r>
        <w:instrText xml:space="preserve"> TOC \o "1-2" </w:instrText>
      </w:r>
      <w:r>
        <w:rPr>
          <w:b w:val="0"/>
        </w:rPr>
        <w:fldChar w:fldCharType="separate"/>
      </w:r>
      <w:r w:rsidR="008E1E2B">
        <w:rPr>
          <w:noProof/>
        </w:rPr>
        <w:t>Background</w:t>
      </w:r>
      <w:r w:rsidR="008E1E2B">
        <w:rPr>
          <w:noProof/>
        </w:rPr>
        <w:tab/>
      </w:r>
      <w:r w:rsidR="008E1E2B">
        <w:rPr>
          <w:noProof/>
        </w:rPr>
        <w:fldChar w:fldCharType="begin"/>
      </w:r>
      <w:r w:rsidR="008E1E2B">
        <w:rPr>
          <w:noProof/>
        </w:rPr>
        <w:instrText xml:space="preserve"> PAGEREF _Toc445219659 \h </w:instrText>
      </w:r>
      <w:r w:rsidR="008E1E2B">
        <w:rPr>
          <w:noProof/>
        </w:rPr>
      </w:r>
      <w:r w:rsidR="008E1E2B">
        <w:rPr>
          <w:noProof/>
        </w:rPr>
        <w:fldChar w:fldCharType="separate"/>
      </w:r>
      <w:r w:rsidR="004F7783">
        <w:rPr>
          <w:noProof/>
        </w:rPr>
        <w:t>1</w:t>
      </w:r>
      <w:r w:rsidR="008E1E2B">
        <w:rPr>
          <w:noProof/>
        </w:rPr>
        <w:fldChar w:fldCharType="end"/>
      </w:r>
    </w:p>
    <w:p w14:paraId="4BB10054" w14:textId="77777777" w:rsidR="008E1E2B" w:rsidRDefault="008E1E2B">
      <w:pPr>
        <w:pStyle w:val="TOC1"/>
        <w:rPr>
          <w:rFonts w:eastAsiaTheme="minorEastAsia" w:cstheme="minorBidi"/>
          <w:b w:val="0"/>
          <w:noProof/>
          <w:szCs w:val="22"/>
          <w:lang w:eastAsia="en-NZ"/>
        </w:rPr>
      </w:pPr>
      <w:r>
        <w:rPr>
          <w:noProof/>
        </w:rPr>
        <w:t>Measuring the social cost of illicit drug use</w:t>
      </w:r>
      <w:r>
        <w:rPr>
          <w:noProof/>
        </w:rPr>
        <w:tab/>
      </w:r>
      <w:r>
        <w:rPr>
          <w:noProof/>
        </w:rPr>
        <w:fldChar w:fldCharType="begin"/>
      </w:r>
      <w:r>
        <w:rPr>
          <w:noProof/>
        </w:rPr>
        <w:instrText xml:space="preserve"> PAGEREF _Toc445219660 \h </w:instrText>
      </w:r>
      <w:r>
        <w:rPr>
          <w:noProof/>
        </w:rPr>
      </w:r>
      <w:r>
        <w:rPr>
          <w:noProof/>
        </w:rPr>
        <w:fldChar w:fldCharType="separate"/>
      </w:r>
      <w:r w:rsidR="004F7783">
        <w:rPr>
          <w:noProof/>
        </w:rPr>
        <w:t>2</w:t>
      </w:r>
      <w:r>
        <w:rPr>
          <w:noProof/>
        </w:rPr>
        <w:fldChar w:fldCharType="end"/>
      </w:r>
    </w:p>
    <w:p w14:paraId="60667260" w14:textId="77777777" w:rsidR="008E1E2B" w:rsidRDefault="008E1E2B">
      <w:pPr>
        <w:pStyle w:val="TOC2"/>
        <w:rPr>
          <w:rFonts w:eastAsiaTheme="minorEastAsia" w:cstheme="minorBidi"/>
          <w:noProof/>
          <w:szCs w:val="22"/>
          <w:lang w:eastAsia="en-NZ"/>
        </w:rPr>
      </w:pPr>
      <w:r>
        <w:rPr>
          <w:noProof/>
        </w:rPr>
        <w:t>Step 1. Specifying the social costs of interest</w:t>
      </w:r>
      <w:r>
        <w:rPr>
          <w:noProof/>
        </w:rPr>
        <w:tab/>
      </w:r>
      <w:r>
        <w:rPr>
          <w:noProof/>
        </w:rPr>
        <w:fldChar w:fldCharType="begin"/>
      </w:r>
      <w:r>
        <w:rPr>
          <w:noProof/>
        </w:rPr>
        <w:instrText xml:space="preserve"> PAGEREF _Toc445219661 \h </w:instrText>
      </w:r>
      <w:r>
        <w:rPr>
          <w:noProof/>
        </w:rPr>
      </w:r>
      <w:r>
        <w:rPr>
          <w:noProof/>
        </w:rPr>
        <w:fldChar w:fldCharType="separate"/>
      </w:r>
      <w:r w:rsidR="004F7783">
        <w:rPr>
          <w:noProof/>
        </w:rPr>
        <w:t>2</w:t>
      </w:r>
      <w:r>
        <w:rPr>
          <w:noProof/>
        </w:rPr>
        <w:fldChar w:fldCharType="end"/>
      </w:r>
    </w:p>
    <w:p w14:paraId="553EC13D" w14:textId="77777777" w:rsidR="008E1E2B" w:rsidRDefault="008E1E2B">
      <w:pPr>
        <w:pStyle w:val="TOC2"/>
        <w:rPr>
          <w:rFonts w:eastAsiaTheme="minorEastAsia" w:cstheme="minorBidi"/>
          <w:noProof/>
          <w:szCs w:val="22"/>
          <w:lang w:eastAsia="en-NZ"/>
        </w:rPr>
      </w:pPr>
      <w:r>
        <w:rPr>
          <w:noProof/>
        </w:rPr>
        <w:t>Step 2. Specifying the user group of interest</w:t>
      </w:r>
      <w:r>
        <w:rPr>
          <w:noProof/>
        </w:rPr>
        <w:tab/>
      </w:r>
      <w:r>
        <w:rPr>
          <w:noProof/>
        </w:rPr>
        <w:fldChar w:fldCharType="begin"/>
      </w:r>
      <w:r>
        <w:rPr>
          <w:noProof/>
        </w:rPr>
        <w:instrText xml:space="preserve"> PAGEREF _Toc445219662 \h </w:instrText>
      </w:r>
      <w:r>
        <w:rPr>
          <w:noProof/>
        </w:rPr>
      </w:r>
      <w:r>
        <w:rPr>
          <w:noProof/>
        </w:rPr>
        <w:fldChar w:fldCharType="separate"/>
      </w:r>
      <w:r w:rsidR="004F7783">
        <w:rPr>
          <w:noProof/>
        </w:rPr>
        <w:t>2</w:t>
      </w:r>
      <w:r>
        <w:rPr>
          <w:noProof/>
        </w:rPr>
        <w:fldChar w:fldCharType="end"/>
      </w:r>
    </w:p>
    <w:p w14:paraId="63881E5E" w14:textId="77777777" w:rsidR="008E1E2B" w:rsidRDefault="008E1E2B">
      <w:pPr>
        <w:pStyle w:val="TOC2"/>
        <w:rPr>
          <w:rFonts w:eastAsiaTheme="minorEastAsia" w:cstheme="minorBidi"/>
          <w:noProof/>
          <w:szCs w:val="22"/>
          <w:lang w:eastAsia="en-NZ"/>
        </w:rPr>
      </w:pPr>
      <w:r>
        <w:rPr>
          <w:noProof/>
        </w:rPr>
        <w:t>Step 3. Specifying drugs of interest</w:t>
      </w:r>
      <w:r>
        <w:rPr>
          <w:noProof/>
        </w:rPr>
        <w:tab/>
      </w:r>
      <w:r>
        <w:rPr>
          <w:noProof/>
        </w:rPr>
        <w:fldChar w:fldCharType="begin"/>
      </w:r>
      <w:r>
        <w:rPr>
          <w:noProof/>
        </w:rPr>
        <w:instrText xml:space="preserve"> PAGEREF _Toc445219663 \h </w:instrText>
      </w:r>
      <w:r>
        <w:rPr>
          <w:noProof/>
        </w:rPr>
      </w:r>
      <w:r>
        <w:rPr>
          <w:noProof/>
        </w:rPr>
        <w:fldChar w:fldCharType="separate"/>
      </w:r>
      <w:r w:rsidR="004F7783">
        <w:rPr>
          <w:noProof/>
        </w:rPr>
        <w:t>3</w:t>
      </w:r>
      <w:r>
        <w:rPr>
          <w:noProof/>
        </w:rPr>
        <w:fldChar w:fldCharType="end"/>
      </w:r>
    </w:p>
    <w:p w14:paraId="7801FAD9" w14:textId="77777777" w:rsidR="008E1E2B" w:rsidRDefault="008E1E2B">
      <w:pPr>
        <w:pStyle w:val="TOC2"/>
        <w:rPr>
          <w:rFonts w:eastAsiaTheme="minorEastAsia" w:cstheme="minorBidi"/>
          <w:noProof/>
          <w:szCs w:val="22"/>
          <w:lang w:eastAsia="en-NZ"/>
        </w:rPr>
      </w:pPr>
      <w:r>
        <w:rPr>
          <w:noProof/>
        </w:rPr>
        <w:t>Step 4. Specifying measures of social cost</w:t>
      </w:r>
      <w:r>
        <w:rPr>
          <w:noProof/>
        </w:rPr>
        <w:tab/>
      </w:r>
      <w:r>
        <w:rPr>
          <w:noProof/>
        </w:rPr>
        <w:fldChar w:fldCharType="begin"/>
      </w:r>
      <w:r>
        <w:rPr>
          <w:noProof/>
        </w:rPr>
        <w:instrText xml:space="preserve"> PAGEREF _Toc445219664 \h </w:instrText>
      </w:r>
      <w:r>
        <w:rPr>
          <w:noProof/>
        </w:rPr>
      </w:r>
      <w:r>
        <w:rPr>
          <w:noProof/>
        </w:rPr>
        <w:fldChar w:fldCharType="separate"/>
      </w:r>
      <w:r w:rsidR="004F7783">
        <w:rPr>
          <w:noProof/>
        </w:rPr>
        <w:t>3</w:t>
      </w:r>
      <w:r>
        <w:rPr>
          <w:noProof/>
        </w:rPr>
        <w:fldChar w:fldCharType="end"/>
      </w:r>
    </w:p>
    <w:p w14:paraId="7F015CF3" w14:textId="77777777" w:rsidR="008E1E2B" w:rsidRDefault="008E1E2B">
      <w:pPr>
        <w:pStyle w:val="TOC2"/>
        <w:rPr>
          <w:rFonts w:eastAsiaTheme="minorEastAsia" w:cstheme="minorBidi"/>
          <w:noProof/>
          <w:szCs w:val="22"/>
          <w:lang w:eastAsia="en-NZ"/>
        </w:rPr>
      </w:pPr>
      <w:r>
        <w:rPr>
          <w:noProof/>
        </w:rPr>
        <w:t>Step 5. Identifying the relevant cost estimate</w:t>
      </w:r>
      <w:r>
        <w:rPr>
          <w:noProof/>
        </w:rPr>
        <w:tab/>
      </w:r>
      <w:r>
        <w:rPr>
          <w:noProof/>
        </w:rPr>
        <w:fldChar w:fldCharType="begin"/>
      </w:r>
      <w:r>
        <w:rPr>
          <w:noProof/>
        </w:rPr>
        <w:instrText xml:space="preserve"> PAGEREF _Toc445219665 \h </w:instrText>
      </w:r>
      <w:r>
        <w:rPr>
          <w:noProof/>
        </w:rPr>
      </w:r>
      <w:r>
        <w:rPr>
          <w:noProof/>
        </w:rPr>
        <w:fldChar w:fldCharType="separate"/>
      </w:r>
      <w:r w:rsidR="004F7783">
        <w:rPr>
          <w:noProof/>
        </w:rPr>
        <w:t>4</w:t>
      </w:r>
      <w:r>
        <w:rPr>
          <w:noProof/>
        </w:rPr>
        <w:fldChar w:fldCharType="end"/>
      </w:r>
    </w:p>
    <w:p w14:paraId="7257DBDF" w14:textId="77777777" w:rsidR="008E1E2B" w:rsidRDefault="008E1E2B">
      <w:pPr>
        <w:pStyle w:val="TOC1"/>
        <w:rPr>
          <w:rFonts w:eastAsiaTheme="minorEastAsia" w:cstheme="minorBidi"/>
          <w:b w:val="0"/>
          <w:noProof/>
          <w:szCs w:val="22"/>
          <w:lang w:eastAsia="en-NZ"/>
        </w:rPr>
      </w:pPr>
      <w:r>
        <w:rPr>
          <w:noProof/>
        </w:rPr>
        <w:t>Evaluating illicit drug programmes and specific interventions</w:t>
      </w:r>
      <w:r>
        <w:rPr>
          <w:noProof/>
        </w:rPr>
        <w:tab/>
      </w:r>
      <w:r>
        <w:rPr>
          <w:noProof/>
        </w:rPr>
        <w:fldChar w:fldCharType="begin"/>
      </w:r>
      <w:r>
        <w:rPr>
          <w:noProof/>
        </w:rPr>
        <w:instrText xml:space="preserve"> PAGEREF _Toc445219666 \h </w:instrText>
      </w:r>
      <w:r>
        <w:rPr>
          <w:noProof/>
        </w:rPr>
      </w:r>
      <w:r>
        <w:rPr>
          <w:noProof/>
        </w:rPr>
        <w:fldChar w:fldCharType="separate"/>
      </w:r>
      <w:r w:rsidR="004F7783">
        <w:rPr>
          <w:noProof/>
        </w:rPr>
        <w:t>5</w:t>
      </w:r>
      <w:r>
        <w:rPr>
          <w:noProof/>
        </w:rPr>
        <w:fldChar w:fldCharType="end"/>
      </w:r>
    </w:p>
    <w:p w14:paraId="2F9AF51F" w14:textId="77777777" w:rsidR="008E1E2B" w:rsidRDefault="008E1E2B">
      <w:pPr>
        <w:pStyle w:val="TOC2"/>
        <w:rPr>
          <w:rFonts w:eastAsiaTheme="minorEastAsia" w:cstheme="minorBidi"/>
          <w:noProof/>
          <w:szCs w:val="22"/>
          <w:lang w:eastAsia="en-NZ"/>
        </w:rPr>
      </w:pPr>
      <w:r>
        <w:rPr>
          <w:noProof/>
        </w:rPr>
        <w:t>Step 6. Estimating the extent of benefits related to an intervention</w:t>
      </w:r>
      <w:r>
        <w:rPr>
          <w:noProof/>
        </w:rPr>
        <w:tab/>
      </w:r>
      <w:r>
        <w:rPr>
          <w:noProof/>
        </w:rPr>
        <w:fldChar w:fldCharType="begin"/>
      </w:r>
      <w:r>
        <w:rPr>
          <w:noProof/>
        </w:rPr>
        <w:instrText xml:space="preserve"> PAGEREF _Toc445219667 \h </w:instrText>
      </w:r>
      <w:r>
        <w:rPr>
          <w:noProof/>
        </w:rPr>
      </w:r>
      <w:r>
        <w:rPr>
          <w:noProof/>
        </w:rPr>
        <w:fldChar w:fldCharType="separate"/>
      </w:r>
      <w:r w:rsidR="004F7783">
        <w:rPr>
          <w:noProof/>
        </w:rPr>
        <w:t>5</w:t>
      </w:r>
      <w:r>
        <w:rPr>
          <w:noProof/>
        </w:rPr>
        <w:fldChar w:fldCharType="end"/>
      </w:r>
    </w:p>
    <w:p w14:paraId="66BA6A85" w14:textId="77777777" w:rsidR="008E1E2B" w:rsidRDefault="008E1E2B">
      <w:pPr>
        <w:pStyle w:val="TOC2"/>
        <w:rPr>
          <w:rFonts w:eastAsiaTheme="minorEastAsia" w:cstheme="minorBidi"/>
          <w:noProof/>
          <w:szCs w:val="22"/>
          <w:lang w:eastAsia="en-NZ"/>
        </w:rPr>
      </w:pPr>
      <w:r>
        <w:rPr>
          <w:noProof/>
        </w:rPr>
        <w:t>Step 7. Measuring the costs of interventions</w:t>
      </w:r>
      <w:r>
        <w:rPr>
          <w:noProof/>
        </w:rPr>
        <w:tab/>
      </w:r>
      <w:r>
        <w:rPr>
          <w:noProof/>
        </w:rPr>
        <w:fldChar w:fldCharType="begin"/>
      </w:r>
      <w:r>
        <w:rPr>
          <w:noProof/>
        </w:rPr>
        <w:instrText xml:space="preserve"> PAGEREF _Toc445219668 \h </w:instrText>
      </w:r>
      <w:r>
        <w:rPr>
          <w:noProof/>
        </w:rPr>
      </w:r>
      <w:r>
        <w:rPr>
          <w:noProof/>
        </w:rPr>
        <w:fldChar w:fldCharType="separate"/>
      </w:r>
      <w:r w:rsidR="004F7783">
        <w:rPr>
          <w:noProof/>
        </w:rPr>
        <w:t>6</w:t>
      </w:r>
      <w:r>
        <w:rPr>
          <w:noProof/>
        </w:rPr>
        <w:fldChar w:fldCharType="end"/>
      </w:r>
    </w:p>
    <w:p w14:paraId="18955C5E" w14:textId="77777777" w:rsidR="008E1E2B" w:rsidRDefault="008E1E2B">
      <w:pPr>
        <w:pStyle w:val="TOC1"/>
        <w:rPr>
          <w:rFonts w:eastAsiaTheme="minorEastAsia" w:cstheme="minorBidi"/>
          <w:b w:val="0"/>
          <w:noProof/>
          <w:szCs w:val="22"/>
          <w:lang w:eastAsia="en-NZ"/>
        </w:rPr>
      </w:pPr>
      <w:r>
        <w:rPr>
          <w:noProof/>
        </w:rPr>
        <w:t>CLOSING COMMENTS</w:t>
      </w:r>
      <w:r>
        <w:rPr>
          <w:noProof/>
        </w:rPr>
        <w:tab/>
      </w:r>
      <w:r>
        <w:rPr>
          <w:noProof/>
        </w:rPr>
        <w:fldChar w:fldCharType="begin"/>
      </w:r>
      <w:r>
        <w:rPr>
          <w:noProof/>
        </w:rPr>
        <w:instrText xml:space="preserve"> PAGEREF _Toc445219669 \h </w:instrText>
      </w:r>
      <w:r>
        <w:rPr>
          <w:noProof/>
        </w:rPr>
      </w:r>
      <w:r>
        <w:rPr>
          <w:noProof/>
        </w:rPr>
        <w:fldChar w:fldCharType="separate"/>
      </w:r>
      <w:r w:rsidR="004F7783">
        <w:rPr>
          <w:noProof/>
        </w:rPr>
        <w:t>7</w:t>
      </w:r>
      <w:r>
        <w:rPr>
          <w:noProof/>
        </w:rPr>
        <w:fldChar w:fldCharType="end"/>
      </w:r>
    </w:p>
    <w:p w14:paraId="350532C7" w14:textId="77777777" w:rsidR="00C86248" w:rsidRDefault="00C86248" w:rsidP="002507C5">
      <w:r>
        <w:rPr>
          <w:b/>
        </w:rPr>
        <w:fldChar w:fldCharType="end"/>
      </w:r>
    </w:p>
    <w:p w14:paraId="2379D1B7" w14:textId="77777777" w:rsidR="00C86248" w:rsidRDefault="00C86248">
      <w:pPr>
        <w:sectPr w:rsidR="00C86248" w:rsidSect="00ED5061">
          <w:headerReference w:type="even" r:id="rId12"/>
          <w:headerReference w:type="default" r:id="rId13"/>
          <w:footerReference w:type="even" r:id="rId14"/>
          <w:footerReference w:type="default" r:id="rId15"/>
          <w:pgSz w:w="11907" w:h="16840" w:code="9"/>
          <w:pgMar w:top="1701" w:right="1418" w:bottom="1418" w:left="1418" w:header="425" w:footer="425" w:gutter="0"/>
          <w:pgNumType w:fmt="lowerRoman"/>
          <w:cols w:space="720"/>
        </w:sectPr>
      </w:pPr>
    </w:p>
    <w:p w14:paraId="136F0FA8" w14:textId="77777777" w:rsidR="00AC5F01" w:rsidRPr="00F8416E" w:rsidRDefault="00AC5F01" w:rsidP="00AC5F01">
      <w:pPr>
        <w:pStyle w:val="Heading1"/>
      </w:pPr>
      <w:bookmarkStart w:id="2" w:name="_Toc445219659"/>
      <w:r w:rsidRPr="00F8416E">
        <w:lastRenderedPageBreak/>
        <w:t>Background</w:t>
      </w:r>
      <w:bookmarkEnd w:id="2"/>
    </w:p>
    <w:p w14:paraId="26B86006" w14:textId="77777777" w:rsidR="00AC5F01" w:rsidRPr="00F8416E" w:rsidRDefault="00AC5F01" w:rsidP="00AC5F01">
      <w:r w:rsidRPr="00F8416E">
        <w:t xml:space="preserve">The following is a guide to the practical application of the New Zealand Drug Harm Index (DHI) 2016. More detail on the definitions and methodology underlying the DHI is available in the main report, </w:t>
      </w:r>
      <w:r w:rsidRPr="00F8416E">
        <w:rPr>
          <w:i/>
        </w:rPr>
        <w:t>The New Zealand Drug Harm Index 2016</w:t>
      </w:r>
      <w:r w:rsidRPr="00F8416E">
        <w:t>, published by the Ministry of Health in 2016. In brief, the 2016 DHI is a comprehensive evaluation of the costs of harmful illicit drug use. Estimates of total harm, harm per kilogram of drug consumed and harm per user are included. Illicit drugs include legal drugs diverted to the illicit drug market and exclude alcohol and tobacco.</w:t>
      </w:r>
    </w:p>
    <w:p w14:paraId="0A487E4E" w14:textId="77777777" w:rsidR="00AC5F01" w:rsidRPr="00F8416E" w:rsidRDefault="00AC5F01" w:rsidP="00CF5331">
      <w:r w:rsidRPr="00F8416E">
        <w:t>It was estimated that, in 2014, illicit drug use cost New Zealand $1.85 billion. Community harms were the largest single category of social cost at $892.7 million, followed by personal harms at $601.0</w:t>
      </w:r>
      <w:r w:rsidR="00685D68">
        <w:t> </w:t>
      </w:r>
      <w:r w:rsidRPr="00F8416E">
        <w:t>million and the cost of interventions at $351.4 million. Overall, the social cost of drug use was estimated at $33,800 per year for dependent users and $2,300 per year for casual users.</w:t>
      </w:r>
    </w:p>
    <w:p w14:paraId="1A222BB0" w14:textId="77777777" w:rsidR="00AC5F01" w:rsidRPr="00F8416E" w:rsidRDefault="00AC5F01" w:rsidP="00CF5331">
      <w:r w:rsidRPr="00F8416E">
        <w:t>Three points should be noted.</w:t>
      </w:r>
    </w:p>
    <w:p w14:paraId="2BF2BF01" w14:textId="77777777" w:rsidR="00AC5F01" w:rsidRPr="00F8416E" w:rsidRDefault="00AC5F01" w:rsidP="00CF5331">
      <w:pPr>
        <w:pStyle w:val="Bullet"/>
      </w:pPr>
      <w:r w:rsidRPr="00F8416E">
        <w:t>The DHI is a living document and the drug-types that comprise the Index and their estimated harm will change over time. Researchers are advised to contact the Ministry of Health to confirm the most recent estimates available.</w:t>
      </w:r>
    </w:p>
    <w:p w14:paraId="1A964875" w14:textId="77777777" w:rsidR="00AC5F01" w:rsidRPr="00F8416E" w:rsidRDefault="00AC5F01" w:rsidP="00CF5331">
      <w:pPr>
        <w:pStyle w:val="Bullet"/>
      </w:pPr>
      <w:r w:rsidRPr="00F8416E">
        <w:t>The DHI 2016 was designed to provide a means of evaluation that is consistent across studies. It does not preclude the use of other forms of evaluation and, in fact, the use of alternative methods in addition to the DHI will result in more robust conclusions.</w:t>
      </w:r>
    </w:p>
    <w:p w14:paraId="126661BC" w14:textId="77777777" w:rsidR="00AC5F01" w:rsidRPr="00F8416E" w:rsidRDefault="00AC5F01" w:rsidP="00CF5331">
      <w:pPr>
        <w:pStyle w:val="Bullet"/>
      </w:pPr>
      <w:r w:rsidRPr="00F8416E">
        <w:t>The application and interpretation of the DHI involve judgement on the part of researchers and policy makers. In a complex environment, different sets of assumptions may be relevant in different circumstances. These assumptions should always be stated clearly.</w:t>
      </w:r>
    </w:p>
    <w:p w14:paraId="7CC029BB" w14:textId="77777777" w:rsidR="00AC5F01" w:rsidRPr="00F8416E" w:rsidRDefault="00AC5F01" w:rsidP="00CF5331">
      <w:r w:rsidRPr="00F8416E">
        <w:t>There are two primary applications of the DHI: estimating the social costs of drugs, and the evaluation of programmes and interventions. These two applications are treated in Steps 5 and 6 of this document. It is assumed that the reader will be more interested in one or the other. As a result, the sections on social costs and evaluation are stand-alone components. This involves some repetition across the sections.</w:t>
      </w:r>
    </w:p>
    <w:p w14:paraId="730DF33A" w14:textId="77777777" w:rsidR="00AC5F01" w:rsidRPr="00CF5331" w:rsidRDefault="00AC5F01" w:rsidP="00CF5331">
      <w:pPr>
        <w:rPr>
          <w:b/>
        </w:rPr>
      </w:pPr>
      <w:r w:rsidRPr="00CF5331">
        <w:rPr>
          <w:b/>
        </w:rPr>
        <w:t>Note that this guide is not intended as a primer for those attempting a formal evaluation for the first time. It assumes a good knowledge of and prior experience with evaluation techniques.</w:t>
      </w:r>
    </w:p>
    <w:p w14:paraId="7938E17E" w14:textId="77777777" w:rsidR="00AC5F01" w:rsidRPr="00F8416E" w:rsidRDefault="00AC5F01" w:rsidP="00AC5F01"/>
    <w:p w14:paraId="162F8E7F" w14:textId="33E96E98" w:rsidR="00AC5F01" w:rsidRPr="00F8416E" w:rsidRDefault="00AC5F01" w:rsidP="00AC5F01">
      <w:r w:rsidRPr="00F8416E">
        <w:br w:type="page"/>
      </w:r>
    </w:p>
    <w:p w14:paraId="397A4B05" w14:textId="77777777" w:rsidR="00AC5F01" w:rsidRPr="00F8416E" w:rsidRDefault="00AC5F01" w:rsidP="00CF5331">
      <w:pPr>
        <w:pStyle w:val="Heading1"/>
      </w:pPr>
      <w:bookmarkStart w:id="3" w:name="_Toc445219660"/>
      <w:r w:rsidRPr="00F8416E">
        <w:t>Measuring the social cost of illicit drug use</w:t>
      </w:r>
      <w:bookmarkEnd w:id="3"/>
    </w:p>
    <w:p w14:paraId="239CD117" w14:textId="77777777" w:rsidR="00AC5F01" w:rsidRPr="00F8416E" w:rsidRDefault="00AC5F01" w:rsidP="00CF5331">
      <w:r w:rsidRPr="00F8416E">
        <w:t>The 2016 DHI provides a method for estimating the cost of illicit drug use in society as a whole or within sub-groups. Researchers must be quite clear about their aims. The following steps outline the development of estimates of social costs.</w:t>
      </w:r>
    </w:p>
    <w:p w14:paraId="520E23C4" w14:textId="77777777" w:rsidR="00AC5F01" w:rsidRPr="00F8416E" w:rsidRDefault="00AC5F01" w:rsidP="00CF5331">
      <w:pPr>
        <w:pStyle w:val="Heading2"/>
      </w:pPr>
      <w:bookmarkStart w:id="4" w:name="_Toc445219661"/>
      <w:proofErr w:type="gramStart"/>
      <w:r w:rsidRPr="00F8416E">
        <w:t>Step 1.</w:t>
      </w:r>
      <w:proofErr w:type="gramEnd"/>
      <w:r w:rsidRPr="00F8416E">
        <w:t xml:space="preserve"> Specifying the social costs of interest</w:t>
      </w:r>
      <w:bookmarkEnd w:id="4"/>
    </w:p>
    <w:p w14:paraId="037EE9D4" w14:textId="77777777" w:rsidR="00AC5F01" w:rsidRPr="00F8416E" w:rsidRDefault="00AC5F01" w:rsidP="00CF5331">
      <w:pPr>
        <w:spacing w:after="120"/>
      </w:pPr>
      <w:r w:rsidRPr="00F8416E">
        <w:t>The DHI consists of three categories of social costs and nine components, as shown in the following table.</w:t>
      </w:r>
    </w:p>
    <w:tbl>
      <w:tblPr>
        <w:tblStyle w:val="TableGrid"/>
        <w:tblW w:w="0" w:type="auto"/>
        <w:tblInd w:w="28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284" w:type="dxa"/>
          <w:right w:w="284" w:type="dxa"/>
        </w:tblCellMar>
        <w:tblLook w:val="04A0" w:firstRow="1" w:lastRow="0" w:firstColumn="1" w:lastColumn="0" w:noHBand="0" w:noVBand="1"/>
      </w:tblPr>
      <w:tblGrid>
        <w:gridCol w:w="3261"/>
        <w:gridCol w:w="3827"/>
      </w:tblGrid>
      <w:tr w:rsidR="00AC5F01" w:rsidRPr="00CF5331" w14:paraId="5E8382FC" w14:textId="77777777" w:rsidTr="0061158A">
        <w:trPr>
          <w:cantSplit/>
        </w:trPr>
        <w:tc>
          <w:tcPr>
            <w:tcW w:w="3261" w:type="dxa"/>
          </w:tcPr>
          <w:p w14:paraId="36DD1267" w14:textId="77777777" w:rsidR="00AC5F01" w:rsidRPr="00CF5331" w:rsidRDefault="00AC5F01" w:rsidP="00CF5331">
            <w:pPr>
              <w:pStyle w:val="TableText"/>
              <w:rPr>
                <w:b/>
              </w:rPr>
            </w:pPr>
            <w:r w:rsidRPr="00CF5331">
              <w:rPr>
                <w:b/>
              </w:rPr>
              <w:t>Category of social cost</w:t>
            </w:r>
          </w:p>
        </w:tc>
        <w:tc>
          <w:tcPr>
            <w:tcW w:w="3827" w:type="dxa"/>
          </w:tcPr>
          <w:p w14:paraId="5A17CF96" w14:textId="77777777" w:rsidR="00AC5F01" w:rsidRPr="00CF5331" w:rsidRDefault="00AC5F01" w:rsidP="00CF5331">
            <w:pPr>
              <w:pStyle w:val="TableText"/>
              <w:rPr>
                <w:b/>
              </w:rPr>
            </w:pPr>
            <w:r w:rsidRPr="00CF5331">
              <w:rPr>
                <w:b/>
              </w:rPr>
              <w:t>Components</w:t>
            </w:r>
          </w:p>
        </w:tc>
      </w:tr>
      <w:tr w:rsidR="00AC5F01" w:rsidRPr="00F8416E" w14:paraId="41DB1290" w14:textId="77777777" w:rsidTr="0061158A">
        <w:trPr>
          <w:cantSplit/>
        </w:trPr>
        <w:tc>
          <w:tcPr>
            <w:tcW w:w="3261" w:type="dxa"/>
          </w:tcPr>
          <w:p w14:paraId="7644E10C" w14:textId="77777777" w:rsidR="00AC5F01" w:rsidRPr="00F8416E" w:rsidRDefault="00AC5F01" w:rsidP="00CF5331">
            <w:pPr>
              <w:pStyle w:val="TableText"/>
            </w:pPr>
            <w:r w:rsidRPr="00F8416E">
              <w:t>Personal harm</w:t>
            </w:r>
          </w:p>
        </w:tc>
        <w:tc>
          <w:tcPr>
            <w:tcW w:w="3827" w:type="dxa"/>
          </w:tcPr>
          <w:p w14:paraId="4B7A91F4" w14:textId="77777777" w:rsidR="00AC5F01" w:rsidRPr="00F8416E" w:rsidRDefault="00AC5F01" w:rsidP="00CF5331">
            <w:pPr>
              <w:pStyle w:val="TableBullet"/>
            </w:pPr>
            <w:r w:rsidRPr="00F8416E">
              <w:t>Premature death</w:t>
            </w:r>
          </w:p>
          <w:p w14:paraId="383E1C93" w14:textId="77777777" w:rsidR="00AC5F01" w:rsidRPr="00F8416E" w:rsidRDefault="00AC5F01" w:rsidP="00CF5331">
            <w:pPr>
              <w:pStyle w:val="TableBullet"/>
            </w:pPr>
            <w:r w:rsidRPr="00F8416E">
              <w:t>Loss of quality of life</w:t>
            </w:r>
          </w:p>
        </w:tc>
      </w:tr>
      <w:tr w:rsidR="00AC5F01" w:rsidRPr="00F8416E" w14:paraId="6F3A481A" w14:textId="77777777" w:rsidTr="0061158A">
        <w:trPr>
          <w:cantSplit/>
        </w:trPr>
        <w:tc>
          <w:tcPr>
            <w:tcW w:w="3261" w:type="dxa"/>
          </w:tcPr>
          <w:p w14:paraId="0C63EC04" w14:textId="77777777" w:rsidR="00AC5F01" w:rsidRPr="00F8416E" w:rsidRDefault="00AC5F01" w:rsidP="00CF5331">
            <w:pPr>
              <w:pStyle w:val="TableText"/>
            </w:pPr>
            <w:r w:rsidRPr="00F8416E">
              <w:t>Community harm</w:t>
            </w:r>
          </w:p>
        </w:tc>
        <w:tc>
          <w:tcPr>
            <w:tcW w:w="3827" w:type="dxa"/>
          </w:tcPr>
          <w:p w14:paraId="706216CA" w14:textId="77777777" w:rsidR="00AC5F01" w:rsidRPr="00F8416E" w:rsidRDefault="00AC5F01" w:rsidP="00CF5331">
            <w:pPr>
              <w:pStyle w:val="TableBullet"/>
            </w:pPr>
            <w:r w:rsidRPr="00F8416E">
              <w:t>Family and friends</w:t>
            </w:r>
          </w:p>
          <w:p w14:paraId="7E112C34" w14:textId="77777777" w:rsidR="00AC5F01" w:rsidRPr="00F8416E" w:rsidRDefault="00AC5F01" w:rsidP="00CF5331">
            <w:pPr>
              <w:pStyle w:val="TableBullet"/>
            </w:pPr>
            <w:r w:rsidRPr="00F8416E">
              <w:t>Acquisitive crime</w:t>
            </w:r>
          </w:p>
          <w:p w14:paraId="73D9CB96" w14:textId="77777777" w:rsidR="00AC5F01" w:rsidRPr="00F8416E" w:rsidRDefault="00AC5F01" w:rsidP="00CF5331">
            <w:pPr>
              <w:pStyle w:val="TableBullet"/>
            </w:pPr>
            <w:r w:rsidRPr="00F8416E">
              <w:t>Organised crime</w:t>
            </w:r>
          </w:p>
          <w:p w14:paraId="05642DB6" w14:textId="77777777" w:rsidR="00AC5F01" w:rsidRPr="00F8416E" w:rsidRDefault="00AC5F01" w:rsidP="00CF5331">
            <w:pPr>
              <w:pStyle w:val="TableBullet"/>
            </w:pPr>
            <w:r w:rsidRPr="00F8416E">
              <w:t>Reduced tax base</w:t>
            </w:r>
          </w:p>
        </w:tc>
      </w:tr>
      <w:tr w:rsidR="00AC5F01" w:rsidRPr="00F8416E" w14:paraId="54FE2C3B" w14:textId="77777777" w:rsidTr="0061158A">
        <w:trPr>
          <w:cantSplit/>
        </w:trPr>
        <w:tc>
          <w:tcPr>
            <w:tcW w:w="3261" w:type="dxa"/>
          </w:tcPr>
          <w:p w14:paraId="29ECF4FF" w14:textId="77777777" w:rsidR="00AC5F01" w:rsidRPr="00F8416E" w:rsidRDefault="00AC5F01" w:rsidP="00CF5331">
            <w:pPr>
              <w:pStyle w:val="TableText"/>
            </w:pPr>
            <w:r w:rsidRPr="00F8416E">
              <w:t>Intervention costs</w:t>
            </w:r>
          </w:p>
        </w:tc>
        <w:tc>
          <w:tcPr>
            <w:tcW w:w="3827" w:type="dxa"/>
          </w:tcPr>
          <w:p w14:paraId="027FB5AE" w14:textId="77777777" w:rsidR="00AC5F01" w:rsidRPr="00F8416E" w:rsidRDefault="00AC5F01" w:rsidP="00CF5331">
            <w:pPr>
              <w:pStyle w:val="TableBullet"/>
            </w:pPr>
            <w:r w:rsidRPr="00F8416E">
              <w:t>Health</w:t>
            </w:r>
          </w:p>
          <w:p w14:paraId="78697BEB" w14:textId="77777777" w:rsidR="00AC5F01" w:rsidRPr="00F8416E" w:rsidRDefault="00AC5F01" w:rsidP="00CF5331">
            <w:pPr>
              <w:pStyle w:val="TableBullet"/>
            </w:pPr>
            <w:r w:rsidRPr="00F8416E">
              <w:t>Police and Customs</w:t>
            </w:r>
          </w:p>
          <w:p w14:paraId="01C3F0EC" w14:textId="77777777" w:rsidR="00AC5F01" w:rsidRPr="00F8416E" w:rsidRDefault="00AC5F01" w:rsidP="00CF5331">
            <w:pPr>
              <w:pStyle w:val="TableBullet"/>
            </w:pPr>
            <w:r w:rsidRPr="00F8416E">
              <w:t>Courts and Corrections</w:t>
            </w:r>
          </w:p>
        </w:tc>
      </w:tr>
      <w:tr w:rsidR="00AC5F01" w:rsidRPr="00F8416E" w14:paraId="5193712D" w14:textId="77777777" w:rsidTr="0061158A">
        <w:trPr>
          <w:cantSplit/>
        </w:trPr>
        <w:tc>
          <w:tcPr>
            <w:tcW w:w="3261" w:type="dxa"/>
          </w:tcPr>
          <w:p w14:paraId="35F3AA81" w14:textId="77777777" w:rsidR="00AC5F01" w:rsidRPr="00F8416E" w:rsidRDefault="00AC5F01" w:rsidP="00CF5331">
            <w:pPr>
              <w:pStyle w:val="TableText"/>
            </w:pPr>
            <w:r w:rsidRPr="00F8416E">
              <w:t>Total social cost</w:t>
            </w:r>
          </w:p>
        </w:tc>
        <w:tc>
          <w:tcPr>
            <w:tcW w:w="3827" w:type="dxa"/>
          </w:tcPr>
          <w:p w14:paraId="5FE0E3E3" w14:textId="77777777" w:rsidR="00AC5F01" w:rsidRPr="00F8416E" w:rsidRDefault="00AC5F01" w:rsidP="00CF5331">
            <w:pPr>
              <w:pStyle w:val="TableBullet"/>
            </w:pPr>
            <w:r w:rsidRPr="00F8416E">
              <w:t>All components</w:t>
            </w:r>
          </w:p>
        </w:tc>
      </w:tr>
    </w:tbl>
    <w:p w14:paraId="2069B2E7" w14:textId="77777777" w:rsidR="00AC5F01" w:rsidRPr="00F8416E" w:rsidRDefault="00AC5F01" w:rsidP="00CF5331">
      <w:r w:rsidRPr="00F8416E">
        <w:t>Past research has tended to concentrate on total social cost, but the opportunity exists to refine these figures further. At this point it is possible to report at the category level. Details of the component level are available in the full report, although at this stage reporting at this level is not encouraged, mainly due to scarcity of data for some detailed attributes.</w:t>
      </w:r>
    </w:p>
    <w:p w14:paraId="1200FC72" w14:textId="77777777" w:rsidR="00AC5F01" w:rsidRPr="00F8416E" w:rsidRDefault="00AC5F01" w:rsidP="00CF5331">
      <w:pPr>
        <w:pStyle w:val="Heading2"/>
      </w:pPr>
      <w:bookmarkStart w:id="5" w:name="_Toc445219662"/>
      <w:proofErr w:type="gramStart"/>
      <w:r w:rsidRPr="00F8416E">
        <w:t>Step 2.</w:t>
      </w:r>
      <w:proofErr w:type="gramEnd"/>
      <w:r w:rsidRPr="00F8416E">
        <w:t xml:space="preserve"> Specifying the user group of interest</w:t>
      </w:r>
      <w:bookmarkEnd w:id="5"/>
    </w:p>
    <w:p w14:paraId="4AE1618D" w14:textId="77777777" w:rsidR="00AC5F01" w:rsidRPr="00F8416E" w:rsidRDefault="00AC5F01" w:rsidP="00CF5331">
      <w:r w:rsidRPr="00F8416E">
        <w:t>There are two user groups: dependent users and casual users. The full report has more detail. In general, these groups tend to be reported in aggregate, but these groups can be reported separately. This would certainly be of interest in any longitudinal analysis.</w:t>
      </w:r>
    </w:p>
    <w:p w14:paraId="43684AA5" w14:textId="77777777" w:rsidR="00AC5F01" w:rsidRPr="00F8416E" w:rsidRDefault="00AC5F01" w:rsidP="00CF5331">
      <w:pPr>
        <w:pStyle w:val="Heading2"/>
      </w:pPr>
      <w:bookmarkStart w:id="6" w:name="_Toc445219663"/>
      <w:proofErr w:type="gramStart"/>
      <w:r w:rsidRPr="00F8416E">
        <w:lastRenderedPageBreak/>
        <w:t>Step 3.</w:t>
      </w:r>
      <w:proofErr w:type="gramEnd"/>
      <w:r w:rsidRPr="00F8416E">
        <w:t xml:space="preserve"> Specifying drugs of interest</w:t>
      </w:r>
      <w:bookmarkEnd w:id="6"/>
    </w:p>
    <w:p w14:paraId="13046F6A" w14:textId="77777777" w:rsidR="00AC5F01" w:rsidRPr="00F8416E" w:rsidRDefault="00AC5F01" w:rsidP="00CF5331">
      <w:pPr>
        <w:keepNext/>
        <w:spacing w:after="120"/>
      </w:pPr>
      <w:r w:rsidRPr="00F8416E">
        <w:t>Drugs of interest covered four main groups as well as specific drug types. Again, the full report has details of the derivation of these classifications. The following table has details.</w:t>
      </w:r>
    </w:p>
    <w:tbl>
      <w:tblPr>
        <w:tblStyle w:val="TableGrid"/>
        <w:tblW w:w="0" w:type="auto"/>
        <w:tblInd w:w="28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284" w:type="dxa"/>
          <w:right w:w="284" w:type="dxa"/>
        </w:tblCellMar>
        <w:tblLook w:val="04A0" w:firstRow="1" w:lastRow="0" w:firstColumn="1" w:lastColumn="0" w:noHBand="0" w:noVBand="1"/>
      </w:tblPr>
      <w:tblGrid>
        <w:gridCol w:w="4508"/>
        <w:gridCol w:w="4564"/>
      </w:tblGrid>
      <w:tr w:rsidR="00AC5F01" w:rsidRPr="00CF5331" w14:paraId="0CC92746" w14:textId="77777777" w:rsidTr="00685D68">
        <w:trPr>
          <w:cantSplit/>
        </w:trPr>
        <w:tc>
          <w:tcPr>
            <w:tcW w:w="4508" w:type="dxa"/>
            <w:vAlign w:val="center"/>
          </w:tcPr>
          <w:p w14:paraId="2C32F653" w14:textId="77777777" w:rsidR="00AC5F01" w:rsidRPr="00CF5331" w:rsidRDefault="00AC5F01" w:rsidP="00CF5331">
            <w:pPr>
              <w:pStyle w:val="TableText"/>
              <w:keepNext/>
              <w:rPr>
                <w:b/>
              </w:rPr>
            </w:pPr>
            <w:r w:rsidRPr="00CF5331">
              <w:rPr>
                <w:b/>
              </w:rPr>
              <w:t>Illicit drug group*</w:t>
            </w:r>
          </w:p>
        </w:tc>
        <w:tc>
          <w:tcPr>
            <w:tcW w:w="4564" w:type="dxa"/>
            <w:vAlign w:val="center"/>
          </w:tcPr>
          <w:p w14:paraId="3A208633" w14:textId="77777777" w:rsidR="00AC5F01" w:rsidRPr="00CF5331" w:rsidRDefault="00AC5F01" w:rsidP="00CF5331">
            <w:pPr>
              <w:pStyle w:val="TableText"/>
              <w:keepNext/>
              <w:rPr>
                <w:b/>
              </w:rPr>
            </w:pPr>
            <w:r w:rsidRPr="00CF5331">
              <w:rPr>
                <w:b/>
              </w:rPr>
              <w:t>Illicit drug type*</w:t>
            </w:r>
          </w:p>
        </w:tc>
      </w:tr>
      <w:tr w:rsidR="00AC5F01" w:rsidRPr="00F8416E" w14:paraId="47F7E458" w14:textId="77777777" w:rsidTr="00685D68">
        <w:trPr>
          <w:cantSplit/>
        </w:trPr>
        <w:tc>
          <w:tcPr>
            <w:tcW w:w="4508" w:type="dxa"/>
          </w:tcPr>
          <w:p w14:paraId="1BF46C9E" w14:textId="77777777" w:rsidR="00AC5F01" w:rsidRPr="00F8416E" w:rsidRDefault="00AC5F01" w:rsidP="00CF5331">
            <w:pPr>
              <w:pStyle w:val="TableText"/>
            </w:pPr>
            <w:r w:rsidRPr="00F8416E">
              <w:t>Amphetamine-type stimulants</w:t>
            </w:r>
          </w:p>
        </w:tc>
        <w:tc>
          <w:tcPr>
            <w:tcW w:w="4564" w:type="dxa"/>
          </w:tcPr>
          <w:p w14:paraId="0AF7A81E" w14:textId="77777777" w:rsidR="00AC5F01" w:rsidRPr="00F8416E" w:rsidRDefault="00AC5F01" w:rsidP="00CF5331">
            <w:pPr>
              <w:pStyle w:val="TableBullet"/>
            </w:pPr>
            <w:r w:rsidRPr="00F8416E">
              <w:t>Amphetamine</w:t>
            </w:r>
          </w:p>
          <w:p w14:paraId="59F93BA6" w14:textId="77777777" w:rsidR="00AC5F01" w:rsidRPr="00F8416E" w:rsidRDefault="00AC5F01" w:rsidP="00CF5331">
            <w:pPr>
              <w:pStyle w:val="TableBullet"/>
            </w:pPr>
            <w:r w:rsidRPr="00F8416E">
              <w:t>Methamphetamine</w:t>
            </w:r>
          </w:p>
          <w:p w14:paraId="49722459" w14:textId="77777777" w:rsidR="00AC5F01" w:rsidRPr="00F8416E" w:rsidRDefault="00AC5F01" w:rsidP="00CF5331">
            <w:pPr>
              <w:pStyle w:val="TableBullet"/>
            </w:pPr>
            <w:r w:rsidRPr="00F8416E">
              <w:t>Dexamphetamine</w:t>
            </w:r>
          </w:p>
          <w:p w14:paraId="3AE94A64" w14:textId="77777777" w:rsidR="00AC5F01" w:rsidRPr="00F8416E" w:rsidRDefault="00AC5F01" w:rsidP="00CF5331">
            <w:pPr>
              <w:pStyle w:val="TableBullet"/>
            </w:pPr>
            <w:r w:rsidRPr="00F8416E">
              <w:t>Pharma-stimulants</w:t>
            </w:r>
          </w:p>
          <w:p w14:paraId="22D7B2ED" w14:textId="77777777" w:rsidR="00AC5F01" w:rsidRPr="00F8416E" w:rsidRDefault="00AC5F01" w:rsidP="00CF5331">
            <w:pPr>
              <w:pStyle w:val="TableBullet"/>
            </w:pPr>
            <w:r w:rsidRPr="00F8416E">
              <w:t>Cocaine</w:t>
            </w:r>
          </w:p>
        </w:tc>
      </w:tr>
      <w:tr w:rsidR="00AC5F01" w:rsidRPr="00F8416E" w14:paraId="5694BD70" w14:textId="77777777" w:rsidTr="00685D68">
        <w:trPr>
          <w:cantSplit/>
        </w:trPr>
        <w:tc>
          <w:tcPr>
            <w:tcW w:w="4508" w:type="dxa"/>
          </w:tcPr>
          <w:p w14:paraId="0BFFF14B" w14:textId="77777777" w:rsidR="00AC5F01" w:rsidRPr="00F8416E" w:rsidRDefault="00AC5F01" w:rsidP="00CF5331">
            <w:pPr>
              <w:pStyle w:val="TableText"/>
            </w:pPr>
            <w:r w:rsidRPr="00F8416E">
              <w:t>Cannabinoids</w:t>
            </w:r>
          </w:p>
        </w:tc>
        <w:tc>
          <w:tcPr>
            <w:tcW w:w="4564" w:type="dxa"/>
          </w:tcPr>
          <w:p w14:paraId="74D87E3E" w14:textId="77777777" w:rsidR="00AC5F01" w:rsidRPr="00F8416E" w:rsidRDefault="00AC5F01" w:rsidP="00CF5331">
            <w:pPr>
              <w:pStyle w:val="TableBullet"/>
            </w:pPr>
            <w:r w:rsidRPr="00F8416E">
              <w:t>Cannabis</w:t>
            </w:r>
          </w:p>
          <w:p w14:paraId="307012FA" w14:textId="77777777" w:rsidR="00AC5F01" w:rsidRPr="00F8416E" w:rsidRDefault="00AC5F01" w:rsidP="00CF5331">
            <w:pPr>
              <w:pStyle w:val="TableBullet"/>
            </w:pPr>
            <w:r w:rsidRPr="00F8416E">
              <w:t>Synthetic cannabis</w:t>
            </w:r>
          </w:p>
        </w:tc>
      </w:tr>
      <w:tr w:rsidR="00AC5F01" w:rsidRPr="00F8416E" w14:paraId="11D29207" w14:textId="77777777" w:rsidTr="00685D68">
        <w:trPr>
          <w:cantSplit/>
        </w:trPr>
        <w:tc>
          <w:tcPr>
            <w:tcW w:w="4508" w:type="dxa"/>
          </w:tcPr>
          <w:p w14:paraId="23344981" w14:textId="4C2F4853" w:rsidR="00AC5F01" w:rsidRPr="00F8416E" w:rsidRDefault="00AC5F01" w:rsidP="00CF5331">
            <w:pPr>
              <w:pStyle w:val="TableText"/>
            </w:pPr>
            <w:r w:rsidRPr="00F8416E">
              <w:t xml:space="preserve">Hallucinogenic </w:t>
            </w:r>
            <w:r w:rsidR="00CF5331">
              <w:t>and</w:t>
            </w:r>
            <w:r w:rsidRPr="00F8416E">
              <w:t xml:space="preserve"> psychedelic drugs</w:t>
            </w:r>
          </w:p>
        </w:tc>
        <w:tc>
          <w:tcPr>
            <w:tcW w:w="4564" w:type="dxa"/>
          </w:tcPr>
          <w:p w14:paraId="27F4AF35" w14:textId="77777777" w:rsidR="00AC5F01" w:rsidRPr="00F8416E" w:rsidRDefault="00AC5F01" w:rsidP="00CF5331">
            <w:pPr>
              <w:pStyle w:val="TableBullet"/>
            </w:pPr>
            <w:r w:rsidRPr="00F8416E">
              <w:t>LSD</w:t>
            </w:r>
          </w:p>
          <w:p w14:paraId="70F259D2" w14:textId="77777777" w:rsidR="00AC5F01" w:rsidRPr="00F8416E" w:rsidRDefault="00AC5F01" w:rsidP="00CF5331">
            <w:pPr>
              <w:pStyle w:val="TableBullet"/>
            </w:pPr>
            <w:r w:rsidRPr="00F8416E">
              <w:t>Ecstasy</w:t>
            </w:r>
          </w:p>
          <w:p w14:paraId="1C6CB7C4" w14:textId="77777777" w:rsidR="00AC5F01" w:rsidRPr="00F8416E" w:rsidRDefault="00AC5F01" w:rsidP="00CF5331">
            <w:pPr>
              <w:pStyle w:val="TableBullet"/>
            </w:pPr>
            <w:r w:rsidRPr="00F8416E">
              <w:t>Ketamine</w:t>
            </w:r>
          </w:p>
        </w:tc>
      </w:tr>
      <w:tr w:rsidR="00AC5F01" w:rsidRPr="00F8416E" w14:paraId="2299C733" w14:textId="77777777" w:rsidTr="00685D68">
        <w:trPr>
          <w:cantSplit/>
        </w:trPr>
        <w:tc>
          <w:tcPr>
            <w:tcW w:w="4508" w:type="dxa"/>
          </w:tcPr>
          <w:p w14:paraId="5638D661" w14:textId="4CF67A3C" w:rsidR="00AC5F01" w:rsidRPr="00F8416E" w:rsidRDefault="00AC5F01" w:rsidP="00CF5331">
            <w:pPr>
              <w:pStyle w:val="TableText"/>
            </w:pPr>
            <w:r w:rsidRPr="00F8416E">
              <w:t xml:space="preserve">Opioid </w:t>
            </w:r>
            <w:r>
              <w:t>and</w:t>
            </w:r>
            <w:r w:rsidRPr="00F8416E">
              <w:t xml:space="preserve"> sedative drugs</w:t>
            </w:r>
          </w:p>
        </w:tc>
        <w:tc>
          <w:tcPr>
            <w:tcW w:w="4564" w:type="dxa"/>
          </w:tcPr>
          <w:p w14:paraId="5D853E26" w14:textId="77777777" w:rsidR="00AC5F01" w:rsidRPr="00F8416E" w:rsidRDefault="00AC5F01" w:rsidP="00CF5331">
            <w:pPr>
              <w:pStyle w:val="TableBullet"/>
            </w:pPr>
            <w:r w:rsidRPr="00F8416E">
              <w:t>Pharma-opioids</w:t>
            </w:r>
          </w:p>
          <w:p w14:paraId="5BAE1BC2" w14:textId="77777777" w:rsidR="00AC5F01" w:rsidRPr="00F8416E" w:rsidRDefault="00AC5F01" w:rsidP="00CF5331">
            <w:pPr>
              <w:pStyle w:val="TableBullet"/>
            </w:pPr>
            <w:r w:rsidRPr="00F8416E">
              <w:t>Heroin/</w:t>
            </w:r>
            <w:proofErr w:type="spellStart"/>
            <w:r w:rsidRPr="00F8416E">
              <w:t>homebake</w:t>
            </w:r>
            <w:proofErr w:type="spellEnd"/>
          </w:p>
          <w:p w14:paraId="416BC728" w14:textId="77777777" w:rsidR="00AC5F01" w:rsidRPr="00F8416E" w:rsidRDefault="00AC5F01" w:rsidP="00CF5331">
            <w:pPr>
              <w:pStyle w:val="TableBullet"/>
            </w:pPr>
            <w:r w:rsidRPr="00F8416E">
              <w:t>Pharma-sedatives</w:t>
            </w:r>
          </w:p>
          <w:p w14:paraId="5EC40FAA" w14:textId="77777777" w:rsidR="00AC5F01" w:rsidRPr="00F8416E" w:rsidRDefault="00AC5F01" w:rsidP="00CF5331">
            <w:pPr>
              <w:pStyle w:val="TableBullet"/>
            </w:pPr>
            <w:r w:rsidRPr="00F8416E">
              <w:t>GHB</w:t>
            </w:r>
          </w:p>
        </w:tc>
      </w:tr>
      <w:tr w:rsidR="00AC5F01" w:rsidRPr="00F8416E" w14:paraId="1CD32637" w14:textId="77777777" w:rsidTr="00685D68">
        <w:trPr>
          <w:cantSplit/>
        </w:trPr>
        <w:tc>
          <w:tcPr>
            <w:tcW w:w="4508" w:type="dxa"/>
            <w:vAlign w:val="center"/>
          </w:tcPr>
          <w:p w14:paraId="007BAC39" w14:textId="77777777" w:rsidR="00AC5F01" w:rsidRPr="00F8416E" w:rsidRDefault="00AC5F01" w:rsidP="00CF5331">
            <w:pPr>
              <w:pStyle w:val="TableText"/>
            </w:pPr>
            <w:r w:rsidRPr="00F8416E">
              <w:t>All groups</w:t>
            </w:r>
          </w:p>
        </w:tc>
        <w:tc>
          <w:tcPr>
            <w:tcW w:w="4564" w:type="dxa"/>
            <w:vAlign w:val="center"/>
          </w:tcPr>
          <w:p w14:paraId="238ABF21" w14:textId="77777777" w:rsidR="00AC5F01" w:rsidRPr="00F8416E" w:rsidRDefault="00AC5F01" w:rsidP="00CF5331">
            <w:pPr>
              <w:pStyle w:val="TableBullet"/>
            </w:pPr>
            <w:r w:rsidRPr="00F8416E">
              <w:t>All types</w:t>
            </w:r>
          </w:p>
        </w:tc>
      </w:tr>
    </w:tbl>
    <w:p w14:paraId="6B6DC70F" w14:textId="77777777" w:rsidR="00AC5F01" w:rsidRPr="00F8416E" w:rsidRDefault="00AC5F01" w:rsidP="00AC5F01">
      <w:pPr>
        <w:pStyle w:val="Note"/>
      </w:pPr>
      <w:r w:rsidRPr="00F8416E">
        <w:t>*</w:t>
      </w:r>
      <w:r w:rsidRPr="00F8416E">
        <w:tab/>
        <w:t>Researchers should note that the choice of level of analysis (i.e. group or type) will have an impact on the measures availab</w:t>
      </w:r>
      <w:r>
        <w:t>le for analysis (refer Step 4).</w:t>
      </w:r>
    </w:p>
    <w:p w14:paraId="6D7A800C" w14:textId="77777777" w:rsidR="00AC5F01" w:rsidRPr="00F8416E" w:rsidRDefault="00AC5F01" w:rsidP="00CF5331">
      <w:r w:rsidRPr="00F8416E">
        <w:t>In general, estimates at the group level are more robust than those at the type level, primarily because they involve larger data sets. Of course, combining different drug types into a single drug group will involve loss of detail.</w:t>
      </w:r>
    </w:p>
    <w:p w14:paraId="0F8F3CAE" w14:textId="74CC64B0" w:rsidR="00AC5F01" w:rsidRPr="00F8416E" w:rsidRDefault="00AC5F01" w:rsidP="00CF5331">
      <w:pPr>
        <w:pStyle w:val="Heading2"/>
      </w:pPr>
      <w:bookmarkStart w:id="7" w:name="_Toc445219664"/>
      <w:proofErr w:type="gramStart"/>
      <w:r w:rsidRPr="00F8416E">
        <w:t xml:space="preserve">Step </w:t>
      </w:r>
      <w:r>
        <w:t>4</w:t>
      </w:r>
      <w:r w:rsidRPr="00F8416E">
        <w:t>.</w:t>
      </w:r>
      <w:proofErr w:type="gramEnd"/>
      <w:r w:rsidRPr="00F8416E">
        <w:t xml:space="preserve"> Specifying measures of social cost</w:t>
      </w:r>
      <w:bookmarkEnd w:id="7"/>
    </w:p>
    <w:p w14:paraId="05179D7B" w14:textId="2848EB8E" w:rsidR="00AC5F01" w:rsidRPr="00F8416E" w:rsidRDefault="00AC5F01" w:rsidP="00CF5331">
      <w:r w:rsidRPr="00F8416E">
        <w:t xml:space="preserve">The DHI includes two basic measures of social cost. The first, a consumption-based estimate, estimates the harm incurred over one year associated with the consumption a kilogram of a drug group. This measure is only available at the drug group level at this point due to the </w:t>
      </w:r>
      <w:proofErr w:type="spellStart"/>
      <w:r w:rsidRPr="00F8416E">
        <w:t>sparsity</w:t>
      </w:r>
      <w:proofErr w:type="spellEnd"/>
      <w:r w:rsidRPr="00F8416E">
        <w:t xml:space="preserve"> of consumption data for some drug types. Estimates of the social costs associated with being a dependent or a casual user are available at the drug-group and drug-type level. These costs are equivalent to those incurred during one year of dependent or casual use. Please heed the cautionary note in Step </w:t>
      </w:r>
      <w:r>
        <w:t>5</w:t>
      </w:r>
      <w:r w:rsidRPr="00F8416E">
        <w:t xml:space="preserve"> in relati</w:t>
      </w:r>
      <w:r w:rsidRPr="00F8416E">
        <w:t>on drug-type estimates.</w:t>
      </w:r>
    </w:p>
    <w:p w14:paraId="760128FC" w14:textId="77777777" w:rsidR="00AC5F01" w:rsidRPr="00F8416E" w:rsidRDefault="00AC5F01" w:rsidP="00CF5331">
      <w:r w:rsidRPr="00F8416E">
        <w:t>Details of cost estimates by the categories outlined in the previous steps are provided in the tables on the following pages.</w:t>
      </w:r>
    </w:p>
    <w:p w14:paraId="258E3952" w14:textId="108178B6" w:rsidR="00AC5F01" w:rsidRPr="00F8416E" w:rsidRDefault="00AC5F01" w:rsidP="00CF5331">
      <w:pPr>
        <w:pStyle w:val="Heading2"/>
      </w:pPr>
      <w:bookmarkStart w:id="8" w:name="_Toc445219665"/>
      <w:proofErr w:type="gramStart"/>
      <w:r w:rsidRPr="00F8416E">
        <w:lastRenderedPageBreak/>
        <w:t xml:space="preserve">Step </w:t>
      </w:r>
      <w:r>
        <w:t>5</w:t>
      </w:r>
      <w:r w:rsidRPr="00F8416E">
        <w:t>.</w:t>
      </w:r>
      <w:proofErr w:type="gramEnd"/>
      <w:r w:rsidRPr="00F8416E">
        <w:t xml:space="preserve"> Identifying the relevant cost estimate</w:t>
      </w:r>
      <w:bookmarkEnd w:id="8"/>
    </w:p>
    <w:p w14:paraId="5C39B64F" w14:textId="77777777" w:rsidR="00AC5F01" w:rsidRDefault="00AC5F01" w:rsidP="00CF5331">
      <w:r w:rsidRPr="00F8416E">
        <w:t>At this point, the researcher should be able to identify the cost estimates relevant to their requirements and calculate estimated costs based on their data. Estimates for specific drug types are provided below. Kilogram estimates are based on the pure component except in the case of cannabinoids where the dry leaf equivalent applies. It should be noted that these are preliminary estimates based on an initial survey of an expert panel and should be treated with caution at this stage.</w:t>
      </w:r>
    </w:p>
    <w:p w14:paraId="2D13E565" w14:textId="77777777" w:rsidR="00AC5F01" w:rsidRPr="00F8416E" w:rsidRDefault="00AC5F01" w:rsidP="00CF5331">
      <w:pPr>
        <w:pStyle w:val="Heading3"/>
      </w:pPr>
      <w:r w:rsidRPr="00F8416E">
        <w:t>Drug-group estimates of social cost per kilogram, dependent user and casual user</w:t>
      </w:r>
    </w:p>
    <w:tbl>
      <w:tblPr>
        <w:tblStyle w:val="TableGrid"/>
        <w:tblW w:w="9072" w:type="dxa"/>
        <w:tblInd w:w="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85" w:type="dxa"/>
          <w:right w:w="85" w:type="dxa"/>
        </w:tblCellMar>
        <w:tblLook w:val="04A0" w:firstRow="1" w:lastRow="0" w:firstColumn="1" w:lastColumn="0" w:noHBand="0" w:noVBand="1"/>
      </w:tblPr>
      <w:tblGrid>
        <w:gridCol w:w="1843"/>
        <w:gridCol w:w="1169"/>
        <w:gridCol w:w="1170"/>
        <w:gridCol w:w="1169"/>
        <w:gridCol w:w="1170"/>
        <w:gridCol w:w="1417"/>
        <w:gridCol w:w="1134"/>
      </w:tblGrid>
      <w:tr w:rsidR="001C4696" w:rsidRPr="00C732C9" w14:paraId="1938675E" w14:textId="77777777" w:rsidTr="00685D68">
        <w:trPr>
          <w:cantSplit/>
        </w:trPr>
        <w:tc>
          <w:tcPr>
            <w:tcW w:w="1843" w:type="dxa"/>
          </w:tcPr>
          <w:p w14:paraId="6F540E5C" w14:textId="77777777" w:rsidR="00AC5F01" w:rsidRPr="001C4696" w:rsidRDefault="00AC5F01" w:rsidP="0061158A">
            <w:pPr>
              <w:pStyle w:val="TableText"/>
              <w:rPr>
                <w:b/>
                <w:sz w:val="20"/>
                <w:lang w:eastAsia="en-AU"/>
              </w:rPr>
            </w:pPr>
            <w:r w:rsidRPr="001C4696">
              <w:rPr>
                <w:b/>
                <w:sz w:val="20"/>
                <w:lang w:eastAsia="en-AU"/>
              </w:rPr>
              <w:t>Drug group</w:t>
            </w:r>
          </w:p>
        </w:tc>
        <w:tc>
          <w:tcPr>
            <w:tcW w:w="1169" w:type="dxa"/>
          </w:tcPr>
          <w:p w14:paraId="06B7C1E2" w14:textId="77777777" w:rsidR="00AC5F01" w:rsidRPr="001C4696" w:rsidRDefault="00AC5F01" w:rsidP="001C4696">
            <w:pPr>
              <w:pStyle w:val="TableText"/>
              <w:jc w:val="center"/>
              <w:rPr>
                <w:b/>
                <w:sz w:val="20"/>
                <w:lang w:eastAsia="en-AU"/>
              </w:rPr>
            </w:pPr>
            <w:r w:rsidRPr="001C4696">
              <w:rPr>
                <w:b/>
                <w:sz w:val="20"/>
                <w:lang w:eastAsia="en-AU"/>
              </w:rPr>
              <w:t>Personal harm</w:t>
            </w:r>
            <w:r w:rsidR="001C4696">
              <w:rPr>
                <w:b/>
                <w:sz w:val="20"/>
                <w:lang w:eastAsia="en-AU"/>
              </w:rPr>
              <w:br/>
            </w:r>
            <w:r w:rsidRPr="001C4696">
              <w:rPr>
                <w:b/>
                <w:sz w:val="20"/>
                <w:lang w:eastAsia="en-AU"/>
              </w:rPr>
              <w:t>per kg</w:t>
            </w:r>
            <w:r w:rsidR="004731CF">
              <w:rPr>
                <w:b/>
                <w:sz w:val="20"/>
                <w:lang w:eastAsia="en-AU"/>
              </w:rPr>
              <w:t xml:space="preserve"> ($)</w:t>
            </w:r>
          </w:p>
        </w:tc>
        <w:tc>
          <w:tcPr>
            <w:tcW w:w="1170" w:type="dxa"/>
          </w:tcPr>
          <w:p w14:paraId="5295A24A" w14:textId="77777777" w:rsidR="00AC5F01" w:rsidRPr="001C4696" w:rsidRDefault="00AC5F01" w:rsidP="001C4696">
            <w:pPr>
              <w:pStyle w:val="TableText"/>
              <w:jc w:val="center"/>
              <w:rPr>
                <w:b/>
                <w:sz w:val="20"/>
                <w:lang w:eastAsia="en-AU"/>
              </w:rPr>
            </w:pPr>
            <w:r w:rsidRPr="001C4696">
              <w:rPr>
                <w:b/>
                <w:sz w:val="20"/>
                <w:lang w:eastAsia="en-AU"/>
              </w:rPr>
              <w:t>Community harm</w:t>
            </w:r>
            <w:r w:rsidR="001C4696">
              <w:rPr>
                <w:b/>
                <w:sz w:val="20"/>
                <w:lang w:eastAsia="en-AU"/>
              </w:rPr>
              <w:br/>
            </w:r>
            <w:r w:rsidRPr="001C4696">
              <w:rPr>
                <w:b/>
                <w:sz w:val="20"/>
                <w:lang w:eastAsia="en-AU"/>
              </w:rPr>
              <w:t>per kg</w:t>
            </w:r>
            <w:r w:rsidR="004731CF">
              <w:rPr>
                <w:b/>
                <w:sz w:val="20"/>
                <w:lang w:eastAsia="en-AU"/>
              </w:rPr>
              <w:t xml:space="preserve"> ($)</w:t>
            </w:r>
          </w:p>
        </w:tc>
        <w:tc>
          <w:tcPr>
            <w:tcW w:w="1169" w:type="dxa"/>
          </w:tcPr>
          <w:p w14:paraId="517FCAA5" w14:textId="77777777" w:rsidR="00AC5F01" w:rsidRPr="001C4696" w:rsidRDefault="00AC5F01" w:rsidP="002E4398">
            <w:pPr>
              <w:pStyle w:val="TableText"/>
              <w:ind w:left="-57" w:right="-57"/>
              <w:jc w:val="center"/>
              <w:rPr>
                <w:b/>
                <w:sz w:val="20"/>
                <w:lang w:eastAsia="en-AU"/>
              </w:rPr>
            </w:pPr>
            <w:r w:rsidRPr="002E4398">
              <w:rPr>
                <w:b/>
                <w:spacing w:val="-2"/>
                <w:sz w:val="20"/>
                <w:lang w:eastAsia="en-AU"/>
              </w:rPr>
              <w:t>Intervention</w:t>
            </w:r>
            <w:r w:rsidRPr="001C4696">
              <w:rPr>
                <w:b/>
                <w:sz w:val="20"/>
                <w:lang w:eastAsia="en-AU"/>
              </w:rPr>
              <w:t xml:space="preserve"> costs</w:t>
            </w:r>
            <w:r w:rsidR="001C4696">
              <w:rPr>
                <w:b/>
                <w:sz w:val="20"/>
                <w:lang w:eastAsia="en-AU"/>
              </w:rPr>
              <w:br/>
            </w:r>
            <w:r w:rsidRPr="001C4696">
              <w:rPr>
                <w:b/>
                <w:sz w:val="20"/>
                <w:lang w:eastAsia="en-AU"/>
              </w:rPr>
              <w:t>per kg</w:t>
            </w:r>
            <w:r w:rsidR="004731CF">
              <w:rPr>
                <w:b/>
                <w:sz w:val="20"/>
                <w:lang w:eastAsia="en-AU"/>
              </w:rPr>
              <w:t xml:space="preserve"> ($)</w:t>
            </w:r>
          </w:p>
        </w:tc>
        <w:tc>
          <w:tcPr>
            <w:tcW w:w="1170" w:type="dxa"/>
          </w:tcPr>
          <w:p w14:paraId="2E8E0D02" w14:textId="77777777" w:rsidR="00AC5F01" w:rsidRPr="001C4696" w:rsidRDefault="00AC5F01" w:rsidP="00685D68">
            <w:pPr>
              <w:pStyle w:val="TableText"/>
              <w:jc w:val="center"/>
              <w:rPr>
                <w:b/>
                <w:sz w:val="20"/>
                <w:lang w:eastAsia="en-AU"/>
              </w:rPr>
            </w:pPr>
            <w:r w:rsidRPr="001C4696">
              <w:rPr>
                <w:b/>
                <w:sz w:val="20"/>
                <w:lang w:eastAsia="en-AU"/>
              </w:rPr>
              <w:t>Social</w:t>
            </w:r>
            <w:r w:rsidR="00685D68">
              <w:rPr>
                <w:b/>
                <w:sz w:val="20"/>
                <w:lang w:eastAsia="en-AU"/>
              </w:rPr>
              <w:br/>
            </w:r>
            <w:r w:rsidRPr="001C4696">
              <w:rPr>
                <w:b/>
                <w:sz w:val="20"/>
                <w:lang w:eastAsia="en-AU"/>
              </w:rPr>
              <w:t>cost</w:t>
            </w:r>
            <w:r w:rsidR="001C4696">
              <w:rPr>
                <w:b/>
                <w:sz w:val="20"/>
                <w:lang w:eastAsia="en-AU"/>
              </w:rPr>
              <w:br/>
            </w:r>
            <w:r w:rsidRPr="001C4696">
              <w:rPr>
                <w:b/>
                <w:sz w:val="20"/>
                <w:lang w:eastAsia="en-AU"/>
              </w:rPr>
              <w:t>per kg</w:t>
            </w:r>
            <w:r w:rsidR="004731CF">
              <w:rPr>
                <w:b/>
                <w:sz w:val="20"/>
                <w:lang w:eastAsia="en-AU"/>
              </w:rPr>
              <w:t xml:space="preserve"> ($)</w:t>
            </w:r>
          </w:p>
        </w:tc>
        <w:tc>
          <w:tcPr>
            <w:tcW w:w="1417" w:type="dxa"/>
          </w:tcPr>
          <w:p w14:paraId="1A95E33D" w14:textId="77777777" w:rsidR="00AC5F01" w:rsidRPr="001C4696" w:rsidRDefault="00AC5F01" w:rsidP="001C4696">
            <w:pPr>
              <w:pStyle w:val="TableText"/>
              <w:jc w:val="center"/>
              <w:rPr>
                <w:b/>
                <w:sz w:val="20"/>
                <w:lang w:eastAsia="en-AU"/>
              </w:rPr>
            </w:pPr>
            <w:r w:rsidRPr="001C4696">
              <w:rPr>
                <w:b/>
                <w:sz w:val="20"/>
                <w:lang w:eastAsia="en-AU"/>
              </w:rPr>
              <w:t>Social cost per dependent user</w:t>
            </w:r>
            <w:r w:rsidR="004731CF">
              <w:rPr>
                <w:b/>
                <w:sz w:val="20"/>
                <w:lang w:eastAsia="en-AU"/>
              </w:rPr>
              <w:t xml:space="preserve"> ($)</w:t>
            </w:r>
          </w:p>
        </w:tc>
        <w:tc>
          <w:tcPr>
            <w:tcW w:w="1134" w:type="dxa"/>
          </w:tcPr>
          <w:p w14:paraId="033B6904" w14:textId="77777777" w:rsidR="00AC5F01" w:rsidRPr="001C4696" w:rsidRDefault="00AC5F01" w:rsidP="001C4696">
            <w:pPr>
              <w:pStyle w:val="TableText"/>
              <w:jc w:val="center"/>
              <w:rPr>
                <w:b/>
                <w:sz w:val="20"/>
                <w:lang w:eastAsia="en-AU"/>
              </w:rPr>
            </w:pPr>
            <w:r w:rsidRPr="001C4696">
              <w:rPr>
                <w:b/>
                <w:sz w:val="20"/>
                <w:lang w:eastAsia="en-AU"/>
              </w:rPr>
              <w:t>Social cost per casual user</w:t>
            </w:r>
            <w:r w:rsidR="004731CF">
              <w:rPr>
                <w:b/>
                <w:sz w:val="20"/>
                <w:lang w:eastAsia="en-AU"/>
              </w:rPr>
              <w:t xml:space="preserve"> ($)</w:t>
            </w:r>
          </w:p>
        </w:tc>
      </w:tr>
      <w:tr w:rsidR="001C4696" w:rsidRPr="00F8416E" w14:paraId="07211909" w14:textId="77777777" w:rsidTr="00685D68">
        <w:trPr>
          <w:cantSplit/>
        </w:trPr>
        <w:tc>
          <w:tcPr>
            <w:tcW w:w="1843" w:type="dxa"/>
          </w:tcPr>
          <w:p w14:paraId="23E23B5F" w14:textId="77777777" w:rsidR="00AC5F01" w:rsidRPr="001C4696" w:rsidRDefault="00AC5F01" w:rsidP="0061158A">
            <w:pPr>
              <w:pStyle w:val="TableText"/>
              <w:rPr>
                <w:sz w:val="20"/>
                <w:lang w:eastAsia="en-AU"/>
              </w:rPr>
            </w:pPr>
            <w:r w:rsidRPr="001C4696">
              <w:rPr>
                <w:sz w:val="20"/>
              </w:rPr>
              <w:t>Amphetamine-type stimulants</w:t>
            </w:r>
          </w:p>
        </w:tc>
        <w:tc>
          <w:tcPr>
            <w:tcW w:w="1169" w:type="dxa"/>
          </w:tcPr>
          <w:p w14:paraId="390C7B29" w14:textId="77777777" w:rsidR="00AC5F01" w:rsidRPr="001C4696" w:rsidRDefault="00AC5F01" w:rsidP="00685D68">
            <w:pPr>
              <w:pStyle w:val="TableText"/>
              <w:tabs>
                <w:tab w:val="decimal" w:pos="766"/>
              </w:tabs>
              <w:rPr>
                <w:sz w:val="20"/>
                <w:lang w:eastAsia="en-AU"/>
              </w:rPr>
            </w:pPr>
            <w:r w:rsidRPr="001C4696">
              <w:rPr>
                <w:sz w:val="20"/>
                <w:lang w:eastAsia="en-AU"/>
              </w:rPr>
              <w:t>872,000</w:t>
            </w:r>
          </w:p>
        </w:tc>
        <w:tc>
          <w:tcPr>
            <w:tcW w:w="1170" w:type="dxa"/>
          </w:tcPr>
          <w:p w14:paraId="2EDDB0F5" w14:textId="77777777" w:rsidR="00AC5F01" w:rsidRPr="001C4696" w:rsidRDefault="00AC5F01" w:rsidP="00685D68">
            <w:pPr>
              <w:pStyle w:val="TableText"/>
              <w:tabs>
                <w:tab w:val="decimal" w:pos="766"/>
              </w:tabs>
              <w:rPr>
                <w:sz w:val="20"/>
                <w:lang w:eastAsia="en-AU"/>
              </w:rPr>
            </w:pPr>
            <w:r w:rsidRPr="001C4696">
              <w:rPr>
                <w:sz w:val="20"/>
                <w:lang w:eastAsia="en-AU"/>
              </w:rPr>
              <w:t>311,000</w:t>
            </w:r>
          </w:p>
        </w:tc>
        <w:tc>
          <w:tcPr>
            <w:tcW w:w="1169" w:type="dxa"/>
          </w:tcPr>
          <w:p w14:paraId="09DA7169" w14:textId="77777777" w:rsidR="00AC5F01" w:rsidRPr="001C4696" w:rsidRDefault="00AC5F01" w:rsidP="00685D68">
            <w:pPr>
              <w:pStyle w:val="TableText"/>
              <w:tabs>
                <w:tab w:val="decimal" w:pos="766"/>
              </w:tabs>
              <w:rPr>
                <w:sz w:val="20"/>
                <w:lang w:eastAsia="en-AU"/>
              </w:rPr>
            </w:pPr>
            <w:r w:rsidRPr="001C4696">
              <w:rPr>
                <w:sz w:val="20"/>
                <w:lang w:eastAsia="en-AU"/>
              </w:rPr>
              <w:t>56,000</w:t>
            </w:r>
          </w:p>
        </w:tc>
        <w:tc>
          <w:tcPr>
            <w:tcW w:w="1170" w:type="dxa"/>
          </w:tcPr>
          <w:p w14:paraId="1C3D8AC9" w14:textId="77777777" w:rsidR="00AC5F01" w:rsidRPr="001C4696" w:rsidRDefault="00AC5F01" w:rsidP="00685D68">
            <w:pPr>
              <w:pStyle w:val="TableText"/>
              <w:tabs>
                <w:tab w:val="decimal" w:pos="879"/>
              </w:tabs>
              <w:rPr>
                <w:sz w:val="20"/>
                <w:lang w:eastAsia="en-AU"/>
              </w:rPr>
            </w:pPr>
            <w:r w:rsidRPr="001C4696">
              <w:rPr>
                <w:sz w:val="20"/>
                <w:lang w:eastAsia="en-AU"/>
              </w:rPr>
              <w:t>1,239,000</w:t>
            </w:r>
          </w:p>
        </w:tc>
        <w:tc>
          <w:tcPr>
            <w:tcW w:w="1417" w:type="dxa"/>
          </w:tcPr>
          <w:p w14:paraId="0001F8FF" w14:textId="77777777" w:rsidR="00AC5F01" w:rsidRPr="001C4696" w:rsidRDefault="00AC5F01" w:rsidP="00685D68">
            <w:pPr>
              <w:pStyle w:val="TableText"/>
              <w:tabs>
                <w:tab w:val="decimal" w:pos="907"/>
              </w:tabs>
              <w:rPr>
                <w:sz w:val="20"/>
                <w:lang w:eastAsia="en-AU"/>
              </w:rPr>
            </w:pPr>
            <w:r w:rsidRPr="001C4696">
              <w:rPr>
                <w:color w:val="000000"/>
                <w:sz w:val="20"/>
              </w:rPr>
              <w:t>116,600</w:t>
            </w:r>
          </w:p>
        </w:tc>
        <w:tc>
          <w:tcPr>
            <w:tcW w:w="1134" w:type="dxa"/>
          </w:tcPr>
          <w:p w14:paraId="66B9F60C" w14:textId="77777777" w:rsidR="00AC5F01" w:rsidRPr="001C4696" w:rsidRDefault="00AC5F01" w:rsidP="00685D68">
            <w:pPr>
              <w:pStyle w:val="TableText"/>
              <w:tabs>
                <w:tab w:val="decimal" w:pos="680"/>
              </w:tabs>
              <w:rPr>
                <w:sz w:val="20"/>
                <w:lang w:eastAsia="en-AU"/>
              </w:rPr>
            </w:pPr>
            <w:r w:rsidRPr="001C4696">
              <w:rPr>
                <w:color w:val="000000"/>
                <w:sz w:val="20"/>
              </w:rPr>
              <w:t>8,300</w:t>
            </w:r>
          </w:p>
        </w:tc>
      </w:tr>
      <w:tr w:rsidR="001C4696" w:rsidRPr="00F8416E" w14:paraId="1B49F326" w14:textId="77777777" w:rsidTr="00685D68">
        <w:trPr>
          <w:cantSplit/>
        </w:trPr>
        <w:tc>
          <w:tcPr>
            <w:tcW w:w="1843" w:type="dxa"/>
          </w:tcPr>
          <w:p w14:paraId="1BCA141C" w14:textId="77777777" w:rsidR="00AC5F01" w:rsidRPr="001C4696" w:rsidRDefault="00AC5F01" w:rsidP="0061158A">
            <w:pPr>
              <w:pStyle w:val="TableText"/>
              <w:rPr>
                <w:sz w:val="20"/>
                <w:lang w:eastAsia="en-AU"/>
              </w:rPr>
            </w:pPr>
            <w:r w:rsidRPr="001C4696">
              <w:rPr>
                <w:sz w:val="20"/>
              </w:rPr>
              <w:t>Cannabinoids</w:t>
            </w:r>
          </w:p>
        </w:tc>
        <w:tc>
          <w:tcPr>
            <w:tcW w:w="1169" w:type="dxa"/>
          </w:tcPr>
          <w:p w14:paraId="32724599" w14:textId="77777777" w:rsidR="00AC5F01" w:rsidRPr="001C4696" w:rsidRDefault="00AC5F01" w:rsidP="00685D68">
            <w:pPr>
              <w:pStyle w:val="TableText"/>
              <w:tabs>
                <w:tab w:val="decimal" w:pos="766"/>
              </w:tabs>
              <w:rPr>
                <w:sz w:val="20"/>
                <w:lang w:eastAsia="en-AU"/>
              </w:rPr>
            </w:pPr>
            <w:r w:rsidRPr="001C4696">
              <w:rPr>
                <w:sz w:val="20"/>
                <w:lang w:eastAsia="en-AU"/>
              </w:rPr>
              <w:t>9,000</w:t>
            </w:r>
          </w:p>
        </w:tc>
        <w:tc>
          <w:tcPr>
            <w:tcW w:w="1170" w:type="dxa"/>
          </w:tcPr>
          <w:p w14:paraId="64E4C6BC" w14:textId="77777777" w:rsidR="00AC5F01" w:rsidRPr="001C4696" w:rsidRDefault="00AC5F01" w:rsidP="00685D68">
            <w:pPr>
              <w:pStyle w:val="TableText"/>
              <w:tabs>
                <w:tab w:val="decimal" w:pos="766"/>
              </w:tabs>
              <w:rPr>
                <w:sz w:val="20"/>
                <w:lang w:eastAsia="en-AU"/>
              </w:rPr>
            </w:pPr>
            <w:r w:rsidRPr="001C4696">
              <w:rPr>
                <w:sz w:val="20"/>
                <w:lang w:eastAsia="en-AU"/>
              </w:rPr>
              <w:t>26,000</w:t>
            </w:r>
          </w:p>
        </w:tc>
        <w:tc>
          <w:tcPr>
            <w:tcW w:w="1169" w:type="dxa"/>
          </w:tcPr>
          <w:p w14:paraId="37A9176E" w14:textId="77777777" w:rsidR="00AC5F01" w:rsidRPr="001C4696" w:rsidRDefault="00AC5F01" w:rsidP="00685D68">
            <w:pPr>
              <w:pStyle w:val="TableText"/>
              <w:tabs>
                <w:tab w:val="decimal" w:pos="766"/>
              </w:tabs>
              <w:rPr>
                <w:sz w:val="20"/>
                <w:lang w:eastAsia="en-AU"/>
              </w:rPr>
            </w:pPr>
            <w:r w:rsidRPr="001C4696">
              <w:rPr>
                <w:sz w:val="20"/>
                <w:lang w:eastAsia="en-AU"/>
              </w:rPr>
              <w:t>11,000</w:t>
            </w:r>
          </w:p>
        </w:tc>
        <w:tc>
          <w:tcPr>
            <w:tcW w:w="1170" w:type="dxa"/>
          </w:tcPr>
          <w:p w14:paraId="6CF49779" w14:textId="77777777" w:rsidR="00AC5F01" w:rsidRPr="001C4696" w:rsidRDefault="00AC5F01" w:rsidP="00685D68">
            <w:pPr>
              <w:pStyle w:val="TableText"/>
              <w:tabs>
                <w:tab w:val="decimal" w:pos="879"/>
              </w:tabs>
              <w:rPr>
                <w:sz w:val="20"/>
                <w:lang w:eastAsia="en-AU"/>
              </w:rPr>
            </w:pPr>
            <w:r w:rsidRPr="001C4696">
              <w:rPr>
                <w:sz w:val="20"/>
                <w:lang w:eastAsia="en-AU"/>
              </w:rPr>
              <w:t>47,000</w:t>
            </w:r>
          </w:p>
        </w:tc>
        <w:tc>
          <w:tcPr>
            <w:tcW w:w="1417" w:type="dxa"/>
          </w:tcPr>
          <w:p w14:paraId="7E63E5DA" w14:textId="77777777" w:rsidR="00AC5F01" w:rsidRPr="001C4696" w:rsidRDefault="00AC5F01" w:rsidP="00685D68">
            <w:pPr>
              <w:pStyle w:val="TableText"/>
              <w:tabs>
                <w:tab w:val="decimal" w:pos="907"/>
              </w:tabs>
              <w:rPr>
                <w:sz w:val="20"/>
                <w:lang w:eastAsia="en-AU"/>
              </w:rPr>
            </w:pPr>
            <w:r w:rsidRPr="001C4696">
              <w:rPr>
                <w:color w:val="000000"/>
                <w:sz w:val="20"/>
              </w:rPr>
              <w:t>29,100</w:t>
            </w:r>
          </w:p>
        </w:tc>
        <w:tc>
          <w:tcPr>
            <w:tcW w:w="1134" w:type="dxa"/>
          </w:tcPr>
          <w:p w14:paraId="5975E7C9" w14:textId="77777777" w:rsidR="00AC5F01" w:rsidRPr="001C4696" w:rsidRDefault="00AC5F01" w:rsidP="00685D68">
            <w:pPr>
              <w:pStyle w:val="TableText"/>
              <w:tabs>
                <w:tab w:val="decimal" w:pos="680"/>
              </w:tabs>
              <w:rPr>
                <w:sz w:val="20"/>
                <w:lang w:eastAsia="en-AU"/>
              </w:rPr>
            </w:pPr>
            <w:r w:rsidRPr="001C4696">
              <w:rPr>
                <w:color w:val="000000"/>
                <w:sz w:val="20"/>
              </w:rPr>
              <w:t>2,100</w:t>
            </w:r>
          </w:p>
        </w:tc>
      </w:tr>
      <w:tr w:rsidR="001C4696" w:rsidRPr="00F8416E" w14:paraId="044EEAD2" w14:textId="77777777" w:rsidTr="00685D68">
        <w:trPr>
          <w:cantSplit/>
        </w:trPr>
        <w:tc>
          <w:tcPr>
            <w:tcW w:w="1843" w:type="dxa"/>
          </w:tcPr>
          <w:p w14:paraId="7F01A635" w14:textId="1583DA80" w:rsidR="00AC5F01" w:rsidRPr="001C4696" w:rsidRDefault="00AC5F01">
            <w:pPr>
              <w:pStyle w:val="TableText"/>
              <w:rPr>
                <w:sz w:val="20"/>
                <w:lang w:eastAsia="en-AU"/>
              </w:rPr>
            </w:pPr>
            <w:r w:rsidRPr="001C4696">
              <w:rPr>
                <w:sz w:val="20"/>
              </w:rPr>
              <w:t>Hallucinogenic and psychedelic drugs</w:t>
            </w:r>
          </w:p>
        </w:tc>
        <w:tc>
          <w:tcPr>
            <w:tcW w:w="1169" w:type="dxa"/>
          </w:tcPr>
          <w:p w14:paraId="7D52424D" w14:textId="77777777" w:rsidR="00AC5F01" w:rsidRPr="001C4696" w:rsidRDefault="00AC5F01" w:rsidP="00685D68">
            <w:pPr>
              <w:pStyle w:val="TableText"/>
              <w:tabs>
                <w:tab w:val="decimal" w:pos="766"/>
              </w:tabs>
              <w:rPr>
                <w:sz w:val="20"/>
                <w:lang w:eastAsia="en-AU"/>
              </w:rPr>
            </w:pPr>
            <w:r w:rsidRPr="001C4696">
              <w:rPr>
                <w:sz w:val="20"/>
                <w:lang w:eastAsia="en-AU"/>
              </w:rPr>
              <w:t>334,000</w:t>
            </w:r>
          </w:p>
        </w:tc>
        <w:tc>
          <w:tcPr>
            <w:tcW w:w="1170" w:type="dxa"/>
          </w:tcPr>
          <w:p w14:paraId="57C67856" w14:textId="77777777" w:rsidR="00AC5F01" w:rsidRPr="001C4696" w:rsidRDefault="00AC5F01" w:rsidP="00685D68">
            <w:pPr>
              <w:pStyle w:val="TableText"/>
              <w:tabs>
                <w:tab w:val="decimal" w:pos="766"/>
              </w:tabs>
              <w:rPr>
                <w:sz w:val="20"/>
                <w:lang w:eastAsia="en-AU"/>
              </w:rPr>
            </w:pPr>
            <w:r w:rsidRPr="001C4696">
              <w:rPr>
                <w:sz w:val="20"/>
                <w:lang w:eastAsia="en-AU"/>
              </w:rPr>
              <w:t>375,000</w:t>
            </w:r>
          </w:p>
        </w:tc>
        <w:tc>
          <w:tcPr>
            <w:tcW w:w="1169" w:type="dxa"/>
          </w:tcPr>
          <w:p w14:paraId="74035886" w14:textId="77777777" w:rsidR="00AC5F01" w:rsidRPr="001C4696" w:rsidRDefault="00AC5F01" w:rsidP="00685D68">
            <w:pPr>
              <w:pStyle w:val="TableText"/>
              <w:tabs>
                <w:tab w:val="decimal" w:pos="766"/>
              </w:tabs>
              <w:rPr>
                <w:sz w:val="20"/>
                <w:lang w:eastAsia="en-AU"/>
              </w:rPr>
            </w:pPr>
            <w:r w:rsidRPr="001C4696">
              <w:rPr>
                <w:sz w:val="20"/>
                <w:lang w:eastAsia="en-AU"/>
              </w:rPr>
              <w:t>221,000</w:t>
            </w:r>
          </w:p>
        </w:tc>
        <w:tc>
          <w:tcPr>
            <w:tcW w:w="1170" w:type="dxa"/>
          </w:tcPr>
          <w:p w14:paraId="3F68125A" w14:textId="77777777" w:rsidR="00AC5F01" w:rsidRPr="001C4696" w:rsidRDefault="00AC5F01" w:rsidP="00685D68">
            <w:pPr>
              <w:pStyle w:val="TableText"/>
              <w:tabs>
                <w:tab w:val="decimal" w:pos="879"/>
              </w:tabs>
              <w:rPr>
                <w:sz w:val="20"/>
                <w:lang w:eastAsia="en-AU"/>
              </w:rPr>
            </w:pPr>
            <w:r w:rsidRPr="001C4696">
              <w:rPr>
                <w:sz w:val="20"/>
                <w:lang w:eastAsia="en-AU"/>
              </w:rPr>
              <w:t>929,000</w:t>
            </w:r>
          </w:p>
        </w:tc>
        <w:tc>
          <w:tcPr>
            <w:tcW w:w="1417" w:type="dxa"/>
          </w:tcPr>
          <w:p w14:paraId="1694E256" w14:textId="77777777" w:rsidR="00AC5F01" w:rsidRPr="001C4696" w:rsidRDefault="00AC5F01" w:rsidP="00685D68">
            <w:pPr>
              <w:pStyle w:val="TableText"/>
              <w:tabs>
                <w:tab w:val="decimal" w:pos="907"/>
              </w:tabs>
              <w:rPr>
                <w:sz w:val="20"/>
                <w:lang w:eastAsia="en-AU"/>
              </w:rPr>
            </w:pPr>
            <w:r w:rsidRPr="001C4696">
              <w:rPr>
                <w:color w:val="000000"/>
                <w:sz w:val="20"/>
              </w:rPr>
              <w:t>6,200</w:t>
            </w:r>
          </w:p>
        </w:tc>
        <w:tc>
          <w:tcPr>
            <w:tcW w:w="1134" w:type="dxa"/>
          </w:tcPr>
          <w:p w14:paraId="68BBB656" w14:textId="77777777" w:rsidR="00AC5F01" w:rsidRPr="001C4696" w:rsidRDefault="00AC5F01" w:rsidP="00685D68">
            <w:pPr>
              <w:pStyle w:val="TableText"/>
              <w:tabs>
                <w:tab w:val="decimal" w:pos="680"/>
              </w:tabs>
              <w:rPr>
                <w:sz w:val="20"/>
                <w:lang w:eastAsia="en-AU"/>
              </w:rPr>
            </w:pPr>
            <w:r w:rsidRPr="001C4696">
              <w:rPr>
                <w:color w:val="000000"/>
                <w:sz w:val="20"/>
              </w:rPr>
              <w:t>400</w:t>
            </w:r>
          </w:p>
        </w:tc>
      </w:tr>
      <w:tr w:rsidR="001C4696" w:rsidRPr="00F8416E" w14:paraId="5DFDC62D" w14:textId="77777777" w:rsidTr="00685D68">
        <w:trPr>
          <w:cantSplit/>
        </w:trPr>
        <w:tc>
          <w:tcPr>
            <w:tcW w:w="1843" w:type="dxa"/>
          </w:tcPr>
          <w:p w14:paraId="62932B24" w14:textId="7E621CBD" w:rsidR="00AC5F01" w:rsidRPr="001C4696" w:rsidRDefault="00AC5F01">
            <w:pPr>
              <w:pStyle w:val="TableText"/>
              <w:rPr>
                <w:sz w:val="20"/>
                <w:lang w:eastAsia="en-AU"/>
              </w:rPr>
            </w:pPr>
            <w:r w:rsidRPr="001C4696">
              <w:rPr>
                <w:sz w:val="20"/>
              </w:rPr>
              <w:t>Opioid and sedative drugs</w:t>
            </w:r>
          </w:p>
        </w:tc>
        <w:tc>
          <w:tcPr>
            <w:tcW w:w="1169" w:type="dxa"/>
          </w:tcPr>
          <w:p w14:paraId="42EAEE67" w14:textId="77777777" w:rsidR="00AC5F01" w:rsidRPr="001C4696" w:rsidRDefault="00AC5F01" w:rsidP="00685D68">
            <w:pPr>
              <w:pStyle w:val="TableText"/>
              <w:tabs>
                <w:tab w:val="decimal" w:pos="766"/>
              </w:tabs>
              <w:rPr>
                <w:sz w:val="20"/>
                <w:lang w:eastAsia="en-AU"/>
              </w:rPr>
            </w:pPr>
            <w:r w:rsidRPr="001C4696">
              <w:rPr>
                <w:sz w:val="20"/>
                <w:lang w:eastAsia="en-AU"/>
              </w:rPr>
              <w:t>160,000</w:t>
            </w:r>
          </w:p>
        </w:tc>
        <w:tc>
          <w:tcPr>
            <w:tcW w:w="1170" w:type="dxa"/>
          </w:tcPr>
          <w:p w14:paraId="49C8B597" w14:textId="77777777" w:rsidR="00AC5F01" w:rsidRPr="001C4696" w:rsidRDefault="00AC5F01" w:rsidP="00685D68">
            <w:pPr>
              <w:pStyle w:val="TableText"/>
              <w:tabs>
                <w:tab w:val="decimal" w:pos="766"/>
              </w:tabs>
              <w:rPr>
                <w:sz w:val="20"/>
                <w:lang w:eastAsia="en-AU"/>
              </w:rPr>
            </w:pPr>
            <w:r w:rsidRPr="001C4696">
              <w:rPr>
                <w:sz w:val="20"/>
                <w:lang w:eastAsia="en-AU"/>
              </w:rPr>
              <w:t>144,000</w:t>
            </w:r>
          </w:p>
        </w:tc>
        <w:tc>
          <w:tcPr>
            <w:tcW w:w="1169" w:type="dxa"/>
          </w:tcPr>
          <w:p w14:paraId="33EB4955" w14:textId="77777777" w:rsidR="00AC5F01" w:rsidRPr="001C4696" w:rsidRDefault="00AC5F01" w:rsidP="00685D68">
            <w:pPr>
              <w:pStyle w:val="TableText"/>
              <w:tabs>
                <w:tab w:val="decimal" w:pos="766"/>
              </w:tabs>
              <w:rPr>
                <w:sz w:val="20"/>
                <w:lang w:eastAsia="en-AU"/>
              </w:rPr>
            </w:pPr>
            <w:r w:rsidRPr="001C4696">
              <w:rPr>
                <w:sz w:val="20"/>
                <w:lang w:eastAsia="en-AU"/>
              </w:rPr>
              <w:t>48,000</w:t>
            </w:r>
          </w:p>
        </w:tc>
        <w:tc>
          <w:tcPr>
            <w:tcW w:w="1170" w:type="dxa"/>
          </w:tcPr>
          <w:p w14:paraId="646915CC" w14:textId="77777777" w:rsidR="00AC5F01" w:rsidRPr="001C4696" w:rsidRDefault="00AC5F01" w:rsidP="00685D68">
            <w:pPr>
              <w:pStyle w:val="TableText"/>
              <w:tabs>
                <w:tab w:val="decimal" w:pos="879"/>
              </w:tabs>
              <w:rPr>
                <w:sz w:val="20"/>
                <w:lang w:eastAsia="en-AU"/>
              </w:rPr>
            </w:pPr>
            <w:r w:rsidRPr="001C4696">
              <w:rPr>
                <w:sz w:val="20"/>
                <w:lang w:eastAsia="en-AU"/>
              </w:rPr>
              <w:t>352,000</w:t>
            </w:r>
          </w:p>
        </w:tc>
        <w:tc>
          <w:tcPr>
            <w:tcW w:w="1417" w:type="dxa"/>
          </w:tcPr>
          <w:p w14:paraId="2E761DBC" w14:textId="77777777" w:rsidR="00AC5F01" w:rsidRPr="001C4696" w:rsidRDefault="00AC5F01" w:rsidP="00685D68">
            <w:pPr>
              <w:pStyle w:val="TableText"/>
              <w:tabs>
                <w:tab w:val="decimal" w:pos="907"/>
              </w:tabs>
              <w:rPr>
                <w:sz w:val="20"/>
                <w:lang w:eastAsia="en-AU"/>
              </w:rPr>
            </w:pPr>
            <w:r w:rsidRPr="001C4696">
              <w:rPr>
                <w:color w:val="000000"/>
                <w:sz w:val="20"/>
              </w:rPr>
              <w:t>44,300</w:t>
            </w:r>
          </w:p>
        </w:tc>
        <w:tc>
          <w:tcPr>
            <w:tcW w:w="1134" w:type="dxa"/>
          </w:tcPr>
          <w:p w14:paraId="045F7AFC" w14:textId="77777777" w:rsidR="00AC5F01" w:rsidRPr="001C4696" w:rsidRDefault="00AC5F01" w:rsidP="00685D68">
            <w:pPr>
              <w:pStyle w:val="TableText"/>
              <w:tabs>
                <w:tab w:val="decimal" w:pos="680"/>
              </w:tabs>
              <w:rPr>
                <w:sz w:val="20"/>
                <w:lang w:eastAsia="en-AU"/>
              </w:rPr>
            </w:pPr>
            <w:r w:rsidRPr="001C4696">
              <w:rPr>
                <w:color w:val="000000"/>
                <w:sz w:val="20"/>
              </w:rPr>
              <w:t>3,200</w:t>
            </w:r>
          </w:p>
        </w:tc>
      </w:tr>
    </w:tbl>
    <w:p w14:paraId="6BA881C3" w14:textId="77777777" w:rsidR="00AC5F01" w:rsidRPr="00F8416E" w:rsidRDefault="00AC5F01" w:rsidP="00CF5331">
      <w:pPr>
        <w:pStyle w:val="Heading3"/>
      </w:pPr>
      <w:r w:rsidRPr="00F8416E">
        <w:t>Drug-type estimates of social cost and harm per dependent user and casual user</w:t>
      </w:r>
    </w:p>
    <w:tbl>
      <w:tblPr>
        <w:tblW w:w="9072" w:type="dxa"/>
        <w:tblInd w:w="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85" w:type="dxa"/>
          <w:right w:w="85" w:type="dxa"/>
        </w:tblCellMar>
        <w:tblLook w:val="04A0" w:firstRow="1" w:lastRow="0" w:firstColumn="1" w:lastColumn="0" w:noHBand="0" w:noVBand="1"/>
      </w:tblPr>
      <w:tblGrid>
        <w:gridCol w:w="1843"/>
        <w:gridCol w:w="1807"/>
        <w:gridCol w:w="1807"/>
        <w:gridCol w:w="1807"/>
        <w:gridCol w:w="1808"/>
      </w:tblGrid>
      <w:tr w:rsidR="00AC5F01" w:rsidRPr="00C732C9" w14:paraId="18A484F9" w14:textId="77777777" w:rsidTr="00685D68">
        <w:trPr>
          <w:cantSplit/>
        </w:trPr>
        <w:tc>
          <w:tcPr>
            <w:tcW w:w="1843" w:type="dxa"/>
            <w:shd w:val="clear" w:color="auto" w:fill="auto"/>
            <w:hideMark/>
          </w:tcPr>
          <w:p w14:paraId="3A8718BD" w14:textId="77777777" w:rsidR="00AC5F01" w:rsidRPr="002E4398" w:rsidRDefault="00AC5F01" w:rsidP="0061158A">
            <w:pPr>
              <w:pStyle w:val="TableText"/>
              <w:rPr>
                <w:b/>
                <w:sz w:val="20"/>
                <w:lang w:eastAsia="en-AU"/>
              </w:rPr>
            </w:pPr>
            <w:r w:rsidRPr="002E4398">
              <w:rPr>
                <w:b/>
                <w:sz w:val="20"/>
                <w:lang w:eastAsia="en-AU"/>
              </w:rPr>
              <w:t>Drug type</w:t>
            </w:r>
          </w:p>
        </w:tc>
        <w:tc>
          <w:tcPr>
            <w:tcW w:w="1807" w:type="dxa"/>
            <w:shd w:val="clear" w:color="auto" w:fill="auto"/>
            <w:hideMark/>
          </w:tcPr>
          <w:p w14:paraId="6BCCF116" w14:textId="77777777" w:rsidR="00AC5F01" w:rsidRPr="002E4398" w:rsidRDefault="00AC5F01" w:rsidP="002E4398">
            <w:pPr>
              <w:pStyle w:val="TableText"/>
              <w:jc w:val="center"/>
              <w:rPr>
                <w:b/>
                <w:sz w:val="20"/>
                <w:lang w:eastAsia="en-AU"/>
              </w:rPr>
            </w:pPr>
            <w:r w:rsidRPr="002E4398">
              <w:rPr>
                <w:b/>
                <w:sz w:val="20"/>
              </w:rPr>
              <w:t>Social cost per dependent user</w:t>
            </w:r>
            <w:r w:rsidR="004731CF">
              <w:rPr>
                <w:b/>
                <w:sz w:val="20"/>
              </w:rPr>
              <w:t xml:space="preserve"> </w:t>
            </w:r>
            <w:r w:rsidR="004731CF">
              <w:rPr>
                <w:b/>
                <w:sz w:val="20"/>
                <w:lang w:eastAsia="en-AU"/>
              </w:rPr>
              <w:t>($)</w:t>
            </w:r>
          </w:p>
        </w:tc>
        <w:tc>
          <w:tcPr>
            <w:tcW w:w="1807" w:type="dxa"/>
            <w:shd w:val="clear" w:color="auto" w:fill="auto"/>
            <w:hideMark/>
          </w:tcPr>
          <w:p w14:paraId="3049BE72" w14:textId="77777777" w:rsidR="00AC5F01" w:rsidRPr="002E4398" w:rsidRDefault="00AC5F01" w:rsidP="002E4398">
            <w:pPr>
              <w:pStyle w:val="TableText"/>
              <w:jc w:val="center"/>
              <w:rPr>
                <w:b/>
                <w:sz w:val="20"/>
                <w:lang w:eastAsia="en-AU"/>
              </w:rPr>
            </w:pPr>
            <w:r w:rsidRPr="002E4398">
              <w:rPr>
                <w:b/>
                <w:sz w:val="20"/>
              </w:rPr>
              <w:t>Social cost per casual user</w:t>
            </w:r>
            <w:r w:rsidR="004731CF">
              <w:rPr>
                <w:b/>
                <w:sz w:val="20"/>
              </w:rPr>
              <w:t xml:space="preserve"> </w:t>
            </w:r>
            <w:r w:rsidR="004731CF">
              <w:rPr>
                <w:b/>
                <w:sz w:val="20"/>
                <w:lang w:eastAsia="en-AU"/>
              </w:rPr>
              <w:t>($)</w:t>
            </w:r>
          </w:p>
        </w:tc>
        <w:tc>
          <w:tcPr>
            <w:tcW w:w="1807" w:type="dxa"/>
          </w:tcPr>
          <w:p w14:paraId="181BF328" w14:textId="77777777" w:rsidR="00AC5F01" w:rsidRPr="002E4398" w:rsidRDefault="00AC5F01" w:rsidP="002E4398">
            <w:pPr>
              <w:pStyle w:val="TableText"/>
              <w:jc w:val="center"/>
              <w:rPr>
                <w:b/>
                <w:sz w:val="20"/>
              </w:rPr>
            </w:pPr>
            <w:r w:rsidRPr="002E4398">
              <w:rPr>
                <w:b/>
                <w:sz w:val="20"/>
              </w:rPr>
              <w:t>Harm per dependent user</w:t>
            </w:r>
            <w:r w:rsidR="004731CF">
              <w:rPr>
                <w:b/>
                <w:sz w:val="20"/>
              </w:rPr>
              <w:t xml:space="preserve"> </w:t>
            </w:r>
            <w:r w:rsidR="004731CF">
              <w:rPr>
                <w:b/>
                <w:sz w:val="20"/>
                <w:lang w:eastAsia="en-AU"/>
              </w:rPr>
              <w:t>($)</w:t>
            </w:r>
          </w:p>
        </w:tc>
        <w:tc>
          <w:tcPr>
            <w:tcW w:w="1808" w:type="dxa"/>
          </w:tcPr>
          <w:p w14:paraId="034C13E9" w14:textId="77777777" w:rsidR="00AC5F01" w:rsidRPr="002E4398" w:rsidRDefault="00AC5F01" w:rsidP="002E4398">
            <w:pPr>
              <w:pStyle w:val="TableText"/>
              <w:jc w:val="center"/>
              <w:rPr>
                <w:b/>
                <w:sz w:val="20"/>
              </w:rPr>
            </w:pPr>
            <w:r w:rsidRPr="002E4398">
              <w:rPr>
                <w:b/>
                <w:sz w:val="20"/>
              </w:rPr>
              <w:t>Harm per casual user</w:t>
            </w:r>
            <w:r w:rsidR="004731CF">
              <w:rPr>
                <w:b/>
                <w:sz w:val="20"/>
              </w:rPr>
              <w:t xml:space="preserve"> </w:t>
            </w:r>
            <w:r w:rsidR="004731CF">
              <w:rPr>
                <w:b/>
                <w:sz w:val="20"/>
                <w:lang w:eastAsia="en-AU"/>
              </w:rPr>
              <w:t>($)</w:t>
            </w:r>
          </w:p>
        </w:tc>
      </w:tr>
      <w:tr w:rsidR="00AC5F01" w:rsidRPr="00F8416E" w14:paraId="2079B5A8" w14:textId="77777777" w:rsidTr="00685D68">
        <w:trPr>
          <w:cantSplit/>
        </w:trPr>
        <w:tc>
          <w:tcPr>
            <w:tcW w:w="1843" w:type="dxa"/>
            <w:shd w:val="clear" w:color="auto" w:fill="auto"/>
            <w:noWrap/>
            <w:hideMark/>
          </w:tcPr>
          <w:p w14:paraId="7A8E0831" w14:textId="77777777" w:rsidR="00AC5F01" w:rsidRPr="002E4398" w:rsidRDefault="00AC5F01" w:rsidP="0061158A">
            <w:pPr>
              <w:pStyle w:val="TableText"/>
              <w:rPr>
                <w:sz w:val="20"/>
                <w:lang w:eastAsia="en-AU"/>
              </w:rPr>
            </w:pPr>
            <w:r w:rsidRPr="002E4398">
              <w:rPr>
                <w:sz w:val="20"/>
              </w:rPr>
              <w:t>Methamphetamine</w:t>
            </w:r>
          </w:p>
        </w:tc>
        <w:tc>
          <w:tcPr>
            <w:tcW w:w="1807" w:type="dxa"/>
            <w:shd w:val="clear" w:color="auto" w:fill="auto"/>
            <w:noWrap/>
            <w:hideMark/>
          </w:tcPr>
          <w:p w14:paraId="35DD3870" w14:textId="77777777" w:rsidR="00AC5F01" w:rsidRPr="002E4398" w:rsidRDefault="00AC5F01" w:rsidP="002E4398">
            <w:pPr>
              <w:pStyle w:val="TableText"/>
              <w:tabs>
                <w:tab w:val="decimal" w:pos="1049"/>
              </w:tabs>
              <w:rPr>
                <w:bCs/>
                <w:sz w:val="20"/>
                <w:lang w:eastAsia="en-AU"/>
              </w:rPr>
            </w:pPr>
            <w:r w:rsidRPr="002E4398">
              <w:rPr>
                <w:bCs/>
                <w:sz w:val="20"/>
              </w:rPr>
              <w:t>116,600</w:t>
            </w:r>
          </w:p>
        </w:tc>
        <w:tc>
          <w:tcPr>
            <w:tcW w:w="1807" w:type="dxa"/>
            <w:shd w:val="clear" w:color="auto" w:fill="auto"/>
            <w:noWrap/>
            <w:hideMark/>
          </w:tcPr>
          <w:p w14:paraId="02CAE540" w14:textId="77777777" w:rsidR="00AC5F01" w:rsidRPr="002E4398" w:rsidRDefault="00AC5F01" w:rsidP="002E4398">
            <w:pPr>
              <w:pStyle w:val="TableText"/>
              <w:tabs>
                <w:tab w:val="decimal" w:pos="1049"/>
              </w:tabs>
              <w:rPr>
                <w:bCs/>
                <w:sz w:val="20"/>
                <w:lang w:eastAsia="en-AU"/>
              </w:rPr>
            </w:pPr>
            <w:r w:rsidRPr="002E4398">
              <w:rPr>
                <w:bCs/>
                <w:sz w:val="20"/>
              </w:rPr>
              <w:t>8,300</w:t>
            </w:r>
          </w:p>
        </w:tc>
        <w:tc>
          <w:tcPr>
            <w:tcW w:w="1807" w:type="dxa"/>
          </w:tcPr>
          <w:p w14:paraId="3CC98372" w14:textId="77777777" w:rsidR="00AC5F01" w:rsidRPr="002E4398" w:rsidRDefault="00AC5F01" w:rsidP="002E4398">
            <w:pPr>
              <w:pStyle w:val="TableText"/>
              <w:tabs>
                <w:tab w:val="decimal" w:pos="1049"/>
              </w:tabs>
              <w:rPr>
                <w:bCs/>
                <w:sz w:val="20"/>
              </w:rPr>
            </w:pPr>
            <w:r w:rsidRPr="002E4398">
              <w:rPr>
                <w:bCs/>
                <w:sz w:val="20"/>
              </w:rPr>
              <w:t>111,300</w:t>
            </w:r>
          </w:p>
        </w:tc>
        <w:tc>
          <w:tcPr>
            <w:tcW w:w="1808" w:type="dxa"/>
          </w:tcPr>
          <w:p w14:paraId="19C472ED" w14:textId="77777777" w:rsidR="00AC5F01" w:rsidRPr="002E4398" w:rsidRDefault="00AC5F01" w:rsidP="002E4398">
            <w:pPr>
              <w:pStyle w:val="TableText"/>
              <w:tabs>
                <w:tab w:val="decimal" w:pos="1049"/>
              </w:tabs>
              <w:rPr>
                <w:bCs/>
                <w:sz w:val="20"/>
              </w:rPr>
            </w:pPr>
            <w:r w:rsidRPr="002E4398">
              <w:rPr>
                <w:bCs/>
                <w:sz w:val="20"/>
              </w:rPr>
              <w:t>7,900</w:t>
            </w:r>
          </w:p>
        </w:tc>
      </w:tr>
      <w:tr w:rsidR="00AC5F01" w:rsidRPr="00F8416E" w14:paraId="0BA63A18" w14:textId="77777777" w:rsidTr="00685D68">
        <w:trPr>
          <w:cantSplit/>
        </w:trPr>
        <w:tc>
          <w:tcPr>
            <w:tcW w:w="1843" w:type="dxa"/>
            <w:shd w:val="clear" w:color="auto" w:fill="auto"/>
            <w:noWrap/>
            <w:hideMark/>
          </w:tcPr>
          <w:p w14:paraId="783AB369" w14:textId="77777777" w:rsidR="00AC5F01" w:rsidRPr="002E4398" w:rsidRDefault="00AC5F01" w:rsidP="0061158A">
            <w:pPr>
              <w:pStyle w:val="TableText"/>
              <w:rPr>
                <w:sz w:val="20"/>
                <w:lang w:eastAsia="en-AU"/>
              </w:rPr>
            </w:pPr>
            <w:r w:rsidRPr="002E4398">
              <w:rPr>
                <w:sz w:val="20"/>
              </w:rPr>
              <w:t>Heroin/</w:t>
            </w:r>
            <w:proofErr w:type="spellStart"/>
            <w:r w:rsidRPr="002E4398">
              <w:rPr>
                <w:sz w:val="20"/>
              </w:rPr>
              <w:t>homebake</w:t>
            </w:r>
            <w:proofErr w:type="spellEnd"/>
          </w:p>
        </w:tc>
        <w:tc>
          <w:tcPr>
            <w:tcW w:w="1807" w:type="dxa"/>
            <w:shd w:val="clear" w:color="auto" w:fill="auto"/>
            <w:noWrap/>
            <w:hideMark/>
          </w:tcPr>
          <w:p w14:paraId="7F01CAFC" w14:textId="77777777" w:rsidR="00AC5F01" w:rsidRPr="002E4398" w:rsidRDefault="00AC5F01" w:rsidP="002E4398">
            <w:pPr>
              <w:pStyle w:val="TableText"/>
              <w:tabs>
                <w:tab w:val="decimal" w:pos="1049"/>
              </w:tabs>
              <w:rPr>
                <w:bCs/>
                <w:sz w:val="20"/>
                <w:lang w:eastAsia="en-AU"/>
              </w:rPr>
            </w:pPr>
            <w:r w:rsidRPr="002E4398">
              <w:rPr>
                <w:sz w:val="20"/>
              </w:rPr>
              <w:t>104,000</w:t>
            </w:r>
          </w:p>
        </w:tc>
        <w:tc>
          <w:tcPr>
            <w:tcW w:w="1807" w:type="dxa"/>
            <w:shd w:val="clear" w:color="auto" w:fill="auto"/>
            <w:noWrap/>
            <w:hideMark/>
          </w:tcPr>
          <w:p w14:paraId="02D531E4" w14:textId="77777777" w:rsidR="00AC5F01" w:rsidRPr="002E4398" w:rsidRDefault="00AC5F01" w:rsidP="002E4398">
            <w:pPr>
              <w:pStyle w:val="TableText"/>
              <w:tabs>
                <w:tab w:val="decimal" w:pos="1049"/>
              </w:tabs>
              <w:rPr>
                <w:bCs/>
                <w:sz w:val="20"/>
                <w:lang w:eastAsia="en-AU"/>
              </w:rPr>
            </w:pPr>
            <w:r w:rsidRPr="002E4398">
              <w:rPr>
                <w:sz w:val="20"/>
              </w:rPr>
              <w:t>9,300</w:t>
            </w:r>
          </w:p>
        </w:tc>
        <w:tc>
          <w:tcPr>
            <w:tcW w:w="1807" w:type="dxa"/>
          </w:tcPr>
          <w:p w14:paraId="47E7B38C" w14:textId="77777777" w:rsidR="00AC5F01" w:rsidRPr="002E4398" w:rsidRDefault="00AC5F01" w:rsidP="002E4398">
            <w:pPr>
              <w:pStyle w:val="TableText"/>
              <w:tabs>
                <w:tab w:val="decimal" w:pos="1049"/>
              </w:tabs>
              <w:rPr>
                <w:bCs/>
                <w:sz w:val="20"/>
              </w:rPr>
            </w:pPr>
            <w:r w:rsidRPr="002E4398">
              <w:rPr>
                <w:bCs/>
                <w:sz w:val="20"/>
              </w:rPr>
              <w:t>98,600</w:t>
            </w:r>
          </w:p>
        </w:tc>
        <w:tc>
          <w:tcPr>
            <w:tcW w:w="1808" w:type="dxa"/>
          </w:tcPr>
          <w:p w14:paraId="1EDFD2C9" w14:textId="77777777" w:rsidR="00AC5F01" w:rsidRPr="002E4398" w:rsidRDefault="00AC5F01" w:rsidP="002E4398">
            <w:pPr>
              <w:pStyle w:val="TableText"/>
              <w:tabs>
                <w:tab w:val="decimal" w:pos="1049"/>
              </w:tabs>
              <w:rPr>
                <w:bCs/>
                <w:sz w:val="20"/>
              </w:rPr>
            </w:pPr>
            <w:r w:rsidRPr="002E4398">
              <w:rPr>
                <w:bCs/>
                <w:sz w:val="20"/>
              </w:rPr>
              <w:t>8,800</w:t>
            </w:r>
          </w:p>
        </w:tc>
      </w:tr>
      <w:tr w:rsidR="00AC5F01" w:rsidRPr="00F8416E" w14:paraId="68BE897F" w14:textId="77777777" w:rsidTr="00685D68">
        <w:trPr>
          <w:cantSplit/>
        </w:trPr>
        <w:tc>
          <w:tcPr>
            <w:tcW w:w="1843" w:type="dxa"/>
            <w:shd w:val="clear" w:color="auto" w:fill="auto"/>
            <w:noWrap/>
            <w:hideMark/>
          </w:tcPr>
          <w:p w14:paraId="030F72BB" w14:textId="77777777" w:rsidR="00AC5F01" w:rsidRPr="002E4398" w:rsidRDefault="00AC5F01" w:rsidP="0061158A">
            <w:pPr>
              <w:pStyle w:val="TableText"/>
              <w:rPr>
                <w:sz w:val="20"/>
                <w:lang w:eastAsia="en-AU"/>
              </w:rPr>
            </w:pPr>
            <w:r w:rsidRPr="002E4398">
              <w:rPr>
                <w:sz w:val="20"/>
              </w:rPr>
              <w:t>Pharma-opioids</w:t>
            </w:r>
          </w:p>
        </w:tc>
        <w:tc>
          <w:tcPr>
            <w:tcW w:w="1807" w:type="dxa"/>
            <w:shd w:val="clear" w:color="auto" w:fill="auto"/>
            <w:noWrap/>
            <w:hideMark/>
          </w:tcPr>
          <w:p w14:paraId="02B11268" w14:textId="77777777" w:rsidR="00AC5F01" w:rsidRPr="002E4398" w:rsidRDefault="00AC5F01" w:rsidP="002E4398">
            <w:pPr>
              <w:pStyle w:val="TableText"/>
              <w:tabs>
                <w:tab w:val="decimal" w:pos="1049"/>
              </w:tabs>
              <w:rPr>
                <w:sz w:val="20"/>
                <w:lang w:eastAsia="en-AU"/>
              </w:rPr>
            </w:pPr>
            <w:r w:rsidRPr="002E4398">
              <w:rPr>
                <w:bCs/>
                <w:sz w:val="20"/>
              </w:rPr>
              <w:t>44,300</w:t>
            </w:r>
          </w:p>
        </w:tc>
        <w:tc>
          <w:tcPr>
            <w:tcW w:w="1807" w:type="dxa"/>
            <w:shd w:val="clear" w:color="auto" w:fill="auto"/>
            <w:noWrap/>
            <w:hideMark/>
          </w:tcPr>
          <w:p w14:paraId="5E1BC22D" w14:textId="77777777" w:rsidR="00AC5F01" w:rsidRPr="002E4398" w:rsidRDefault="00AC5F01" w:rsidP="002E4398">
            <w:pPr>
              <w:pStyle w:val="TableText"/>
              <w:tabs>
                <w:tab w:val="decimal" w:pos="1049"/>
              </w:tabs>
              <w:rPr>
                <w:sz w:val="20"/>
                <w:lang w:eastAsia="en-AU"/>
              </w:rPr>
            </w:pPr>
            <w:r w:rsidRPr="002E4398">
              <w:rPr>
                <w:bCs/>
                <w:sz w:val="20"/>
              </w:rPr>
              <w:t>3,200</w:t>
            </w:r>
          </w:p>
        </w:tc>
        <w:tc>
          <w:tcPr>
            <w:tcW w:w="1807" w:type="dxa"/>
          </w:tcPr>
          <w:p w14:paraId="69F51121" w14:textId="77777777" w:rsidR="00AC5F01" w:rsidRPr="002E4398" w:rsidRDefault="00AC5F01" w:rsidP="002E4398">
            <w:pPr>
              <w:pStyle w:val="TableText"/>
              <w:tabs>
                <w:tab w:val="decimal" w:pos="1049"/>
              </w:tabs>
              <w:rPr>
                <w:bCs/>
                <w:sz w:val="20"/>
              </w:rPr>
            </w:pPr>
            <w:r w:rsidRPr="002E4398">
              <w:rPr>
                <w:bCs/>
                <w:sz w:val="20"/>
              </w:rPr>
              <w:t>38,300</w:t>
            </w:r>
          </w:p>
        </w:tc>
        <w:tc>
          <w:tcPr>
            <w:tcW w:w="1808" w:type="dxa"/>
          </w:tcPr>
          <w:p w14:paraId="799F20E9" w14:textId="77777777" w:rsidR="00AC5F01" w:rsidRPr="002E4398" w:rsidRDefault="00AC5F01" w:rsidP="002E4398">
            <w:pPr>
              <w:pStyle w:val="TableText"/>
              <w:tabs>
                <w:tab w:val="decimal" w:pos="1049"/>
              </w:tabs>
              <w:rPr>
                <w:bCs/>
                <w:sz w:val="20"/>
              </w:rPr>
            </w:pPr>
            <w:r w:rsidRPr="002E4398">
              <w:rPr>
                <w:bCs/>
                <w:sz w:val="20"/>
              </w:rPr>
              <w:t>2,700</w:t>
            </w:r>
          </w:p>
        </w:tc>
      </w:tr>
      <w:tr w:rsidR="00AC5F01" w:rsidRPr="00F8416E" w14:paraId="66ECA7A3" w14:textId="77777777" w:rsidTr="00685D68">
        <w:trPr>
          <w:cantSplit/>
        </w:trPr>
        <w:tc>
          <w:tcPr>
            <w:tcW w:w="1843" w:type="dxa"/>
            <w:shd w:val="clear" w:color="auto" w:fill="auto"/>
            <w:noWrap/>
            <w:hideMark/>
          </w:tcPr>
          <w:p w14:paraId="70ADBAE7" w14:textId="77777777" w:rsidR="00AC5F01" w:rsidRPr="002E4398" w:rsidRDefault="00AC5F01" w:rsidP="0061158A">
            <w:pPr>
              <w:pStyle w:val="TableText"/>
              <w:rPr>
                <w:sz w:val="20"/>
                <w:lang w:eastAsia="en-AU"/>
              </w:rPr>
            </w:pPr>
            <w:r w:rsidRPr="002E4398">
              <w:rPr>
                <w:sz w:val="20"/>
              </w:rPr>
              <w:t>Cocaine</w:t>
            </w:r>
          </w:p>
        </w:tc>
        <w:tc>
          <w:tcPr>
            <w:tcW w:w="1807" w:type="dxa"/>
            <w:shd w:val="clear" w:color="auto" w:fill="auto"/>
            <w:noWrap/>
            <w:hideMark/>
          </w:tcPr>
          <w:p w14:paraId="53E83417" w14:textId="77777777" w:rsidR="00AC5F01" w:rsidRPr="002E4398" w:rsidRDefault="00AC5F01" w:rsidP="002E4398">
            <w:pPr>
              <w:pStyle w:val="TableText"/>
              <w:tabs>
                <w:tab w:val="decimal" w:pos="1049"/>
              </w:tabs>
              <w:rPr>
                <w:sz w:val="20"/>
                <w:lang w:eastAsia="en-AU"/>
              </w:rPr>
            </w:pPr>
            <w:r w:rsidRPr="002E4398">
              <w:rPr>
                <w:sz w:val="20"/>
              </w:rPr>
              <w:t>42,300</w:t>
            </w:r>
          </w:p>
        </w:tc>
        <w:tc>
          <w:tcPr>
            <w:tcW w:w="1807" w:type="dxa"/>
            <w:shd w:val="clear" w:color="auto" w:fill="auto"/>
            <w:noWrap/>
            <w:hideMark/>
          </w:tcPr>
          <w:p w14:paraId="0E234015" w14:textId="77777777" w:rsidR="00AC5F01" w:rsidRPr="002E4398" w:rsidRDefault="00AC5F01" w:rsidP="002E4398">
            <w:pPr>
              <w:pStyle w:val="TableText"/>
              <w:tabs>
                <w:tab w:val="decimal" w:pos="1049"/>
              </w:tabs>
              <w:rPr>
                <w:sz w:val="20"/>
                <w:lang w:eastAsia="en-AU"/>
              </w:rPr>
            </w:pPr>
            <w:r w:rsidRPr="002E4398">
              <w:rPr>
                <w:sz w:val="20"/>
              </w:rPr>
              <w:t>2,700</w:t>
            </w:r>
          </w:p>
        </w:tc>
        <w:tc>
          <w:tcPr>
            <w:tcW w:w="1807" w:type="dxa"/>
          </w:tcPr>
          <w:p w14:paraId="795E246A" w14:textId="77777777" w:rsidR="00AC5F01" w:rsidRPr="002E4398" w:rsidRDefault="00AC5F01" w:rsidP="002E4398">
            <w:pPr>
              <w:pStyle w:val="TableText"/>
              <w:tabs>
                <w:tab w:val="decimal" w:pos="1049"/>
              </w:tabs>
              <w:rPr>
                <w:bCs/>
                <w:sz w:val="20"/>
              </w:rPr>
            </w:pPr>
            <w:r w:rsidRPr="002E4398">
              <w:rPr>
                <w:bCs/>
                <w:sz w:val="20"/>
              </w:rPr>
              <w:t>36,200</w:t>
            </w:r>
          </w:p>
        </w:tc>
        <w:tc>
          <w:tcPr>
            <w:tcW w:w="1808" w:type="dxa"/>
          </w:tcPr>
          <w:p w14:paraId="2BA7FEF4" w14:textId="77777777" w:rsidR="00AC5F01" w:rsidRPr="002E4398" w:rsidRDefault="00AC5F01" w:rsidP="002E4398">
            <w:pPr>
              <w:pStyle w:val="TableText"/>
              <w:tabs>
                <w:tab w:val="decimal" w:pos="1049"/>
              </w:tabs>
              <w:rPr>
                <w:bCs/>
                <w:sz w:val="20"/>
              </w:rPr>
            </w:pPr>
            <w:r w:rsidRPr="002E4398">
              <w:rPr>
                <w:bCs/>
                <w:sz w:val="20"/>
              </w:rPr>
              <w:t>2,300</w:t>
            </w:r>
          </w:p>
        </w:tc>
      </w:tr>
      <w:tr w:rsidR="00AC5F01" w:rsidRPr="00F8416E" w14:paraId="00AD81E8" w14:textId="77777777" w:rsidTr="00685D68">
        <w:trPr>
          <w:cantSplit/>
        </w:trPr>
        <w:tc>
          <w:tcPr>
            <w:tcW w:w="1843" w:type="dxa"/>
            <w:shd w:val="clear" w:color="auto" w:fill="auto"/>
            <w:noWrap/>
            <w:hideMark/>
          </w:tcPr>
          <w:p w14:paraId="1FE7FF9E" w14:textId="77777777" w:rsidR="00AC5F01" w:rsidRPr="002E4398" w:rsidRDefault="00AC5F01" w:rsidP="0061158A">
            <w:pPr>
              <w:pStyle w:val="TableText"/>
              <w:rPr>
                <w:sz w:val="20"/>
                <w:lang w:eastAsia="en-AU"/>
              </w:rPr>
            </w:pPr>
            <w:r w:rsidRPr="002E4398">
              <w:rPr>
                <w:sz w:val="20"/>
              </w:rPr>
              <w:t>Synthetic cannabis</w:t>
            </w:r>
          </w:p>
        </w:tc>
        <w:tc>
          <w:tcPr>
            <w:tcW w:w="1807" w:type="dxa"/>
            <w:shd w:val="clear" w:color="auto" w:fill="auto"/>
            <w:noWrap/>
            <w:hideMark/>
          </w:tcPr>
          <w:p w14:paraId="22461D5A" w14:textId="77777777" w:rsidR="00AC5F01" w:rsidRPr="002E4398" w:rsidRDefault="00AC5F01" w:rsidP="002E4398">
            <w:pPr>
              <w:pStyle w:val="TableText"/>
              <w:tabs>
                <w:tab w:val="decimal" w:pos="1049"/>
              </w:tabs>
              <w:rPr>
                <w:sz w:val="20"/>
                <w:lang w:eastAsia="en-AU"/>
              </w:rPr>
            </w:pPr>
            <w:r w:rsidRPr="002E4398">
              <w:rPr>
                <w:sz w:val="20"/>
              </w:rPr>
              <w:t>42,000</w:t>
            </w:r>
          </w:p>
        </w:tc>
        <w:tc>
          <w:tcPr>
            <w:tcW w:w="1807" w:type="dxa"/>
            <w:shd w:val="clear" w:color="auto" w:fill="auto"/>
            <w:noWrap/>
            <w:hideMark/>
          </w:tcPr>
          <w:p w14:paraId="76E0CE13" w14:textId="77777777" w:rsidR="00AC5F01" w:rsidRPr="002E4398" w:rsidRDefault="00AC5F01" w:rsidP="002E4398">
            <w:pPr>
              <w:pStyle w:val="TableText"/>
              <w:tabs>
                <w:tab w:val="decimal" w:pos="1049"/>
              </w:tabs>
              <w:rPr>
                <w:sz w:val="20"/>
                <w:lang w:eastAsia="en-AU"/>
              </w:rPr>
            </w:pPr>
            <w:r w:rsidRPr="002E4398">
              <w:rPr>
                <w:sz w:val="20"/>
              </w:rPr>
              <w:t>2,800</w:t>
            </w:r>
          </w:p>
        </w:tc>
        <w:tc>
          <w:tcPr>
            <w:tcW w:w="1807" w:type="dxa"/>
          </w:tcPr>
          <w:p w14:paraId="294E9A93" w14:textId="77777777" w:rsidR="00AC5F01" w:rsidRPr="002E4398" w:rsidRDefault="00AC5F01" w:rsidP="002E4398">
            <w:pPr>
              <w:pStyle w:val="TableText"/>
              <w:tabs>
                <w:tab w:val="decimal" w:pos="1049"/>
              </w:tabs>
              <w:rPr>
                <w:bCs/>
                <w:sz w:val="20"/>
              </w:rPr>
            </w:pPr>
            <w:r w:rsidRPr="002E4398">
              <w:rPr>
                <w:bCs/>
                <w:sz w:val="20"/>
              </w:rPr>
              <w:t>35,900</w:t>
            </w:r>
          </w:p>
        </w:tc>
        <w:tc>
          <w:tcPr>
            <w:tcW w:w="1808" w:type="dxa"/>
          </w:tcPr>
          <w:p w14:paraId="478CD3FE" w14:textId="77777777" w:rsidR="00AC5F01" w:rsidRPr="002E4398" w:rsidRDefault="00AC5F01" w:rsidP="002E4398">
            <w:pPr>
              <w:pStyle w:val="TableText"/>
              <w:tabs>
                <w:tab w:val="decimal" w:pos="1049"/>
              </w:tabs>
              <w:rPr>
                <w:bCs/>
                <w:sz w:val="20"/>
              </w:rPr>
            </w:pPr>
            <w:r w:rsidRPr="002E4398">
              <w:rPr>
                <w:bCs/>
                <w:sz w:val="20"/>
              </w:rPr>
              <w:t>2,400</w:t>
            </w:r>
          </w:p>
        </w:tc>
      </w:tr>
      <w:tr w:rsidR="00AC5F01" w:rsidRPr="00F8416E" w14:paraId="1AAFB0CC" w14:textId="77777777" w:rsidTr="00685D68">
        <w:trPr>
          <w:cantSplit/>
        </w:trPr>
        <w:tc>
          <w:tcPr>
            <w:tcW w:w="1843" w:type="dxa"/>
            <w:shd w:val="clear" w:color="auto" w:fill="auto"/>
            <w:noWrap/>
            <w:hideMark/>
          </w:tcPr>
          <w:p w14:paraId="1B5D5176" w14:textId="77777777" w:rsidR="00AC5F01" w:rsidRPr="002E4398" w:rsidRDefault="00AC5F01" w:rsidP="0061158A">
            <w:pPr>
              <w:pStyle w:val="TableText"/>
              <w:rPr>
                <w:sz w:val="20"/>
                <w:lang w:eastAsia="en-AU"/>
              </w:rPr>
            </w:pPr>
            <w:r w:rsidRPr="002E4398">
              <w:rPr>
                <w:sz w:val="20"/>
              </w:rPr>
              <w:t>Pharma-sedatives</w:t>
            </w:r>
          </w:p>
        </w:tc>
        <w:tc>
          <w:tcPr>
            <w:tcW w:w="1807" w:type="dxa"/>
            <w:shd w:val="clear" w:color="auto" w:fill="auto"/>
            <w:noWrap/>
            <w:hideMark/>
          </w:tcPr>
          <w:p w14:paraId="660AEDD7" w14:textId="77777777" w:rsidR="00AC5F01" w:rsidRPr="002E4398" w:rsidRDefault="00AC5F01" w:rsidP="002E4398">
            <w:pPr>
              <w:pStyle w:val="TableText"/>
              <w:tabs>
                <w:tab w:val="decimal" w:pos="1049"/>
              </w:tabs>
              <w:rPr>
                <w:sz w:val="20"/>
                <w:lang w:eastAsia="en-AU"/>
              </w:rPr>
            </w:pPr>
            <w:r w:rsidRPr="002E4398">
              <w:rPr>
                <w:sz w:val="20"/>
              </w:rPr>
              <w:t>38,200</w:t>
            </w:r>
          </w:p>
        </w:tc>
        <w:tc>
          <w:tcPr>
            <w:tcW w:w="1807" w:type="dxa"/>
            <w:shd w:val="clear" w:color="auto" w:fill="auto"/>
            <w:noWrap/>
            <w:hideMark/>
          </w:tcPr>
          <w:p w14:paraId="4C532B82" w14:textId="77777777" w:rsidR="00AC5F01" w:rsidRPr="002E4398" w:rsidRDefault="00AC5F01" w:rsidP="002E4398">
            <w:pPr>
              <w:pStyle w:val="TableText"/>
              <w:tabs>
                <w:tab w:val="decimal" w:pos="1049"/>
              </w:tabs>
              <w:rPr>
                <w:sz w:val="20"/>
                <w:lang w:eastAsia="en-AU"/>
              </w:rPr>
            </w:pPr>
            <w:r w:rsidRPr="002E4398">
              <w:rPr>
                <w:sz w:val="20"/>
              </w:rPr>
              <w:t>2,600</w:t>
            </w:r>
          </w:p>
        </w:tc>
        <w:tc>
          <w:tcPr>
            <w:tcW w:w="1807" w:type="dxa"/>
          </w:tcPr>
          <w:p w14:paraId="2DB8E6A8" w14:textId="77777777" w:rsidR="00AC5F01" w:rsidRPr="002E4398" w:rsidRDefault="00AC5F01" w:rsidP="002E4398">
            <w:pPr>
              <w:pStyle w:val="TableText"/>
              <w:tabs>
                <w:tab w:val="decimal" w:pos="1049"/>
              </w:tabs>
              <w:rPr>
                <w:bCs/>
                <w:sz w:val="20"/>
              </w:rPr>
            </w:pPr>
            <w:r w:rsidRPr="002E4398">
              <w:rPr>
                <w:bCs/>
                <w:sz w:val="20"/>
              </w:rPr>
              <w:t>31,800</w:t>
            </w:r>
          </w:p>
        </w:tc>
        <w:tc>
          <w:tcPr>
            <w:tcW w:w="1808" w:type="dxa"/>
          </w:tcPr>
          <w:p w14:paraId="29757900" w14:textId="77777777" w:rsidR="00AC5F01" w:rsidRPr="002E4398" w:rsidRDefault="00AC5F01" w:rsidP="002E4398">
            <w:pPr>
              <w:pStyle w:val="TableText"/>
              <w:tabs>
                <w:tab w:val="decimal" w:pos="1049"/>
              </w:tabs>
              <w:rPr>
                <w:bCs/>
                <w:sz w:val="20"/>
              </w:rPr>
            </w:pPr>
            <w:r w:rsidRPr="002E4398">
              <w:rPr>
                <w:bCs/>
                <w:sz w:val="20"/>
              </w:rPr>
              <w:t>2,200</w:t>
            </w:r>
          </w:p>
        </w:tc>
      </w:tr>
      <w:tr w:rsidR="00AC5F01" w:rsidRPr="00F8416E" w14:paraId="1D3EED4F" w14:textId="77777777" w:rsidTr="00685D68">
        <w:trPr>
          <w:cantSplit/>
        </w:trPr>
        <w:tc>
          <w:tcPr>
            <w:tcW w:w="1843" w:type="dxa"/>
            <w:shd w:val="clear" w:color="auto" w:fill="auto"/>
            <w:noWrap/>
            <w:hideMark/>
          </w:tcPr>
          <w:p w14:paraId="611E33A3" w14:textId="77777777" w:rsidR="00AC5F01" w:rsidRPr="002E4398" w:rsidRDefault="00AC5F01" w:rsidP="0061158A">
            <w:pPr>
              <w:pStyle w:val="TableText"/>
              <w:rPr>
                <w:sz w:val="20"/>
                <w:lang w:eastAsia="en-AU"/>
              </w:rPr>
            </w:pPr>
            <w:r w:rsidRPr="002E4398">
              <w:rPr>
                <w:sz w:val="20"/>
              </w:rPr>
              <w:t>Amphetamine</w:t>
            </w:r>
          </w:p>
        </w:tc>
        <w:tc>
          <w:tcPr>
            <w:tcW w:w="1807" w:type="dxa"/>
            <w:shd w:val="clear" w:color="auto" w:fill="auto"/>
            <w:noWrap/>
            <w:hideMark/>
          </w:tcPr>
          <w:p w14:paraId="5EAFD086" w14:textId="77777777" w:rsidR="00AC5F01" w:rsidRPr="002E4398" w:rsidRDefault="00AC5F01" w:rsidP="002E4398">
            <w:pPr>
              <w:pStyle w:val="TableText"/>
              <w:tabs>
                <w:tab w:val="decimal" w:pos="1049"/>
              </w:tabs>
              <w:rPr>
                <w:sz w:val="20"/>
                <w:lang w:eastAsia="en-AU"/>
              </w:rPr>
            </w:pPr>
            <w:r w:rsidRPr="002E4398">
              <w:rPr>
                <w:sz w:val="20"/>
              </w:rPr>
              <w:t>37,500</w:t>
            </w:r>
          </w:p>
        </w:tc>
        <w:tc>
          <w:tcPr>
            <w:tcW w:w="1807" w:type="dxa"/>
            <w:shd w:val="clear" w:color="auto" w:fill="auto"/>
            <w:noWrap/>
            <w:hideMark/>
          </w:tcPr>
          <w:p w14:paraId="19DF9C7E" w14:textId="77777777" w:rsidR="00AC5F01" w:rsidRPr="002E4398" w:rsidRDefault="00AC5F01" w:rsidP="002E4398">
            <w:pPr>
              <w:pStyle w:val="TableText"/>
              <w:tabs>
                <w:tab w:val="decimal" w:pos="1049"/>
              </w:tabs>
              <w:rPr>
                <w:sz w:val="20"/>
                <w:lang w:eastAsia="en-AU"/>
              </w:rPr>
            </w:pPr>
            <w:r w:rsidRPr="002E4398">
              <w:rPr>
                <w:sz w:val="20"/>
              </w:rPr>
              <w:t>2,500</w:t>
            </w:r>
          </w:p>
        </w:tc>
        <w:tc>
          <w:tcPr>
            <w:tcW w:w="1807" w:type="dxa"/>
          </w:tcPr>
          <w:p w14:paraId="32835242" w14:textId="77777777" w:rsidR="00AC5F01" w:rsidRPr="002E4398" w:rsidRDefault="00AC5F01" w:rsidP="002E4398">
            <w:pPr>
              <w:pStyle w:val="TableText"/>
              <w:tabs>
                <w:tab w:val="decimal" w:pos="1049"/>
              </w:tabs>
              <w:rPr>
                <w:bCs/>
                <w:sz w:val="20"/>
              </w:rPr>
            </w:pPr>
            <w:r w:rsidRPr="002E4398">
              <w:rPr>
                <w:bCs/>
                <w:sz w:val="20"/>
              </w:rPr>
              <w:t>31,000</w:t>
            </w:r>
          </w:p>
        </w:tc>
        <w:tc>
          <w:tcPr>
            <w:tcW w:w="1808" w:type="dxa"/>
          </w:tcPr>
          <w:p w14:paraId="72F78890" w14:textId="77777777" w:rsidR="00AC5F01" w:rsidRPr="002E4398" w:rsidRDefault="00AC5F01" w:rsidP="002E4398">
            <w:pPr>
              <w:pStyle w:val="TableText"/>
              <w:tabs>
                <w:tab w:val="decimal" w:pos="1049"/>
              </w:tabs>
              <w:rPr>
                <w:bCs/>
                <w:sz w:val="20"/>
              </w:rPr>
            </w:pPr>
            <w:r w:rsidRPr="002E4398">
              <w:rPr>
                <w:bCs/>
                <w:sz w:val="20"/>
              </w:rPr>
              <w:t>2,000</w:t>
            </w:r>
          </w:p>
        </w:tc>
      </w:tr>
      <w:tr w:rsidR="00AC5F01" w:rsidRPr="00F8416E" w14:paraId="7B4491C7" w14:textId="77777777" w:rsidTr="00685D68">
        <w:trPr>
          <w:cantSplit/>
        </w:trPr>
        <w:tc>
          <w:tcPr>
            <w:tcW w:w="1843" w:type="dxa"/>
            <w:shd w:val="clear" w:color="auto" w:fill="auto"/>
            <w:noWrap/>
            <w:hideMark/>
          </w:tcPr>
          <w:p w14:paraId="12229FE2" w14:textId="77777777" w:rsidR="00AC5F01" w:rsidRPr="002E4398" w:rsidRDefault="00AC5F01" w:rsidP="0061158A">
            <w:pPr>
              <w:pStyle w:val="TableText"/>
              <w:rPr>
                <w:sz w:val="20"/>
                <w:lang w:eastAsia="en-AU"/>
              </w:rPr>
            </w:pPr>
            <w:r w:rsidRPr="002E4398">
              <w:rPr>
                <w:sz w:val="20"/>
              </w:rPr>
              <w:t>Dexamphetamine</w:t>
            </w:r>
          </w:p>
        </w:tc>
        <w:tc>
          <w:tcPr>
            <w:tcW w:w="1807" w:type="dxa"/>
            <w:shd w:val="clear" w:color="auto" w:fill="auto"/>
            <w:noWrap/>
            <w:hideMark/>
          </w:tcPr>
          <w:p w14:paraId="555C4CB5" w14:textId="77777777" w:rsidR="00AC5F01" w:rsidRPr="002E4398" w:rsidRDefault="00AC5F01" w:rsidP="002E4398">
            <w:pPr>
              <w:pStyle w:val="TableText"/>
              <w:tabs>
                <w:tab w:val="decimal" w:pos="1049"/>
              </w:tabs>
              <w:rPr>
                <w:sz w:val="20"/>
                <w:lang w:eastAsia="en-AU"/>
              </w:rPr>
            </w:pPr>
            <w:r w:rsidRPr="002E4398">
              <w:rPr>
                <w:sz w:val="20"/>
              </w:rPr>
              <w:t>33,600</w:t>
            </w:r>
          </w:p>
        </w:tc>
        <w:tc>
          <w:tcPr>
            <w:tcW w:w="1807" w:type="dxa"/>
            <w:shd w:val="clear" w:color="auto" w:fill="auto"/>
            <w:noWrap/>
            <w:hideMark/>
          </w:tcPr>
          <w:p w14:paraId="50F7B104" w14:textId="77777777" w:rsidR="00AC5F01" w:rsidRPr="002E4398" w:rsidRDefault="00AC5F01" w:rsidP="002E4398">
            <w:pPr>
              <w:pStyle w:val="TableText"/>
              <w:tabs>
                <w:tab w:val="decimal" w:pos="1049"/>
              </w:tabs>
              <w:rPr>
                <w:sz w:val="20"/>
                <w:lang w:eastAsia="en-AU"/>
              </w:rPr>
            </w:pPr>
            <w:r w:rsidRPr="002E4398">
              <w:rPr>
                <w:sz w:val="20"/>
              </w:rPr>
              <w:t>2,400</w:t>
            </w:r>
          </w:p>
        </w:tc>
        <w:tc>
          <w:tcPr>
            <w:tcW w:w="1807" w:type="dxa"/>
          </w:tcPr>
          <w:p w14:paraId="494ECA8F" w14:textId="77777777" w:rsidR="00AC5F01" w:rsidRPr="002E4398" w:rsidRDefault="00AC5F01" w:rsidP="002E4398">
            <w:pPr>
              <w:pStyle w:val="TableText"/>
              <w:tabs>
                <w:tab w:val="decimal" w:pos="1049"/>
              </w:tabs>
              <w:rPr>
                <w:bCs/>
                <w:sz w:val="20"/>
              </w:rPr>
            </w:pPr>
            <w:r w:rsidRPr="002E4398">
              <w:rPr>
                <w:bCs/>
                <w:sz w:val="20"/>
              </w:rPr>
              <w:t>27,000</w:t>
            </w:r>
          </w:p>
        </w:tc>
        <w:tc>
          <w:tcPr>
            <w:tcW w:w="1808" w:type="dxa"/>
          </w:tcPr>
          <w:p w14:paraId="6EBD9D33" w14:textId="77777777" w:rsidR="00AC5F01" w:rsidRPr="002E4398" w:rsidRDefault="00AC5F01" w:rsidP="002E4398">
            <w:pPr>
              <w:pStyle w:val="TableText"/>
              <w:tabs>
                <w:tab w:val="decimal" w:pos="1049"/>
              </w:tabs>
              <w:rPr>
                <w:bCs/>
                <w:sz w:val="20"/>
              </w:rPr>
            </w:pPr>
            <w:r w:rsidRPr="002E4398">
              <w:rPr>
                <w:bCs/>
                <w:sz w:val="20"/>
              </w:rPr>
              <w:t>1,900</w:t>
            </w:r>
          </w:p>
        </w:tc>
      </w:tr>
      <w:tr w:rsidR="00AC5F01" w:rsidRPr="00F8416E" w14:paraId="679526DB" w14:textId="77777777" w:rsidTr="00685D68">
        <w:trPr>
          <w:cantSplit/>
        </w:trPr>
        <w:tc>
          <w:tcPr>
            <w:tcW w:w="1843" w:type="dxa"/>
            <w:shd w:val="clear" w:color="auto" w:fill="auto"/>
            <w:noWrap/>
            <w:hideMark/>
          </w:tcPr>
          <w:p w14:paraId="109980FF" w14:textId="77777777" w:rsidR="00AC5F01" w:rsidRPr="002E4398" w:rsidRDefault="00AC5F01" w:rsidP="0061158A">
            <w:pPr>
              <w:pStyle w:val="TableText"/>
              <w:rPr>
                <w:sz w:val="20"/>
                <w:lang w:eastAsia="en-AU"/>
              </w:rPr>
            </w:pPr>
            <w:r w:rsidRPr="002E4398">
              <w:rPr>
                <w:sz w:val="20"/>
              </w:rPr>
              <w:t>Ketamine</w:t>
            </w:r>
          </w:p>
        </w:tc>
        <w:tc>
          <w:tcPr>
            <w:tcW w:w="1807" w:type="dxa"/>
            <w:shd w:val="clear" w:color="auto" w:fill="auto"/>
            <w:noWrap/>
            <w:hideMark/>
          </w:tcPr>
          <w:p w14:paraId="6BF67A4B" w14:textId="77777777" w:rsidR="00AC5F01" w:rsidRPr="002E4398" w:rsidRDefault="00AC5F01" w:rsidP="002E4398">
            <w:pPr>
              <w:pStyle w:val="TableText"/>
              <w:tabs>
                <w:tab w:val="decimal" w:pos="1049"/>
              </w:tabs>
              <w:rPr>
                <w:sz w:val="20"/>
                <w:lang w:eastAsia="en-AU"/>
              </w:rPr>
            </w:pPr>
            <w:r w:rsidRPr="002E4398">
              <w:rPr>
                <w:sz w:val="20"/>
              </w:rPr>
              <w:t>32,900</w:t>
            </w:r>
          </w:p>
        </w:tc>
        <w:tc>
          <w:tcPr>
            <w:tcW w:w="1807" w:type="dxa"/>
            <w:shd w:val="clear" w:color="auto" w:fill="auto"/>
            <w:noWrap/>
            <w:hideMark/>
          </w:tcPr>
          <w:p w14:paraId="69BE9045" w14:textId="77777777" w:rsidR="00AC5F01" w:rsidRPr="002E4398" w:rsidRDefault="00AC5F01" w:rsidP="002E4398">
            <w:pPr>
              <w:pStyle w:val="TableText"/>
              <w:tabs>
                <w:tab w:val="decimal" w:pos="1049"/>
              </w:tabs>
              <w:rPr>
                <w:sz w:val="20"/>
                <w:lang w:eastAsia="en-AU"/>
              </w:rPr>
            </w:pPr>
            <w:r w:rsidRPr="002E4398">
              <w:rPr>
                <w:sz w:val="20"/>
              </w:rPr>
              <w:t>2,500</w:t>
            </w:r>
          </w:p>
        </w:tc>
        <w:tc>
          <w:tcPr>
            <w:tcW w:w="1807" w:type="dxa"/>
          </w:tcPr>
          <w:p w14:paraId="4EB19F2D" w14:textId="77777777" w:rsidR="00AC5F01" w:rsidRPr="002E4398" w:rsidRDefault="00AC5F01" w:rsidP="002E4398">
            <w:pPr>
              <w:pStyle w:val="TableText"/>
              <w:tabs>
                <w:tab w:val="decimal" w:pos="1049"/>
              </w:tabs>
              <w:rPr>
                <w:bCs/>
                <w:sz w:val="20"/>
              </w:rPr>
            </w:pPr>
            <w:r w:rsidRPr="002E4398">
              <w:rPr>
                <w:bCs/>
                <w:sz w:val="20"/>
              </w:rPr>
              <w:t>26,200</w:t>
            </w:r>
          </w:p>
        </w:tc>
        <w:tc>
          <w:tcPr>
            <w:tcW w:w="1808" w:type="dxa"/>
          </w:tcPr>
          <w:p w14:paraId="0F3461B5" w14:textId="77777777" w:rsidR="00AC5F01" w:rsidRPr="002E4398" w:rsidRDefault="00AC5F01" w:rsidP="002E4398">
            <w:pPr>
              <w:pStyle w:val="TableText"/>
              <w:tabs>
                <w:tab w:val="decimal" w:pos="1049"/>
              </w:tabs>
              <w:rPr>
                <w:bCs/>
                <w:sz w:val="20"/>
              </w:rPr>
            </w:pPr>
            <w:r w:rsidRPr="002E4398">
              <w:rPr>
                <w:bCs/>
                <w:sz w:val="20"/>
              </w:rPr>
              <w:t>2,000</w:t>
            </w:r>
          </w:p>
        </w:tc>
      </w:tr>
      <w:tr w:rsidR="00AC5F01" w:rsidRPr="00F8416E" w14:paraId="0BB33CA8" w14:textId="77777777" w:rsidTr="00685D68">
        <w:trPr>
          <w:cantSplit/>
        </w:trPr>
        <w:tc>
          <w:tcPr>
            <w:tcW w:w="1843" w:type="dxa"/>
            <w:shd w:val="clear" w:color="auto" w:fill="auto"/>
            <w:noWrap/>
            <w:hideMark/>
          </w:tcPr>
          <w:p w14:paraId="6000920C" w14:textId="77777777" w:rsidR="00AC5F01" w:rsidRPr="002E4398" w:rsidRDefault="00AC5F01" w:rsidP="0061158A">
            <w:pPr>
              <w:pStyle w:val="TableText"/>
              <w:rPr>
                <w:sz w:val="20"/>
                <w:lang w:eastAsia="en-AU"/>
              </w:rPr>
            </w:pPr>
            <w:r w:rsidRPr="002E4398">
              <w:rPr>
                <w:sz w:val="20"/>
              </w:rPr>
              <w:t>GHB</w:t>
            </w:r>
          </w:p>
        </w:tc>
        <w:tc>
          <w:tcPr>
            <w:tcW w:w="1807" w:type="dxa"/>
            <w:shd w:val="clear" w:color="auto" w:fill="auto"/>
            <w:noWrap/>
            <w:hideMark/>
          </w:tcPr>
          <w:p w14:paraId="10EFC52E" w14:textId="77777777" w:rsidR="00AC5F01" w:rsidRPr="002E4398" w:rsidRDefault="00AC5F01" w:rsidP="002E4398">
            <w:pPr>
              <w:pStyle w:val="TableText"/>
              <w:tabs>
                <w:tab w:val="decimal" w:pos="1049"/>
              </w:tabs>
              <w:rPr>
                <w:sz w:val="20"/>
                <w:lang w:eastAsia="en-AU"/>
              </w:rPr>
            </w:pPr>
            <w:r w:rsidRPr="002E4398">
              <w:rPr>
                <w:sz w:val="20"/>
              </w:rPr>
              <w:t>32,100</w:t>
            </w:r>
          </w:p>
        </w:tc>
        <w:tc>
          <w:tcPr>
            <w:tcW w:w="1807" w:type="dxa"/>
            <w:shd w:val="clear" w:color="auto" w:fill="auto"/>
            <w:noWrap/>
            <w:hideMark/>
          </w:tcPr>
          <w:p w14:paraId="596C41FD" w14:textId="77777777" w:rsidR="00AC5F01" w:rsidRPr="002E4398" w:rsidRDefault="00AC5F01" w:rsidP="002E4398">
            <w:pPr>
              <w:pStyle w:val="TableText"/>
              <w:tabs>
                <w:tab w:val="decimal" w:pos="1049"/>
              </w:tabs>
              <w:rPr>
                <w:sz w:val="20"/>
                <w:lang w:eastAsia="en-AU"/>
              </w:rPr>
            </w:pPr>
            <w:r w:rsidRPr="002E4398">
              <w:rPr>
                <w:sz w:val="20"/>
              </w:rPr>
              <w:t>2,600</w:t>
            </w:r>
          </w:p>
        </w:tc>
        <w:tc>
          <w:tcPr>
            <w:tcW w:w="1807" w:type="dxa"/>
          </w:tcPr>
          <w:p w14:paraId="292C5D4E" w14:textId="77777777" w:rsidR="00AC5F01" w:rsidRPr="002E4398" w:rsidRDefault="00AC5F01" w:rsidP="002E4398">
            <w:pPr>
              <w:pStyle w:val="TableText"/>
              <w:tabs>
                <w:tab w:val="decimal" w:pos="1049"/>
              </w:tabs>
              <w:rPr>
                <w:bCs/>
                <w:sz w:val="20"/>
              </w:rPr>
            </w:pPr>
            <w:r w:rsidRPr="002E4398">
              <w:rPr>
                <w:bCs/>
                <w:sz w:val="20"/>
              </w:rPr>
              <w:t>25,400</w:t>
            </w:r>
          </w:p>
        </w:tc>
        <w:tc>
          <w:tcPr>
            <w:tcW w:w="1808" w:type="dxa"/>
          </w:tcPr>
          <w:p w14:paraId="26043D5F" w14:textId="77777777" w:rsidR="00AC5F01" w:rsidRPr="002E4398" w:rsidRDefault="00AC5F01" w:rsidP="002E4398">
            <w:pPr>
              <w:pStyle w:val="TableText"/>
              <w:tabs>
                <w:tab w:val="decimal" w:pos="1049"/>
              </w:tabs>
              <w:rPr>
                <w:bCs/>
                <w:sz w:val="20"/>
              </w:rPr>
            </w:pPr>
            <w:r w:rsidRPr="002E4398">
              <w:rPr>
                <w:bCs/>
                <w:sz w:val="20"/>
              </w:rPr>
              <w:t>2,100</w:t>
            </w:r>
          </w:p>
        </w:tc>
      </w:tr>
      <w:tr w:rsidR="00AC5F01" w:rsidRPr="00F8416E" w14:paraId="49F0A2AD" w14:textId="77777777" w:rsidTr="00685D68">
        <w:trPr>
          <w:cantSplit/>
        </w:trPr>
        <w:tc>
          <w:tcPr>
            <w:tcW w:w="1843" w:type="dxa"/>
            <w:shd w:val="clear" w:color="auto" w:fill="auto"/>
            <w:noWrap/>
            <w:hideMark/>
          </w:tcPr>
          <w:p w14:paraId="762AB605" w14:textId="77777777" w:rsidR="00AC5F01" w:rsidRPr="002E4398" w:rsidRDefault="00AC5F01" w:rsidP="0061158A">
            <w:pPr>
              <w:pStyle w:val="TableText"/>
              <w:rPr>
                <w:sz w:val="20"/>
                <w:lang w:eastAsia="en-AU"/>
              </w:rPr>
            </w:pPr>
            <w:r w:rsidRPr="002E4398">
              <w:rPr>
                <w:sz w:val="20"/>
              </w:rPr>
              <w:t>Pharma-stimulants</w:t>
            </w:r>
          </w:p>
        </w:tc>
        <w:tc>
          <w:tcPr>
            <w:tcW w:w="1807" w:type="dxa"/>
            <w:shd w:val="clear" w:color="auto" w:fill="auto"/>
            <w:noWrap/>
            <w:hideMark/>
          </w:tcPr>
          <w:p w14:paraId="5F95D879" w14:textId="77777777" w:rsidR="00AC5F01" w:rsidRPr="002E4398" w:rsidRDefault="00AC5F01" w:rsidP="002E4398">
            <w:pPr>
              <w:pStyle w:val="TableText"/>
              <w:tabs>
                <w:tab w:val="decimal" w:pos="1049"/>
              </w:tabs>
              <w:rPr>
                <w:sz w:val="20"/>
                <w:lang w:eastAsia="en-AU"/>
              </w:rPr>
            </w:pPr>
            <w:r w:rsidRPr="002E4398">
              <w:rPr>
                <w:sz w:val="20"/>
              </w:rPr>
              <w:t>31,400</w:t>
            </w:r>
          </w:p>
        </w:tc>
        <w:tc>
          <w:tcPr>
            <w:tcW w:w="1807" w:type="dxa"/>
            <w:shd w:val="clear" w:color="auto" w:fill="auto"/>
            <w:noWrap/>
            <w:hideMark/>
          </w:tcPr>
          <w:p w14:paraId="129E8123" w14:textId="77777777" w:rsidR="00AC5F01" w:rsidRPr="002E4398" w:rsidRDefault="00AC5F01" w:rsidP="002E4398">
            <w:pPr>
              <w:pStyle w:val="TableText"/>
              <w:tabs>
                <w:tab w:val="decimal" w:pos="1049"/>
              </w:tabs>
              <w:rPr>
                <w:sz w:val="20"/>
                <w:lang w:eastAsia="en-AU"/>
              </w:rPr>
            </w:pPr>
            <w:r w:rsidRPr="002E4398">
              <w:rPr>
                <w:sz w:val="20"/>
              </w:rPr>
              <w:t>2,200</w:t>
            </w:r>
          </w:p>
        </w:tc>
        <w:tc>
          <w:tcPr>
            <w:tcW w:w="1807" w:type="dxa"/>
          </w:tcPr>
          <w:p w14:paraId="65CCD3C2" w14:textId="77777777" w:rsidR="00AC5F01" w:rsidRPr="002E4398" w:rsidRDefault="00AC5F01" w:rsidP="002E4398">
            <w:pPr>
              <w:pStyle w:val="TableText"/>
              <w:tabs>
                <w:tab w:val="decimal" w:pos="1049"/>
              </w:tabs>
              <w:rPr>
                <w:bCs/>
                <w:sz w:val="20"/>
              </w:rPr>
            </w:pPr>
            <w:r w:rsidRPr="002E4398">
              <w:rPr>
                <w:bCs/>
                <w:sz w:val="20"/>
              </w:rPr>
              <w:t>24,600</w:t>
            </w:r>
          </w:p>
        </w:tc>
        <w:tc>
          <w:tcPr>
            <w:tcW w:w="1808" w:type="dxa"/>
          </w:tcPr>
          <w:p w14:paraId="7DE4B495" w14:textId="77777777" w:rsidR="00AC5F01" w:rsidRPr="002E4398" w:rsidRDefault="00AC5F01" w:rsidP="002E4398">
            <w:pPr>
              <w:pStyle w:val="TableText"/>
              <w:tabs>
                <w:tab w:val="decimal" w:pos="1049"/>
              </w:tabs>
              <w:rPr>
                <w:bCs/>
                <w:sz w:val="20"/>
              </w:rPr>
            </w:pPr>
            <w:r w:rsidRPr="002E4398">
              <w:rPr>
                <w:bCs/>
                <w:sz w:val="20"/>
              </w:rPr>
              <w:t>1,700</w:t>
            </w:r>
          </w:p>
        </w:tc>
      </w:tr>
      <w:tr w:rsidR="00AC5F01" w:rsidRPr="00F8416E" w14:paraId="18A2B1B9" w14:textId="77777777" w:rsidTr="00685D68">
        <w:trPr>
          <w:cantSplit/>
        </w:trPr>
        <w:tc>
          <w:tcPr>
            <w:tcW w:w="1843" w:type="dxa"/>
            <w:shd w:val="clear" w:color="auto" w:fill="auto"/>
            <w:noWrap/>
            <w:hideMark/>
          </w:tcPr>
          <w:p w14:paraId="2F9DAC14" w14:textId="77777777" w:rsidR="00AC5F01" w:rsidRPr="002E4398" w:rsidRDefault="00AC5F01" w:rsidP="0061158A">
            <w:pPr>
              <w:pStyle w:val="TableText"/>
              <w:rPr>
                <w:sz w:val="20"/>
                <w:lang w:eastAsia="en-AU"/>
              </w:rPr>
            </w:pPr>
            <w:r w:rsidRPr="002E4398">
              <w:rPr>
                <w:sz w:val="20"/>
              </w:rPr>
              <w:t>Cannabis</w:t>
            </w:r>
          </w:p>
        </w:tc>
        <w:tc>
          <w:tcPr>
            <w:tcW w:w="1807" w:type="dxa"/>
            <w:shd w:val="clear" w:color="auto" w:fill="auto"/>
            <w:noWrap/>
            <w:hideMark/>
          </w:tcPr>
          <w:p w14:paraId="4EDF3DF4" w14:textId="77777777" w:rsidR="00AC5F01" w:rsidRPr="002E4398" w:rsidRDefault="00AC5F01" w:rsidP="002E4398">
            <w:pPr>
              <w:pStyle w:val="TableText"/>
              <w:tabs>
                <w:tab w:val="decimal" w:pos="1049"/>
              </w:tabs>
              <w:rPr>
                <w:bCs/>
                <w:sz w:val="20"/>
                <w:lang w:eastAsia="en-AU"/>
              </w:rPr>
            </w:pPr>
            <w:r w:rsidRPr="002E4398">
              <w:rPr>
                <w:bCs/>
                <w:sz w:val="20"/>
              </w:rPr>
              <w:t>29,100</w:t>
            </w:r>
          </w:p>
        </w:tc>
        <w:tc>
          <w:tcPr>
            <w:tcW w:w="1807" w:type="dxa"/>
            <w:shd w:val="clear" w:color="auto" w:fill="auto"/>
            <w:noWrap/>
            <w:hideMark/>
          </w:tcPr>
          <w:p w14:paraId="65588671" w14:textId="77777777" w:rsidR="00AC5F01" w:rsidRPr="002E4398" w:rsidRDefault="00AC5F01" w:rsidP="002E4398">
            <w:pPr>
              <w:pStyle w:val="TableText"/>
              <w:tabs>
                <w:tab w:val="decimal" w:pos="1049"/>
              </w:tabs>
              <w:rPr>
                <w:bCs/>
                <w:sz w:val="20"/>
                <w:lang w:eastAsia="en-AU"/>
              </w:rPr>
            </w:pPr>
            <w:r w:rsidRPr="002E4398">
              <w:rPr>
                <w:bCs/>
                <w:sz w:val="20"/>
              </w:rPr>
              <w:t>2,100</w:t>
            </w:r>
          </w:p>
        </w:tc>
        <w:tc>
          <w:tcPr>
            <w:tcW w:w="1807" w:type="dxa"/>
          </w:tcPr>
          <w:p w14:paraId="102A7DDD" w14:textId="77777777" w:rsidR="00AC5F01" w:rsidRPr="002E4398" w:rsidRDefault="00AC5F01" w:rsidP="002E4398">
            <w:pPr>
              <w:pStyle w:val="TableText"/>
              <w:tabs>
                <w:tab w:val="decimal" w:pos="1049"/>
              </w:tabs>
              <w:rPr>
                <w:bCs/>
                <w:sz w:val="20"/>
              </w:rPr>
            </w:pPr>
            <w:r w:rsidRPr="002E4398">
              <w:rPr>
                <w:bCs/>
                <w:sz w:val="20"/>
              </w:rPr>
              <w:t>22,100</w:t>
            </w:r>
          </w:p>
        </w:tc>
        <w:tc>
          <w:tcPr>
            <w:tcW w:w="1808" w:type="dxa"/>
          </w:tcPr>
          <w:p w14:paraId="492B2E79" w14:textId="77777777" w:rsidR="00AC5F01" w:rsidRPr="002E4398" w:rsidRDefault="00AC5F01" w:rsidP="002E4398">
            <w:pPr>
              <w:pStyle w:val="TableText"/>
              <w:tabs>
                <w:tab w:val="decimal" w:pos="1049"/>
              </w:tabs>
              <w:rPr>
                <w:bCs/>
                <w:sz w:val="20"/>
              </w:rPr>
            </w:pPr>
            <w:r w:rsidRPr="002E4398">
              <w:rPr>
                <w:bCs/>
                <w:sz w:val="20"/>
              </w:rPr>
              <w:t>1,600</w:t>
            </w:r>
          </w:p>
        </w:tc>
      </w:tr>
      <w:tr w:rsidR="00AC5F01" w:rsidRPr="00F8416E" w14:paraId="2659CF0E" w14:textId="77777777" w:rsidTr="00685D68">
        <w:trPr>
          <w:cantSplit/>
        </w:trPr>
        <w:tc>
          <w:tcPr>
            <w:tcW w:w="1843" w:type="dxa"/>
            <w:shd w:val="clear" w:color="auto" w:fill="auto"/>
            <w:noWrap/>
            <w:hideMark/>
          </w:tcPr>
          <w:p w14:paraId="3488D0E9" w14:textId="77777777" w:rsidR="00AC5F01" w:rsidRPr="002E4398" w:rsidRDefault="00AC5F01" w:rsidP="0061158A">
            <w:pPr>
              <w:pStyle w:val="TableText"/>
              <w:rPr>
                <w:sz w:val="20"/>
                <w:lang w:eastAsia="en-AU"/>
              </w:rPr>
            </w:pPr>
            <w:r w:rsidRPr="002E4398">
              <w:rPr>
                <w:sz w:val="20"/>
              </w:rPr>
              <w:t>LSD</w:t>
            </w:r>
          </w:p>
        </w:tc>
        <w:tc>
          <w:tcPr>
            <w:tcW w:w="1807" w:type="dxa"/>
            <w:shd w:val="clear" w:color="auto" w:fill="auto"/>
            <w:noWrap/>
            <w:hideMark/>
          </w:tcPr>
          <w:p w14:paraId="7FC35827" w14:textId="77777777" w:rsidR="00AC5F01" w:rsidRPr="002E4398" w:rsidRDefault="00AC5F01" w:rsidP="002E4398">
            <w:pPr>
              <w:pStyle w:val="TableText"/>
              <w:tabs>
                <w:tab w:val="decimal" w:pos="1049"/>
              </w:tabs>
              <w:rPr>
                <w:bCs/>
                <w:sz w:val="20"/>
                <w:lang w:eastAsia="en-AU"/>
              </w:rPr>
            </w:pPr>
            <w:r w:rsidRPr="002E4398">
              <w:rPr>
                <w:sz w:val="20"/>
              </w:rPr>
              <w:t>6,200</w:t>
            </w:r>
          </w:p>
        </w:tc>
        <w:tc>
          <w:tcPr>
            <w:tcW w:w="1807" w:type="dxa"/>
            <w:shd w:val="clear" w:color="auto" w:fill="auto"/>
            <w:noWrap/>
            <w:hideMark/>
          </w:tcPr>
          <w:p w14:paraId="0419C463" w14:textId="77777777" w:rsidR="00AC5F01" w:rsidRPr="002E4398" w:rsidRDefault="00AC5F01" w:rsidP="002E4398">
            <w:pPr>
              <w:pStyle w:val="TableText"/>
              <w:tabs>
                <w:tab w:val="decimal" w:pos="1049"/>
              </w:tabs>
              <w:rPr>
                <w:bCs/>
                <w:sz w:val="20"/>
                <w:lang w:eastAsia="en-AU"/>
              </w:rPr>
            </w:pPr>
            <w:r w:rsidRPr="002E4398">
              <w:rPr>
                <w:sz w:val="20"/>
              </w:rPr>
              <w:t>2,200</w:t>
            </w:r>
          </w:p>
        </w:tc>
        <w:tc>
          <w:tcPr>
            <w:tcW w:w="1807" w:type="dxa"/>
          </w:tcPr>
          <w:p w14:paraId="6B8FB2F3" w14:textId="77777777" w:rsidR="00AC5F01" w:rsidRPr="002E4398" w:rsidRDefault="00AC5F01" w:rsidP="002E4398">
            <w:pPr>
              <w:pStyle w:val="TableText"/>
              <w:tabs>
                <w:tab w:val="decimal" w:pos="1049"/>
              </w:tabs>
              <w:rPr>
                <w:bCs/>
                <w:sz w:val="20"/>
              </w:rPr>
            </w:pPr>
            <w:r w:rsidRPr="002E4398">
              <w:rPr>
                <w:bCs/>
                <w:sz w:val="20"/>
              </w:rPr>
              <w:t>4,700</w:t>
            </w:r>
          </w:p>
        </w:tc>
        <w:tc>
          <w:tcPr>
            <w:tcW w:w="1808" w:type="dxa"/>
          </w:tcPr>
          <w:p w14:paraId="02D0FBD5" w14:textId="77777777" w:rsidR="00AC5F01" w:rsidRPr="002E4398" w:rsidRDefault="00AC5F01" w:rsidP="002E4398">
            <w:pPr>
              <w:pStyle w:val="TableText"/>
              <w:tabs>
                <w:tab w:val="decimal" w:pos="1049"/>
              </w:tabs>
              <w:rPr>
                <w:bCs/>
                <w:sz w:val="20"/>
              </w:rPr>
            </w:pPr>
            <w:r w:rsidRPr="002E4398">
              <w:rPr>
                <w:bCs/>
                <w:sz w:val="20"/>
              </w:rPr>
              <w:t>1,700</w:t>
            </w:r>
          </w:p>
        </w:tc>
      </w:tr>
      <w:tr w:rsidR="00AC5F01" w:rsidRPr="00F8416E" w14:paraId="7E8727BF" w14:textId="77777777" w:rsidTr="00685D68">
        <w:trPr>
          <w:cantSplit/>
        </w:trPr>
        <w:tc>
          <w:tcPr>
            <w:tcW w:w="1843" w:type="dxa"/>
            <w:shd w:val="clear" w:color="auto" w:fill="auto"/>
            <w:noWrap/>
            <w:hideMark/>
          </w:tcPr>
          <w:p w14:paraId="5E691A29" w14:textId="77777777" w:rsidR="00AC5F01" w:rsidRPr="002E4398" w:rsidRDefault="00AC5F01" w:rsidP="0061158A">
            <w:pPr>
              <w:pStyle w:val="TableText"/>
              <w:rPr>
                <w:sz w:val="20"/>
                <w:lang w:eastAsia="en-AU"/>
              </w:rPr>
            </w:pPr>
            <w:r w:rsidRPr="002E4398">
              <w:rPr>
                <w:sz w:val="20"/>
              </w:rPr>
              <w:t>Ecstasy</w:t>
            </w:r>
          </w:p>
        </w:tc>
        <w:tc>
          <w:tcPr>
            <w:tcW w:w="1807" w:type="dxa"/>
            <w:shd w:val="clear" w:color="auto" w:fill="auto"/>
            <w:noWrap/>
            <w:hideMark/>
          </w:tcPr>
          <w:p w14:paraId="011D9215" w14:textId="77777777" w:rsidR="00AC5F01" w:rsidRPr="002E4398" w:rsidRDefault="00AC5F01" w:rsidP="002E4398">
            <w:pPr>
              <w:pStyle w:val="TableText"/>
              <w:tabs>
                <w:tab w:val="decimal" w:pos="1049"/>
              </w:tabs>
              <w:rPr>
                <w:sz w:val="20"/>
                <w:lang w:eastAsia="en-AU"/>
              </w:rPr>
            </w:pPr>
            <w:r w:rsidRPr="002E4398">
              <w:rPr>
                <w:bCs/>
                <w:sz w:val="20"/>
              </w:rPr>
              <w:t>6,200</w:t>
            </w:r>
          </w:p>
        </w:tc>
        <w:tc>
          <w:tcPr>
            <w:tcW w:w="1807" w:type="dxa"/>
            <w:shd w:val="clear" w:color="auto" w:fill="auto"/>
            <w:noWrap/>
            <w:hideMark/>
          </w:tcPr>
          <w:p w14:paraId="6679D46B" w14:textId="77777777" w:rsidR="00AC5F01" w:rsidRPr="002E4398" w:rsidRDefault="00AC5F01" w:rsidP="002E4398">
            <w:pPr>
              <w:pStyle w:val="TableText"/>
              <w:tabs>
                <w:tab w:val="decimal" w:pos="1049"/>
              </w:tabs>
              <w:rPr>
                <w:sz w:val="20"/>
                <w:lang w:eastAsia="en-AU"/>
              </w:rPr>
            </w:pPr>
            <w:r w:rsidRPr="002E4398">
              <w:rPr>
                <w:bCs/>
                <w:sz w:val="20"/>
              </w:rPr>
              <w:t>400</w:t>
            </w:r>
          </w:p>
        </w:tc>
        <w:tc>
          <w:tcPr>
            <w:tcW w:w="1807" w:type="dxa"/>
          </w:tcPr>
          <w:p w14:paraId="6AD6EDD4" w14:textId="77777777" w:rsidR="00AC5F01" w:rsidRPr="002E4398" w:rsidRDefault="00AC5F01" w:rsidP="002E4398">
            <w:pPr>
              <w:pStyle w:val="TableText"/>
              <w:tabs>
                <w:tab w:val="decimal" w:pos="1049"/>
              </w:tabs>
              <w:rPr>
                <w:bCs/>
                <w:sz w:val="20"/>
              </w:rPr>
            </w:pPr>
            <w:r w:rsidRPr="002E4398">
              <w:rPr>
                <w:bCs/>
                <w:sz w:val="20"/>
              </w:rPr>
              <w:t>4,700</w:t>
            </w:r>
          </w:p>
        </w:tc>
        <w:tc>
          <w:tcPr>
            <w:tcW w:w="1808" w:type="dxa"/>
          </w:tcPr>
          <w:p w14:paraId="526EC4F7" w14:textId="77777777" w:rsidR="00AC5F01" w:rsidRPr="002E4398" w:rsidRDefault="00AC5F01" w:rsidP="002E4398">
            <w:pPr>
              <w:pStyle w:val="TableText"/>
              <w:tabs>
                <w:tab w:val="decimal" w:pos="1049"/>
              </w:tabs>
              <w:rPr>
                <w:bCs/>
                <w:sz w:val="20"/>
              </w:rPr>
            </w:pPr>
            <w:r w:rsidRPr="002E4398">
              <w:rPr>
                <w:bCs/>
                <w:sz w:val="20"/>
              </w:rPr>
              <w:t>300</w:t>
            </w:r>
          </w:p>
        </w:tc>
      </w:tr>
    </w:tbl>
    <w:p w14:paraId="220CB96F" w14:textId="77777777" w:rsidR="00AC5F01" w:rsidRDefault="00AC5F01" w:rsidP="00AC5F01">
      <w:pPr>
        <w:rPr>
          <w:rFonts w:eastAsiaTheme="majorEastAsia"/>
        </w:rPr>
      </w:pPr>
      <w:r>
        <w:br w:type="page"/>
      </w:r>
    </w:p>
    <w:p w14:paraId="5D32924B" w14:textId="77777777" w:rsidR="00AC5F01" w:rsidRPr="00F8416E" w:rsidRDefault="00855926" w:rsidP="00CF5331">
      <w:pPr>
        <w:pStyle w:val="Heading1"/>
      </w:pPr>
      <w:bookmarkStart w:id="9" w:name="_Toc445219666"/>
      <w:r w:rsidRPr="00F8416E">
        <w:lastRenderedPageBreak/>
        <w:t>Evaluating illicit dru</w:t>
      </w:r>
      <w:bookmarkStart w:id="10" w:name="_GoBack"/>
      <w:bookmarkEnd w:id="10"/>
      <w:r w:rsidRPr="00F8416E">
        <w:t>g programmes and specific interventions</w:t>
      </w:r>
      <w:bookmarkEnd w:id="9"/>
    </w:p>
    <w:p w14:paraId="78231F35" w14:textId="14F5805D" w:rsidR="00AC5F01" w:rsidRPr="00F8416E" w:rsidRDefault="00AC5F01" w:rsidP="00CF5331">
      <w:r w:rsidRPr="00F8416E">
        <w:t>In general, the DHI has been used mainly to evaluate the success of programmes and specific interventions. Researchers interested in evaluation will need to complete Steps 1−</w:t>
      </w:r>
      <w:r>
        <w:t>5</w:t>
      </w:r>
      <w:r w:rsidRPr="00F8416E">
        <w:t xml:space="preserve"> outlined previously as the first stage of their evaluation before proceeding.</w:t>
      </w:r>
    </w:p>
    <w:p w14:paraId="76713DE5" w14:textId="294A3372" w:rsidR="00AC5F01" w:rsidRPr="00F8416E" w:rsidRDefault="00AC5F01" w:rsidP="00CF5331">
      <w:pPr>
        <w:pStyle w:val="Heading2"/>
      </w:pPr>
      <w:bookmarkStart w:id="11" w:name="_Toc445219667"/>
      <w:proofErr w:type="gramStart"/>
      <w:r w:rsidRPr="00F8416E">
        <w:t xml:space="preserve">Step </w:t>
      </w:r>
      <w:r>
        <w:t>6</w:t>
      </w:r>
      <w:r w:rsidRPr="00F8416E">
        <w:t>.</w:t>
      </w:r>
      <w:proofErr w:type="gramEnd"/>
      <w:r w:rsidRPr="00F8416E">
        <w:t xml:space="preserve"> Estimating the extent of benefits related to an intervention</w:t>
      </w:r>
      <w:bookmarkEnd w:id="11"/>
    </w:p>
    <w:p w14:paraId="71606DF4" w14:textId="77777777" w:rsidR="00AC5F01" w:rsidRPr="00F8416E" w:rsidRDefault="00192D85" w:rsidP="00CF5331">
      <w:r>
        <w:t>S</w:t>
      </w:r>
      <w:r w:rsidR="00AC5F01" w:rsidRPr="00F8416E">
        <w:t>ocial costs include both the cost of personal and community harms and the cost of interventions. In measuring the benefits associated with an intervention or programme it is the personal and community harms tha</w:t>
      </w:r>
      <w:r w:rsidR="00AC5F01" w:rsidRPr="00F8416E">
        <w:t>t are of interest, not the cost of interventions. This is discussed at greater length in the full report. At this point it is assumed that researchers will use the cost of harm in their evaluations, not the total social cost, unless there are compelling reasons to do otherwise. Again, researchers are reminded to treat harm estimates at the drug-type level with caution.</w:t>
      </w:r>
    </w:p>
    <w:p w14:paraId="1B671BE9" w14:textId="77777777" w:rsidR="00AC5F01" w:rsidRPr="00F8416E" w:rsidRDefault="00AC5F01" w:rsidP="00CF5331">
      <w:r w:rsidRPr="00F8416E">
        <w:t>The calculation of the extent of benefits will depend on the type of intervention involved. In the past, law enforcement has tended to assume that drugs seized are effectively eliminated from the community, and the full harm per kilogram applied. This was in line with expert advice at the time. However, it is now realised that illicit drug shortfalls may be temporary. It is recommended that law enforcement consider the likely period it takes to replace</w:t>
      </w:r>
      <w:r>
        <w:t xml:space="preserve"> an amount of drugs seized.</w:t>
      </w:r>
    </w:p>
    <w:p w14:paraId="5DA66D45" w14:textId="77777777" w:rsidR="00AC5F01" w:rsidRPr="00F8416E" w:rsidRDefault="00AC5F01" w:rsidP="00CF5331">
      <w:r w:rsidRPr="00F8416E">
        <w:t>In Australia, for example, it has been estimated that heroin importations tend to take three to six months from time of importation to the appearance of the drug on the streets. The time from the placement of the initial order will of course be longer. A more accurate assessment of the delay in replacing seized drugs would result in a more accurate estimation of the benefits of seizures. As a starting point, an effective benefit life of six to nine months is suggested for seasonal and imported drugs. A benefit life of three to six months is plausible for locally produced synthetic drugs. Local knowledge should be preferred to the broad estimates given here, but these should be fully documented.</w:t>
      </w:r>
    </w:p>
    <w:p w14:paraId="54BACFAD" w14:textId="77777777" w:rsidR="00AC5F01" w:rsidRPr="00F8416E" w:rsidRDefault="00AC5F01" w:rsidP="00CF5331">
      <w:r w:rsidRPr="00F8416E">
        <w:t>The situation for treatment and education programmes is equally critical, and equally obscure. A reasonable estimate of the likely benefit life of an intervention needs to be based on evidence. There is room for more flexibility here. Estimates based on costs relating to class of user could be employed rather than attempting to measure actual reduction in consumption. A reduction in the status of a user from dependency to casual use or non-use will result in considerable benefits to the individual and the community that can be estimated in dollar terms. The available evidence on recidivism among drug users that successfully complete a treatment programme is also critical to an overall assessment.</w:t>
      </w:r>
    </w:p>
    <w:p w14:paraId="1DBDF0FF" w14:textId="77777777" w:rsidR="00AC5F01" w:rsidRPr="00F8416E" w:rsidRDefault="00AC5F01" w:rsidP="00CF5331">
      <w:r w:rsidRPr="00F8416E">
        <w:t>In short, the benefit life of an intervention is a necessary component of any evaluation, and the responsibility of individual researchers to provide a plausible estimate of its value.</w:t>
      </w:r>
    </w:p>
    <w:p w14:paraId="1AD3359D" w14:textId="1EA47714" w:rsidR="00AC5F01" w:rsidRPr="00F8416E" w:rsidRDefault="00AC5F01" w:rsidP="00CF5331">
      <w:pPr>
        <w:pStyle w:val="Heading2"/>
      </w:pPr>
      <w:bookmarkStart w:id="12" w:name="_Toc445219668"/>
      <w:proofErr w:type="gramStart"/>
      <w:r w:rsidRPr="00F8416E">
        <w:lastRenderedPageBreak/>
        <w:t xml:space="preserve">Step </w:t>
      </w:r>
      <w:r>
        <w:t>7</w:t>
      </w:r>
      <w:r w:rsidRPr="00F8416E">
        <w:t>.</w:t>
      </w:r>
      <w:proofErr w:type="gramEnd"/>
      <w:r w:rsidRPr="00F8416E">
        <w:t xml:space="preserve"> Measuring the costs of interventions</w:t>
      </w:r>
      <w:bookmarkEnd w:id="12"/>
    </w:p>
    <w:p w14:paraId="33BC8CBF" w14:textId="77777777" w:rsidR="00AC5F01" w:rsidRPr="00F8416E" w:rsidRDefault="00AC5F01" w:rsidP="00CF5331">
      <w:r w:rsidRPr="00F8416E">
        <w:t xml:space="preserve">In general, most evaluations involve some type of benefit−cost analysis, whereby the benefits of the programme are presented as a ratio to the costs. For example, </w:t>
      </w:r>
      <w:r>
        <w:t>“</w:t>
      </w:r>
      <w:r w:rsidRPr="00F8416E">
        <w:t>The programme returns $5.50 for every dollar invested in it</w:t>
      </w:r>
      <w:r>
        <w:t>”</w:t>
      </w:r>
      <w:r w:rsidRPr="00F8416E">
        <w:t xml:space="preserve">. It is beyond the scope of this paper to define what </w:t>
      </w:r>
      <w:proofErr w:type="gramStart"/>
      <w:r w:rsidRPr="00F8416E">
        <w:t>should</w:t>
      </w:r>
      <w:proofErr w:type="gramEnd"/>
      <w:r w:rsidRPr="00F8416E">
        <w:t xml:space="preserve"> and should not be included in costs. It is clear that these costs should be precisely defined so that comparisons between interventions or pro</w:t>
      </w:r>
      <w:r w:rsidRPr="00F8416E">
        <w:t>grammes can be made, with adjustments as required.</w:t>
      </w:r>
    </w:p>
    <w:p w14:paraId="63704484" w14:textId="77777777" w:rsidR="00AC5F01" w:rsidRPr="00F8416E" w:rsidRDefault="00AC5F01" w:rsidP="00CF5331">
      <w:r w:rsidRPr="00F8416E">
        <w:t>Given that that the DHI provides a level playing field for the comparison of benefits, a similar attempt at a uniform methodology for the estimation of costs is highly recommended. As far as government services are concerned, it would be useful to have advice from a central agency on this issue. In the absence of such advice, government agencies should at least adopt a uniform approach within their own sphere of activity.</w:t>
      </w:r>
    </w:p>
    <w:p w14:paraId="65016094" w14:textId="77777777" w:rsidR="00AC5F01" w:rsidRDefault="00AC5F01" w:rsidP="00AC5F01">
      <w:pPr>
        <w:rPr>
          <w:rFonts w:eastAsiaTheme="majorEastAsia"/>
        </w:rPr>
      </w:pPr>
      <w:r>
        <w:br w:type="page"/>
      </w:r>
    </w:p>
    <w:p w14:paraId="00E30BCD" w14:textId="77777777" w:rsidR="00AC5F01" w:rsidRPr="00F8416E" w:rsidRDefault="00AC5F01" w:rsidP="00CF5331">
      <w:pPr>
        <w:pStyle w:val="Heading1"/>
      </w:pPr>
      <w:bookmarkStart w:id="13" w:name="_Toc445219669"/>
      <w:r w:rsidRPr="00F8416E">
        <w:lastRenderedPageBreak/>
        <w:t>CLOSING COMMENTS</w:t>
      </w:r>
      <w:bookmarkEnd w:id="13"/>
    </w:p>
    <w:p w14:paraId="21485885" w14:textId="77777777" w:rsidR="00AC5F01" w:rsidRPr="00F8416E" w:rsidRDefault="00AC5F01" w:rsidP="00CF5331">
      <w:r w:rsidRPr="00F8416E">
        <w:t>In the end, an emphasis on clarity and transparency in evaluating programmes and interventions is essential if we wish to compare the cost effectiveness of various interventions and provide an evidence base for future policy development. The DHI itself should not be seen as a limiting factor. If better sources of the costs associated with drug harms become available, then the DHI should be updated accordingly. The emphasis is on development and the adaptability of our response to a constantly changing illicit drug market.</w:t>
      </w:r>
    </w:p>
    <w:p w14:paraId="6F789DC3" w14:textId="77777777" w:rsidR="00AC5F01" w:rsidRPr="00F8416E" w:rsidRDefault="00AC5F01" w:rsidP="00CF5331">
      <w:r w:rsidRPr="00F8416E">
        <w:t>The main obstacle, both in New Zealand and globally, to the development of best practice interventions and evidence-based policy is the lack of available and valid data sets. It was the aim of the 2016 DHI to contribute to that evidence base. There are limitations, however. The major restriction on any work in the area is that drug trafficking is illegal. Collecting information on drug prevalence is an attempt to gauge an illegal activity and, as with all illegal activities, there are obvious barriers to this collection. The measurement of specific harm is often beset with similar problems. As always, caution is advised in interpreting the results.</w:t>
      </w:r>
    </w:p>
    <w:p w14:paraId="01493712" w14:textId="77777777" w:rsidR="00AC5F01" w:rsidRPr="00F8416E" w:rsidRDefault="00AC5F01" w:rsidP="00CF5331">
      <w:r w:rsidRPr="00F8416E">
        <w:t>The 2016 DHI attempted to address these issues by using conservative estimates of key parameters and by verifying these, where possible, against other data sources. Every effort was made to ensure that the new DHI is transparent. The 2016 DHI was constructed as a living document that can be updated according to need. As such, the development of the DHI will never be finalised as long as users, illicit substances and drug markets continue to evolve. It is hoped, however, that by managing a changing environment the DHI will maintain its relevance and value in the policy-making process.</w:t>
      </w:r>
    </w:p>
    <w:p w14:paraId="70D254B9" w14:textId="77777777" w:rsidR="00F93CAD" w:rsidRPr="00E76D66" w:rsidRDefault="00F93CAD" w:rsidP="00E76D66"/>
    <w:sectPr w:rsidR="00F93CAD" w:rsidRPr="00E76D66" w:rsidSect="00685D68">
      <w:headerReference w:type="default" r:id="rId16"/>
      <w:footerReference w:type="default" r:id="rId17"/>
      <w:pgSz w:w="11907" w:h="16834" w:code="9"/>
      <w:pgMar w:top="1701" w:right="1418" w:bottom="1418" w:left="1418" w:header="425" w:footer="425"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B6D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7A884" w14:textId="77777777" w:rsidR="00495900" w:rsidRDefault="00495900">
      <w:pPr>
        <w:spacing w:line="240" w:lineRule="auto"/>
      </w:pPr>
      <w:r>
        <w:separator/>
      </w:r>
    </w:p>
    <w:p w14:paraId="61F8AAFD" w14:textId="77777777" w:rsidR="00495900" w:rsidRDefault="00495900"/>
  </w:endnote>
  <w:endnote w:type="continuationSeparator" w:id="0">
    <w:p w14:paraId="61485A82" w14:textId="77777777" w:rsidR="00495900" w:rsidRDefault="00495900">
      <w:pPr>
        <w:spacing w:line="240" w:lineRule="auto"/>
      </w:pPr>
      <w:r>
        <w:continuationSeparator/>
      </w:r>
    </w:p>
    <w:p w14:paraId="2FC527D0" w14:textId="77777777" w:rsidR="00495900" w:rsidRDefault="0049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9F9B7" w14:textId="77777777" w:rsidR="00EE5CB7" w:rsidRDefault="00EE5CB7" w:rsidP="004D66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22B83" w14:textId="77777777" w:rsidR="00EE5CB7" w:rsidRDefault="00EE5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57B8" w14:textId="77777777" w:rsidR="00671078" w:rsidRPr="00275D08" w:rsidRDefault="0067107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AC5F01">
      <w:rPr>
        <w:rStyle w:val="PageNumber"/>
        <w:noProof/>
      </w:rPr>
      <w:t>iv</w:t>
    </w:r>
    <w:r w:rsidRPr="00FC46E7">
      <w:rPr>
        <w:rStyle w:val="PageNumber"/>
      </w:rPr>
      <w:fldChar w:fldCharType="end"/>
    </w:r>
    <w:r>
      <w:tab/>
    </w:r>
    <w:r w:rsidR="00863117">
      <w:t>[Title: Subhead]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8253F" w14:textId="77777777" w:rsidR="005621F2" w:rsidRDefault="005621F2" w:rsidP="00BF2A2C">
    <w:pPr>
      <w:pStyle w:val="Footer"/>
    </w:pPr>
    <w:r>
      <w:rPr>
        <w:rStyle w:val="PageNumber"/>
      </w:rPr>
      <w:fldChar w:fldCharType="begin"/>
    </w:r>
    <w:r>
      <w:rPr>
        <w:rStyle w:val="PageNumber"/>
      </w:rPr>
      <w:instrText xml:space="preserve"> PAGE </w:instrText>
    </w:r>
    <w:r>
      <w:rPr>
        <w:rStyle w:val="PageNumber"/>
      </w:rPr>
      <w:fldChar w:fldCharType="separate"/>
    </w:r>
    <w:r w:rsidR="007914B6">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44DF" w14:textId="77777777" w:rsidR="00D23323" w:rsidRDefault="005621F2" w:rsidP="009E3C8C">
    <w:pPr>
      <w:pStyle w:val="RectoFooter"/>
    </w:pPr>
    <w:r>
      <w:rPr>
        <w:rStyle w:val="PageNumber"/>
      </w:rPr>
      <w:fldChar w:fldCharType="begin"/>
    </w:r>
    <w:r>
      <w:rPr>
        <w:rStyle w:val="PageNumber"/>
      </w:rPr>
      <w:instrText xml:space="preserve"> PAGE </w:instrText>
    </w:r>
    <w:r>
      <w:rPr>
        <w:rStyle w:val="PageNumber"/>
      </w:rPr>
      <w:fldChar w:fldCharType="separate"/>
    </w:r>
    <w:r w:rsidR="007914B6">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C318B" w14:textId="77777777" w:rsidR="00495900" w:rsidRPr="00A26E6B" w:rsidRDefault="00495900" w:rsidP="00A26E6B"/>
  </w:footnote>
  <w:footnote w:type="continuationSeparator" w:id="0">
    <w:p w14:paraId="244CA536" w14:textId="77777777" w:rsidR="00495900" w:rsidRDefault="00495900">
      <w:pPr>
        <w:spacing w:line="240" w:lineRule="auto"/>
      </w:pPr>
      <w:r>
        <w:continuationSeparator/>
      </w:r>
    </w:p>
    <w:p w14:paraId="2B6ABE7F" w14:textId="77777777" w:rsidR="00495900" w:rsidRDefault="004959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67F5" w14:textId="77777777" w:rsidR="001B4BF8" w:rsidRDefault="001B4BF8" w:rsidP="009216CC">
    <w:pPr>
      <w:pStyle w:val="Header"/>
      <w:ind w:left="-1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3E15" w14:textId="77777777" w:rsidR="009E6B77" w:rsidRDefault="009E6B7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D7230" w14:textId="77777777" w:rsidR="009E6B77" w:rsidRPr="00E7421D" w:rsidRDefault="00E7421D" w:rsidP="00E7421D">
    <w:pPr>
      <w:pBdr>
        <w:bottom w:val="single" w:sz="4" w:space="4" w:color="0070C0"/>
      </w:pBdr>
      <w:spacing w:before="0" w:line="240" w:lineRule="auto"/>
      <w:jc w:val="right"/>
      <w:rPr>
        <w:i/>
        <w:color w:val="0070C0"/>
      </w:rPr>
    </w:pPr>
    <w:r w:rsidRPr="0058023D">
      <w:rPr>
        <w:i/>
        <w:color w:val="0070C0"/>
      </w:rPr>
      <w:t>McFadden Consultancy</w:t>
    </w:r>
    <w:r w:rsidRPr="0058023D">
      <w:rPr>
        <w:i/>
        <w:color w:val="0070C0"/>
      </w:rPr>
      <w:br/>
      <w:t>January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8C27F" w14:textId="2CBA4DB8" w:rsidR="00D23323" w:rsidRPr="0058023D" w:rsidRDefault="00A36DC4" w:rsidP="0058023D">
    <w:pPr>
      <w:pBdr>
        <w:bottom w:val="single" w:sz="4" w:space="4" w:color="0070C0"/>
      </w:pBdr>
      <w:spacing w:before="0" w:line="240" w:lineRule="auto"/>
      <w:jc w:val="right"/>
      <w:rPr>
        <w:i/>
        <w:color w:val="0070C0"/>
      </w:rPr>
    </w:pPr>
    <w:r w:rsidRPr="0058023D">
      <w:rPr>
        <w:i/>
        <w:color w:val="0070C0"/>
      </w:rPr>
      <w:t>McFadden Consultancy</w:t>
    </w:r>
    <w:r w:rsidRPr="0058023D">
      <w:rPr>
        <w:i/>
        <w:color w:val="0070C0"/>
      </w:rPr>
      <w:br/>
    </w:r>
    <w:r w:rsidR="003E0609">
      <w:rPr>
        <w:i/>
        <w:color w:val="0070C0"/>
      </w:rPr>
      <w:t>April</w:t>
    </w:r>
    <w:r w:rsidRPr="0058023D">
      <w:rPr>
        <w:i/>
        <w:color w:val="0070C0"/>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78D3371"/>
    <w:multiLevelType w:val="hybridMultilevel"/>
    <w:tmpl w:val="823CB4E2"/>
    <w:lvl w:ilvl="0" w:tplc="0F186F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205A5689"/>
    <w:multiLevelType w:val="hybridMultilevel"/>
    <w:tmpl w:val="FC7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B7943BF"/>
    <w:multiLevelType w:val="hybridMultilevel"/>
    <w:tmpl w:val="872AFE24"/>
    <w:lvl w:ilvl="0" w:tplc="C032BAF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3">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1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4"/>
  </w:num>
  <w:num w:numId="2">
    <w:abstractNumId w:val="12"/>
  </w:num>
  <w:num w:numId="3">
    <w:abstractNumId w:val="8"/>
  </w:num>
  <w:num w:numId="4">
    <w:abstractNumId w:val="9"/>
  </w:num>
  <w:num w:numId="5">
    <w:abstractNumId w:val="1"/>
  </w:num>
  <w:num w:numId="6">
    <w:abstractNumId w:val="11"/>
  </w:num>
  <w:num w:numId="7">
    <w:abstractNumId w:val="4"/>
  </w:num>
  <w:num w:numId="8">
    <w:abstractNumId w:val="13"/>
  </w:num>
  <w:num w:numId="9">
    <w:abstractNumId w:val="2"/>
  </w:num>
  <w:num w:numId="10">
    <w:abstractNumId w:val="6"/>
  </w:num>
  <w:num w:numId="11">
    <w:abstractNumId w:val="10"/>
  </w:num>
  <w:num w:numId="12">
    <w:abstractNumId w:val="0"/>
  </w:num>
  <w:num w:numId="13">
    <w:abstractNumId w:val="5"/>
  </w:num>
  <w:num w:numId="14">
    <w:abstractNumId w:val="7"/>
  </w:num>
  <w:num w:numId="15">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Harris">
    <w15:presenceInfo w15:providerId="AD" w15:userId="S-1-5-21-36134387-1724278254-262303683-40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6228D"/>
    <w:rsid w:val="00072BD6"/>
    <w:rsid w:val="00075B78"/>
    <w:rsid w:val="00082CD6"/>
    <w:rsid w:val="00085AFE"/>
    <w:rsid w:val="0009005F"/>
    <w:rsid w:val="00090B19"/>
    <w:rsid w:val="000B0730"/>
    <w:rsid w:val="000D5A4F"/>
    <w:rsid w:val="000F2AE2"/>
    <w:rsid w:val="00102063"/>
    <w:rsid w:val="0010541C"/>
    <w:rsid w:val="00106F93"/>
    <w:rsid w:val="00111D50"/>
    <w:rsid w:val="00113B8E"/>
    <w:rsid w:val="001342C7"/>
    <w:rsid w:val="0013585C"/>
    <w:rsid w:val="00142954"/>
    <w:rsid w:val="001460E0"/>
    <w:rsid w:val="00147F71"/>
    <w:rsid w:val="00150A6E"/>
    <w:rsid w:val="0016468A"/>
    <w:rsid w:val="00192D85"/>
    <w:rsid w:val="001A5CF5"/>
    <w:rsid w:val="001B39D2"/>
    <w:rsid w:val="001B4BF8"/>
    <w:rsid w:val="001C4326"/>
    <w:rsid w:val="001C4696"/>
    <w:rsid w:val="001C5825"/>
    <w:rsid w:val="001D3541"/>
    <w:rsid w:val="00201A01"/>
    <w:rsid w:val="002104D3"/>
    <w:rsid w:val="00213A33"/>
    <w:rsid w:val="0021763B"/>
    <w:rsid w:val="00246DB1"/>
    <w:rsid w:val="002476B5"/>
    <w:rsid w:val="002507C5"/>
    <w:rsid w:val="00253ECF"/>
    <w:rsid w:val="002546A1"/>
    <w:rsid w:val="00275D08"/>
    <w:rsid w:val="002858E3"/>
    <w:rsid w:val="0029190A"/>
    <w:rsid w:val="00292C5A"/>
    <w:rsid w:val="00295241"/>
    <w:rsid w:val="002B047D"/>
    <w:rsid w:val="002B732B"/>
    <w:rsid w:val="002C2219"/>
    <w:rsid w:val="002C548E"/>
    <w:rsid w:val="002D0DF2"/>
    <w:rsid w:val="002D23BD"/>
    <w:rsid w:val="002E0B47"/>
    <w:rsid w:val="002E4398"/>
    <w:rsid w:val="002F7213"/>
    <w:rsid w:val="0030382F"/>
    <w:rsid w:val="0030408D"/>
    <w:rsid w:val="003060E4"/>
    <w:rsid w:val="003160E7"/>
    <w:rsid w:val="0031739E"/>
    <w:rsid w:val="003325AB"/>
    <w:rsid w:val="0033412B"/>
    <w:rsid w:val="00334945"/>
    <w:rsid w:val="00343365"/>
    <w:rsid w:val="00353501"/>
    <w:rsid w:val="003606F8"/>
    <w:rsid w:val="003648EF"/>
    <w:rsid w:val="003673E6"/>
    <w:rsid w:val="00377264"/>
    <w:rsid w:val="003A26A5"/>
    <w:rsid w:val="003A3761"/>
    <w:rsid w:val="003A5FEA"/>
    <w:rsid w:val="003B1D10"/>
    <w:rsid w:val="003C76D4"/>
    <w:rsid w:val="003D1949"/>
    <w:rsid w:val="003D2CC5"/>
    <w:rsid w:val="003E0609"/>
    <w:rsid w:val="003E7C46"/>
    <w:rsid w:val="003F52A7"/>
    <w:rsid w:val="00400673"/>
    <w:rsid w:val="0040240C"/>
    <w:rsid w:val="00413021"/>
    <w:rsid w:val="00440BE0"/>
    <w:rsid w:val="00442C1C"/>
    <w:rsid w:val="0044584B"/>
    <w:rsid w:val="00447CB7"/>
    <w:rsid w:val="00460826"/>
    <w:rsid w:val="00460EA7"/>
    <w:rsid w:val="0046195B"/>
    <w:rsid w:val="0046596D"/>
    <w:rsid w:val="004731CF"/>
    <w:rsid w:val="00487C04"/>
    <w:rsid w:val="004907E1"/>
    <w:rsid w:val="00495900"/>
    <w:rsid w:val="004A035B"/>
    <w:rsid w:val="004A38D7"/>
    <w:rsid w:val="004A778C"/>
    <w:rsid w:val="004C2E6A"/>
    <w:rsid w:val="004C64B8"/>
    <w:rsid w:val="004D2A2D"/>
    <w:rsid w:val="004D6689"/>
    <w:rsid w:val="004E1D1D"/>
    <w:rsid w:val="004E7AC8"/>
    <w:rsid w:val="004F0C94"/>
    <w:rsid w:val="004F7783"/>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023D"/>
    <w:rsid w:val="00581136"/>
    <w:rsid w:val="005A27CA"/>
    <w:rsid w:val="005A43BD"/>
    <w:rsid w:val="005B50D8"/>
    <w:rsid w:val="005E0028"/>
    <w:rsid w:val="005E226E"/>
    <w:rsid w:val="006015D7"/>
    <w:rsid w:val="00601B21"/>
    <w:rsid w:val="00626CF8"/>
    <w:rsid w:val="00636D7D"/>
    <w:rsid w:val="00637408"/>
    <w:rsid w:val="00642868"/>
    <w:rsid w:val="00647AFE"/>
    <w:rsid w:val="006512BC"/>
    <w:rsid w:val="00653A5A"/>
    <w:rsid w:val="006575F4"/>
    <w:rsid w:val="006579E6"/>
    <w:rsid w:val="00663EDC"/>
    <w:rsid w:val="00671078"/>
    <w:rsid w:val="006758CA"/>
    <w:rsid w:val="00680A04"/>
    <w:rsid w:val="00685D68"/>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14B6"/>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171D2"/>
    <w:rsid w:val="00822F2C"/>
    <w:rsid w:val="008305E8"/>
    <w:rsid w:val="00855926"/>
    <w:rsid w:val="00860826"/>
    <w:rsid w:val="00860E21"/>
    <w:rsid w:val="00863117"/>
    <w:rsid w:val="0086388B"/>
    <w:rsid w:val="008642E5"/>
    <w:rsid w:val="00865C2B"/>
    <w:rsid w:val="00872D93"/>
    <w:rsid w:val="00880470"/>
    <w:rsid w:val="00880D94"/>
    <w:rsid w:val="008924DE"/>
    <w:rsid w:val="008A3755"/>
    <w:rsid w:val="008B264F"/>
    <w:rsid w:val="008B6F83"/>
    <w:rsid w:val="008B7FD8"/>
    <w:rsid w:val="008C2973"/>
    <w:rsid w:val="008C64C4"/>
    <w:rsid w:val="008D74D5"/>
    <w:rsid w:val="008E1E2B"/>
    <w:rsid w:val="008F29BE"/>
    <w:rsid w:val="008F4AE5"/>
    <w:rsid w:val="008F51EB"/>
    <w:rsid w:val="00900197"/>
    <w:rsid w:val="00902F55"/>
    <w:rsid w:val="0090582B"/>
    <w:rsid w:val="009060C0"/>
    <w:rsid w:val="009133F5"/>
    <w:rsid w:val="00920A27"/>
    <w:rsid w:val="00921216"/>
    <w:rsid w:val="009216CC"/>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36DC4"/>
    <w:rsid w:val="00A41002"/>
    <w:rsid w:val="00A4201A"/>
    <w:rsid w:val="00A553CE"/>
    <w:rsid w:val="00A5677A"/>
    <w:rsid w:val="00A6490D"/>
    <w:rsid w:val="00A80363"/>
    <w:rsid w:val="00A819AE"/>
    <w:rsid w:val="00A9169D"/>
    <w:rsid w:val="00AA240C"/>
    <w:rsid w:val="00AC101C"/>
    <w:rsid w:val="00AC5F01"/>
    <w:rsid w:val="00AD4CF1"/>
    <w:rsid w:val="00AD5988"/>
    <w:rsid w:val="00AF7800"/>
    <w:rsid w:val="00B0157F"/>
    <w:rsid w:val="00B072E0"/>
    <w:rsid w:val="00B07F9E"/>
    <w:rsid w:val="00B253F6"/>
    <w:rsid w:val="00B305DB"/>
    <w:rsid w:val="00B332F8"/>
    <w:rsid w:val="00B3492B"/>
    <w:rsid w:val="00B4646F"/>
    <w:rsid w:val="00B55C7D"/>
    <w:rsid w:val="00B63038"/>
    <w:rsid w:val="00B64BD8"/>
    <w:rsid w:val="00B701D1"/>
    <w:rsid w:val="00B73AF2"/>
    <w:rsid w:val="00B7551A"/>
    <w:rsid w:val="00BC59F1"/>
    <w:rsid w:val="00BF2A2C"/>
    <w:rsid w:val="00BF3DE1"/>
    <w:rsid w:val="00BF4843"/>
    <w:rsid w:val="00BF5205"/>
    <w:rsid w:val="00C12508"/>
    <w:rsid w:val="00C45AA2"/>
    <w:rsid w:val="00C66296"/>
    <w:rsid w:val="00C77282"/>
    <w:rsid w:val="00C84DE5"/>
    <w:rsid w:val="00C86248"/>
    <w:rsid w:val="00CA4C33"/>
    <w:rsid w:val="00CA6F4A"/>
    <w:rsid w:val="00CD2119"/>
    <w:rsid w:val="00CD237A"/>
    <w:rsid w:val="00CD36AC"/>
    <w:rsid w:val="00CF1747"/>
    <w:rsid w:val="00CF5331"/>
    <w:rsid w:val="00CF5CA6"/>
    <w:rsid w:val="00D23323"/>
    <w:rsid w:val="00D2392A"/>
    <w:rsid w:val="00D25FFE"/>
    <w:rsid w:val="00D4476F"/>
    <w:rsid w:val="00D54D50"/>
    <w:rsid w:val="00D66797"/>
    <w:rsid w:val="00D7087C"/>
    <w:rsid w:val="00D70C3C"/>
    <w:rsid w:val="00D72BE5"/>
    <w:rsid w:val="00D82F26"/>
    <w:rsid w:val="00D863D0"/>
    <w:rsid w:val="00D87C87"/>
    <w:rsid w:val="00DB1AED"/>
    <w:rsid w:val="00DB39CF"/>
    <w:rsid w:val="00DD447A"/>
    <w:rsid w:val="00DE2D66"/>
    <w:rsid w:val="00DE3B20"/>
    <w:rsid w:val="00DE6C94"/>
    <w:rsid w:val="00DE6FD7"/>
    <w:rsid w:val="00E23271"/>
    <w:rsid w:val="00E24F80"/>
    <w:rsid w:val="00E259F3"/>
    <w:rsid w:val="00E33238"/>
    <w:rsid w:val="00E4486C"/>
    <w:rsid w:val="00E460B6"/>
    <w:rsid w:val="00E511D5"/>
    <w:rsid w:val="00E60249"/>
    <w:rsid w:val="00E65269"/>
    <w:rsid w:val="00E7421D"/>
    <w:rsid w:val="00E76D66"/>
    <w:rsid w:val="00EA796A"/>
    <w:rsid w:val="00EB1856"/>
    <w:rsid w:val="00EB6AE2"/>
    <w:rsid w:val="00EC50CE"/>
    <w:rsid w:val="00EC5B34"/>
    <w:rsid w:val="00ED5061"/>
    <w:rsid w:val="00EE4ADE"/>
    <w:rsid w:val="00EE5CB7"/>
    <w:rsid w:val="00EF536E"/>
    <w:rsid w:val="00F024FE"/>
    <w:rsid w:val="00F05AD4"/>
    <w:rsid w:val="00F25970"/>
    <w:rsid w:val="00F431DD"/>
    <w:rsid w:val="00F5180D"/>
    <w:rsid w:val="00F67496"/>
    <w:rsid w:val="00F801BA"/>
    <w:rsid w:val="00F9366A"/>
    <w:rsid w:val="00F93CAD"/>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88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F01"/>
    <w:pPr>
      <w:spacing w:before="240" w:line="264" w:lineRule="auto"/>
    </w:pPr>
    <w:rPr>
      <w:rFonts w:asciiTheme="minorHAnsi" w:hAnsiTheme="minorHAnsi"/>
      <w:sz w:val="22"/>
      <w:lang w:eastAsia="en-GB"/>
    </w:rPr>
  </w:style>
  <w:style w:type="paragraph" w:styleId="Heading1">
    <w:name w:val="heading 1"/>
    <w:basedOn w:val="Normal"/>
    <w:next w:val="Normal"/>
    <w:link w:val="Heading1Char"/>
    <w:uiPriority w:val="9"/>
    <w:qFormat/>
    <w:rsid w:val="00090B19"/>
    <w:pPr>
      <w:spacing w:before="0" w:after="360"/>
      <w:outlineLvl w:val="0"/>
    </w:pPr>
    <w:rPr>
      <w:b/>
      <w:sz w:val="36"/>
    </w:rPr>
  </w:style>
  <w:style w:type="paragraph" w:styleId="Heading2">
    <w:name w:val="heading 2"/>
    <w:basedOn w:val="Normal"/>
    <w:next w:val="Normal"/>
    <w:link w:val="Heading2Char"/>
    <w:uiPriority w:val="9"/>
    <w:qFormat/>
    <w:rsid w:val="00CF5331"/>
    <w:pPr>
      <w:keepNext/>
      <w:spacing w:before="360" w:after="120"/>
      <w:outlineLvl w:val="1"/>
    </w:pPr>
    <w:rPr>
      <w:b/>
      <w:sz w:val="28"/>
    </w:rPr>
  </w:style>
  <w:style w:type="paragraph" w:styleId="Heading3">
    <w:name w:val="heading 3"/>
    <w:basedOn w:val="Normal"/>
    <w:next w:val="Normal"/>
    <w:link w:val="Heading3Char"/>
    <w:qFormat/>
    <w:rsid w:val="00CF5331"/>
    <w:pPr>
      <w:keepNext/>
      <w:spacing w:before="300" w:after="120"/>
      <w:outlineLvl w:val="2"/>
    </w:pPr>
    <w:rPr>
      <w:b/>
      <w:sz w:val="24"/>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B1AED"/>
    <w:pPr>
      <w:tabs>
        <w:tab w:val="right" w:pos="9072"/>
      </w:tabs>
      <w:spacing w:before="300"/>
      <w:ind w:right="567"/>
    </w:pPr>
    <w:rPr>
      <w:b/>
    </w:rPr>
  </w:style>
  <w:style w:type="paragraph" w:styleId="TOC2">
    <w:name w:val="toc 2"/>
    <w:basedOn w:val="Normal"/>
    <w:next w:val="Normal"/>
    <w:uiPriority w:val="39"/>
    <w:rsid w:val="00DB1AED"/>
    <w:pPr>
      <w:tabs>
        <w:tab w:val="right" w:pos="9072"/>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EF536E"/>
    <w:pPr>
      <w:numPr>
        <w:numId w:val="1"/>
      </w:numPr>
      <w:tabs>
        <w:tab w:val="clear" w:pos="284"/>
      </w:tabs>
      <w:spacing w:before="90"/>
      <w:ind w:left="850" w:hanging="425"/>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1C5825"/>
    <w:pPr>
      <w:spacing w:before="0"/>
      <w:jc w:val="center"/>
    </w:pPr>
    <w:rPr>
      <w:b/>
      <w:caps/>
      <w:color w:val="FFFFFF" w:themeColor="background1"/>
      <w:sz w:val="36"/>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BF2A2C"/>
    <w:pPr>
      <w:jc w:val="center"/>
    </w:pPr>
  </w:style>
  <w:style w:type="character" w:styleId="PageNumber">
    <w:name w:val="page number"/>
    <w:rsid w:val="00BF2A2C"/>
    <w:rPr>
      <w:rFonts w:asciiTheme="minorHAnsi" w:hAnsiTheme="minorHAnsi"/>
      <w:b w:val="0"/>
      <w:sz w:val="22"/>
    </w:rPr>
  </w:style>
  <w:style w:type="paragraph" w:customStyle="1" w:styleId="VersoFooter">
    <w:name w:val="Verso Footer"/>
    <w:basedOn w:val="Footer"/>
    <w:rsid w:val="002546A1"/>
    <w:pPr>
      <w:pBdr>
        <w:top w:val="single" w:sz="4" w:space="4" w:color="auto"/>
      </w:pBdr>
      <w:ind w:left="709" w:hanging="709"/>
    </w:pPr>
    <w:rPr>
      <w:sz w:val="20"/>
    </w:rPr>
  </w:style>
  <w:style w:type="paragraph" w:customStyle="1" w:styleId="RectoFooter">
    <w:name w:val="Recto Footer"/>
    <w:basedOn w:val="Footer"/>
    <w:rsid w:val="00A36DC4"/>
    <w:pPr>
      <w:spacing w:before="0" w:line="240" w:lineRule="auto"/>
    </w:p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CF5331"/>
    <w:pPr>
      <w:spacing w:before="60" w:after="60" w:line="240" w:lineRule="auto"/>
    </w:pPr>
  </w:style>
  <w:style w:type="paragraph" w:customStyle="1" w:styleId="TableBullet">
    <w:name w:val="TableBullet"/>
    <w:basedOn w:val="TableText"/>
    <w:qFormat/>
    <w:rsid w:val="00CF5331"/>
    <w:pPr>
      <w:numPr>
        <w:numId w:val="5"/>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F5331"/>
    <w:pPr>
      <w:spacing w:before="80"/>
      <w:ind w:left="284"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F5331"/>
    <w:rPr>
      <w:rFonts w:asciiTheme="minorHAnsi" w:hAnsiTheme="minorHAnsi"/>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BF2A2C"/>
    <w:rPr>
      <w:rFonts w:asciiTheme="minorHAnsi" w:hAnsiTheme="minorHAnsi"/>
      <w:sz w:val="22"/>
      <w:lang w:eastAsia="en-GB"/>
    </w:rPr>
  </w:style>
  <w:style w:type="character" w:customStyle="1" w:styleId="Heading1Char">
    <w:name w:val="Heading 1 Char"/>
    <w:link w:val="Heading1"/>
    <w:uiPriority w:val="9"/>
    <w:rsid w:val="00090B19"/>
    <w:rPr>
      <w:rFonts w:asciiTheme="minorHAnsi" w:hAnsiTheme="minorHAnsi"/>
      <w:b/>
      <w:sz w:val="36"/>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CF5331"/>
    <w:rPr>
      <w:rFonts w:asciiTheme="minorHAnsi" w:hAnsiTheme="minorHAnsi"/>
      <w:b/>
      <w:sz w:val="28"/>
      <w:lang w:eastAsia="en-GB"/>
    </w:rPr>
  </w:style>
  <w:style w:type="character" w:customStyle="1" w:styleId="Heading3Char">
    <w:name w:val="Heading 3 Char"/>
    <w:link w:val="Heading3"/>
    <w:rsid w:val="00CF5331"/>
    <w:rPr>
      <w:rFonts w:asciiTheme="minorHAnsi" w:hAnsiTheme="minorHAnsi"/>
      <w:b/>
      <w:sz w:val="24"/>
      <w:lang w:eastAsia="en-GB"/>
    </w:rPr>
  </w:style>
  <w:style w:type="character" w:customStyle="1" w:styleId="TitleChar">
    <w:name w:val="Title Char"/>
    <w:basedOn w:val="DefaultParagraphFont"/>
    <w:link w:val="Title"/>
    <w:uiPriority w:val="10"/>
    <w:rsid w:val="001C5825"/>
    <w:rPr>
      <w:rFonts w:asciiTheme="minorHAnsi" w:hAnsiTheme="minorHAnsi"/>
      <w:b/>
      <w:caps/>
      <w:color w:val="FFFFFF" w:themeColor="background1"/>
      <w:sz w:val="36"/>
      <w:lang w:eastAsia="en-GB"/>
    </w:rPr>
  </w:style>
  <w:style w:type="character" w:styleId="CommentReference">
    <w:name w:val="annotation reference"/>
    <w:basedOn w:val="DefaultParagraphFont"/>
    <w:uiPriority w:val="99"/>
    <w:semiHidden/>
    <w:unhideWhenUsed/>
    <w:rsid w:val="008E1E2B"/>
    <w:rPr>
      <w:sz w:val="16"/>
      <w:szCs w:val="16"/>
    </w:rPr>
  </w:style>
  <w:style w:type="paragraph" w:styleId="CommentText">
    <w:name w:val="annotation text"/>
    <w:basedOn w:val="Normal"/>
    <w:link w:val="CommentTextChar"/>
    <w:uiPriority w:val="99"/>
    <w:semiHidden/>
    <w:unhideWhenUsed/>
    <w:rsid w:val="008E1E2B"/>
    <w:pPr>
      <w:spacing w:line="240" w:lineRule="auto"/>
    </w:pPr>
    <w:rPr>
      <w:sz w:val="20"/>
    </w:rPr>
  </w:style>
  <w:style w:type="character" w:customStyle="1" w:styleId="CommentTextChar">
    <w:name w:val="Comment Text Char"/>
    <w:basedOn w:val="DefaultParagraphFont"/>
    <w:link w:val="CommentText"/>
    <w:uiPriority w:val="99"/>
    <w:semiHidden/>
    <w:rsid w:val="008E1E2B"/>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8E1E2B"/>
    <w:rPr>
      <w:b/>
      <w:bCs/>
    </w:rPr>
  </w:style>
  <w:style w:type="character" w:customStyle="1" w:styleId="CommentSubjectChar">
    <w:name w:val="Comment Subject Char"/>
    <w:basedOn w:val="CommentTextChar"/>
    <w:link w:val="CommentSubject"/>
    <w:uiPriority w:val="99"/>
    <w:semiHidden/>
    <w:rsid w:val="008E1E2B"/>
    <w:rPr>
      <w:rFonts w:asciiTheme="minorHAnsi" w:hAnsiTheme="minorHAnsi"/>
      <w:b/>
      <w:bCs/>
      <w:lang w:eastAsia="en-GB"/>
    </w:rPr>
  </w:style>
  <w:style w:type="paragraph" w:styleId="BalloonText">
    <w:name w:val="Balloon Text"/>
    <w:basedOn w:val="Normal"/>
    <w:link w:val="BalloonTextChar"/>
    <w:uiPriority w:val="99"/>
    <w:semiHidden/>
    <w:unhideWhenUsed/>
    <w:rsid w:val="008E1E2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2B"/>
    <w:rPr>
      <w:rFonts w:ascii="Segoe UI"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F01"/>
    <w:pPr>
      <w:spacing w:before="240" w:line="264" w:lineRule="auto"/>
    </w:pPr>
    <w:rPr>
      <w:rFonts w:asciiTheme="minorHAnsi" w:hAnsiTheme="minorHAnsi"/>
      <w:sz w:val="22"/>
      <w:lang w:eastAsia="en-GB"/>
    </w:rPr>
  </w:style>
  <w:style w:type="paragraph" w:styleId="Heading1">
    <w:name w:val="heading 1"/>
    <w:basedOn w:val="Normal"/>
    <w:next w:val="Normal"/>
    <w:link w:val="Heading1Char"/>
    <w:uiPriority w:val="9"/>
    <w:qFormat/>
    <w:rsid w:val="00090B19"/>
    <w:pPr>
      <w:spacing w:before="0" w:after="360"/>
      <w:outlineLvl w:val="0"/>
    </w:pPr>
    <w:rPr>
      <w:b/>
      <w:sz w:val="36"/>
    </w:rPr>
  </w:style>
  <w:style w:type="paragraph" w:styleId="Heading2">
    <w:name w:val="heading 2"/>
    <w:basedOn w:val="Normal"/>
    <w:next w:val="Normal"/>
    <w:link w:val="Heading2Char"/>
    <w:uiPriority w:val="9"/>
    <w:qFormat/>
    <w:rsid w:val="00CF5331"/>
    <w:pPr>
      <w:keepNext/>
      <w:spacing w:before="360" w:after="120"/>
      <w:outlineLvl w:val="1"/>
    </w:pPr>
    <w:rPr>
      <w:b/>
      <w:sz w:val="28"/>
    </w:rPr>
  </w:style>
  <w:style w:type="paragraph" w:styleId="Heading3">
    <w:name w:val="heading 3"/>
    <w:basedOn w:val="Normal"/>
    <w:next w:val="Normal"/>
    <w:link w:val="Heading3Char"/>
    <w:qFormat/>
    <w:rsid w:val="00CF5331"/>
    <w:pPr>
      <w:keepNext/>
      <w:spacing w:before="300" w:after="120"/>
      <w:outlineLvl w:val="2"/>
    </w:pPr>
    <w:rPr>
      <w:b/>
      <w:sz w:val="24"/>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B1AED"/>
    <w:pPr>
      <w:tabs>
        <w:tab w:val="right" w:pos="9072"/>
      </w:tabs>
      <w:spacing w:before="300"/>
      <w:ind w:right="567"/>
    </w:pPr>
    <w:rPr>
      <w:b/>
    </w:rPr>
  </w:style>
  <w:style w:type="paragraph" w:styleId="TOC2">
    <w:name w:val="toc 2"/>
    <w:basedOn w:val="Normal"/>
    <w:next w:val="Normal"/>
    <w:uiPriority w:val="39"/>
    <w:rsid w:val="00DB1AED"/>
    <w:pPr>
      <w:tabs>
        <w:tab w:val="right" w:pos="9072"/>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EF536E"/>
    <w:pPr>
      <w:numPr>
        <w:numId w:val="1"/>
      </w:numPr>
      <w:tabs>
        <w:tab w:val="clear" w:pos="284"/>
      </w:tabs>
      <w:spacing w:before="90"/>
      <w:ind w:left="850" w:hanging="425"/>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1C5825"/>
    <w:pPr>
      <w:spacing w:before="0"/>
      <w:jc w:val="center"/>
    </w:pPr>
    <w:rPr>
      <w:b/>
      <w:caps/>
      <w:color w:val="FFFFFF" w:themeColor="background1"/>
      <w:sz w:val="36"/>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BF2A2C"/>
    <w:pPr>
      <w:jc w:val="center"/>
    </w:pPr>
  </w:style>
  <w:style w:type="character" w:styleId="PageNumber">
    <w:name w:val="page number"/>
    <w:rsid w:val="00BF2A2C"/>
    <w:rPr>
      <w:rFonts w:asciiTheme="minorHAnsi" w:hAnsiTheme="minorHAnsi"/>
      <w:b w:val="0"/>
      <w:sz w:val="22"/>
    </w:rPr>
  </w:style>
  <w:style w:type="paragraph" w:customStyle="1" w:styleId="VersoFooter">
    <w:name w:val="Verso Footer"/>
    <w:basedOn w:val="Footer"/>
    <w:rsid w:val="002546A1"/>
    <w:pPr>
      <w:pBdr>
        <w:top w:val="single" w:sz="4" w:space="4" w:color="auto"/>
      </w:pBdr>
      <w:ind w:left="709" w:hanging="709"/>
    </w:pPr>
    <w:rPr>
      <w:sz w:val="20"/>
    </w:rPr>
  </w:style>
  <w:style w:type="paragraph" w:customStyle="1" w:styleId="RectoFooter">
    <w:name w:val="Recto Footer"/>
    <w:basedOn w:val="Footer"/>
    <w:rsid w:val="00A36DC4"/>
    <w:pPr>
      <w:spacing w:before="0" w:line="240" w:lineRule="auto"/>
    </w:p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CF5331"/>
    <w:pPr>
      <w:spacing w:before="60" w:after="60" w:line="240" w:lineRule="auto"/>
    </w:pPr>
  </w:style>
  <w:style w:type="paragraph" w:customStyle="1" w:styleId="TableBullet">
    <w:name w:val="TableBullet"/>
    <w:basedOn w:val="TableText"/>
    <w:qFormat/>
    <w:rsid w:val="00CF5331"/>
    <w:pPr>
      <w:numPr>
        <w:numId w:val="5"/>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F5331"/>
    <w:pPr>
      <w:spacing w:before="80"/>
      <w:ind w:left="284"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F5331"/>
    <w:rPr>
      <w:rFonts w:asciiTheme="minorHAnsi" w:hAnsiTheme="minorHAnsi"/>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BF2A2C"/>
    <w:rPr>
      <w:rFonts w:asciiTheme="minorHAnsi" w:hAnsiTheme="minorHAnsi"/>
      <w:sz w:val="22"/>
      <w:lang w:eastAsia="en-GB"/>
    </w:rPr>
  </w:style>
  <w:style w:type="character" w:customStyle="1" w:styleId="Heading1Char">
    <w:name w:val="Heading 1 Char"/>
    <w:link w:val="Heading1"/>
    <w:uiPriority w:val="9"/>
    <w:rsid w:val="00090B19"/>
    <w:rPr>
      <w:rFonts w:asciiTheme="minorHAnsi" w:hAnsiTheme="minorHAnsi"/>
      <w:b/>
      <w:sz w:val="36"/>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CF5331"/>
    <w:rPr>
      <w:rFonts w:asciiTheme="minorHAnsi" w:hAnsiTheme="minorHAnsi"/>
      <w:b/>
      <w:sz w:val="28"/>
      <w:lang w:eastAsia="en-GB"/>
    </w:rPr>
  </w:style>
  <w:style w:type="character" w:customStyle="1" w:styleId="Heading3Char">
    <w:name w:val="Heading 3 Char"/>
    <w:link w:val="Heading3"/>
    <w:rsid w:val="00CF5331"/>
    <w:rPr>
      <w:rFonts w:asciiTheme="minorHAnsi" w:hAnsiTheme="minorHAnsi"/>
      <w:b/>
      <w:sz w:val="24"/>
      <w:lang w:eastAsia="en-GB"/>
    </w:rPr>
  </w:style>
  <w:style w:type="character" w:customStyle="1" w:styleId="TitleChar">
    <w:name w:val="Title Char"/>
    <w:basedOn w:val="DefaultParagraphFont"/>
    <w:link w:val="Title"/>
    <w:uiPriority w:val="10"/>
    <w:rsid w:val="001C5825"/>
    <w:rPr>
      <w:rFonts w:asciiTheme="minorHAnsi" w:hAnsiTheme="minorHAnsi"/>
      <w:b/>
      <w:caps/>
      <w:color w:val="FFFFFF" w:themeColor="background1"/>
      <w:sz w:val="36"/>
      <w:lang w:eastAsia="en-GB"/>
    </w:rPr>
  </w:style>
  <w:style w:type="character" w:styleId="CommentReference">
    <w:name w:val="annotation reference"/>
    <w:basedOn w:val="DefaultParagraphFont"/>
    <w:uiPriority w:val="99"/>
    <w:semiHidden/>
    <w:unhideWhenUsed/>
    <w:rsid w:val="008E1E2B"/>
    <w:rPr>
      <w:sz w:val="16"/>
      <w:szCs w:val="16"/>
    </w:rPr>
  </w:style>
  <w:style w:type="paragraph" w:styleId="CommentText">
    <w:name w:val="annotation text"/>
    <w:basedOn w:val="Normal"/>
    <w:link w:val="CommentTextChar"/>
    <w:uiPriority w:val="99"/>
    <w:semiHidden/>
    <w:unhideWhenUsed/>
    <w:rsid w:val="008E1E2B"/>
    <w:pPr>
      <w:spacing w:line="240" w:lineRule="auto"/>
    </w:pPr>
    <w:rPr>
      <w:sz w:val="20"/>
    </w:rPr>
  </w:style>
  <w:style w:type="character" w:customStyle="1" w:styleId="CommentTextChar">
    <w:name w:val="Comment Text Char"/>
    <w:basedOn w:val="DefaultParagraphFont"/>
    <w:link w:val="CommentText"/>
    <w:uiPriority w:val="99"/>
    <w:semiHidden/>
    <w:rsid w:val="008E1E2B"/>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8E1E2B"/>
    <w:rPr>
      <w:b/>
      <w:bCs/>
    </w:rPr>
  </w:style>
  <w:style w:type="character" w:customStyle="1" w:styleId="CommentSubjectChar">
    <w:name w:val="Comment Subject Char"/>
    <w:basedOn w:val="CommentTextChar"/>
    <w:link w:val="CommentSubject"/>
    <w:uiPriority w:val="99"/>
    <w:semiHidden/>
    <w:rsid w:val="008E1E2B"/>
    <w:rPr>
      <w:rFonts w:asciiTheme="minorHAnsi" w:hAnsiTheme="minorHAnsi"/>
      <w:b/>
      <w:bCs/>
      <w:lang w:eastAsia="en-GB"/>
    </w:rPr>
  </w:style>
  <w:style w:type="paragraph" w:styleId="BalloonText">
    <w:name w:val="Balloon Text"/>
    <w:basedOn w:val="Normal"/>
    <w:link w:val="BalloonTextChar"/>
    <w:uiPriority w:val="99"/>
    <w:semiHidden/>
    <w:unhideWhenUsed/>
    <w:rsid w:val="008E1E2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2B"/>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707B-45A6-43C3-8080-6C762E37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10</Pages>
  <Words>2257</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Jane Adam</cp:lastModifiedBy>
  <cp:revision>3</cp:revision>
  <cp:lastPrinted>2016-03-30T22:27:00Z</cp:lastPrinted>
  <dcterms:created xsi:type="dcterms:W3CDTF">2016-03-30T22:38:00Z</dcterms:created>
  <dcterms:modified xsi:type="dcterms:W3CDTF">2016-03-30T22:39:00Z</dcterms:modified>
</cp:coreProperties>
</file>