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6248" w:rsidRPr="00FE4704" w:rsidRDefault="00C30B65" w:rsidP="00D54D50">
      <w:pPr>
        <w:pStyle w:val="Title"/>
        <w:rPr>
          <w:b w:val="0"/>
        </w:rPr>
      </w:pPr>
      <w:r w:rsidRPr="00DC4C78">
        <w:t>Indicators</w:t>
      </w:r>
      <w:bookmarkStart w:id="0" w:name="_GoBack"/>
      <w:bookmarkEnd w:id="0"/>
      <w:r w:rsidRPr="00DC4C78">
        <w:t xml:space="preserve"> for the Well Child /</w:t>
      </w:r>
      <w:r>
        <w:br/>
      </w:r>
      <w:proofErr w:type="spellStart"/>
      <w:r w:rsidRPr="00DC4C78">
        <w:t>Tamariki</w:t>
      </w:r>
      <w:proofErr w:type="spellEnd"/>
      <w:r w:rsidRPr="00DC4C78">
        <w:t xml:space="preserve"> </w:t>
      </w:r>
      <w:proofErr w:type="spellStart"/>
      <w:r w:rsidRPr="00DC4C78">
        <w:t>Ora</w:t>
      </w:r>
      <w:proofErr w:type="spellEnd"/>
      <w:r w:rsidRPr="00DC4C78">
        <w:br/>
        <w:t>Quality Improvement Framework</w:t>
      </w:r>
      <w:r w:rsidR="004C3BBF">
        <w:t xml:space="preserve">: </w:t>
      </w:r>
      <w:r w:rsidR="004C3BBF" w:rsidRPr="00FE4704">
        <w:rPr>
          <w:b w:val="0"/>
        </w:rPr>
        <w:t>September 2015</w:t>
      </w:r>
    </w:p>
    <w:p w:rsidR="00C86248" w:rsidRDefault="00C86248" w:rsidP="00343365">
      <w:pPr>
        <w:pStyle w:val="Subhead"/>
      </w:pPr>
    </w:p>
    <w:p w:rsidR="00142954" w:rsidRPr="00142954" w:rsidRDefault="00142954" w:rsidP="00142954">
      <w:pPr>
        <w:sectPr w:rsidR="00142954" w:rsidRPr="00142954" w:rsidSect="000F2AE2">
          <w:headerReference w:type="default" r:id="rId9"/>
          <w:footerReference w:type="default" r:id="rId10"/>
          <w:pgSz w:w="11907" w:h="16834" w:code="9"/>
          <w:pgMar w:top="3969" w:right="851" w:bottom="851" w:left="2552" w:header="851" w:footer="851" w:gutter="0"/>
          <w:cols w:space="720"/>
        </w:sectPr>
      </w:pPr>
    </w:p>
    <w:p w:rsidR="00C30B65" w:rsidRPr="00DC4C78" w:rsidRDefault="00C30B65" w:rsidP="00C30B65">
      <w:pPr>
        <w:pStyle w:val="Imprint"/>
      </w:pPr>
      <w:r w:rsidRPr="00DC4C78">
        <w:lastRenderedPageBreak/>
        <w:t xml:space="preserve">Citation: Ministry of Health. </w:t>
      </w:r>
      <w:r>
        <w:t>2016</w:t>
      </w:r>
      <w:r w:rsidRPr="00DC4C78">
        <w:t xml:space="preserve">. </w:t>
      </w:r>
      <w:r w:rsidRPr="00DC4C78">
        <w:rPr>
          <w:i/>
        </w:rPr>
        <w:t xml:space="preserve">Indicators for the Well Child / </w:t>
      </w:r>
      <w:proofErr w:type="spellStart"/>
      <w:r w:rsidRPr="00DC4C78">
        <w:rPr>
          <w:i/>
        </w:rPr>
        <w:t>Tamariki</w:t>
      </w:r>
      <w:proofErr w:type="spellEnd"/>
      <w:r w:rsidRPr="00DC4C78">
        <w:rPr>
          <w:i/>
        </w:rPr>
        <w:t xml:space="preserve"> </w:t>
      </w:r>
      <w:proofErr w:type="spellStart"/>
      <w:r w:rsidRPr="00DC4C78">
        <w:rPr>
          <w:i/>
        </w:rPr>
        <w:t>Ora</w:t>
      </w:r>
      <w:proofErr w:type="spellEnd"/>
      <w:r w:rsidRPr="00DC4C78">
        <w:rPr>
          <w:i/>
        </w:rPr>
        <w:t xml:space="preserve"> Quality Improvement Framework</w:t>
      </w:r>
      <w:r w:rsidR="004C3BBF">
        <w:rPr>
          <w:i/>
        </w:rPr>
        <w:t>:</w:t>
      </w:r>
      <w:r w:rsidRPr="00DC4C78">
        <w:rPr>
          <w:i/>
        </w:rPr>
        <w:t xml:space="preserve"> September 2015</w:t>
      </w:r>
      <w:r w:rsidRPr="00DC4C78">
        <w:t>. Wellington: Ministry of Health.</w:t>
      </w:r>
    </w:p>
    <w:p w:rsidR="00C30B65" w:rsidRPr="00DC4C78" w:rsidRDefault="00C30B65" w:rsidP="00C30B65">
      <w:pPr>
        <w:pStyle w:val="Imprint"/>
      </w:pPr>
      <w:r w:rsidRPr="00DC4C78">
        <w:t xml:space="preserve">Published in </w:t>
      </w:r>
      <w:r w:rsidR="00CC1747">
        <w:t>February</w:t>
      </w:r>
      <w:r w:rsidRPr="00DC4C78">
        <w:t xml:space="preserve"> 201</w:t>
      </w:r>
      <w:r>
        <w:t>6</w:t>
      </w:r>
      <w:r w:rsidRPr="00DC4C78">
        <w:br/>
        <w:t>by the Ministry of Health</w:t>
      </w:r>
      <w:r w:rsidRPr="00DC4C78">
        <w:br/>
        <w:t>PO Box 5013, Wellington 6145, New Zealand</w:t>
      </w:r>
    </w:p>
    <w:p w:rsidR="00C30B65" w:rsidRPr="00DC4C78" w:rsidRDefault="00C30B65" w:rsidP="00C30B65">
      <w:pPr>
        <w:pStyle w:val="Imprint"/>
      </w:pPr>
      <w:r w:rsidRPr="00DC4C78">
        <w:t>ISBN: 978-0-</w:t>
      </w:r>
      <w:r>
        <w:t>947491-63-5</w:t>
      </w:r>
      <w:r w:rsidRPr="00DC4C78">
        <w:t xml:space="preserve"> (online</w:t>
      </w:r>
      <w:proofErr w:type="gramStart"/>
      <w:r w:rsidRPr="00DC4C78">
        <w:t>)</w:t>
      </w:r>
      <w:proofErr w:type="gramEnd"/>
      <w:r w:rsidRPr="00DC4C78">
        <w:br/>
        <w:t xml:space="preserve">HP </w:t>
      </w:r>
      <w:r>
        <w:t>6348</w:t>
      </w:r>
    </w:p>
    <w:p w:rsidR="00C30B65" w:rsidRPr="00DC4C78" w:rsidRDefault="00C30B65" w:rsidP="00C30B65">
      <w:pPr>
        <w:pStyle w:val="Imprint"/>
      </w:pPr>
      <w:r w:rsidRPr="00DC4C78">
        <w:t>This document is available at health.govt.nz</w:t>
      </w:r>
    </w:p>
    <w:p w:rsidR="00C30B65" w:rsidRPr="00DC4C78" w:rsidRDefault="00C30B65" w:rsidP="00C30B65">
      <w:pPr>
        <w:jc w:val="center"/>
      </w:pPr>
      <w:r w:rsidRPr="00DC4C78">
        <w:rPr>
          <w:noProof/>
          <w:lang w:eastAsia="en-NZ"/>
        </w:rPr>
        <w:drawing>
          <wp:inline distT="0" distB="0" distL="0" distR="0" wp14:anchorId="1D04213B" wp14:editId="427BA2A9">
            <wp:extent cx="1670685" cy="681355"/>
            <wp:effectExtent l="0" t="0" r="5715" b="4445"/>
            <wp:docPr id="87" name="Picture 2" title="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1670685" cy="681355"/>
                    </a:xfrm>
                    <a:prstGeom prst="rect">
                      <a:avLst/>
                    </a:prstGeom>
                    <a:noFill/>
                    <a:ln>
                      <a:noFill/>
                    </a:ln>
                  </pic:spPr>
                </pic:pic>
              </a:graphicData>
            </a:graphic>
          </wp:inline>
        </w:drawing>
      </w:r>
    </w:p>
    <w:p w:rsidR="007E74F1" w:rsidRPr="007E74F1" w:rsidRDefault="007E74F1" w:rsidP="007E74F1">
      <w:pPr>
        <w:pStyle w:val="Heading3"/>
        <w:keepNext w:val="0"/>
        <w:shd w:val="clear" w:color="auto" w:fill="FFFFFF"/>
        <w:ind w:right="-851"/>
        <w:rPr>
          <w:sz w:val="18"/>
          <w:szCs w:val="18"/>
        </w:rPr>
      </w:pPr>
      <w:r>
        <w:rPr>
          <w:b w:val="0"/>
          <w:noProof/>
          <w:sz w:val="22"/>
          <w:szCs w:val="22"/>
          <w:lang w:eastAsia="en-NZ"/>
        </w:rPr>
        <w:drawing>
          <wp:inline distT="0" distB="0" distL="0" distR="0" wp14:anchorId="1C1BF926" wp14:editId="7831F2C7">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r>
        <w:rPr>
          <w:b w:val="0"/>
          <w:sz w:val="22"/>
          <w:szCs w:val="22"/>
        </w:rPr>
        <w:t xml:space="preserve"> </w:t>
      </w:r>
      <w:r w:rsidRPr="00D535D0">
        <w:rPr>
          <w:b w:val="0"/>
          <w:sz w:val="18"/>
          <w:szCs w:val="18"/>
        </w:rPr>
        <w:t>This work is licensed under the Creative Commons Attribution 4.0 Interna</w:t>
      </w:r>
      <w:r>
        <w:rPr>
          <w:b w:val="0"/>
          <w:sz w:val="18"/>
          <w:szCs w:val="18"/>
        </w:rPr>
        <w:t>tional</w:t>
      </w:r>
      <w:r w:rsidRPr="00D535D0">
        <w:rPr>
          <w:b w:val="0"/>
          <w:sz w:val="18"/>
          <w:szCs w:val="18"/>
        </w:rPr>
        <w:t xml:space="preserve"> licence. In essence, </w:t>
      </w:r>
      <w:r w:rsidRPr="00D535D0">
        <w:rPr>
          <w:rFonts w:cs="Arial"/>
          <w:b w:val="0"/>
          <w:bCs/>
          <w:sz w:val="18"/>
          <w:szCs w:val="18"/>
        </w:rPr>
        <w:t xml:space="preserve">you are free to: </w:t>
      </w:r>
      <w:r w:rsidRPr="00D535D0">
        <w:rPr>
          <w:rFonts w:cs="Arial"/>
          <w:b w:val="0"/>
          <w:sz w:val="18"/>
          <w:szCs w:val="18"/>
        </w:rPr>
        <w:t xml:space="preserve">share </w:t>
      </w:r>
      <w:proofErr w:type="spellStart"/>
      <w:r w:rsidRPr="00D535D0">
        <w:rPr>
          <w:rFonts w:cs="Arial"/>
          <w:b w:val="0"/>
          <w:sz w:val="18"/>
          <w:szCs w:val="18"/>
        </w:rPr>
        <w:t>ie</w:t>
      </w:r>
      <w:proofErr w:type="spellEnd"/>
      <w:r w:rsidRPr="00D535D0">
        <w:rPr>
          <w:rFonts w:cs="Arial"/>
          <w:b w:val="0"/>
          <w:sz w:val="18"/>
          <w:szCs w:val="18"/>
        </w:rPr>
        <w:t xml:space="preserve">, copy and redistribute the material in any medium or format; adapt </w:t>
      </w:r>
      <w:proofErr w:type="spellStart"/>
      <w:r w:rsidRPr="00D535D0">
        <w:rPr>
          <w:rFonts w:cs="Arial"/>
          <w:b w:val="0"/>
          <w:sz w:val="18"/>
          <w:szCs w:val="18"/>
        </w:rPr>
        <w:t>ie</w:t>
      </w:r>
      <w:proofErr w:type="spellEnd"/>
      <w:r w:rsidRPr="00D535D0">
        <w:rPr>
          <w:rFonts w:cs="Arial"/>
          <w:b w:val="0"/>
          <w:sz w:val="18"/>
          <w:szCs w:val="18"/>
        </w:rPr>
        <w:t xml:space="preserve">, remix, transform and build upon the material. </w:t>
      </w:r>
      <w:r w:rsidRPr="00D535D0">
        <w:rPr>
          <w:rFonts w:cs="Arial"/>
          <w:b w:val="0"/>
          <w:bCs/>
          <w:sz w:val="18"/>
          <w:szCs w:val="18"/>
        </w:rPr>
        <w:t>You must give appropriate credit, provide a link to the licence and indicate if changes were made.</w:t>
      </w:r>
    </w:p>
    <w:p w:rsidR="00C86248" w:rsidRDefault="00C86248">
      <w:pPr>
        <w:jc w:val="center"/>
        <w:sectPr w:rsidR="00C86248" w:rsidSect="0016468A">
          <w:footerReference w:type="even" r:id="rId13"/>
          <w:footerReference w:type="default" r:id="rId14"/>
          <w:pgSz w:w="11907" w:h="16834" w:code="9"/>
          <w:pgMar w:top="1701" w:right="1134" w:bottom="1134" w:left="1985" w:header="0" w:footer="0" w:gutter="0"/>
          <w:cols w:space="720"/>
          <w:vAlign w:val="bottom"/>
        </w:sectPr>
      </w:pPr>
    </w:p>
    <w:p w:rsidR="00C30B65" w:rsidRPr="00DC4C78" w:rsidRDefault="00C30B65" w:rsidP="00C30B65">
      <w:pPr>
        <w:pStyle w:val="Heading1"/>
      </w:pPr>
      <w:bookmarkStart w:id="1" w:name="_Toc419099433"/>
      <w:bookmarkStart w:id="2" w:name="_Toc440387779"/>
      <w:bookmarkStart w:id="3" w:name="_Toc405792991"/>
      <w:bookmarkStart w:id="4" w:name="_Toc405793224"/>
      <w:r w:rsidRPr="00DC4C78">
        <w:lastRenderedPageBreak/>
        <w:t>Foreword from the E</w:t>
      </w:r>
      <w:r>
        <w:t xml:space="preserve">xpert </w:t>
      </w:r>
      <w:r w:rsidRPr="00DC4C78">
        <w:t>A</w:t>
      </w:r>
      <w:r>
        <w:t xml:space="preserve">dvisory </w:t>
      </w:r>
      <w:r w:rsidRPr="00DC4C78">
        <w:t>G</w:t>
      </w:r>
      <w:bookmarkEnd w:id="1"/>
      <w:r>
        <w:t>roup</w:t>
      </w:r>
      <w:bookmarkEnd w:id="2"/>
    </w:p>
    <w:p w:rsidR="00C30B65" w:rsidRPr="00DC4C78" w:rsidRDefault="00C30B65" w:rsidP="00C30B65">
      <w:pPr>
        <w:spacing w:before="160"/>
      </w:pPr>
      <w:r w:rsidRPr="00DC4C78">
        <w:t xml:space="preserve">The Well Child / </w:t>
      </w:r>
      <w:proofErr w:type="spellStart"/>
      <w:r w:rsidRPr="00DC4C78">
        <w:t>Tamariki</w:t>
      </w:r>
      <w:proofErr w:type="spellEnd"/>
      <w:r w:rsidRPr="00DC4C78">
        <w:t xml:space="preserve"> </w:t>
      </w:r>
      <w:proofErr w:type="spellStart"/>
      <w:r w:rsidRPr="00DC4C78">
        <w:t>Ora</w:t>
      </w:r>
      <w:proofErr w:type="spellEnd"/>
      <w:r w:rsidRPr="00DC4C78">
        <w:t xml:space="preserve"> </w:t>
      </w:r>
      <w:r>
        <w:t xml:space="preserve">(WCTO) </w:t>
      </w:r>
      <w:r w:rsidRPr="00DC4C78">
        <w:t xml:space="preserve">Quality Improvement Framework Expert Advisory Group </w:t>
      </w:r>
      <w:r>
        <w:t xml:space="preserve">(EAG) </w:t>
      </w:r>
      <w:r w:rsidRPr="00DC4C78">
        <w:t>welcomes this fifth report on the indicators for the Quality Improvement Framework. We wish to acknowledge the WCTO sector</w:t>
      </w:r>
      <w:r w:rsidR="00700141">
        <w:t>’</w:t>
      </w:r>
      <w:r w:rsidRPr="00DC4C78">
        <w:t xml:space="preserve">s commitment to improving services for children and their families and </w:t>
      </w:r>
      <w:proofErr w:type="spellStart"/>
      <w:r w:rsidRPr="00DC4C78">
        <w:t>whānau</w:t>
      </w:r>
      <w:proofErr w:type="spellEnd"/>
      <w:r w:rsidRPr="00DC4C78">
        <w:t>. We hope that this report is used to close the quality improvement loop by helping</w:t>
      </w:r>
      <w:r>
        <w:t xml:space="preserve"> service providers</w:t>
      </w:r>
      <w:r w:rsidRPr="00DC4C78">
        <w:t xml:space="preserve"> to identify what is working and what is not in terms local</w:t>
      </w:r>
      <w:r>
        <w:t>ly</w:t>
      </w:r>
      <w:r w:rsidRPr="00DC4C78">
        <w:t xml:space="preserve">. We see the WCTO Quality Improvement Framework as a tool to support each level of the sector to achieve family-centred, high-quality, equitable and effective child health services that deliver the best possible health outcomes for all New Zealand children and their families and </w:t>
      </w:r>
      <w:proofErr w:type="spellStart"/>
      <w:r w:rsidRPr="00DC4C78">
        <w:t>whānau</w:t>
      </w:r>
      <w:proofErr w:type="spellEnd"/>
      <w:r w:rsidRPr="00DC4C78">
        <w:t>.</w:t>
      </w:r>
    </w:p>
    <w:p w:rsidR="00C30B65" w:rsidRPr="00DC4C78" w:rsidRDefault="00C30B65" w:rsidP="00C30B65">
      <w:pPr>
        <w:spacing w:before="160"/>
      </w:pPr>
      <w:r w:rsidRPr="00DC4C78">
        <w:t xml:space="preserve">The EAG </w:t>
      </w:r>
      <w:r>
        <w:t>met</w:t>
      </w:r>
      <w:r w:rsidRPr="00DC4C78">
        <w:t xml:space="preserve"> in December 2015 to review the WCTO </w:t>
      </w:r>
      <w:r>
        <w:t>q</w:t>
      </w:r>
      <w:r w:rsidRPr="00DC4C78">
        <w:t xml:space="preserve">uality </w:t>
      </w:r>
      <w:r>
        <w:t>i</w:t>
      </w:r>
      <w:r w:rsidRPr="00DC4C78">
        <w:t>ndicators set</w:t>
      </w:r>
      <w:r>
        <w:t xml:space="preserve">, to ensure it </w:t>
      </w:r>
      <w:r w:rsidRPr="00DC4C78">
        <w:t>reflect</w:t>
      </w:r>
      <w:r>
        <w:t>s</w:t>
      </w:r>
      <w:r w:rsidRPr="00DC4C78">
        <w:t xml:space="preserve"> the </w:t>
      </w:r>
      <w:r>
        <w:t>sector</w:t>
      </w:r>
      <w:r w:rsidR="00700141">
        <w:t>’</w:t>
      </w:r>
      <w:r>
        <w:t xml:space="preserve">s </w:t>
      </w:r>
      <w:r w:rsidRPr="00DC4C78">
        <w:t xml:space="preserve">current priorities. </w:t>
      </w:r>
      <w:r>
        <w:t xml:space="preserve">The discussion focussed on the benefits of replacing </w:t>
      </w:r>
      <w:r w:rsidRPr="00DC4C78">
        <w:t xml:space="preserve">targets that are routinely being achieved </w:t>
      </w:r>
      <w:r>
        <w:t xml:space="preserve">with one </w:t>
      </w:r>
      <w:r w:rsidRPr="00DC4C78">
        <w:t xml:space="preserve">that better </w:t>
      </w:r>
      <w:r>
        <w:t xml:space="preserve">addresses </w:t>
      </w:r>
      <w:r w:rsidRPr="00DC4C78">
        <w:t xml:space="preserve">gaps in access, outcomes or quality. </w:t>
      </w:r>
      <w:r>
        <w:t>Additionally, w</w:t>
      </w:r>
      <w:r w:rsidRPr="00DC4C78">
        <w:t xml:space="preserve">e have access to different data sets </w:t>
      </w:r>
      <w:r>
        <w:t xml:space="preserve">now </w:t>
      </w:r>
      <w:r w:rsidRPr="00DC4C78">
        <w:t xml:space="preserve">than </w:t>
      </w:r>
      <w:r>
        <w:t xml:space="preserve">we did </w:t>
      </w:r>
      <w:r w:rsidRPr="00DC4C78">
        <w:t xml:space="preserve">when </w:t>
      </w:r>
      <w:r>
        <w:t xml:space="preserve">we first developed </w:t>
      </w:r>
      <w:r w:rsidRPr="00DC4C78">
        <w:t>the</w:t>
      </w:r>
      <w:r>
        <w:t xml:space="preserve"> i</w:t>
      </w:r>
      <w:r w:rsidRPr="00DC4C78">
        <w:t>ndicators</w:t>
      </w:r>
      <w:r>
        <w:t xml:space="preserve">; this </w:t>
      </w:r>
      <w:r w:rsidRPr="00DC4C78">
        <w:t xml:space="preserve">may </w:t>
      </w:r>
      <w:r>
        <w:t xml:space="preserve">also </w:t>
      </w:r>
      <w:r w:rsidRPr="00DC4C78">
        <w:t xml:space="preserve">influence the </w:t>
      </w:r>
      <w:r>
        <w:t>revised set</w:t>
      </w:r>
      <w:r w:rsidRPr="00DC4C78">
        <w:t xml:space="preserve">. </w:t>
      </w:r>
      <w:r>
        <w:t>Before the next report (March 2016) is released, we will inform the sector of any changes that will be made.</w:t>
      </w:r>
    </w:p>
    <w:p w:rsidR="00C30B65" w:rsidRPr="00DC4C78" w:rsidRDefault="00C30B65" w:rsidP="00C30B65">
      <w:pPr>
        <w:spacing w:before="160"/>
        <w:rPr>
          <w:lang w:val="en"/>
        </w:rPr>
      </w:pPr>
      <w:r w:rsidRPr="00DC4C78">
        <w:t>In the second indicators report (September 2013) we quoted Nelson Mandela</w:t>
      </w:r>
      <w:r>
        <w:t>, who said</w:t>
      </w:r>
      <w:r w:rsidRPr="00DC4C78">
        <w:t xml:space="preserve"> </w:t>
      </w:r>
      <w:r w:rsidR="00700141">
        <w:t>‘</w:t>
      </w:r>
      <w:r w:rsidRPr="00DC4C78">
        <w:t>[t]here can be no keener revelation of a society</w:t>
      </w:r>
      <w:r w:rsidR="00700141">
        <w:t>’</w:t>
      </w:r>
      <w:r w:rsidRPr="00DC4C78">
        <w:t>s soul than the way in which it treats its children</w:t>
      </w:r>
      <w:r w:rsidR="00700141">
        <w:t>’</w:t>
      </w:r>
      <w:r w:rsidRPr="00DC4C78">
        <w:t xml:space="preserve">. We, the EAG, will </w:t>
      </w:r>
      <w:r>
        <w:t xml:space="preserve">keep </w:t>
      </w:r>
      <w:r w:rsidRPr="00DC4C78">
        <w:t xml:space="preserve">that </w:t>
      </w:r>
      <w:r>
        <w:t xml:space="preserve">in mind in our </w:t>
      </w:r>
      <w:r w:rsidRPr="00DC4C78">
        <w:t xml:space="preserve">review </w:t>
      </w:r>
      <w:r>
        <w:t xml:space="preserve">of </w:t>
      </w:r>
      <w:r w:rsidRPr="00DC4C78">
        <w:t xml:space="preserve">the indicators. How can we to build a system that treats our children as </w:t>
      </w:r>
      <w:proofErr w:type="spellStart"/>
      <w:r w:rsidRPr="00DC4C78">
        <w:t>taonga</w:t>
      </w:r>
      <w:proofErr w:type="spellEnd"/>
      <w:r w:rsidRPr="00DC4C78">
        <w:t xml:space="preserve"> and ensures we work in partnership with families to help them grow strong, healthy and resilient? In the next report, we will </w:t>
      </w:r>
      <w:r>
        <w:t xml:space="preserve">put </w:t>
      </w:r>
      <w:r w:rsidRPr="00DC4C78">
        <w:t xml:space="preserve">that </w:t>
      </w:r>
      <w:r>
        <w:t xml:space="preserve">question </w:t>
      </w:r>
      <w:r w:rsidRPr="00DC4C78">
        <w:t>to you</w:t>
      </w:r>
      <w:r>
        <w:t>:</w:t>
      </w:r>
      <w:r w:rsidRPr="00DC4C78">
        <w:t xml:space="preserve"> how can YOU help build such a system?</w:t>
      </w:r>
    </w:p>
    <w:p w:rsidR="00C30B65" w:rsidRPr="00DC4C78" w:rsidRDefault="00C30B65" w:rsidP="00C30B65">
      <w:pPr>
        <w:spacing w:before="160"/>
      </w:pPr>
      <w:r w:rsidRPr="00DC4C78">
        <w:t>For</w:t>
      </w:r>
      <w:r w:rsidRPr="00C30B65">
        <w:t xml:space="preserve"> </w:t>
      </w:r>
      <w:r w:rsidRPr="00DC4C78">
        <w:t xml:space="preserve">now, </w:t>
      </w:r>
      <w:r>
        <w:t>we</w:t>
      </w:r>
      <w:r w:rsidRPr="00DC4C78">
        <w:t xml:space="preserve"> would like to take the opportunity to thank the sector for the work they have put into achieving these current indicators – it is impressive that 8 of the 27 indicators are at least 98</w:t>
      </w:r>
      <w:r>
        <w:t> </w:t>
      </w:r>
      <w:r w:rsidRPr="00DC4C78">
        <w:t xml:space="preserve">percent achieved across all groups. </w:t>
      </w:r>
      <w:r>
        <w:t>Achievement against o</w:t>
      </w:r>
      <w:r w:rsidRPr="00DC4C78">
        <w:t xml:space="preserve">ther indicators </w:t>
      </w:r>
      <w:r>
        <w:t xml:space="preserve">is </w:t>
      </w:r>
      <w:r w:rsidRPr="00DC4C78">
        <w:t xml:space="preserve">tracking </w:t>
      </w:r>
      <w:r>
        <w:t xml:space="preserve">at </w:t>
      </w:r>
      <w:r w:rsidRPr="00DC4C78">
        <w:t>about the December 2014 targets</w:t>
      </w:r>
      <w:r>
        <w:t>,</w:t>
      </w:r>
      <w:r w:rsidRPr="00DC4C78">
        <w:t xml:space="preserve"> </w:t>
      </w:r>
      <w:r>
        <w:t xml:space="preserve">or has </w:t>
      </w:r>
      <w:r w:rsidRPr="00DC4C78">
        <w:t>already reached</w:t>
      </w:r>
      <w:r>
        <w:t xml:space="preserve"> </w:t>
      </w:r>
      <w:r w:rsidRPr="00DC4C78">
        <w:t xml:space="preserve">June 2016 targets. </w:t>
      </w:r>
      <w:r>
        <w:t xml:space="preserve">This assures us </w:t>
      </w:r>
      <w:r w:rsidRPr="00DC4C78">
        <w:t>that children are getting most of the services they require.</w:t>
      </w:r>
    </w:p>
    <w:p w:rsidR="00C30B65" w:rsidRPr="0031304C" w:rsidRDefault="00C30B65" w:rsidP="00C30B65">
      <w:pPr>
        <w:spacing w:before="160"/>
      </w:pPr>
      <w:r w:rsidRPr="0031304C">
        <w:t xml:space="preserve">There is still significant work to be done. For example, targets linked to childhood obesity will be a focus for the sector going forward. Dr Jonathan Coleman, Minister of Health, announced in October 2015 a package of 22 initiatives to help reduce childhood obesity, including a health target that </w:t>
      </w:r>
      <w:r w:rsidR="00700141" w:rsidRPr="0031304C">
        <w:t>‘</w:t>
      </w:r>
      <w:r w:rsidRPr="0031304C">
        <w:t>by December 2017, 95 percent of obese children identified in the Before School Check (B4SC) programme will be offered a referral to a health professional for clinical assessment and family based nutrition, activity and lifestyle interventions.</w:t>
      </w:r>
      <w:r w:rsidR="00700141" w:rsidRPr="0031304C">
        <w:t>’</w:t>
      </w:r>
      <w:r w:rsidRPr="0031304C">
        <w:t xml:space="preserve"> The context of the target is the B4SC because of its focus on early intervention to ensure positive, sustained effects on health. The government is planning increased support for families with overweight children and other initiatives such as public health campaigns and proactive work with the food industry, alongside the target.</w:t>
      </w:r>
    </w:p>
    <w:p w:rsidR="00C30B65" w:rsidRPr="00DC4C78" w:rsidRDefault="00C30B65" w:rsidP="00C30B65">
      <w:pPr>
        <w:spacing w:before="160"/>
      </w:pPr>
      <w:r>
        <w:rPr>
          <w:lang w:val="en"/>
        </w:rPr>
        <w:t>Achievement against m</w:t>
      </w:r>
      <w:r w:rsidRPr="00DC4C78">
        <w:rPr>
          <w:lang w:val="en"/>
        </w:rPr>
        <w:t xml:space="preserve">any indicators </w:t>
      </w:r>
      <w:r>
        <w:rPr>
          <w:lang w:val="en"/>
        </w:rPr>
        <w:t>has not improved</w:t>
      </w:r>
      <w:r w:rsidRPr="00DC4C78">
        <w:rPr>
          <w:lang w:val="en"/>
        </w:rPr>
        <w:t xml:space="preserve"> since </w:t>
      </w:r>
      <w:r>
        <w:rPr>
          <w:lang w:val="en"/>
        </w:rPr>
        <w:t xml:space="preserve">our </w:t>
      </w:r>
      <w:r w:rsidRPr="00DC4C78">
        <w:rPr>
          <w:lang w:val="en"/>
        </w:rPr>
        <w:t>last report</w:t>
      </w:r>
      <w:r>
        <w:rPr>
          <w:lang w:val="en"/>
        </w:rPr>
        <w:t xml:space="preserve"> – neither </w:t>
      </w:r>
      <w:r w:rsidRPr="00DC4C78">
        <w:rPr>
          <w:lang w:val="en"/>
        </w:rPr>
        <w:t>in total population figures nor in the reduction of inequities for high</w:t>
      </w:r>
      <w:r>
        <w:rPr>
          <w:lang w:val="en"/>
        </w:rPr>
        <w:t>-</w:t>
      </w:r>
      <w:r w:rsidRPr="00DC4C78">
        <w:rPr>
          <w:lang w:val="en"/>
        </w:rPr>
        <w:t xml:space="preserve">deprivation, </w:t>
      </w:r>
      <w:r>
        <w:rPr>
          <w:lang w:val="en"/>
        </w:rPr>
        <w:t>Māori</w:t>
      </w:r>
      <w:r w:rsidRPr="00DC4C78">
        <w:rPr>
          <w:lang w:val="en"/>
        </w:rPr>
        <w:t xml:space="preserve"> or Pacific </w:t>
      </w:r>
      <w:r>
        <w:rPr>
          <w:lang w:val="en"/>
        </w:rPr>
        <w:t>people</w:t>
      </w:r>
      <w:r w:rsidR="00700141">
        <w:rPr>
          <w:lang w:val="en"/>
        </w:rPr>
        <w:t>’</w:t>
      </w:r>
      <w:r>
        <w:rPr>
          <w:lang w:val="en"/>
        </w:rPr>
        <w:t xml:space="preserve">s </w:t>
      </w:r>
      <w:r w:rsidRPr="00DC4C78">
        <w:rPr>
          <w:lang w:val="en"/>
        </w:rPr>
        <w:t xml:space="preserve">communities. </w:t>
      </w:r>
      <w:r w:rsidRPr="00DC4C78">
        <w:t>We hope a revitalised set of indicators will help the sector push forward with t</w:t>
      </w:r>
      <w:r>
        <w:t>he next generation of children.</w:t>
      </w:r>
    </w:p>
    <w:p w:rsidR="00C30B65" w:rsidRPr="00DC4C78" w:rsidRDefault="00C30B65" w:rsidP="00C30B65">
      <w:pPr>
        <w:spacing w:before="160"/>
      </w:pPr>
      <w:r w:rsidRPr="00DC4C78">
        <w:t xml:space="preserve">We thank you for being part of the journey so far, and hope that you continue to </w:t>
      </w:r>
      <w:r>
        <w:t>travel forward with us.</w:t>
      </w:r>
    </w:p>
    <w:p w:rsidR="00C30B65" w:rsidRPr="00DC4C78" w:rsidRDefault="00C30B65" w:rsidP="00C30B65">
      <w:pPr>
        <w:pStyle w:val="Heading1"/>
        <w:spacing w:after="240"/>
      </w:pPr>
      <w:bookmarkStart w:id="5" w:name="_Toc419099434"/>
      <w:bookmarkStart w:id="6" w:name="_Toc440387780"/>
      <w:r w:rsidRPr="00DC4C78">
        <w:lastRenderedPageBreak/>
        <w:t>Summary of national results</w:t>
      </w:r>
      <w:bookmarkEnd w:id="5"/>
      <w:bookmarkEnd w:id="6"/>
    </w:p>
    <w:tbl>
      <w:tblPr>
        <w:tblW w:w="9356" w:type="dxa"/>
        <w:tblInd w:w="57" w:type="dxa"/>
        <w:tblLayout w:type="fixed"/>
        <w:tblCellMar>
          <w:left w:w="57" w:type="dxa"/>
          <w:right w:w="57" w:type="dxa"/>
        </w:tblCellMar>
        <w:tblLook w:val="04A0" w:firstRow="1" w:lastRow="0" w:firstColumn="1" w:lastColumn="0" w:noHBand="0" w:noVBand="1"/>
      </w:tblPr>
      <w:tblGrid>
        <w:gridCol w:w="3821"/>
        <w:gridCol w:w="691"/>
        <w:gridCol w:w="692"/>
        <w:gridCol w:w="692"/>
        <w:gridCol w:w="692"/>
        <w:gridCol w:w="692"/>
        <w:gridCol w:w="692"/>
        <w:gridCol w:w="692"/>
        <w:gridCol w:w="692"/>
      </w:tblGrid>
      <w:tr w:rsidR="00C30B65" w:rsidRPr="00DC4C78" w:rsidTr="00C30B65">
        <w:trPr>
          <w:cantSplit/>
          <w:tblHeader/>
        </w:trPr>
        <w:tc>
          <w:tcPr>
            <w:tcW w:w="3821" w:type="dxa"/>
            <w:vMerge w:val="restart"/>
            <w:tcBorders>
              <w:top w:val="single" w:sz="4" w:space="0" w:color="auto"/>
              <w:right w:val="single" w:sz="8" w:space="0" w:color="000000" w:themeColor="text1"/>
            </w:tcBorders>
            <w:shd w:val="clear" w:color="auto" w:fill="auto"/>
            <w:hideMark/>
          </w:tcPr>
          <w:p w:rsidR="00C30B65" w:rsidRPr="00DC4C78" w:rsidRDefault="00C30B65" w:rsidP="00C30B65">
            <w:pPr>
              <w:pStyle w:val="TableText"/>
              <w:spacing w:before="40" w:after="40"/>
              <w:rPr>
                <w:b/>
                <w:sz w:val="16"/>
                <w:szCs w:val="16"/>
                <w:lang w:eastAsia="en-NZ"/>
              </w:rPr>
            </w:pPr>
            <w:r w:rsidRPr="00DC4C78">
              <w:rPr>
                <w:b/>
                <w:szCs w:val="16"/>
                <w:lang w:eastAsia="en-NZ"/>
              </w:rPr>
              <w:t>Quality indicator</w:t>
            </w:r>
          </w:p>
        </w:tc>
        <w:tc>
          <w:tcPr>
            <w:tcW w:w="2767" w:type="dxa"/>
            <w:gridSpan w:val="4"/>
            <w:tcBorders>
              <w:top w:val="single" w:sz="4" w:space="0" w:color="auto"/>
              <w:left w:val="single" w:sz="8" w:space="0" w:color="000000" w:themeColor="text1"/>
              <w:bottom w:val="single" w:sz="4" w:space="0" w:color="auto"/>
              <w:right w:val="single" w:sz="8" w:space="0" w:color="000000" w:themeColor="text1"/>
            </w:tcBorders>
            <w:shd w:val="clear" w:color="auto" w:fill="BFBFBF" w:themeFill="background1" w:themeFillShade="BF"/>
            <w:noWrap/>
            <w:vAlign w:val="center"/>
          </w:tcPr>
          <w:p w:rsidR="00C30B65" w:rsidRPr="00DC4C78" w:rsidRDefault="00C30B65" w:rsidP="00C30B65">
            <w:pPr>
              <w:pStyle w:val="TableText"/>
              <w:jc w:val="center"/>
              <w:rPr>
                <w:b/>
                <w:sz w:val="16"/>
                <w:szCs w:val="16"/>
                <w:lang w:eastAsia="en-NZ"/>
              </w:rPr>
            </w:pPr>
            <w:r w:rsidRPr="00DC4C78">
              <w:rPr>
                <w:b/>
                <w:sz w:val="16"/>
                <w:szCs w:val="16"/>
                <w:lang w:eastAsia="en-NZ"/>
              </w:rPr>
              <w:t>March 2015</w:t>
            </w:r>
          </w:p>
        </w:tc>
        <w:tc>
          <w:tcPr>
            <w:tcW w:w="2768" w:type="dxa"/>
            <w:gridSpan w:val="4"/>
            <w:tcBorders>
              <w:top w:val="single" w:sz="4" w:space="0" w:color="auto"/>
              <w:left w:val="single" w:sz="8" w:space="0" w:color="000000" w:themeColor="text1"/>
              <w:bottom w:val="single" w:sz="4" w:space="0" w:color="auto"/>
              <w:right w:val="single" w:sz="4" w:space="0" w:color="auto"/>
            </w:tcBorders>
            <w:shd w:val="clear" w:color="auto" w:fill="BFBFBF" w:themeFill="background1" w:themeFillShade="BF"/>
            <w:vAlign w:val="center"/>
          </w:tcPr>
          <w:p w:rsidR="00C30B65" w:rsidRPr="00DC4C78" w:rsidRDefault="00C30B65" w:rsidP="00C30B65">
            <w:pPr>
              <w:pStyle w:val="TableText"/>
              <w:jc w:val="center"/>
              <w:rPr>
                <w:b/>
                <w:sz w:val="16"/>
                <w:szCs w:val="16"/>
                <w:lang w:eastAsia="en-NZ"/>
              </w:rPr>
            </w:pPr>
            <w:r w:rsidRPr="00DC4C78">
              <w:rPr>
                <w:b/>
                <w:sz w:val="16"/>
                <w:szCs w:val="16"/>
                <w:lang w:eastAsia="en-NZ"/>
              </w:rPr>
              <w:t>September 2015</w:t>
            </w:r>
          </w:p>
        </w:tc>
      </w:tr>
      <w:tr w:rsidR="00C30B65" w:rsidRPr="00DC4C78" w:rsidTr="00C30B65">
        <w:trPr>
          <w:cantSplit/>
          <w:tblHeader/>
        </w:trPr>
        <w:tc>
          <w:tcPr>
            <w:tcW w:w="3821" w:type="dxa"/>
            <w:vMerge/>
            <w:tcBorders>
              <w:bottom w:val="single" w:sz="4" w:space="0" w:color="auto"/>
              <w:right w:val="single" w:sz="8" w:space="0" w:color="000000" w:themeColor="text1"/>
            </w:tcBorders>
            <w:shd w:val="clear" w:color="auto" w:fill="auto"/>
            <w:hideMark/>
          </w:tcPr>
          <w:p w:rsidR="00C30B65" w:rsidRPr="00DC4C78" w:rsidRDefault="00C30B65" w:rsidP="00C30B65">
            <w:pPr>
              <w:pStyle w:val="TableText"/>
              <w:spacing w:before="40" w:after="40"/>
              <w:rPr>
                <w:b/>
                <w:sz w:val="16"/>
                <w:szCs w:val="16"/>
                <w:lang w:eastAsia="en-NZ"/>
              </w:rPr>
            </w:pPr>
          </w:p>
        </w:tc>
        <w:tc>
          <w:tcPr>
            <w:tcW w:w="691" w:type="dxa"/>
            <w:tcBorders>
              <w:top w:val="single" w:sz="4" w:space="0" w:color="auto"/>
              <w:left w:val="single" w:sz="8" w:space="0" w:color="000000" w:themeColor="text1"/>
              <w:bottom w:val="single" w:sz="4" w:space="0" w:color="auto"/>
            </w:tcBorders>
            <w:noWrap/>
          </w:tcPr>
          <w:p w:rsidR="00C30B65" w:rsidRPr="00DC4C78" w:rsidRDefault="00C30B65" w:rsidP="00C30B65">
            <w:pPr>
              <w:pStyle w:val="TableText"/>
              <w:spacing w:before="40" w:after="40"/>
              <w:jc w:val="center"/>
              <w:rPr>
                <w:b/>
                <w:sz w:val="16"/>
                <w:szCs w:val="16"/>
                <w:lang w:eastAsia="en-NZ"/>
              </w:rPr>
            </w:pPr>
            <w:r w:rsidRPr="00DC4C78">
              <w:rPr>
                <w:b/>
                <w:sz w:val="16"/>
                <w:szCs w:val="16"/>
                <w:lang w:eastAsia="en-NZ"/>
              </w:rPr>
              <w:t>Total</w:t>
            </w:r>
          </w:p>
        </w:tc>
        <w:tc>
          <w:tcPr>
            <w:tcW w:w="692" w:type="dxa"/>
            <w:tcBorders>
              <w:top w:val="single" w:sz="4" w:space="0" w:color="auto"/>
              <w:left w:val="single" w:sz="4" w:space="0" w:color="A6A6A6"/>
              <w:bottom w:val="single" w:sz="4" w:space="0" w:color="auto"/>
            </w:tcBorders>
            <w:noWrap/>
          </w:tcPr>
          <w:p w:rsidR="00C30B65" w:rsidRPr="00DC4C78" w:rsidRDefault="00C30B65" w:rsidP="00C30B65">
            <w:pPr>
              <w:pStyle w:val="TableText"/>
              <w:spacing w:before="40" w:after="40"/>
              <w:jc w:val="center"/>
              <w:rPr>
                <w:b/>
                <w:sz w:val="16"/>
                <w:szCs w:val="16"/>
                <w:lang w:eastAsia="en-NZ"/>
              </w:rPr>
            </w:pPr>
            <w:r w:rsidRPr="00DC4C78">
              <w:rPr>
                <w:b/>
                <w:sz w:val="16"/>
                <w:szCs w:val="16"/>
                <w:lang w:eastAsia="en-NZ"/>
              </w:rPr>
              <w:t xml:space="preserve">High </w:t>
            </w:r>
            <w:proofErr w:type="spellStart"/>
            <w:r w:rsidRPr="00DC4C78">
              <w:rPr>
                <w:b/>
                <w:sz w:val="16"/>
                <w:szCs w:val="16"/>
                <w:lang w:eastAsia="en-NZ"/>
              </w:rPr>
              <w:t>dep</w:t>
            </w:r>
            <w:proofErr w:type="spellEnd"/>
          </w:p>
        </w:tc>
        <w:tc>
          <w:tcPr>
            <w:tcW w:w="692" w:type="dxa"/>
            <w:tcBorders>
              <w:top w:val="single" w:sz="4" w:space="0" w:color="auto"/>
              <w:left w:val="single" w:sz="4" w:space="0" w:color="A6A6A6"/>
              <w:bottom w:val="single" w:sz="4" w:space="0" w:color="auto"/>
            </w:tcBorders>
            <w:noWrap/>
          </w:tcPr>
          <w:p w:rsidR="00C30B65" w:rsidRPr="00DC4C78" w:rsidRDefault="00C30B65" w:rsidP="00C30B65">
            <w:pPr>
              <w:pStyle w:val="TableText"/>
              <w:spacing w:before="40" w:after="40"/>
              <w:jc w:val="center"/>
              <w:rPr>
                <w:b/>
                <w:sz w:val="16"/>
                <w:szCs w:val="16"/>
                <w:lang w:eastAsia="en-NZ"/>
              </w:rPr>
            </w:pPr>
            <w:r w:rsidRPr="00DC4C78">
              <w:rPr>
                <w:b/>
                <w:sz w:val="16"/>
                <w:szCs w:val="16"/>
                <w:lang w:eastAsia="en-NZ"/>
              </w:rPr>
              <w:t>M</w:t>
            </w:r>
            <w:r w:rsidRPr="00DC4C78">
              <w:rPr>
                <w:rFonts w:cs="Arial"/>
                <w:b/>
                <w:sz w:val="16"/>
                <w:szCs w:val="16"/>
                <w:lang w:eastAsia="en-NZ"/>
              </w:rPr>
              <w:t>ā</w:t>
            </w:r>
            <w:r w:rsidRPr="00DC4C78">
              <w:rPr>
                <w:b/>
                <w:sz w:val="16"/>
                <w:szCs w:val="16"/>
                <w:lang w:eastAsia="en-NZ"/>
              </w:rPr>
              <w:t>ori</w:t>
            </w:r>
          </w:p>
        </w:tc>
        <w:tc>
          <w:tcPr>
            <w:tcW w:w="692" w:type="dxa"/>
            <w:tcBorders>
              <w:top w:val="single" w:sz="4" w:space="0" w:color="auto"/>
              <w:left w:val="single" w:sz="4" w:space="0" w:color="A6A6A6"/>
              <w:bottom w:val="single" w:sz="4" w:space="0" w:color="auto"/>
              <w:right w:val="single" w:sz="8" w:space="0" w:color="000000" w:themeColor="text1"/>
            </w:tcBorders>
            <w:noWrap/>
          </w:tcPr>
          <w:p w:rsidR="00C30B65" w:rsidRPr="00DC4C78" w:rsidRDefault="00C30B65" w:rsidP="00C30B65">
            <w:pPr>
              <w:pStyle w:val="TableText"/>
              <w:spacing w:before="40" w:after="40"/>
              <w:jc w:val="center"/>
              <w:rPr>
                <w:b/>
                <w:sz w:val="16"/>
                <w:szCs w:val="16"/>
                <w:lang w:eastAsia="en-NZ"/>
              </w:rPr>
            </w:pPr>
            <w:r w:rsidRPr="00DC4C78">
              <w:rPr>
                <w:b/>
                <w:sz w:val="16"/>
                <w:szCs w:val="16"/>
                <w:lang w:eastAsia="en-NZ"/>
              </w:rPr>
              <w:t>Pacific</w:t>
            </w:r>
          </w:p>
        </w:tc>
        <w:tc>
          <w:tcPr>
            <w:tcW w:w="692" w:type="dxa"/>
            <w:tcBorders>
              <w:top w:val="single" w:sz="4" w:space="0" w:color="auto"/>
              <w:left w:val="single" w:sz="8" w:space="0" w:color="000000" w:themeColor="text1"/>
              <w:bottom w:val="single" w:sz="4" w:space="0" w:color="auto"/>
              <w:right w:val="single" w:sz="4" w:space="0" w:color="BFBFBF" w:themeColor="background1" w:themeShade="BF"/>
            </w:tcBorders>
          </w:tcPr>
          <w:p w:rsidR="00C30B65" w:rsidRPr="00DC4C78" w:rsidRDefault="00C30B65" w:rsidP="00C30B65">
            <w:pPr>
              <w:pStyle w:val="TableText"/>
              <w:spacing w:before="40" w:after="40"/>
              <w:jc w:val="center"/>
              <w:rPr>
                <w:b/>
                <w:sz w:val="16"/>
                <w:szCs w:val="16"/>
                <w:lang w:eastAsia="en-NZ"/>
              </w:rPr>
            </w:pPr>
            <w:r w:rsidRPr="00DC4C78">
              <w:rPr>
                <w:b/>
                <w:sz w:val="16"/>
                <w:szCs w:val="16"/>
                <w:lang w:eastAsia="en-NZ"/>
              </w:rPr>
              <w:t>Total</w:t>
            </w:r>
          </w:p>
        </w:tc>
        <w:tc>
          <w:tcPr>
            <w:tcW w:w="692" w:type="dxa"/>
            <w:tcBorders>
              <w:top w:val="single" w:sz="4" w:space="0" w:color="auto"/>
              <w:left w:val="single" w:sz="4" w:space="0" w:color="BFBFBF" w:themeColor="background1" w:themeShade="BF"/>
              <w:bottom w:val="single" w:sz="4" w:space="0" w:color="auto"/>
              <w:right w:val="single" w:sz="4" w:space="0" w:color="BFBFBF" w:themeColor="background1" w:themeShade="BF"/>
            </w:tcBorders>
          </w:tcPr>
          <w:p w:rsidR="00C30B65" w:rsidRPr="00DC4C78" w:rsidRDefault="00C30B65" w:rsidP="00C30B65">
            <w:pPr>
              <w:pStyle w:val="TableText"/>
              <w:spacing w:before="40" w:after="40"/>
              <w:jc w:val="center"/>
              <w:rPr>
                <w:b/>
                <w:sz w:val="16"/>
                <w:szCs w:val="16"/>
                <w:lang w:eastAsia="en-NZ"/>
              </w:rPr>
            </w:pPr>
            <w:r w:rsidRPr="00DC4C78">
              <w:rPr>
                <w:b/>
                <w:sz w:val="16"/>
                <w:szCs w:val="16"/>
                <w:lang w:eastAsia="en-NZ"/>
              </w:rPr>
              <w:t xml:space="preserve">High </w:t>
            </w:r>
            <w:proofErr w:type="spellStart"/>
            <w:r w:rsidRPr="00DC4C78">
              <w:rPr>
                <w:b/>
                <w:sz w:val="16"/>
                <w:szCs w:val="16"/>
                <w:lang w:eastAsia="en-NZ"/>
              </w:rPr>
              <w:t>dep</w:t>
            </w:r>
            <w:proofErr w:type="spellEnd"/>
          </w:p>
        </w:tc>
        <w:tc>
          <w:tcPr>
            <w:tcW w:w="692" w:type="dxa"/>
            <w:tcBorders>
              <w:top w:val="single" w:sz="4" w:space="0" w:color="auto"/>
              <w:left w:val="single" w:sz="4" w:space="0" w:color="BFBFBF" w:themeColor="background1" w:themeShade="BF"/>
              <w:bottom w:val="single" w:sz="4" w:space="0" w:color="auto"/>
              <w:right w:val="single" w:sz="4" w:space="0" w:color="BFBFBF" w:themeColor="background1" w:themeShade="BF"/>
            </w:tcBorders>
          </w:tcPr>
          <w:p w:rsidR="00C30B65" w:rsidRPr="00DC4C78" w:rsidRDefault="00C30B65" w:rsidP="00C30B65">
            <w:pPr>
              <w:pStyle w:val="TableText"/>
              <w:spacing w:before="40" w:after="40"/>
              <w:jc w:val="center"/>
              <w:rPr>
                <w:b/>
                <w:sz w:val="16"/>
                <w:szCs w:val="16"/>
                <w:lang w:eastAsia="en-NZ"/>
              </w:rPr>
            </w:pPr>
            <w:r w:rsidRPr="00DC4C78">
              <w:rPr>
                <w:b/>
                <w:sz w:val="16"/>
                <w:szCs w:val="16"/>
                <w:lang w:eastAsia="en-NZ"/>
              </w:rPr>
              <w:t>Māori</w:t>
            </w:r>
          </w:p>
        </w:tc>
        <w:tc>
          <w:tcPr>
            <w:tcW w:w="692" w:type="dxa"/>
            <w:tcBorders>
              <w:top w:val="single" w:sz="4" w:space="0" w:color="auto"/>
              <w:left w:val="single" w:sz="4" w:space="0" w:color="BFBFBF" w:themeColor="background1" w:themeShade="BF"/>
              <w:bottom w:val="single" w:sz="4" w:space="0" w:color="auto"/>
              <w:right w:val="single" w:sz="4" w:space="0" w:color="auto"/>
            </w:tcBorders>
          </w:tcPr>
          <w:p w:rsidR="00C30B65" w:rsidRPr="00DC4C78" w:rsidRDefault="00C30B65" w:rsidP="00C30B65">
            <w:pPr>
              <w:pStyle w:val="TableText"/>
              <w:spacing w:before="40" w:after="40"/>
              <w:jc w:val="center"/>
              <w:rPr>
                <w:b/>
                <w:sz w:val="16"/>
                <w:szCs w:val="16"/>
                <w:lang w:eastAsia="en-NZ"/>
              </w:rPr>
            </w:pPr>
            <w:r w:rsidRPr="00DC4C78">
              <w:rPr>
                <w:b/>
                <w:sz w:val="16"/>
                <w:szCs w:val="16"/>
                <w:lang w:eastAsia="en-NZ"/>
              </w:rPr>
              <w:t>Pacific</w:t>
            </w:r>
          </w:p>
        </w:tc>
      </w:tr>
      <w:tr w:rsidR="00C30B65" w:rsidRPr="00DC4C78" w:rsidTr="00C30B65">
        <w:trPr>
          <w:cantSplit/>
        </w:trPr>
        <w:tc>
          <w:tcPr>
            <w:tcW w:w="3821" w:type="dxa"/>
            <w:tcBorders>
              <w:top w:val="single" w:sz="4" w:space="0" w:color="auto"/>
              <w:right w:val="single" w:sz="8" w:space="0" w:color="000000" w:themeColor="text1"/>
            </w:tcBorders>
            <w:shd w:val="clear" w:color="auto" w:fill="F2F2F2"/>
          </w:tcPr>
          <w:p w:rsidR="00C30B65" w:rsidRPr="00DC4C78" w:rsidRDefault="00C30B65" w:rsidP="00C30B65">
            <w:pPr>
              <w:pStyle w:val="TableText"/>
              <w:spacing w:before="40" w:after="40"/>
              <w:ind w:left="284" w:hanging="284"/>
              <w:rPr>
                <w:rFonts w:cs="Arial"/>
                <w:color w:val="000000"/>
                <w:spacing w:val="-2"/>
                <w:sz w:val="16"/>
                <w:szCs w:val="16"/>
                <w:lang w:eastAsia="en-NZ"/>
              </w:rPr>
            </w:pPr>
            <w:r w:rsidRPr="00DC4C78">
              <w:rPr>
                <w:rFonts w:cs="Arial"/>
                <w:color w:val="000000"/>
                <w:spacing w:val="-2"/>
                <w:sz w:val="16"/>
                <w:szCs w:val="16"/>
                <w:lang w:eastAsia="en-NZ"/>
              </w:rPr>
              <w:t>1.</w:t>
            </w:r>
            <w:r w:rsidRPr="00DC4C78">
              <w:rPr>
                <w:rFonts w:cs="Arial"/>
                <w:color w:val="000000"/>
                <w:spacing w:val="-2"/>
                <w:sz w:val="16"/>
                <w:szCs w:val="16"/>
                <w:lang w:eastAsia="en-NZ"/>
              </w:rPr>
              <w:tab/>
            </w:r>
            <w:hyperlink r:id="rId15" w:anchor="RANGE!#REF!" w:history="1">
              <w:proofErr w:type="spellStart"/>
              <w:r w:rsidRPr="00DC4C78">
                <w:rPr>
                  <w:rFonts w:cs="Arial"/>
                  <w:color w:val="000000"/>
                  <w:spacing w:val="-2"/>
                  <w:sz w:val="16"/>
                  <w:szCs w:val="16"/>
                  <w:lang w:eastAsia="en-NZ"/>
                </w:rPr>
                <w:t>Newborns</w:t>
              </w:r>
              <w:proofErr w:type="spellEnd"/>
              <w:r w:rsidRPr="00DC4C78">
                <w:rPr>
                  <w:rFonts w:cs="Arial"/>
                  <w:color w:val="000000"/>
                  <w:spacing w:val="-2"/>
                  <w:sz w:val="16"/>
                  <w:szCs w:val="16"/>
                  <w:lang w:eastAsia="en-NZ"/>
                </w:rPr>
                <w:t xml:space="preserve"> are enrolled with a general practice by three months</w:t>
              </w:r>
            </w:hyperlink>
            <w:r w:rsidRPr="00DC4C78">
              <w:rPr>
                <w:rFonts w:cs="Arial"/>
                <w:color w:val="000000"/>
                <w:spacing w:val="-2"/>
                <w:sz w:val="16"/>
                <w:szCs w:val="16"/>
                <w:lang w:eastAsia="en-NZ"/>
              </w:rPr>
              <w:t>*</w:t>
            </w:r>
          </w:p>
        </w:tc>
        <w:tc>
          <w:tcPr>
            <w:tcW w:w="691" w:type="dxa"/>
            <w:tcBorders>
              <w:top w:val="single" w:sz="4" w:space="0" w:color="auto"/>
              <w:left w:val="single" w:sz="8" w:space="0" w:color="000000" w:themeColor="text1"/>
            </w:tcBorders>
            <w:shd w:val="clear" w:color="auto" w:fill="F2F2F2"/>
            <w:noWrap/>
            <w:vAlign w:val="center"/>
          </w:tcPr>
          <w:p w:rsidR="00C30B65" w:rsidRPr="00DC4C78" w:rsidRDefault="00C30B65" w:rsidP="00C30B65">
            <w:pPr>
              <w:pStyle w:val="TableText"/>
              <w:jc w:val="center"/>
              <w:rPr>
                <w:sz w:val="16"/>
              </w:rPr>
            </w:pPr>
            <w:r w:rsidRPr="00DC4C78">
              <w:rPr>
                <w:sz w:val="16"/>
              </w:rPr>
              <w:t>65%</w:t>
            </w:r>
          </w:p>
        </w:tc>
        <w:tc>
          <w:tcPr>
            <w:tcW w:w="692" w:type="dxa"/>
            <w:tcBorders>
              <w:top w:val="single" w:sz="4" w:space="0" w:color="auto"/>
              <w:left w:val="single" w:sz="4" w:space="0" w:color="A6A6A6"/>
            </w:tcBorders>
            <w:shd w:val="clear" w:color="auto" w:fill="F2F2F2"/>
            <w:noWrap/>
            <w:vAlign w:val="center"/>
          </w:tcPr>
          <w:p w:rsidR="00C30B65" w:rsidRPr="00DC4C78" w:rsidRDefault="00C30B65" w:rsidP="00C30B65">
            <w:pPr>
              <w:pStyle w:val="TableText"/>
              <w:tabs>
                <w:tab w:val="decimal" w:pos="392"/>
              </w:tabs>
              <w:jc w:val="center"/>
              <w:rPr>
                <w:sz w:val="16"/>
              </w:rPr>
            </w:pPr>
            <w:r w:rsidRPr="00DC4C78">
              <w:rPr>
                <w:sz w:val="16"/>
              </w:rPr>
              <w:t>N/A</w:t>
            </w:r>
          </w:p>
        </w:tc>
        <w:tc>
          <w:tcPr>
            <w:tcW w:w="692" w:type="dxa"/>
            <w:tcBorders>
              <w:top w:val="single" w:sz="4" w:space="0" w:color="auto"/>
              <w:left w:val="single" w:sz="4" w:space="0" w:color="A6A6A6"/>
            </w:tcBorders>
            <w:shd w:val="clear" w:color="auto" w:fill="F2F2F2"/>
            <w:noWrap/>
            <w:vAlign w:val="center"/>
          </w:tcPr>
          <w:p w:rsidR="00C30B65" w:rsidRPr="00DC4C78" w:rsidRDefault="00C30B65" w:rsidP="00C30B65">
            <w:pPr>
              <w:pStyle w:val="TableText"/>
              <w:jc w:val="center"/>
              <w:rPr>
                <w:sz w:val="16"/>
              </w:rPr>
            </w:pPr>
            <w:r w:rsidRPr="00DC4C78">
              <w:rPr>
                <w:sz w:val="16"/>
              </w:rPr>
              <w:t>70%</w:t>
            </w:r>
          </w:p>
        </w:tc>
        <w:tc>
          <w:tcPr>
            <w:tcW w:w="692" w:type="dxa"/>
            <w:tcBorders>
              <w:top w:val="single" w:sz="4" w:space="0" w:color="auto"/>
              <w:left w:val="single" w:sz="4" w:space="0" w:color="A6A6A6"/>
              <w:right w:val="single" w:sz="8" w:space="0" w:color="000000" w:themeColor="text1"/>
            </w:tcBorders>
            <w:shd w:val="clear" w:color="auto" w:fill="F2F2F2"/>
            <w:noWrap/>
            <w:vAlign w:val="center"/>
          </w:tcPr>
          <w:p w:rsidR="00C30B65" w:rsidRPr="00DC4C78" w:rsidRDefault="00C30B65" w:rsidP="00C30B65">
            <w:pPr>
              <w:pStyle w:val="TableText"/>
              <w:jc w:val="center"/>
              <w:rPr>
                <w:sz w:val="16"/>
              </w:rPr>
            </w:pPr>
            <w:r w:rsidRPr="00DC4C78">
              <w:rPr>
                <w:sz w:val="16"/>
              </w:rPr>
              <w:t>60%</w:t>
            </w:r>
          </w:p>
        </w:tc>
        <w:tc>
          <w:tcPr>
            <w:tcW w:w="692" w:type="dxa"/>
            <w:tcBorders>
              <w:top w:val="single" w:sz="4" w:space="0" w:color="auto"/>
              <w:left w:val="single" w:sz="8" w:space="0" w:color="000000" w:themeColor="text1"/>
              <w:right w:val="single" w:sz="4" w:space="0" w:color="BFBFBF" w:themeColor="background1" w:themeShade="BF"/>
            </w:tcBorders>
            <w:shd w:val="clear" w:color="auto" w:fill="F2F2F2"/>
            <w:vAlign w:val="center"/>
          </w:tcPr>
          <w:p w:rsidR="00C30B65" w:rsidRPr="00DC4C78" w:rsidRDefault="00C30B65" w:rsidP="00C30B65">
            <w:pPr>
              <w:jc w:val="center"/>
              <w:rPr>
                <w:rFonts w:ascii="Arial" w:hAnsi="Arial" w:cs="Arial"/>
                <w:sz w:val="16"/>
                <w:szCs w:val="16"/>
              </w:rPr>
            </w:pPr>
            <w:r w:rsidRPr="00DC4C78">
              <w:rPr>
                <w:rFonts w:ascii="Arial" w:hAnsi="Arial" w:cs="Arial"/>
                <w:sz w:val="16"/>
                <w:szCs w:val="16"/>
              </w:rPr>
              <w:t>74%</w:t>
            </w:r>
          </w:p>
        </w:tc>
        <w:tc>
          <w:tcPr>
            <w:tcW w:w="692" w:type="dxa"/>
            <w:tcBorders>
              <w:top w:val="single" w:sz="4" w:space="0" w:color="auto"/>
              <w:left w:val="single" w:sz="4" w:space="0" w:color="BFBFBF" w:themeColor="background1" w:themeShade="BF"/>
              <w:right w:val="single" w:sz="4" w:space="0" w:color="BFBFBF" w:themeColor="background1" w:themeShade="BF"/>
            </w:tcBorders>
            <w:shd w:val="clear" w:color="auto" w:fill="F2F2F2"/>
            <w:vAlign w:val="center"/>
          </w:tcPr>
          <w:p w:rsidR="00C30B65" w:rsidRPr="00DC4C78" w:rsidRDefault="00C30B65" w:rsidP="00C30B65">
            <w:pPr>
              <w:jc w:val="center"/>
              <w:rPr>
                <w:rFonts w:ascii="Arial" w:hAnsi="Arial" w:cs="Arial"/>
                <w:sz w:val="16"/>
                <w:szCs w:val="16"/>
              </w:rPr>
            </w:pPr>
            <w:r>
              <w:rPr>
                <w:rFonts w:ascii="Arial" w:hAnsi="Arial" w:cs="Arial"/>
                <w:sz w:val="16"/>
                <w:szCs w:val="16"/>
              </w:rPr>
              <w:t>N/A</w:t>
            </w:r>
          </w:p>
        </w:tc>
        <w:tc>
          <w:tcPr>
            <w:tcW w:w="692" w:type="dxa"/>
            <w:tcBorders>
              <w:top w:val="single" w:sz="4" w:space="0" w:color="auto"/>
              <w:left w:val="single" w:sz="4" w:space="0" w:color="BFBFBF" w:themeColor="background1" w:themeShade="BF"/>
              <w:right w:val="single" w:sz="4" w:space="0" w:color="BFBFBF" w:themeColor="background1" w:themeShade="BF"/>
            </w:tcBorders>
            <w:shd w:val="clear" w:color="auto" w:fill="F2F2F2"/>
            <w:vAlign w:val="center"/>
          </w:tcPr>
          <w:p w:rsidR="00C30B65" w:rsidRPr="00DC4C78" w:rsidRDefault="00C30B65" w:rsidP="00C30B65">
            <w:pPr>
              <w:jc w:val="center"/>
              <w:rPr>
                <w:rFonts w:ascii="Arial" w:hAnsi="Arial" w:cs="Arial"/>
                <w:sz w:val="16"/>
                <w:szCs w:val="16"/>
              </w:rPr>
            </w:pPr>
            <w:r w:rsidRPr="00DC4C78">
              <w:rPr>
                <w:rFonts w:ascii="Arial" w:hAnsi="Arial" w:cs="Arial"/>
                <w:sz w:val="16"/>
                <w:szCs w:val="16"/>
              </w:rPr>
              <w:t>78%</w:t>
            </w:r>
          </w:p>
        </w:tc>
        <w:tc>
          <w:tcPr>
            <w:tcW w:w="692" w:type="dxa"/>
            <w:tcBorders>
              <w:top w:val="single" w:sz="4" w:space="0" w:color="auto"/>
              <w:left w:val="single" w:sz="4" w:space="0" w:color="BFBFBF" w:themeColor="background1" w:themeShade="BF"/>
              <w:right w:val="single" w:sz="4" w:space="0" w:color="auto"/>
            </w:tcBorders>
            <w:shd w:val="clear" w:color="auto" w:fill="F2F2F2"/>
            <w:vAlign w:val="center"/>
          </w:tcPr>
          <w:p w:rsidR="00C30B65" w:rsidRPr="00DC4C78" w:rsidRDefault="00C30B65" w:rsidP="00C30B65">
            <w:pPr>
              <w:jc w:val="center"/>
              <w:rPr>
                <w:rFonts w:ascii="Arial" w:hAnsi="Arial" w:cs="Arial"/>
                <w:sz w:val="16"/>
                <w:szCs w:val="16"/>
              </w:rPr>
            </w:pPr>
            <w:r w:rsidRPr="00DC4C78">
              <w:rPr>
                <w:rFonts w:ascii="Arial" w:hAnsi="Arial" w:cs="Arial"/>
                <w:sz w:val="16"/>
                <w:szCs w:val="16"/>
              </w:rPr>
              <w:t>73%</w:t>
            </w:r>
          </w:p>
        </w:tc>
      </w:tr>
      <w:tr w:rsidR="00C30B65" w:rsidRPr="00DC4C78" w:rsidTr="00C30B65">
        <w:trPr>
          <w:cantSplit/>
        </w:trPr>
        <w:tc>
          <w:tcPr>
            <w:tcW w:w="3821" w:type="dxa"/>
            <w:tcBorders>
              <w:top w:val="nil"/>
              <w:right w:val="single" w:sz="8" w:space="0" w:color="000000" w:themeColor="text1"/>
            </w:tcBorders>
            <w:shd w:val="clear" w:color="auto" w:fill="auto"/>
          </w:tcPr>
          <w:p w:rsidR="00C30B65" w:rsidRPr="00DC4C78" w:rsidRDefault="00C30B65" w:rsidP="00C30B65">
            <w:pPr>
              <w:pStyle w:val="TableText"/>
              <w:spacing w:before="40" w:after="40"/>
              <w:ind w:left="284" w:hanging="284"/>
              <w:rPr>
                <w:rFonts w:cs="Arial"/>
                <w:color w:val="000000"/>
                <w:sz w:val="16"/>
                <w:szCs w:val="16"/>
                <w:lang w:eastAsia="en-NZ"/>
              </w:rPr>
            </w:pPr>
            <w:r w:rsidRPr="00DC4C78">
              <w:rPr>
                <w:rFonts w:cs="Arial"/>
                <w:color w:val="000000"/>
                <w:sz w:val="16"/>
                <w:szCs w:val="16"/>
                <w:lang w:eastAsia="en-NZ"/>
              </w:rPr>
              <w:t>2.</w:t>
            </w:r>
            <w:r w:rsidRPr="00DC4C78">
              <w:rPr>
                <w:rFonts w:cs="Arial"/>
                <w:color w:val="000000"/>
                <w:sz w:val="16"/>
                <w:szCs w:val="16"/>
                <w:lang w:eastAsia="en-NZ"/>
              </w:rPr>
              <w:tab/>
              <w:t xml:space="preserve">Families and </w:t>
            </w:r>
            <w:proofErr w:type="spellStart"/>
            <w:r w:rsidRPr="00DC4C78">
              <w:rPr>
                <w:rFonts w:cs="Arial"/>
                <w:color w:val="000000"/>
                <w:sz w:val="16"/>
                <w:szCs w:val="16"/>
                <w:lang w:eastAsia="en-NZ"/>
              </w:rPr>
              <w:t>whānau</w:t>
            </w:r>
            <w:proofErr w:type="spellEnd"/>
            <w:r w:rsidRPr="00DC4C78">
              <w:rPr>
                <w:rFonts w:cs="Arial"/>
                <w:color w:val="000000"/>
                <w:sz w:val="16"/>
                <w:szCs w:val="16"/>
                <w:lang w:eastAsia="en-NZ"/>
              </w:rPr>
              <w:t xml:space="preserve"> are referred from their </w:t>
            </w:r>
            <w:r>
              <w:rPr>
                <w:rFonts w:cs="Arial"/>
                <w:color w:val="000000"/>
                <w:sz w:val="16"/>
                <w:szCs w:val="16"/>
                <w:lang w:eastAsia="en-NZ"/>
              </w:rPr>
              <w:t>LMC</w:t>
            </w:r>
            <w:r w:rsidRPr="00DC4C78">
              <w:rPr>
                <w:rFonts w:cs="Arial"/>
                <w:color w:val="000000"/>
                <w:sz w:val="16"/>
                <w:szCs w:val="16"/>
                <w:lang w:eastAsia="en-NZ"/>
              </w:rPr>
              <w:t xml:space="preserve"> to a WCTO provider</w:t>
            </w:r>
          </w:p>
        </w:tc>
        <w:tc>
          <w:tcPr>
            <w:tcW w:w="691" w:type="dxa"/>
            <w:tcBorders>
              <w:top w:val="nil"/>
              <w:left w:val="single" w:sz="8" w:space="0" w:color="000000" w:themeColor="text1"/>
            </w:tcBorders>
            <w:noWrap/>
            <w:vAlign w:val="center"/>
          </w:tcPr>
          <w:p w:rsidR="00C30B65" w:rsidRPr="00DC4C78" w:rsidRDefault="00C30B65" w:rsidP="00C30B65">
            <w:pPr>
              <w:pStyle w:val="TableText"/>
              <w:jc w:val="center"/>
              <w:rPr>
                <w:sz w:val="16"/>
              </w:rPr>
            </w:pPr>
            <w:r w:rsidRPr="00DC4C78">
              <w:rPr>
                <w:sz w:val="16"/>
              </w:rPr>
              <w:t>97%</w:t>
            </w:r>
          </w:p>
        </w:tc>
        <w:tc>
          <w:tcPr>
            <w:tcW w:w="692" w:type="dxa"/>
            <w:tcBorders>
              <w:top w:val="nil"/>
              <w:left w:val="single" w:sz="4" w:space="0" w:color="A6A6A6"/>
            </w:tcBorders>
            <w:noWrap/>
            <w:vAlign w:val="center"/>
          </w:tcPr>
          <w:p w:rsidR="00C30B65" w:rsidRPr="00DC4C78" w:rsidRDefault="00C30B65" w:rsidP="00C30B65">
            <w:pPr>
              <w:pStyle w:val="TableText"/>
              <w:jc w:val="center"/>
              <w:rPr>
                <w:sz w:val="16"/>
              </w:rPr>
            </w:pPr>
            <w:r w:rsidRPr="00DC4C78">
              <w:rPr>
                <w:sz w:val="16"/>
              </w:rPr>
              <w:t>97%</w:t>
            </w:r>
          </w:p>
        </w:tc>
        <w:tc>
          <w:tcPr>
            <w:tcW w:w="692" w:type="dxa"/>
            <w:tcBorders>
              <w:top w:val="nil"/>
              <w:left w:val="single" w:sz="4" w:space="0" w:color="A6A6A6"/>
            </w:tcBorders>
            <w:noWrap/>
            <w:vAlign w:val="center"/>
          </w:tcPr>
          <w:p w:rsidR="00C30B65" w:rsidRPr="00DC4C78" w:rsidRDefault="00C30B65" w:rsidP="00C30B65">
            <w:pPr>
              <w:pStyle w:val="TableText"/>
              <w:jc w:val="center"/>
              <w:rPr>
                <w:sz w:val="16"/>
              </w:rPr>
            </w:pPr>
            <w:r w:rsidRPr="00DC4C78">
              <w:rPr>
                <w:sz w:val="16"/>
              </w:rPr>
              <w:t>96%</w:t>
            </w:r>
          </w:p>
        </w:tc>
        <w:tc>
          <w:tcPr>
            <w:tcW w:w="692" w:type="dxa"/>
            <w:tcBorders>
              <w:top w:val="nil"/>
              <w:left w:val="single" w:sz="4" w:space="0" w:color="A6A6A6"/>
              <w:right w:val="single" w:sz="8" w:space="0" w:color="000000" w:themeColor="text1"/>
            </w:tcBorders>
            <w:noWrap/>
            <w:vAlign w:val="center"/>
          </w:tcPr>
          <w:p w:rsidR="00C30B65" w:rsidRPr="00DC4C78" w:rsidRDefault="00C30B65" w:rsidP="00C30B65">
            <w:pPr>
              <w:pStyle w:val="TableText"/>
              <w:jc w:val="center"/>
              <w:rPr>
                <w:sz w:val="16"/>
              </w:rPr>
            </w:pPr>
            <w:r w:rsidRPr="00DC4C78">
              <w:rPr>
                <w:sz w:val="16"/>
              </w:rPr>
              <w:t>98%</w:t>
            </w:r>
          </w:p>
        </w:tc>
        <w:tc>
          <w:tcPr>
            <w:tcW w:w="692" w:type="dxa"/>
            <w:tcBorders>
              <w:top w:val="nil"/>
              <w:left w:val="single" w:sz="8" w:space="0" w:color="000000" w:themeColor="text1"/>
              <w:right w:val="single" w:sz="4" w:space="0" w:color="BFBFBF" w:themeColor="background1" w:themeShade="BF"/>
            </w:tcBorders>
            <w:vAlign w:val="center"/>
          </w:tcPr>
          <w:p w:rsidR="00C30B65" w:rsidRPr="00DC4C78" w:rsidRDefault="00C30B65" w:rsidP="00C30B65">
            <w:pPr>
              <w:jc w:val="center"/>
              <w:rPr>
                <w:rFonts w:ascii="Arial" w:hAnsi="Arial" w:cs="Arial"/>
                <w:sz w:val="16"/>
                <w:szCs w:val="16"/>
              </w:rPr>
            </w:pPr>
            <w:r w:rsidRPr="00DC4C78">
              <w:rPr>
                <w:rFonts w:ascii="Arial" w:hAnsi="Arial" w:cs="Arial"/>
                <w:sz w:val="16"/>
                <w:szCs w:val="16"/>
              </w:rPr>
              <w:t>98%</w:t>
            </w:r>
          </w:p>
        </w:tc>
        <w:tc>
          <w:tcPr>
            <w:tcW w:w="692" w:type="dxa"/>
            <w:tcBorders>
              <w:top w:val="nil"/>
              <w:left w:val="single" w:sz="4" w:space="0" w:color="BFBFBF" w:themeColor="background1" w:themeShade="BF"/>
              <w:right w:val="single" w:sz="4" w:space="0" w:color="BFBFBF" w:themeColor="background1" w:themeShade="BF"/>
            </w:tcBorders>
            <w:vAlign w:val="center"/>
          </w:tcPr>
          <w:p w:rsidR="00C30B65" w:rsidRPr="00DC4C78" w:rsidRDefault="00C30B65" w:rsidP="00C30B65">
            <w:pPr>
              <w:jc w:val="center"/>
              <w:rPr>
                <w:rFonts w:ascii="Arial" w:hAnsi="Arial" w:cs="Arial"/>
                <w:sz w:val="16"/>
                <w:szCs w:val="16"/>
              </w:rPr>
            </w:pPr>
            <w:r w:rsidRPr="00DC4C78">
              <w:rPr>
                <w:rFonts w:ascii="Arial" w:hAnsi="Arial" w:cs="Arial"/>
                <w:sz w:val="16"/>
                <w:szCs w:val="16"/>
              </w:rPr>
              <w:t>98%</w:t>
            </w:r>
          </w:p>
        </w:tc>
        <w:tc>
          <w:tcPr>
            <w:tcW w:w="692" w:type="dxa"/>
            <w:tcBorders>
              <w:top w:val="nil"/>
              <w:left w:val="single" w:sz="4" w:space="0" w:color="BFBFBF" w:themeColor="background1" w:themeShade="BF"/>
              <w:right w:val="single" w:sz="4" w:space="0" w:color="BFBFBF" w:themeColor="background1" w:themeShade="BF"/>
            </w:tcBorders>
            <w:vAlign w:val="center"/>
          </w:tcPr>
          <w:p w:rsidR="00C30B65" w:rsidRPr="00DC4C78" w:rsidRDefault="00C30B65" w:rsidP="00C30B65">
            <w:pPr>
              <w:jc w:val="center"/>
              <w:rPr>
                <w:rFonts w:ascii="Arial" w:hAnsi="Arial" w:cs="Arial"/>
                <w:sz w:val="16"/>
                <w:szCs w:val="16"/>
              </w:rPr>
            </w:pPr>
            <w:r w:rsidRPr="00DC4C78">
              <w:rPr>
                <w:rFonts w:ascii="Arial" w:hAnsi="Arial" w:cs="Arial"/>
                <w:sz w:val="16"/>
                <w:szCs w:val="16"/>
              </w:rPr>
              <w:t>97%</w:t>
            </w:r>
          </w:p>
        </w:tc>
        <w:tc>
          <w:tcPr>
            <w:tcW w:w="692" w:type="dxa"/>
            <w:tcBorders>
              <w:top w:val="nil"/>
              <w:left w:val="single" w:sz="4" w:space="0" w:color="BFBFBF" w:themeColor="background1" w:themeShade="BF"/>
              <w:right w:val="single" w:sz="4" w:space="0" w:color="auto"/>
            </w:tcBorders>
            <w:vAlign w:val="center"/>
          </w:tcPr>
          <w:p w:rsidR="00C30B65" w:rsidRPr="00DC4C78" w:rsidRDefault="00C30B65" w:rsidP="00C30B65">
            <w:pPr>
              <w:jc w:val="center"/>
              <w:rPr>
                <w:rFonts w:ascii="Arial" w:hAnsi="Arial" w:cs="Arial"/>
                <w:sz w:val="16"/>
                <w:szCs w:val="16"/>
              </w:rPr>
            </w:pPr>
            <w:r w:rsidRPr="00DC4C78">
              <w:rPr>
                <w:rFonts w:ascii="Arial" w:hAnsi="Arial" w:cs="Arial"/>
                <w:sz w:val="16"/>
                <w:szCs w:val="16"/>
              </w:rPr>
              <w:t>98%</w:t>
            </w:r>
          </w:p>
        </w:tc>
      </w:tr>
      <w:tr w:rsidR="00C30B65" w:rsidRPr="00DC4C78" w:rsidTr="00C30B65">
        <w:trPr>
          <w:cantSplit/>
        </w:trPr>
        <w:tc>
          <w:tcPr>
            <w:tcW w:w="3821" w:type="dxa"/>
            <w:tcBorders>
              <w:top w:val="nil"/>
              <w:right w:val="single" w:sz="8" w:space="0" w:color="000000" w:themeColor="text1"/>
            </w:tcBorders>
            <w:shd w:val="clear" w:color="auto" w:fill="F2F2F2"/>
          </w:tcPr>
          <w:p w:rsidR="00C30B65" w:rsidRPr="00DC4C78" w:rsidRDefault="00C30B65" w:rsidP="00C30B65">
            <w:pPr>
              <w:pStyle w:val="TableText"/>
              <w:spacing w:before="40" w:after="40"/>
              <w:ind w:left="284" w:hanging="284"/>
              <w:rPr>
                <w:rFonts w:cs="Arial"/>
                <w:color w:val="000000"/>
                <w:sz w:val="16"/>
                <w:szCs w:val="16"/>
                <w:lang w:eastAsia="en-NZ"/>
              </w:rPr>
            </w:pPr>
            <w:r w:rsidRPr="00DC4C78">
              <w:rPr>
                <w:rFonts w:cs="Arial"/>
                <w:color w:val="000000"/>
                <w:sz w:val="16"/>
                <w:szCs w:val="16"/>
                <w:lang w:eastAsia="en-NZ"/>
              </w:rPr>
              <w:t>3.</w:t>
            </w:r>
            <w:r w:rsidRPr="00DC4C78">
              <w:rPr>
                <w:rFonts w:cs="Arial"/>
                <w:color w:val="000000"/>
                <w:sz w:val="16"/>
                <w:szCs w:val="16"/>
                <w:lang w:eastAsia="en-NZ"/>
              </w:rPr>
              <w:tab/>
            </w:r>
            <w:hyperlink r:id="rId16" w:anchor="RANGE!#REF!" w:history="1">
              <w:r w:rsidRPr="00DC4C78">
                <w:rPr>
                  <w:rFonts w:cs="Arial"/>
                  <w:color w:val="000000"/>
                  <w:sz w:val="16"/>
                  <w:szCs w:val="16"/>
                  <w:lang w:eastAsia="en-NZ"/>
                </w:rPr>
                <w:t>Infants receive all WCTO core contacts due in their first year</w:t>
              </w:r>
            </w:hyperlink>
          </w:p>
        </w:tc>
        <w:tc>
          <w:tcPr>
            <w:tcW w:w="691" w:type="dxa"/>
            <w:tcBorders>
              <w:top w:val="nil"/>
              <w:left w:val="single" w:sz="8" w:space="0" w:color="000000" w:themeColor="text1"/>
            </w:tcBorders>
            <w:shd w:val="clear" w:color="auto" w:fill="F2F2F2"/>
            <w:noWrap/>
            <w:vAlign w:val="center"/>
          </w:tcPr>
          <w:p w:rsidR="00C30B65" w:rsidRPr="00DC4C78" w:rsidRDefault="00C30B65" w:rsidP="00C30B65">
            <w:pPr>
              <w:pStyle w:val="TableText"/>
              <w:jc w:val="center"/>
              <w:rPr>
                <w:sz w:val="16"/>
              </w:rPr>
            </w:pPr>
            <w:r w:rsidRPr="00DC4C78">
              <w:rPr>
                <w:sz w:val="16"/>
              </w:rPr>
              <w:t>76%</w:t>
            </w:r>
          </w:p>
        </w:tc>
        <w:tc>
          <w:tcPr>
            <w:tcW w:w="692" w:type="dxa"/>
            <w:tcBorders>
              <w:top w:val="nil"/>
              <w:left w:val="single" w:sz="4" w:space="0" w:color="A6A6A6"/>
            </w:tcBorders>
            <w:shd w:val="clear" w:color="auto" w:fill="F2F2F2"/>
            <w:noWrap/>
            <w:vAlign w:val="center"/>
          </w:tcPr>
          <w:p w:rsidR="00C30B65" w:rsidRPr="00DC4C78" w:rsidRDefault="00C30B65" w:rsidP="00C30B65">
            <w:pPr>
              <w:pStyle w:val="TableText"/>
              <w:jc w:val="center"/>
              <w:rPr>
                <w:sz w:val="16"/>
              </w:rPr>
            </w:pPr>
            <w:r w:rsidRPr="00DC4C78">
              <w:rPr>
                <w:sz w:val="16"/>
              </w:rPr>
              <w:t>68%</w:t>
            </w:r>
          </w:p>
        </w:tc>
        <w:tc>
          <w:tcPr>
            <w:tcW w:w="692" w:type="dxa"/>
            <w:tcBorders>
              <w:top w:val="nil"/>
              <w:left w:val="single" w:sz="4" w:space="0" w:color="A6A6A6"/>
            </w:tcBorders>
            <w:shd w:val="clear" w:color="auto" w:fill="F2F2F2"/>
            <w:noWrap/>
            <w:vAlign w:val="center"/>
          </w:tcPr>
          <w:p w:rsidR="00C30B65" w:rsidRPr="00DC4C78" w:rsidRDefault="00C30B65" w:rsidP="00C30B65">
            <w:pPr>
              <w:pStyle w:val="TableText"/>
              <w:jc w:val="center"/>
              <w:rPr>
                <w:sz w:val="16"/>
              </w:rPr>
            </w:pPr>
            <w:r w:rsidRPr="00DC4C78">
              <w:rPr>
                <w:sz w:val="16"/>
              </w:rPr>
              <w:t>67%</w:t>
            </w:r>
          </w:p>
        </w:tc>
        <w:tc>
          <w:tcPr>
            <w:tcW w:w="692" w:type="dxa"/>
            <w:tcBorders>
              <w:top w:val="nil"/>
              <w:left w:val="single" w:sz="4" w:space="0" w:color="A6A6A6"/>
              <w:right w:val="single" w:sz="8" w:space="0" w:color="000000" w:themeColor="text1"/>
            </w:tcBorders>
            <w:shd w:val="clear" w:color="auto" w:fill="F2F2F2"/>
            <w:noWrap/>
            <w:vAlign w:val="center"/>
          </w:tcPr>
          <w:p w:rsidR="00C30B65" w:rsidRPr="00DC4C78" w:rsidRDefault="00C30B65" w:rsidP="00C30B65">
            <w:pPr>
              <w:pStyle w:val="TableText"/>
              <w:jc w:val="center"/>
              <w:rPr>
                <w:sz w:val="16"/>
              </w:rPr>
            </w:pPr>
            <w:r w:rsidRPr="00DC4C78">
              <w:rPr>
                <w:sz w:val="16"/>
              </w:rPr>
              <w:t>63%</w:t>
            </w:r>
          </w:p>
        </w:tc>
        <w:tc>
          <w:tcPr>
            <w:tcW w:w="692" w:type="dxa"/>
            <w:tcBorders>
              <w:top w:val="nil"/>
              <w:left w:val="single" w:sz="8" w:space="0" w:color="000000" w:themeColor="text1"/>
              <w:right w:val="single" w:sz="4" w:space="0" w:color="BFBFBF" w:themeColor="background1" w:themeShade="BF"/>
            </w:tcBorders>
            <w:shd w:val="clear" w:color="auto" w:fill="F2F2F2"/>
            <w:vAlign w:val="center"/>
          </w:tcPr>
          <w:p w:rsidR="00C30B65" w:rsidRPr="00DC4C78" w:rsidRDefault="00C30B65" w:rsidP="00C30B65">
            <w:pPr>
              <w:jc w:val="center"/>
              <w:rPr>
                <w:rFonts w:ascii="Arial" w:hAnsi="Arial" w:cs="Arial"/>
                <w:sz w:val="16"/>
                <w:szCs w:val="16"/>
              </w:rPr>
            </w:pPr>
            <w:r w:rsidRPr="00DC4C78">
              <w:rPr>
                <w:rFonts w:ascii="Arial" w:hAnsi="Arial" w:cs="Arial"/>
                <w:sz w:val="16"/>
                <w:szCs w:val="16"/>
              </w:rPr>
              <w:t>68%</w:t>
            </w:r>
          </w:p>
        </w:tc>
        <w:tc>
          <w:tcPr>
            <w:tcW w:w="692" w:type="dxa"/>
            <w:tcBorders>
              <w:top w:val="nil"/>
              <w:left w:val="single" w:sz="4" w:space="0" w:color="BFBFBF" w:themeColor="background1" w:themeShade="BF"/>
              <w:right w:val="single" w:sz="4" w:space="0" w:color="BFBFBF" w:themeColor="background1" w:themeShade="BF"/>
            </w:tcBorders>
            <w:shd w:val="clear" w:color="auto" w:fill="F2F2F2"/>
            <w:vAlign w:val="center"/>
          </w:tcPr>
          <w:p w:rsidR="00C30B65" w:rsidRPr="00DC4C78" w:rsidRDefault="00C30B65" w:rsidP="00C30B65">
            <w:pPr>
              <w:jc w:val="center"/>
              <w:rPr>
                <w:rFonts w:ascii="Arial" w:hAnsi="Arial" w:cs="Arial"/>
                <w:sz w:val="16"/>
                <w:szCs w:val="16"/>
              </w:rPr>
            </w:pPr>
            <w:r w:rsidRPr="00DC4C78">
              <w:rPr>
                <w:rFonts w:ascii="Arial" w:hAnsi="Arial" w:cs="Arial"/>
                <w:sz w:val="16"/>
                <w:szCs w:val="16"/>
              </w:rPr>
              <w:t>55%</w:t>
            </w:r>
          </w:p>
        </w:tc>
        <w:tc>
          <w:tcPr>
            <w:tcW w:w="692" w:type="dxa"/>
            <w:tcBorders>
              <w:top w:val="nil"/>
              <w:left w:val="single" w:sz="4" w:space="0" w:color="BFBFBF" w:themeColor="background1" w:themeShade="BF"/>
              <w:right w:val="single" w:sz="4" w:space="0" w:color="BFBFBF" w:themeColor="background1" w:themeShade="BF"/>
            </w:tcBorders>
            <w:shd w:val="clear" w:color="auto" w:fill="F2F2F2"/>
            <w:vAlign w:val="center"/>
          </w:tcPr>
          <w:p w:rsidR="00C30B65" w:rsidRPr="00DC4C78" w:rsidRDefault="00C30B65" w:rsidP="00C30B65">
            <w:pPr>
              <w:jc w:val="center"/>
              <w:rPr>
                <w:rFonts w:ascii="Arial" w:hAnsi="Arial" w:cs="Arial"/>
                <w:sz w:val="16"/>
                <w:szCs w:val="16"/>
              </w:rPr>
            </w:pPr>
            <w:r w:rsidRPr="00DC4C78">
              <w:rPr>
                <w:rFonts w:ascii="Arial" w:hAnsi="Arial" w:cs="Arial"/>
                <w:sz w:val="16"/>
                <w:szCs w:val="16"/>
              </w:rPr>
              <w:t>52%</w:t>
            </w:r>
          </w:p>
        </w:tc>
        <w:tc>
          <w:tcPr>
            <w:tcW w:w="692" w:type="dxa"/>
            <w:tcBorders>
              <w:top w:val="nil"/>
              <w:left w:val="single" w:sz="4" w:space="0" w:color="BFBFBF" w:themeColor="background1" w:themeShade="BF"/>
              <w:right w:val="single" w:sz="4" w:space="0" w:color="auto"/>
            </w:tcBorders>
            <w:shd w:val="clear" w:color="auto" w:fill="F2F2F2"/>
            <w:vAlign w:val="center"/>
          </w:tcPr>
          <w:p w:rsidR="00C30B65" w:rsidRPr="00DC4C78" w:rsidRDefault="00C30B65" w:rsidP="00C30B65">
            <w:pPr>
              <w:jc w:val="center"/>
              <w:rPr>
                <w:rFonts w:ascii="Arial" w:hAnsi="Arial" w:cs="Arial"/>
                <w:sz w:val="16"/>
                <w:szCs w:val="16"/>
              </w:rPr>
            </w:pPr>
            <w:r w:rsidRPr="00DC4C78">
              <w:rPr>
                <w:rFonts w:ascii="Arial" w:hAnsi="Arial" w:cs="Arial"/>
                <w:sz w:val="16"/>
                <w:szCs w:val="16"/>
              </w:rPr>
              <w:t>53%</w:t>
            </w:r>
          </w:p>
        </w:tc>
      </w:tr>
      <w:tr w:rsidR="00C30B65" w:rsidRPr="00DC4C78" w:rsidTr="00C30B65">
        <w:trPr>
          <w:cantSplit/>
        </w:trPr>
        <w:tc>
          <w:tcPr>
            <w:tcW w:w="3821" w:type="dxa"/>
            <w:tcBorders>
              <w:top w:val="nil"/>
              <w:right w:val="single" w:sz="8" w:space="0" w:color="000000" w:themeColor="text1"/>
            </w:tcBorders>
            <w:shd w:val="clear" w:color="auto" w:fill="auto"/>
          </w:tcPr>
          <w:p w:rsidR="00C30B65" w:rsidRPr="00DC4C78" w:rsidRDefault="00C30B65" w:rsidP="00C30B65">
            <w:pPr>
              <w:pStyle w:val="TableText"/>
              <w:spacing w:before="40" w:after="40"/>
              <w:ind w:left="284" w:hanging="284"/>
              <w:rPr>
                <w:rFonts w:cs="Arial"/>
                <w:color w:val="000000"/>
                <w:sz w:val="16"/>
                <w:szCs w:val="16"/>
                <w:lang w:eastAsia="en-NZ"/>
              </w:rPr>
            </w:pPr>
            <w:r w:rsidRPr="00DC4C78">
              <w:rPr>
                <w:rFonts w:cs="Arial"/>
                <w:color w:val="000000"/>
                <w:sz w:val="16"/>
                <w:szCs w:val="16"/>
                <w:lang w:eastAsia="en-NZ"/>
              </w:rPr>
              <w:t>4.</w:t>
            </w:r>
            <w:r w:rsidRPr="00DC4C78">
              <w:rPr>
                <w:rFonts w:cs="Arial"/>
                <w:color w:val="000000"/>
                <w:sz w:val="16"/>
                <w:szCs w:val="16"/>
                <w:lang w:eastAsia="en-NZ"/>
              </w:rPr>
              <w:tab/>
            </w:r>
            <w:r w:rsidRPr="00DC4C78">
              <w:rPr>
                <w:rFonts w:cs="Arial"/>
                <w:color w:val="000000"/>
                <w:spacing w:val="-2"/>
                <w:sz w:val="16"/>
                <w:szCs w:val="16"/>
                <w:lang w:eastAsia="en-NZ"/>
              </w:rPr>
              <w:t>Four-year-olds receive a B4SC</w:t>
            </w:r>
          </w:p>
        </w:tc>
        <w:tc>
          <w:tcPr>
            <w:tcW w:w="691" w:type="dxa"/>
            <w:tcBorders>
              <w:top w:val="nil"/>
              <w:left w:val="single" w:sz="8" w:space="0" w:color="000000" w:themeColor="text1"/>
            </w:tcBorders>
            <w:noWrap/>
            <w:vAlign w:val="center"/>
          </w:tcPr>
          <w:p w:rsidR="00C30B65" w:rsidRPr="00DC4C78" w:rsidRDefault="00C30B65" w:rsidP="00C30B65">
            <w:pPr>
              <w:pStyle w:val="TableText"/>
              <w:jc w:val="center"/>
              <w:rPr>
                <w:sz w:val="16"/>
              </w:rPr>
            </w:pPr>
            <w:r w:rsidRPr="00DC4C78">
              <w:rPr>
                <w:sz w:val="16"/>
              </w:rPr>
              <w:t>93%</w:t>
            </w:r>
          </w:p>
        </w:tc>
        <w:tc>
          <w:tcPr>
            <w:tcW w:w="692" w:type="dxa"/>
            <w:tcBorders>
              <w:top w:val="nil"/>
              <w:left w:val="single" w:sz="4" w:space="0" w:color="A6A6A6"/>
            </w:tcBorders>
            <w:noWrap/>
            <w:vAlign w:val="center"/>
          </w:tcPr>
          <w:p w:rsidR="00C30B65" w:rsidRPr="00DC4C78" w:rsidRDefault="00C30B65" w:rsidP="00C30B65">
            <w:pPr>
              <w:pStyle w:val="TableText"/>
              <w:jc w:val="center"/>
              <w:rPr>
                <w:sz w:val="16"/>
              </w:rPr>
            </w:pPr>
            <w:r w:rsidRPr="00DC4C78">
              <w:rPr>
                <w:sz w:val="16"/>
              </w:rPr>
              <w:t>86%</w:t>
            </w:r>
          </w:p>
        </w:tc>
        <w:tc>
          <w:tcPr>
            <w:tcW w:w="692" w:type="dxa"/>
            <w:tcBorders>
              <w:top w:val="nil"/>
              <w:left w:val="single" w:sz="4" w:space="0" w:color="A6A6A6"/>
            </w:tcBorders>
            <w:noWrap/>
            <w:vAlign w:val="center"/>
          </w:tcPr>
          <w:p w:rsidR="00C30B65" w:rsidRPr="00DC4C78" w:rsidRDefault="00C30B65" w:rsidP="00C30B65">
            <w:pPr>
              <w:pStyle w:val="TableText"/>
              <w:jc w:val="center"/>
              <w:rPr>
                <w:sz w:val="16"/>
              </w:rPr>
            </w:pPr>
            <w:r w:rsidRPr="00DC4C78">
              <w:rPr>
                <w:sz w:val="16"/>
              </w:rPr>
              <w:t>85%</w:t>
            </w:r>
          </w:p>
        </w:tc>
        <w:tc>
          <w:tcPr>
            <w:tcW w:w="692" w:type="dxa"/>
            <w:tcBorders>
              <w:top w:val="nil"/>
              <w:left w:val="single" w:sz="4" w:space="0" w:color="A6A6A6"/>
              <w:right w:val="single" w:sz="8" w:space="0" w:color="000000" w:themeColor="text1"/>
            </w:tcBorders>
            <w:noWrap/>
            <w:vAlign w:val="center"/>
          </w:tcPr>
          <w:p w:rsidR="00C30B65" w:rsidRPr="00DC4C78" w:rsidRDefault="00C30B65" w:rsidP="00C30B65">
            <w:pPr>
              <w:pStyle w:val="TableText"/>
              <w:jc w:val="center"/>
              <w:rPr>
                <w:sz w:val="16"/>
              </w:rPr>
            </w:pPr>
            <w:r w:rsidRPr="00DC4C78">
              <w:rPr>
                <w:sz w:val="16"/>
              </w:rPr>
              <w:t>83%</w:t>
            </w:r>
          </w:p>
        </w:tc>
        <w:tc>
          <w:tcPr>
            <w:tcW w:w="692" w:type="dxa"/>
            <w:tcBorders>
              <w:top w:val="nil"/>
              <w:left w:val="single" w:sz="8" w:space="0" w:color="000000" w:themeColor="text1"/>
              <w:right w:val="single" w:sz="4" w:space="0" w:color="BFBFBF" w:themeColor="background1" w:themeShade="BF"/>
            </w:tcBorders>
            <w:vAlign w:val="center"/>
          </w:tcPr>
          <w:p w:rsidR="00C30B65" w:rsidRPr="00DC4C78" w:rsidRDefault="00C30B65" w:rsidP="00C30B65">
            <w:pPr>
              <w:jc w:val="center"/>
              <w:rPr>
                <w:rFonts w:ascii="Arial" w:hAnsi="Arial" w:cs="Arial"/>
                <w:sz w:val="16"/>
                <w:szCs w:val="16"/>
              </w:rPr>
            </w:pPr>
            <w:r w:rsidRPr="00DC4C78">
              <w:rPr>
                <w:rFonts w:ascii="Arial" w:hAnsi="Arial" w:cs="Arial"/>
                <w:sz w:val="16"/>
                <w:szCs w:val="16"/>
              </w:rPr>
              <w:t>94%</w:t>
            </w:r>
          </w:p>
        </w:tc>
        <w:tc>
          <w:tcPr>
            <w:tcW w:w="692" w:type="dxa"/>
            <w:tcBorders>
              <w:top w:val="nil"/>
              <w:left w:val="single" w:sz="4" w:space="0" w:color="BFBFBF" w:themeColor="background1" w:themeShade="BF"/>
              <w:right w:val="single" w:sz="4" w:space="0" w:color="BFBFBF" w:themeColor="background1" w:themeShade="BF"/>
            </w:tcBorders>
            <w:vAlign w:val="center"/>
          </w:tcPr>
          <w:p w:rsidR="00C30B65" w:rsidRPr="00DC4C78" w:rsidRDefault="00C30B65" w:rsidP="00C30B65">
            <w:pPr>
              <w:jc w:val="center"/>
              <w:rPr>
                <w:rFonts w:ascii="Arial" w:hAnsi="Arial" w:cs="Arial"/>
                <w:sz w:val="16"/>
                <w:szCs w:val="16"/>
              </w:rPr>
            </w:pPr>
            <w:r w:rsidRPr="00DC4C78">
              <w:rPr>
                <w:rFonts w:ascii="Arial" w:hAnsi="Arial" w:cs="Arial"/>
                <w:sz w:val="16"/>
                <w:szCs w:val="16"/>
              </w:rPr>
              <w:t>90%</w:t>
            </w:r>
          </w:p>
        </w:tc>
        <w:tc>
          <w:tcPr>
            <w:tcW w:w="692" w:type="dxa"/>
            <w:tcBorders>
              <w:top w:val="nil"/>
              <w:left w:val="single" w:sz="4" w:space="0" w:color="BFBFBF" w:themeColor="background1" w:themeShade="BF"/>
              <w:right w:val="single" w:sz="4" w:space="0" w:color="BFBFBF" w:themeColor="background1" w:themeShade="BF"/>
            </w:tcBorders>
            <w:vAlign w:val="center"/>
          </w:tcPr>
          <w:p w:rsidR="00C30B65" w:rsidRPr="00DC4C78" w:rsidRDefault="00C30B65" w:rsidP="00C30B65">
            <w:pPr>
              <w:jc w:val="center"/>
              <w:rPr>
                <w:rFonts w:ascii="Arial" w:hAnsi="Arial" w:cs="Arial"/>
                <w:sz w:val="16"/>
                <w:szCs w:val="16"/>
              </w:rPr>
            </w:pPr>
            <w:r w:rsidRPr="00DC4C78">
              <w:rPr>
                <w:rFonts w:ascii="Arial" w:hAnsi="Arial" w:cs="Arial"/>
                <w:sz w:val="16"/>
                <w:szCs w:val="16"/>
              </w:rPr>
              <w:t>87%</w:t>
            </w:r>
          </w:p>
        </w:tc>
        <w:tc>
          <w:tcPr>
            <w:tcW w:w="692" w:type="dxa"/>
            <w:tcBorders>
              <w:top w:val="nil"/>
              <w:left w:val="single" w:sz="4" w:space="0" w:color="BFBFBF" w:themeColor="background1" w:themeShade="BF"/>
              <w:right w:val="single" w:sz="4" w:space="0" w:color="auto"/>
            </w:tcBorders>
            <w:vAlign w:val="center"/>
          </w:tcPr>
          <w:p w:rsidR="00C30B65" w:rsidRPr="00DC4C78" w:rsidRDefault="00C30B65" w:rsidP="00C30B65">
            <w:pPr>
              <w:jc w:val="center"/>
              <w:rPr>
                <w:rFonts w:ascii="Arial" w:hAnsi="Arial" w:cs="Arial"/>
                <w:sz w:val="16"/>
                <w:szCs w:val="16"/>
              </w:rPr>
            </w:pPr>
            <w:r w:rsidRPr="00DC4C78">
              <w:rPr>
                <w:rFonts w:ascii="Arial" w:hAnsi="Arial" w:cs="Arial"/>
                <w:sz w:val="16"/>
                <w:szCs w:val="16"/>
              </w:rPr>
              <w:t>93%</w:t>
            </w:r>
          </w:p>
        </w:tc>
      </w:tr>
      <w:tr w:rsidR="00C30B65" w:rsidRPr="00DC4C78" w:rsidTr="00C30B65">
        <w:trPr>
          <w:cantSplit/>
        </w:trPr>
        <w:tc>
          <w:tcPr>
            <w:tcW w:w="3821" w:type="dxa"/>
            <w:tcBorders>
              <w:top w:val="nil"/>
              <w:right w:val="single" w:sz="8" w:space="0" w:color="000000" w:themeColor="text1"/>
            </w:tcBorders>
            <w:shd w:val="clear" w:color="auto" w:fill="F2F2F2"/>
          </w:tcPr>
          <w:p w:rsidR="00C30B65" w:rsidRPr="00DC4C78" w:rsidRDefault="00C30B65" w:rsidP="00C30B65">
            <w:pPr>
              <w:pStyle w:val="TableText"/>
              <w:spacing w:before="40" w:after="40"/>
              <w:ind w:left="284" w:hanging="284"/>
              <w:rPr>
                <w:rFonts w:cs="Arial"/>
                <w:color w:val="000000"/>
                <w:sz w:val="16"/>
                <w:szCs w:val="16"/>
                <w:lang w:eastAsia="en-NZ"/>
              </w:rPr>
            </w:pPr>
            <w:r w:rsidRPr="00DC4C78">
              <w:rPr>
                <w:rFonts w:cs="Arial"/>
                <w:color w:val="000000"/>
                <w:sz w:val="16"/>
                <w:szCs w:val="16"/>
                <w:lang w:eastAsia="en-NZ"/>
              </w:rPr>
              <w:t>5.</w:t>
            </w:r>
            <w:r w:rsidRPr="00DC4C78">
              <w:rPr>
                <w:rFonts w:cs="Arial"/>
                <w:color w:val="000000"/>
                <w:sz w:val="16"/>
                <w:szCs w:val="16"/>
                <w:lang w:eastAsia="en-NZ"/>
              </w:rPr>
              <w:tab/>
              <w:t>Children are enrolled with child oral health services</w:t>
            </w:r>
          </w:p>
        </w:tc>
        <w:tc>
          <w:tcPr>
            <w:tcW w:w="691" w:type="dxa"/>
            <w:tcBorders>
              <w:top w:val="nil"/>
              <w:left w:val="single" w:sz="8" w:space="0" w:color="000000" w:themeColor="text1"/>
            </w:tcBorders>
            <w:shd w:val="clear" w:color="auto" w:fill="F2F2F2"/>
            <w:noWrap/>
            <w:vAlign w:val="center"/>
          </w:tcPr>
          <w:p w:rsidR="00C30B65" w:rsidRPr="00DC4C78" w:rsidRDefault="00C30B65" w:rsidP="00C30B65">
            <w:pPr>
              <w:pStyle w:val="TableText"/>
              <w:jc w:val="center"/>
              <w:rPr>
                <w:sz w:val="16"/>
              </w:rPr>
            </w:pPr>
            <w:r w:rsidRPr="00DC4C78">
              <w:rPr>
                <w:sz w:val="16"/>
              </w:rPr>
              <w:t>73%</w:t>
            </w:r>
          </w:p>
        </w:tc>
        <w:tc>
          <w:tcPr>
            <w:tcW w:w="692" w:type="dxa"/>
            <w:tcBorders>
              <w:top w:val="nil"/>
              <w:left w:val="single" w:sz="4" w:space="0" w:color="A6A6A6"/>
            </w:tcBorders>
            <w:shd w:val="clear" w:color="auto" w:fill="F2F2F2"/>
            <w:vAlign w:val="center"/>
          </w:tcPr>
          <w:p w:rsidR="00C30B65" w:rsidRPr="00DC4C78" w:rsidRDefault="00C30B65" w:rsidP="00C30B65">
            <w:pPr>
              <w:pStyle w:val="TableText"/>
              <w:jc w:val="center"/>
              <w:rPr>
                <w:sz w:val="16"/>
              </w:rPr>
            </w:pPr>
            <w:r w:rsidRPr="00DC4C78">
              <w:rPr>
                <w:sz w:val="16"/>
              </w:rPr>
              <w:t>N/A</w:t>
            </w:r>
          </w:p>
        </w:tc>
        <w:tc>
          <w:tcPr>
            <w:tcW w:w="692" w:type="dxa"/>
            <w:tcBorders>
              <w:top w:val="nil"/>
              <w:left w:val="single" w:sz="4" w:space="0" w:color="A6A6A6"/>
            </w:tcBorders>
            <w:shd w:val="clear" w:color="auto" w:fill="F2F2F2"/>
            <w:vAlign w:val="center"/>
          </w:tcPr>
          <w:p w:rsidR="00C30B65" w:rsidRPr="00DC4C78" w:rsidRDefault="00C30B65" w:rsidP="00C30B65">
            <w:pPr>
              <w:pStyle w:val="TableText"/>
              <w:jc w:val="center"/>
              <w:rPr>
                <w:sz w:val="16"/>
              </w:rPr>
            </w:pPr>
            <w:r w:rsidRPr="00DC4C78">
              <w:rPr>
                <w:sz w:val="16"/>
              </w:rPr>
              <w:t>59%</w:t>
            </w:r>
          </w:p>
        </w:tc>
        <w:tc>
          <w:tcPr>
            <w:tcW w:w="692" w:type="dxa"/>
            <w:tcBorders>
              <w:top w:val="nil"/>
              <w:left w:val="single" w:sz="4" w:space="0" w:color="A6A6A6"/>
              <w:right w:val="single" w:sz="8" w:space="0" w:color="000000" w:themeColor="text1"/>
            </w:tcBorders>
            <w:shd w:val="clear" w:color="auto" w:fill="F2F2F2"/>
            <w:vAlign w:val="center"/>
          </w:tcPr>
          <w:p w:rsidR="00C30B65" w:rsidRPr="00DC4C78" w:rsidRDefault="00C30B65" w:rsidP="00C30B65">
            <w:pPr>
              <w:pStyle w:val="TableText"/>
              <w:jc w:val="center"/>
              <w:rPr>
                <w:sz w:val="16"/>
              </w:rPr>
            </w:pPr>
            <w:r w:rsidRPr="00DC4C78">
              <w:rPr>
                <w:sz w:val="16"/>
              </w:rPr>
              <w:t>68%</w:t>
            </w:r>
          </w:p>
        </w:tc>
        <w:tc>
          <w:tcPr>
            <w:tcW w:w="692" w:type="dxa"/>
            <w:tcBorders>
              <w:top w:val="nil"/>
              <w:left w:val="single" w:sz="8" w:space="0" w:color="000000" w:themeColor="text1"/>
              <w:right w:val="single" w:sz="4" w:space="0" w:color="BFBFBF" w:themeColor="background1" w:themeShade="BF"/>
            </w:tcBorders>
            <w:shd w:val="clear" w:color="auto" w:fill="F2F2F2"/>
            <w:vAlign w:val="center"/>
          </w:tcPr>
          <w:p w:rsidR="00C30B65" w:rsidRPr="00DC4C78" w:rsidRDefault="00C30B65" w:rsidP="00C30B65">
            <w:pPr>
              <w:jc w:val="center"/>
              <w:rPr>
                <w:rFonts w:ascii="Arial" w:hAnsi="Arial" w:cs="Arial"/>
                <w:sz w:val="16"/>
                <w:szCs w:val="16"/>
              </w:rPr>
            </w:pPr>
            <w:r w:rsidRPr="00DC4C78">
              <w:rPr>
                <w:rFonts w:ascii="Arial" w:hAnsi="Arial" w:cs="Arial"/>
                <w:sz w:val="16"/>
                <w:szCs w:val="16"/>
              </w:rPr>
              <w:t>77%</w:t>
            </w:r>
          </w:p>
        </w:tc>
        <w:tc>
          <w:tcPr>
            <w:tcW w:w="692" w:type="dxa"/>
            <w:tcBorders>
              <w:top w:val="nil"/>
              <w:left w:val="single" w:sz="4" w:space="0" w:color="BFBFBF" w:themeColor="background1" w:themeShade="BF"/>
              <w:right w:val="single" w:sz="4" w:space="0" w:color="BFBFBF" w:themeColor="background1" w:themeShade="BF"/>
            </w:tcBorders>
            <w:shd w:val="clear" w:color="auto" w:fill="F2F2F2"/>
            <w:vAlign w:val="center"/>
          </w:tcPr>
          <w:p w:rsidR="00C30B65" w:rsidRPr="00DC4C78" w:rsidRDefault="00C30B65" w:rsidP="00C30B65">
            <w:pPr>
              <w:jc w:val="center"/>
              <w:rPr>
                <w:rFonts w:ascii="Arial" w:hAnsi="Arial" w:cs="Arial"/>
                <w:sz w:val="16"/>
                <w:szCs w:val="16"/>
              </w:rPr>
            </w:pPr>
            <w:r>
              <w:rPr>
                <w:rFonts w:ascii="Arial" w:hAnsi="Arial" w:cs="Arial"/>
                <w:sz w:val="16"/>
                <w:szCs w:val="16"/>
              </w:rPr>
              <w:t>N/A</w:t>
            </w:r>
          </w:p>
        </w:tc>
        <w:tc>
          <w:tcPr>
            <w:tcW w:w="692" w:type="dxa"/>
            <w:tcBorders>
              <w:top w:val="nil"/>
              <w:left w:val="single" w:sz="4" w:space="0" w:color="BFBFBF" w:themeColor="background1" w:themeShade="BF"/>
              <w:right w:val="single" w:sz="4" w:space="0" w:color="BFBFBF" w:themeColor="background1" w:themeShade="BF"/>
            </w:tcBorders>
            <w:shd w:val="clear" w:color="auto" w:fill="F2F2F2"/>
            <w:vAlign w:val="center"/>
          </w:tcPr>
          <w:p w:rsidR="00C30B65" w:rsidRPr="00DC4C78" w:rsidRDefault="00C30B65" w:rsidP="00C30B65">
            <w:pPr>
              <w:jc w:val="center"/>
              <w:rPr>
                <w:rFonts w:ascii="Arial" w:hAnsi="Arial" w:cs="Arial"/>
                <w:sz w:val="16"/>
                <w:szCs w:val="16"/>
              </w:rPr>
            </w:pPr>
            <w:r w:rsidRPr="00DC4C78">
              <w:rPr>
                <w:rFonts w:ascii="Arial" w:hAnsi="Arial" w:cs="Arial"/>
                <w:sz w:val="16"/>
                <w:szCs w:val="16"/>
              </w:rPr>
              <w:t>68%</w:t>
            </w:r>
          </w:p>
        </w:tc>
        <w:tc>
          <w:tcPr>
            <w:tcW w:w="692" w:type="dxa"/>
            <w:tcBorders>
              <w:top w:val="nil"/>
              <w:left w:val="single" w:sz="4" w:space="0" w:color="BFBFBF" w:themeColor="background1" w:themeShade="BF"/>
              <w:right w:val="single" w:sz="4" w:space="0" w:color="auto"/>
            </w:tcBorders>
            <w:shd w:val="clear" w:color="auto" w:fill="F2F2F2"/>
            <w:vAlign w:val="center"/>
          </w:tcPr>
          <w:p w:rsidR="00C30B65" w:rsidRPr="00DC4C78" w:rsidRDefault="00C30B65" w:rsidP="00C30B65">
            <w:pPr>
              <w:jc w:val="center"/>
              <w:rPr>
                <w:rFonts w:ascii="Arial" w:hAnsi="Arial" w:cs="Arial"/>
                <w:sz w:val="16"/>
                <w:szCs w:val="16"/>
              </w:rPr>
            </w:pPr>
            <w:r w:rsidRPr="00DC4C78">
              <w:rPr>
                <w:rFonts w:ascii="Arial" w:hAnsi="Arial" w:cs="Arial"/>
                <w:sz w:val="16"/>
                <w:szCs w:val="16"/>
              </w:rPr>
              <w:t>78%</w:t>
            </w:r>
          </w:p>
        </w:tc>
      </w:tr>
      <w:tr w:rsidR="00C30B65" w:rsidRPr="00DC4C78" w:rsidTr="00C30B65">
        <w:trPr>
          <w:cantSplit/>
        </w:trPr>
        <w:tc>
          <w:tcPr>
            <w:tcW w:w="3821" w:type="dxa"/>
            <w:tcBorders>
              <w:top w:val="nil"/>
              <w:right w:val="single" w:sz="8" w:space="0" w:color="000000" w:themeColor="text1"/>
            </w:tcBorders>
            <w:shd w:val="clear" w:color="auto" w:fill="auto"/>
          </w:tcPr>
          <w:p w:rsidR="00C30B65" w:rsidRPr="00DC4C78" w:rsidRDefault="00C30B65" w:rsidP="00C30B65">
            <w:pPr>
              <w:pStyle w:val="TableText"/>
              <w:spacing w:before="40" w:after="40"/>
              <w:ind w:left="284" w:hanging="284"/>
              <w:rPr>
                <w:rFonts w:cs="Arial"/>
                <w:color w:val="000000"/>
                <w:sz w:val="16"/>
                <w:szCs w:val="16"/>
                <w:lang w:eastAsia="en-NZ"/>
              </w:rPr>
            </w:pPr>
            <w:r w:rsidRPr="00DC4C78">
              <w:rPr>
                <w:rFonts w:cs="Arial"/>
                <w:color w:val="000000"/>
                <w:sz w:val="16"/>
                <w:szCs w:val="16"/>
                <w:lang w:eastAsia="en-NZ"/>
              </w:rPr>
              <w:t>6.</w:t>
            </w:r>
            <w:r w:rsidRPr="00DC4C78">
              <w:rPr>
                <w:rFonts w:cs="Arial"/>
                <w:color w:val="000000"/>
                <w:sz w:val="16"/>
                <w:szCs w:val="16"/>
                <w:lang w:eastAsia="en-NZ"/>
              </w:rPr>
              <w:tab/>
            </w:r>
            <w:r w:rsidRPr="00DC4C78">
              <w:rPr>
                <w:rFonts w:cs="Arial"/>
                <w:color w:val="000000"/>
                <w:spacing w:val="-4"/>
                <w:sz w:val="16"/>
                <w:szCs w:val="16"/>
                <w:lang w:eastAsia="en-NZ"/>
              </w:rPr>
              <w:t>Immunisations are up to date by eight months</w:t>
            </w:r>
          </w:p>
        </w:tc>
        <w:tc>
          <w:tcPr>
            <w:tcW w:w="691" w:type="dxa"/>
            <w:tcBorders>
              <w:top w:val="nil"/>
              <w:left w:val="single" w:sz="8" w:space="0" w:color="000000" w:themeColor="text1"/>
            </w:tcBorders>
            <w:noWrap/>
            <w:vAlign w:val="center"/>
          </w:tcPr>
          <w:p w:rsidR="00C30B65" w:rsidRPr="00DC4C78" w:rsidRDefault="00C30B65" w:rsidP="00C30B65">
            <w:pPr>
              <w:pStyle w:val="TableText"/>
              <w:jc w:val="center"/>
              <w:rPr>
                <w:sz w:val="16"/>
              </w:rPr>
            </w:pPr>
            <w:r w:rsidRPr="00DC4C78">
              <w:rPr>
                <w:sz w:val="16"/>
              </w:rPr>
              <w:t>94%</w:t>
            </w:r>
          </w:p>
        </w:tc>
        <w:tc>
          <w:tcPr>
            <w:tcW w:w="692" w:type="dxa"/>
            <w:tcBorders>
              <w:top w:val="nil"/>
              <w:left w:val="single" w:sz="4" w:space="0" w:color="A6A6A6"/>
            </w:tcBorders>
            <w:noWrap/>
            <w:vAlign w:val="center"/>
          </w:tcPr>
          <w:p w:rsidR="00C30B65" w:rsidRPr="00DC4C78" w:rsidRDefault="00C30B65" w:rsidP="00C30B65">
            <w:pPr>
              <w:pStyle w:val="TableText"/>
              <w:jc w:val="center"/>
              <w:rPr>
                <w:sz w:val="16"/>
              </w:rPr>
            </w:pPr>
            <w:r w:rsidRPr="00DC4C78">
              <w:rPr>
                <w:sz w:val="16"/>
              </w:rPr>
              <w:t>93%</w:t>
            </w:r>
          </w:p>
        </w:tc>
        <w:tc>
          <w:tcPr>
            <w:tcW w:w="692" w:type="dxa"/>
            <w:tcBorders>
              <w:top w:val="nil"/>
              <w:left w:val="single" w:sz="4" w:space="0" w:color="A6A6A6"/>
            </w:tcBorders>
            <w:noWrap/>
            <w:vAlign w:val="center"/>
          </w:tcPr>
          <w:p w:rsidR="00C30B65" w:rsidRPr="00DC4C78" w:rsidRDefault="00C30B65" w:rsidP="00C30B65">
            <w:pPr>
              <w:pStyle w:val="TableText"/>
              <w:jc w:val="center"/>
              <w:rPr>
                <w:sz w:val="16"/>
              </w:rPr>
            </w:pPr>
            <w:r w:rsidRPr="00DC4C78">
              <w:rPr>
                <w:sz w:val="16"/>
              </w:rPr>
              <w:t>92%</w:t>
            </w:r>
          </w:p>
        </w:tc>
        <w:tc>
          <w:tcPr>
            <w:tcW w:w="692" w:type="dxa"/>
            <w:tcBorders>
              <w:top w:val="nil"/>
              <w:left w:val="single" w:sz="4" w:space="0" w:color="A6A6A6"/>
              <w:right w:val="single" w:sz="8" w:space="0" w:color="000000" w:themeColor="text1"/>
            </w:tcBorders>
            <w:noWrap/>
            <w:vAlign w:val="center"/>
          </w:tcPr>
          <w:p w:rsidR="00C30B65" w:rsidRPr="00DC4C78" w:rsidRDefault="00C30B65" w:rsidP="00C30B65">
            <w:pPr>
              <w:pStyle w:val="TableText"/>
              <w:jc w:val="center"/>
              <w:rPr>
                <w:sz w:val="16"/>
              </w:rPr>
            </w:pPr>
            <w:r w:rsidRPr="00DC4C78">
              <w:rPr>
                <w:sz w:val="16"/>
              </w:rPr>
              <w:t>96%</w:t>
            </w:r>
          </w:p>
        </w:tc>
        <w:tc>
          <w:tcPr>
            <w:tcW w:w="692" w:type="dxa"/>
            <w:tcBorders>
              <w:top w:val="nil"/>
              <w:left w:val="single" w:sz="8" w:space="0" w:color="000000" w:themeColor="text1"/>
              <w:right w:val="single" w:sz="4" w:space="0" w:color="BFBFBF" w:themeColor="background1" w:themeShade="BF"/>
            </w:tcBorders>
            <w:vAlign w:val="center"/>
          </w:tcPr>
          <w:p w:rsidR="00C30B65" w:rsidRPr="00DC4C78" w:rsidRDefault="00C30B65" w:rsidP="00C30B65">
            <w:pPr>
              <w:jc w:val="center"/>
              <w:rPr>
                <w:rFonts w:ascii="Arial" w:hAnsi="Arial" w:cs="Arial"/>
                <w:sz w:val="16"/>
                <w:szCs w:val="16"/>
              </w:rPr>
            </w:pPr>
            <w:r w:rsidRPr="00DC4C78">
              <w:rPr>
                <w:rFonts w:ascii="Arial" w:hAnsi="Arial" w:cs="Arial"/>
                <w:sz w:val="16"/>
                <w:szCs w:val="16"/>
              </w:rPr>
              <w:t>93%</w:t>
            </w:r>
          </w:p>
        </w:tc>
        <w:tc>
          <w:tcPr>
            <w:tcW w:w="692" w:type="dxa"/>
            <w:tcBorders>
              <w:top w:val="nil"/>
              <w:left w:val="single" w:sz="4" w:space="0" w:color="BFBFBF" w:themeColor="background1" w:themeShade="BF"/>
              <w:right w:val="single" w:sz="4" w:space="0" w:color="BFBFBF" w:themeColor="background1" w:themeShade="BF"/>
            </w:tcBorders>
            <w:vAlign w:val="center"/>
          </w:tcPr>
          <w:p w:rsidR="00C30B65" w:rsidRPr="00DC4C78" w:rsidRDefault="00C30B65" w:rsidP="00C30B65">
            <w:pPr>
              <w:jc w:val="center"/>
              <w:rPr>
                <w:rFonts w:ascii="Arial" w:hAnsi="Arial" w:cs="Arial"/>
                <w:sz w:val="16"/>
                <w:szCs w:val="16"/>
              </w:rPr>
            </w:pPr>
            <w:r w:rsidRPr="00DC4C78">
              <w:rPr>
                <w:rFonts w:ascii="Arial" w:hAnsi="Arial" w:cs="Arial"/>
                <w:sz w:val="16"/>
                <w:szCs w:val="16"/>
              </w:rPr>
              <w:t>91%</w:t>
            </w:r>
          </w:p>
        </w:tc>
        <w:tc>
          <w:tcPr>
            <w:tcW w:w="692" w:type="dxa"/>
            <w:tcBorders>
              <w:top w:val="nil"/>
              <w:left w:val="single" w:sz="4" w:space="0" w:color="BFBFBF" w:themeColor="background1" w:themeShade="BF"/>
              <w:right w:val="single" w:sz="4" w:space="0" w:color="BFBFBF" w:themeColor="background1" w:themeShade="BF"/>
            </w:tcBorders>
            <w:vAlign w:val="center"/>
          </w:tcPr>
          <w:p w:rsidR="00C30B65" w:rsidRPr="00DC4C78" w:rsidRDefault="00C30B65" w:rsidP="00C30B65">
            <w:pPr>
              <w:jc w:val="center"/>
              <w:rPr>
                <w:rFonts w:ascii="Arial" w:hAnsi="Arial" w:cs="Arial"/>
                <w:sz w:val="16"/>
                <w:szCs w:val="16"/>
              </w:rPr>
            </w:pPr>
            <w:r w:rsidRPr="00DC4C78">
              <w:rPr>
                <w:rFonts w:ascii="Arial" w:hAnsi="Arial" w:cs="Arial"/>
                <w:sz w:val="16"/>
                <w:szCs w:val="16"/>
              </w:rPr>
              <w:t>90%</w:t>
            </w:r>
          </w:p>
        </w:tc>
        <w:tc>
          <w:tcPr>
            <w:tcW w:w="692" w:type="dxa"/>
            <w:tcBorders>
              <w:top w:val="nil"/>
              <w:left w:val="single" w:sz="4" w:space="0" w:color="BFBFBF" w:themeColor="background1" w:themeShade="BF"/>
              <w:right w:val="single" w:sz="4" w:space="0" w:color="auto"/>
            </w:tcBorders>
            <w:vAlign w:val="center"/>
          </w:tcPr>
          <w:p w:rsidR="00C30B65" w:rsidRPr="00DC4C78" w:rsidRDefault="00C30B65" w:rsidP="00C30B65">
            <w:pPr>
              <w:jc w:val="center"/>
              <w:rPr>
                <w:rFonts w:ascii="Arial" w:hAnsi="Arial" w:cs="Arial"/>
                <w:sz w:val="16"/>
                <w:szCs w:val="16"/>
              </w:rPr>
            </w:pPr>
            <w:r w:rsidRPr="00DC4C78">
              <w:rPr>
                <w:rFonts w:ascii="Arial" w:hAnsi="Arial" w:cs="Arial"/>
                <w:sz w:val="16"/>
                <w:szCs w:val="16"/>
              </w:rPr>
              <w:t>95%</w:t>
            </w:r>
          </w:p>
        </w:tc>
      </w:tr>
      <w:tr w:rsidR="00C30B65" w:rsidRPr="00DC4C78" w:rsidTr="00C30B65">
        <w:trPr>
          <w:cantSplit/>
        </w:trPr>
        <w:tc>
          <w:tcPr>
            <w:tcW w:w="3821" w:type="dxa"/>
            <w:tcBorders>
              <w:top w:val="nil"/>
              <w:right w:val="single" w:sz="8" w:space="0" w:color="000000" w:themeColor="text1"/>
            </w:tcBorders>
            <w:shd w:val="clear" w:color="auto" w:fill="F2F2F2"/>
          </w:tcPr>
          <w:p w:rsidR="00C30B65" w:rsidRPr="00DC4C78" w:rsidRDefault="00C30B65" w:rsidP="00C30B65">
            <w:pPr>
              <w:pStyle w:val="TableText"/>
              <w:spacing w:before="40" w:after="40"/>
              <w:ind w:left="284" w:hanging="284"/>
              <w:rPr>
                <w:rFonts w:cs="Arial"/>
                <w:sz w:val="16"/>
                <w:szCs w:val="16"/>
                <w:lang w:eastAsia="en-NZ"/>
              </w:rPr>
            </w:pPr>
            <w:r w:rsidRPr="00DC4C78">
              <w:rPr>
                <w:rFonts w:cs="Arial"/>
                <w:color w:val="000000"/>
                <w:sz w:val="16"/>
                <w:szCs w:val="16"/>
                <w:lang w:eastAsia="en-NZ"/>
              </w:rPr>
              <w:t>7.</w:t>
            </w:r>
            <w:r w:rsidRPr="00DC4C78">
              <w:rPr>
                <w:rFonts w:cs="Arial"/>
                <w:color w:val="000000"/>
                <w:sz w:val="16"/>
                <w:szCs w:val="16"/>
                <w:lang w:eastAsia="en-NZ"/>
              </w:rPr>
              <w:tab/>
              <w:t xml:space="preserve">Children participate in </w:t>
            </w:r>
            <w:r>
              <w:rPr>
                <w:rFonts w:cs="Arial"/>
                <w:color w:val="000000"/>
                <w:sz w:val="16"/>
                <w:szCs w:val="16"/>
                <w:lang w:eastAsia="en-NZ"/>
              </w:rPr>
              <w:t>ECE</w:t>
            </w:r>
          </w:p>
        </w:tc>
        <w:tc>
          <w:tcPr>
            <w:tcW w:w="691" w:type="dxa"/>
            <w:tcBorders>
              <w:top w:val="nil"/>
              <w:left w:val="single" w:sz="8" w:space="0" w:color="000000" w:themeColor="text1"/>
            </w:tcBorders>
            <w:shd w:val="clear" w:color="auto" w:fill="F2F2F2"/>
            <w:noWrap/>
            <w:vAlign w:val="center"/>
          </w:tcPr>
          <w:p w:rsidR="00C30B65" w:rsidRPr="00DC4C78" w:rsidRDefault="00C30B65" w:rsidP="00C30B65">
            <w:pPr>
              <w:pStyle w:val="TableText"/>
              <w:jc w:val="center"/>
              <w:rPr>
                <w:sz w:val="16"/>
              </w:rPr>
            </w:pPr>
            <w:r w:rsidRPr="00DC4C78">
              <w:rPr>
                <w:sz w:val="16"/>
              </w:rPr>
              <w:t>96%</w:t>
            </w:r>
          </w:p>
        </w:tc>
        <w:tc>
          <w:tcPr>
            <w:tcW w:w="692" w:type="dxa"/>
            <w:tcBorders>
              <w:top w:val="nil"/>
              <w:left w:val="single" w:sz="4" w:space="0" w:color="A6A6A6"/>
            </w:tcBorders>
            <w:shd w:val="clear" w:color="auto" w:fill="F2F2F2"/>
            <w:noWrap/>
            <w:vAlign w:val="center"/>
          </w:tcPr>
          <w:p w:rsidR="00C30B65" w:rsidRPr="00DC4C78" w:rsidRDefault="00C30B65" w:rsidP="00C30B65">
            <w:pPr>
              <w:pStyle w:val="TableText"/>
              <w:jc w:val="center"/>
              <w:rPr>
                <w:sz w:val="16"/>
              </w:rPr>
            </w:pPr>
            <w:r w:rsidRPr="00DC4C78">
              <w:rPr>
                <w:sz w:val="16"/>
              </w:rPr>
              <w:t>89%</w:t>
            </w:r>
          </w:p>
        </w:tc>
        <w:tc>
          <w:tcPr>
            <w:tcW w:w="692" w:type="dxa"/>
            <w:tcBorders>
              <w:top w:val="nil"/>
              <w:left w:val="single" w:sz="4" w:space="0" w:color="A6A6A6"/>
            </w:tcBorders>
            <w:shd w:val="clear" w:color="auto" w:fill="F2F2F2"/>
            <w:noWrap/>
            <w:vAlign w:val="center"/>
          </w:tcPr>
          <w:p w:rsidR="00C30B65" w:rsidRPr="00DC4C78" w:rsidRDefault="00C30B65" w:rsidP="00C30B65">
            <w:pPr>
              <w:pStyle w:val="TableText"/>
              <w:jc w:val="center"/>
              <w:rPr>
                <w:sz w:val="16"/>
              </w:rPr>
            </w:pPr>
            <w:r w:rsidRPr="00DC4C78">
              <w:rPr>
                <w:sz w:val="16"/>
              </w:rPr>
              <w:t>94%</w:t>
            </w:r>
          </w:p>
        </w:tc>
        <w:tc>
          <w:tcPr>
            <w:tcW w:w="692" w:type="dxa"/>
            <w:tcBorders>
              <w:top w:val="nil"/>
              <w:left w:val="single" w:sz="4" w:space="0" w:color="A6A6A6"/>
              <w:right w:val="single" w:sz="8" w:space="0" w:color="000000" w:themeColor="text1"/>
            </w:tcBorders>
            <w:shd w:val="clear" w:color="auto" w:fill="F2F2F2"/>
            <w:noWrap/>
            <w:vAlign w:val="center"/>
          </w:tcPr>
          <w:p w:rsidR="00C30B65" w:rsidRPr="00DC4C78" w:rsidRDefault="00C30B65" w:rsidP="00C30B65">
            <w:pPr>
              <w:pStyle w:val="TableText"/>
              <w:jc w:val="center"/>
              <w:rPr>
                <w:sz w:val="16"/>
              </w:rPr>
            </w:pPr>
            <w:r w:rsidRPr="00DC4C78">
              <w:rPr>
                <w:sz w:val="16"/>
              </w:rPr>
              <w:t>91%</w:t>
            </w:r>
          </w:p>
        </w:tc>
        <w:tc>
          <w:tcPr>
            <w:tcW w:w="692" w:type="dxa"/>
            <w:tcBorders>
              <w:top w:val="nil"/>
              <w:left w:val="single" w:sz="8" w:space="0" w:color="000000" w:themeColor="text1"/>
              <w:right w:val="single" w:sz="4" w:space="0" w:color="BFBFBF" w:themeColor="background1" w:themeShade="BF"/>
            </w:tcBorders>
            <w:shd w:val="clear" w:color="auto" w:fill="F2F2F2"/>
            <w:vAlign w:val="center"/>
          </w:tcPr>
          <w:p w:rsidR="00C30B65" w:rsidRPr="00DC4C78" w:rsidRDefault="00C30B65" w:rsidP="00C30B65">
            <w:pPr>
              <w:jc w:val="center"/>
              <w:rPr>
                <w:rFonts w:ascii="Arial" w:hAnsi="Arial" w:cs="Arial"/>
                <w:sz w:val="16"/>
                <w:szCs w:val="16"/>
              </w:rPr>
            </w:pPr>
            <w:r w:rsidRPr="00DC4C78">
              <w:rPr>
                <w:rFonts w:ascii="Arial" w:hAnsi="Arial" w:cs="Arial"/>
                <w:sz w:val="16"/>
                <w:szCs w:val="16"/>
              </w:rPr>
              <w:t>96%</w:t>
            </w:r>
          </w:p>
        </w:tc>
        <w:tc>
          <w:tcPr>
            <w:tcW w:w="692" w:type="dxa"/>
            <w:tcBorders>
              <w:top w:val="nil"/>
              <w:left w:val="single" w:sz="4" w:space="0" w:color="BFBFBF" w:themeColor="background1" w:themeShade="BF"/>
              <w:right w:val="single" w:sz="4" w:space="0" w:color="BFBFBF" w:themeColor="background1" w:themeShade="BF"/>
            </w:tcBorders>
            <w:shd w:val="clear" w:color="auto" w:fill="F2F2F2"/>
            <w:vAlign w:val="center"/>
          </w:tcPr>
          <w:p w:rsidR="00C30B65" w:rsidRPr="00DC4C78" w:rsidRDefault="00C30B65" w:rsidP="00C30B65">
            <w:pPr>
              <w:jc w:val="center"/>
              <w:rPr>
                <w:rFonts w:ascii="Arial" w:hAnsi="Arial" w:cs="Arial"/>
                <w:sz w:val="16"/>
                <w:szCs w:val="16"/>
              </w:rPr>
            </w:pPr>
            <w:r w:rsidRPr="00DC4C78">
              <w:rPr>
                <w:rFonts w:ascii="Arial" w:hAnsi="Arial" w:cs="Arial"/>
                <w:sz w:val="16"/>
                <w:szCs w:val="16"/>
              </w:rPr>
              <w:t>100%</w:t>
            </w:r>
          </w:p>
        </w:tc>
        <w:tc>
          <w:tcPr>
            <w:tcW w:w="692" w:type="dxa"/>
            <w:tcBorders>
              <w:top w:val="nil"/>
              <w:left w:val="single" w:sz="4" w:space="0" w:color="BFBFBF" w:themeColor="background1" w:themeShade="BF"/>
              <w:right w:val="single" w:sz="4" w:space="0" w:color="BFBFBF" w:themeColor="background1" w:themeShade="BF"/>
            </w:tcBorders>
            <w:shd w:val="clear" w:color="auto" w:fill="F2F2F2"/>
            <w:vAlign w:val="center"/>
          </w:tcPr>
          <w:p w:rsidR="00C30B65" w:rsidRPr="00DC4C78" w:rsidRDefault="00C30B65" w:rsidP="00C30B65">
            <w:pPr>
              <w:jc w:val="center"/>
              <w:rPr>
                <w:rFonts w:ascii="Arial" w:hAnsi="Arial" w:cs="Arial"/>
                <w:sz w:val="16"/>
                <w:szCs w:val="16"/>
              </w:rPr>
            </w:pPr>
            <w:r w:rsidRPr="00DC4C78">
              <w:rPr>
                <w:rFonts w:ascii="Arial" w:hAnsi="Arial" w:cs="Arial"/>
                <w:sz w:val="16"/>
                <w:szCs w:val="16"/>
              </w:rPr>
              <w:t>94%</w:t>
            </w:r>
          </w:p>
        </w:tc>
        <w:tc>
          <w:tcPr>
            <w:tcW w:w="692" w:type="dxa"/>
            <w:tcBorders>
              <w:top w:val="nil"/>
              <w:left w:val="single" w:sz="4" w:space="0" w:color="BFBFBF" w:themeColor="background1" w:themeShade="BF"/>
              <w:right w:val="single" w:sz="4" w:space="0" w:color="auto"/>
            </w:tcBorders>
            <w:shd w:val="clear" w:color="auto" w:fill="F2F2F2"/>
            <w:vAlign w:val="center"/>
          </w:tcPr>
          <w:p w:rsidR="00C30B65" w:rsidRPr="00DC4C78" w:rsidRDefault="00C30B65" w:rsidP="00C30B65">
            <w:pPr>
              <w:jc w:val="center"/>
              <w:rPr>
                <w:rFonts w:ascii="Arial" w:hAnsi="Arial" w:cs="Arial"/>
                <w:sz w:val="16"/>
                <w:szCs w:val="16"/>
              </w:rPr>
            </w:pPr>
            <w:r w:rsidRPr="00DC4C78">
              <w:rPr>
                <w:rFonts w:ascii="Arial" w:hAnsi="Arial" w:cs="Arial"/>
                <w:sz w:val="16"/>
                <w:szCs w:val="16"/>
              </w:rPr>
              <w:t>91%</w:t>
            </w:r>
          </w:p>
        </w:tc>
      </w:tr>
      <w:tr w:rsidR="00C30B65" w:rsidRPr="00DC4C78" w:rsidTr="00C30B65">
        <w:trPr>
          <w:cantSplit/>
        </w:trPr>
        <w:tc>
          <w:tcPr>
            <w:tcW w:w="3821" w:type="dxa"/>
            <w:tcBorders>
              <w:top w:val="nil"/>
              <w:right w:val="single" w:sz="8" w:space="0" w:color="000000" w:themeColor="text1"/>
            </w:tcBorders>
            <w:shd w:val="clear" w:color="auto" w:fill="auto"/>
          </w:tcPr>
          <w:p w:rsidR="00C30B65" w:rsidRPr="00DC4C78" w:rsidRDefault="00C30B65" w:rsidP="00C30B65">
            <w:pPr>
              <w:pStyle w:val="TableText"/>
              <w:spacing w:before="40" w:after="40"/>
              <w:ind w:left="284" w:hanging="284"/>
              <w:rPr>
                <w:rFonts w:cs="Arial"/>
                <w:color w:val="000000"/>
                <w:spacing w:val="-2"/>
                <w:sz w:val="16"/>
                <w:szCs w:val="16"/>
                <w:lang w:eastAsia="en-NZ"/>
              </w:rPr>
            </w:pPr>
            <w:r w:rsidRPr="00DC4C78">
              <w:rPr>
                <w:rFonts w:cs="Arial"/>
                <w:color w:val="000000"/>
                <w:spacing w:val="-2"/>
                <w:sz w:val="16"/>
                <w:szCs w:val="16"/>
                <w:lang w:eastAsia="en-NZ"/>
              </w:rPr>
              <w:t>8.</w:t>
            </w:r>
            <w:r w:rsidRPr="00DC4C78">
              <w:rPr>
                <w:rFonts w:cs="Arial"/>
                <w:color w:val="000000"/>
                <w:spacing w:val="-2"/>
                <w:sz w:val="16"/>
                <w:szCs w:val="16"/>
                <w:lang w:eastAsia="en-NZ"/>
              </w:rPr>
              <w:tab/>
              <w:t>Children under six years have access to free primary care</w:t>
            </w:r>
          </w:p>
        </w:tc>
        <w:tc>
          <w:tcPr>
            <w:tcW w:w="691" w:type="dxa"/>
            <w:tcBorders>
              <w:top w:val="nil"/>
              <w:left w:val="single" w:sz="8" w:space="0" w:color="000000" w:themeColor="text1"/>
            </w:tcBorders>
            <w:noWrap/>
            <w:vAlign w:val="center"/>
          </w:tcPr>
          <w:p w:rsidR="00C30B65" w:rsidRPr="00DC4C78" w:rsidRDefault="00C30B65" w:rsidP="00C30B65">
            <w:pPr>
              <w:pStyle w:val="TableText"/>
              <w:jc w:val="center"/>
              <w:rPr>
                <w:sz w:val="16"/>
              </w:rPr>
            </w:pPr>
            <w:r w:rsidRPr="00DC4C78">
              <w:rPr>
                <w:sz w:val="16"/>
              </w:rPr>
              <w:t>99%</w:t>
            </w:r>
          </w:p>
        </w:tc>
        <w:tc>
          <w:tcPr>
            <w:tcW w:w="692" w:type="dxa"/>
            <w:tcBorders>
              <w:top w:val="nil"/>
              <w:left w:val="single" w:sz="4" w:space="0" w:color="A6A6A6"/>
            </w:tcBorders>
            <w:noWrap/>
            <w:vAlign w:val="center"/>
          </w:tcPr>
          <w:p w:rsidR="00C30B65" w:rsidRPr="00DC4C78" w:rsidRDefault="00C30B65" w:rsidP="00C30B65">
            <w:pPr>
              <w:pStyle w:val="TableText"/>
              <w:jc w:val="center"/>
              <w:rPr>
                <w:sz w:val="16"/>
              </w:rPr>
            </w:pPr>
            <w:r w:rsidRPr="00DC4C78">
              <w:rPr>
                <w:sz w:val="16"/>
              </w:rPr>
              <w:t>100%</w:t>
            </w:r>
          </w:p>
        </w:tc>
        <w:tc>
          <w:tcPr>
            <w:tcW w:w="692" w:type="dxa"/>
            <w:tcBorders>
              <w:top w:val="nil"/>
              <w:left w:val="single" w:sz="4" w:space="0" w:color="A6A6A6"/>
            </w:tcBorders>
            <w:noWrap/>
            <w:vAlign w:val="center"/>
          </w:tcPr>
          <w:p w:rsidR="00C30B65" w:rsidRPr="00DC4C78" w:rsidRDefault="00C30B65" w:rsidP="00C30B65">
            <w:pPr>
              <w:pStyle w:val="TableText"/>
              <w:jc w:val="center"/>
              <w:rPr>
                <w:sz w:val="16"/>
              </w:rPr>
            </w:pPr>
            <w:r w:rsidRPr="00DC4C78">
              <w:rPr>
                <w:sz w:val="16"/>
              </w:rPr>
              <w:t>100%</w:t>
            </w:r>
          </w:p>
        </w:tc>
        <w:tc>
          <w:tcPr>
            <w:tcW w:w="692" w:type="dxa"/>
            <w:tcBorders>
              <w:top w:val="nil"/>
              <w:left w:val="single" w:sz="4" w:space="0" w:color="A6A6A6"/>
              <w:right w:val="single" w:sz="8" w:space="0" w:color="000000" w:themeColor="text1"/>
            </w:tcBorders>
            <w:noWrap/>
            <w:vAlign w:val="center"/>
          </w:tcPr>
          <w:p w:rsidR="00C30B65" w:rsidRPr="00DC4C78" w:rsidRDefault="00C30B65" w:rsidP="00C30B65">
            <w:pPr>
              <w:pStyle w:val="TableText"/>
              <w:jc w:val="center"/>
              <w:rPr>
                <w:sz w:val="16"/>
              </w:rPr>
            </w:pPr>
            <w:r w:rsidRPr="00DC4C78">
              <w:rPr>
                <w:sz w:val="16"/>
              </w:rPr>
              <w:t>100%</w:t>
            </w:r>
          </w:p>
        </w:tc>
        <w:tc>
          <w:tcPr>
            <w:tcW w:w="692" w:type="dxa"/>
            <w:tcBorders>
              <w:top w:val="nil"/>
              <w:left w:val="single" w:sz="8" w:space="0" w:color="000000" w:themeColor="text1"/>
              <w:right w:val="single" w:sz="4" w:space="0" w:color="BFBFBF" w:themeColor="background1" w:themeShade="BF"/>
            </w:tcBorders>
            <w:vAlign w:val="center"/>
          </w:tcPr>
          <w:p w:rsidR="00C30B65" w:rsidRPr="00DC4C78" w:rsidRDefault="00C30B65" w:rsidP="00C30B65">
            <w:pPr>
              <w:jc w:val="center"/>
              <w:rPr>
                <w:rFonts w:ascii="Arial" w:hAnsi="Arial" w:cs="Arial"/>
                <w:sz w:val="16"/>
                <w:szCs w:val="16"/>
              </w:rPr>
            </w:pPr>
            <w:r w:rsidRPr="00DC4C78">
              <w:rPr>
                <w:rFonts w:ascii="Arial" w:hAnsi="Arial" w:cs="Arial"/>
                <w:sz w:val="16"/>
                <w:szCs w:val="16"/>
              </w:rPr>
              <w:t>100%</w:t>
            </w:r>
          </w:p>
        </w:tc>
        <w:tc>
          <w:tcPr>
            <w:tcW w:w="692" w:type="dxa"/>
            <w:tcBorders>
              <w:top w:val="nil"/>
              <w:left w:val="single" w:sz="4" w:space="0" w:color="BFBFBF" w:themeColor="background1" w:themeShade="BF"/>
              <w:right w:val="single" w:sz="4" w:space="0" w:color="BFBFBF" w:themeColor="background1" w:themeShade="BF"/>
            </w:tcBorders>
            <w:vAlign w:val="center"/>
          </w:tcPr>
          <w:p w:rsidR="00C30B65" w:rsidRPr="00DC4C78" w:rsidRDefault="00C30B65" w:rsidP="00C30B65">
            <w:pPr>
              <w:jc w:val="center"/>
              <w:rPr>
                <w:rFonts w:ascii="Arial" w:hAnsi="Arial" w:cs="Arial"/>
                <w:sz w:val="16"/>
                <w:szCs w:val="16"/>
              </w:rPr>
            </w:pPr>
            <w:r w:rsidRPr="00DC4C78">
              <w:rPr>
                <w:rFonts w:ascii="Arial" w:hAnsi="Arial" w:cs="Arial"/>
                <w:sz w:val="16"/>
                <w:szCs w:val="16"/>
              </w:rPr>
              <w:t>100%</w:t>
            </w:r>
          </w:p>
        </w:tc>
        <w:tc>
          <w:tcPr>
            <w:tcW w:w="692" w:type="dxa"/>
            <w:tcBorders>
              <w:top w:val="nil"/>
              <w:left w:val="single" w:sz="4" w:space="0" w:color="BFBFBF" w:themeColor="background1" w:themeShade="BF"/>
              <w:right w:val="single" w:sz="4" w:space="0" w:color="BFBFBF" w:themeColor="background1" w:themeShade="BF"/>
            </w:tcBorders>
            <w:vAlign w:val="center"/>
          </w:tcPr>
          <w:p w:rsidR="00C30B65" w:rsidRPr="00DC4C78" w:rsidRDefault="00C30B65" w:rsidP="00C30B65">
            <w:pPr>
              <w:jc w:val="center"/>
              <w:rPr>
                <w:rFonts w:ascii="Arial" w:hAnsi="Arial" w:cs="Arial"/>
                <w:sz w:val="16"/>
                <w:szCs w:val="16"/>
              </w:rPr>
            </w:pPr>
            <w:r w:rsidRPr="00DC4C78">
              <w:rPr>
                <w:rFonts w:ascii="Arial" w:hAnsi="Arial" w:cs="Arial"/>
                <w:sz w:val="16"/>
                <w:szCs w:val="16"/>
              </w:rPr>
              <w:t>100%</w:t>
            </w:r>
          </w:p>
        </w:tc>
        <w:tc>
          <w:tcPr>
            <w:tcW w:w="692" w:type="dxa"/>
            <w:tcBorders>
              <w:top w:val="nil"/>
              <w:left w:val="single" w:sz="4" w:space="0" w:color="BFBFBF" w:themeColor="background1" w:themeShade="BF"/>
              <w:right w:val="single" w:sz="4" w:space="0" w:color="auto"/>
            </w:tcBorders>
            <w:vAlign w:val="center"/>
          </w:tcPr>
          <w:p w:rsidR="00C30B65" w:rsidRPr="00DC4C78" w:rsidRDefault="00C30B65" w:rsidP="00C30B65">
            <w:pPr>
              <w:jc w:val="center"/>
              <w:rPr>
                <w:rFonts w:ascii="Arial" w:hAnsi="Arial" w:cs="Arial"/>
                <w:sz w:val="16"/>
                <w:szCs w:val="16"/>
              </w:rPr>
            </w:pPr>
            <w:r w:rsidRPr="00DC4C78">
              <w:rPr>
                <w:rFonts w:ascii="Arial" w:hAnsi="Arial" w:cs="Arial"/>
                <w:sz w:val="16"/>
                <w:szCs w:val="16"/>
              </w:rPr>
              <w:t>100%</w:t>
            </w:r>
          </w:p>
        </w:tc>
      </w:tr>
      <w:tr w:rsidR="00C30B65" w:rsidRPr="00DC4C78" w:rsidTr="00C30B65">
        <w:trPr>
          <w:cantSplit/>
        </w:trPr>
        <w:tc>
          <w:tcPr>
            <w:tcW w:w="3821" w:type="dxa"/>
            <w:tcBorders>
              <w:right w:val="single" w:sz="8" w:space="0" w:color="000000" w:themeColor="text1"/>
            </w:tcBorders>
            <w:shd w:val="clear" w:color="auto" w:fill="F2F2F2"/>
          </w:tcPr>
          <w:p w:rsidR="00C30B65" w:rsidRPr="00DC4C78" w:rsidRDefault="00C30B65" w:rsidP="00C30B65">
            <w:pPr>
              <w:pStyle w:val="TableText"/>
              <w:spacing w:before="40" w:after="40"/>
              <w:ind w:left="284" w:hanging="284"/>
              <w:rPr>
                <w:rFonts w:cs="Arial"/>
                <w:color w:val="000000"/>
                <w:sz w:val="16"/>
                <w:szCs w:val="16"/>
                <w:lang w:eastAsia="en-NZ"/>
              </w:rPr>
            </w:pPr>
            <w:r w:rsidRPr="00DC4C78">
              <w:rPr>
                <w:rFonts w:cs="Arial"/>
                <w:color w:val="000000"/>
                <w:sz w:val="16"/>
                <w:szCs w:val="16"/>
                <w:lang w:eastAsia="en-NZ"/>
              </w:rPr>
              <w:t>9.</w:t>
            </w:r>
            <w:r w:rsidRPr="00DC4C78">
              <w:rPr>
                <w:rFonts w:cs="Arial"/>
                <w:color w:val="000000"/>
                <w:sz w:val="16"/>
                <w:szCs w:val="16"/>
                <w:lang w:eastAsia="en-NZ"/>
              </w:rPr>
              <w:tab/>
            </w:r>
            <w:r w:rsidRPr="00DC4C78">
              <w:rPr>
                <w:rFonts w:cs="Arial"/>
                <w:spacing w:val="-2"/>
                <w:sz w:val="16"/>
                <w:szCs w:val="16"/>
                <w:lang w:eastAsia="en-NZ"/>
              </w:rPr>
              <w:t>Children under six years have access</w:t>
            </w:r>
            <w:r w:rsidRPr="00DC4C78">
              <w:rPr>
                <w:rFonts w:cs="Arial"/>
                <w:sz w:val="16"/>
                <w:szCs w:val="16"/>
                <w:lang w:eastAsia="en-NZ"/>
              </w:rPr>
              <w:t xml:space="preserve"> </w:t>
            </w:r>
            <w:r w:rsidRPr="00DC4C78">
              <w:rPr>
                <w:rFonts w:cs="Arial"/>
                <w:color w:val="000000"/>
                <w:sz w:val="16"/>
                <w:szCs w:val="16"/>
                <w:lang w:eastAsia="en-NZ"/>
              </w:rPr>
              <w:t>to free after-hours primary care</w:t>
            </w:r>
          </w:p>
        </w:tc>
        <w:tc>
          <w:tcPr>
            <w:tcW w:w="691" w:type="dxa"/>
            <w:tcBorders>
              <w:left w:val="single" w:sz="8" w:space="0" w:color="000000" w:themeColor="text1"/>
            </w:tcBorders>
            <w:shd w:val="clear" w:color="auto" w:fill="F2F2F2"/>
            <w:noWrap/>
            <w:vAlign w:val="center"/>
          </w:tcPr>
          <w:p w:rsidR="00C30B65" w:rsidRPr="00DC4C78" w:rsidRDefault="00C30B65" w:rsidP="00C30B65">
            <w:pPr>
              <w:pStyle w:val="TableText"/>
              <w:jc w:val="center"/>
              <w:rPr>
                <w:sz w:val="16"/>
              </w:rPr>
            </w:pPr>
            <w:r w:rsidRPr="00DC4C78">
              <w:rPr>
                <w:sz w:val="16"/>
              </w:rPr>
              <w:t>98%</w:t>
            </w:r>
          </w:p>
        </w:tc>
        <w:tc>
          <w:tcPr>
            <w:tcW w:w="692" w:type="dxa"/>
            <w:tcBorders>
              <w:left w:val="single" w:sz="4" w:space="0" w:color="A6A6A6"/>
            </w:tcBorders>
            <w:shd w:val="clear" w:color="auto" w:fill="F2F2F2"/>
            <w:noWrap/>
            <w:vAlign w:val="center"/>
          </w:tcPr>
          <w:p w:rsidR="00C30B65" w:rsidRPr="00DC4C78" w:rsidRDefault="00C30B65" w:rsidP="00C30B65">
            <w:pPr>
              <w:pStyle w:val="TableText"/>
              <w:jc w:val="center"/>
              <w:rPr>
                <w:sz w:val="16"/>
              </w:rPr>
            </w:pPr>
            <w:r w:rsidRPr="00DC4C78">
              <w:rPr>
                <w:sz w:val="16"/>
              </w:rPr>
              <w:t>N/A</w:t>
            </w:r>
          </w:p>
        </w:tc>
        <w:tc>
          <w:tcPr>
            <w:tcW w:w="692" w:type="dxa"/>
            <w:tcBorders>
              <w:left w:val="single" w:sz="4" w:space="0" w:color="A6A6A6"/>
            </w:tcBorders>
            <w:shd w:val="clear" w:color="auto" w:fill="F2F2F2"/>
            <w:noWrap/>
            <w:vAlign w:val="center"/>
          </w:tcPr>
          <w:p w:rsidR="00C30B65" w:rsidRPr="00DC4C78" w:rsidRDefault="00C30B65" w:rsidP="00C30B65">
            <w:pPr>
              <w:pStyle w:val="TableText"/>
              <w:jc w:val="center"/>
              <w:rPr>
                <w:sz w:val="16"/>
              </w:rPr>
            </w:pPr>
            <w:r w:rsidRPr="00DC4C78">
              <w:rPr>
                <w:sz w:val="16"/>
              </w:rPr>
              <w:t>N/A</w:t>
            </w:r>
          </w:p>
        </w:tc>
        <w:tc>
          <w:tcPr>
            <w:tcW w:w="692" w:type="dxa"/>
            <w:tcBorders>
              <w:left w:val="single" w:sz="4" w:space="0" w:color="A6A6A6"/>
              <w:right w:val="single" w:sz="8" w:space="0" w:color="000000" w:themeColor="text1"/>
            </w:tcBorders>
            <w:shd w:val="clear" w:color="auto" w:fill="F2F2F2"/>
            <w:noWrap/>
            <w:vAlign w:val="center"/>
          </w:tcPr>
          <w:p w:rsidR="00C30B65" w:rsidRPr="00DC4C78" w:rsidRDefault="00C30B65" w:rsidP="00C30B65">
            <w:pPr>
              <w:pStyle w:val="TableText"/>
              <w:jc w:val="center"/>
              <w:rPr>
                <w:sz w:val="16"/>
              </w:rPr>
            </w:pPr>
            <w:r w:rsidRPr="00DC4C78">
              <w:rPr>
                <w:sz w:val="16"/>
              </w:rPr>
              <w:t>N/A</w:t>
            </w:r>
          </w:p>
        </w:tc>
        <w:tc>
          <w:tcPr>
            <w:tcW w:w="692" w:type="dxa"/>
            <w:tcBorders>
              <w:left w:val="single" w:sz="8" w:space="0" w:color="000000" w:themeColor="text1"/>
              <w:right w:val="single" w:sz="4" w:space="0" w:color="BFBFBF" w:themeColor="background1" w:themeShade="BF"/>
            </w:tcBorders>
            <w:shd w:val="clear" w:color="auto" w:fill="F2F2F2"/>
            <w:vAlign w:val="center"/>
          </w:tcPr>
          <w:p w:rsidR="00C30B65" w:rsidRPr="00DC4C78" w:rsidRDefault="00C30B65" w:rsidP="00C30B65">
            <w:pPr>
              <w:jc w:val="center"/>
              <w:rPr>
                <w:rFonts w:ascii="Arial" w:hAnsi="Arial" w:cs="Arial"/>
                <w:sz w:val="16"/>
                <w:szCs w:val="16"/>
              </w:rPr>
            </w:pPr>
            <w:r w:rsidRPr="00DC4C78">
              <w:rPr>
                <w:rFonts w:ascii="Arial" w:hAnsi="Arial" w:cs="Arial"/>
                <w:sz w:val="16"/>
                <w:szCs w:val="16"/>
              </w:rPr>
              <w:t>99%</w:t>
            </w:r>
          </w:p>
        </w:tc>
        <w:tc>
          <w:tcPr>
            <w:tcW w:w="692" w:type="dxa"/>
            <w:tcBorders>
              <w:left w:val="single" w:sz="4" w:space="0" w:color="BFBFBF" w:themeColor="background1" w:themeShade="BF"/>
              <w:right w:val="single" w:sz="4" w:space="0" w:color="BFBFBF" w:themeColor="background1" w:themeShade="BF"/>
            </w:tcBorders>
            <w:shd w:val="clear" w:color="auto" w:fill="F2F2F2"/>
            <w:vAlign w:val="center"/>
          </w:tcPr>
          <w:p w:rsidR="00C30B65" w:rsidRPr="00DC4C78" w:rsidRDefault="00C30B65" w:rsidP="00C30B65">
            <w:pPr>
              <w:jc w:val="center"/>
              <w:rPr>
                <w:rFonts w:ascii="Arial" w:hAnsi="Arial" w:cs="Arial"/>
                <w:sz w:val="16"/>
                <w:szCs w:val="16"/>
              </w:rPr>
            </w:pPr>
            <w:r>
              <w:rPr>
                <w:rFonts w:ascii="Arial" w:hAnsi="Arial" w:cs="Arial"/>
                <w:sz w:val="16"/>
                <w:szCs w:val="16"/>
              </w:rPr>
              <w:t>N/A</w:t>
            </w:r>
          </w:p>
        </w:tc>
        <w:tc>
          <w:tcPr>
            <w:tcW w:w="692" w:type="dxa"/>
            <w:tcBorders>
              <w:left w:val="single" w:sz="4" w:space="0" w:color="BFBFBF" w:themeColor="background1" w:themeShade="BF"/>
              <w:right w:val="single" w:sz="4" w:space="0" w:color="BFBFBF" w:themeColor="background1" w:themeShade="BF"/>
            </w:tcBorders>
            <w:shd w:val="clear" w:color="auto" w:fill="F2F2F2"/>
            <w:vAlign w:val="center"/>
          </w:tcPr>
          <w:p w:rsidR="00C30B65" w:rsidRPr="00DC4C78" w:rsidRDefault="00C30B65" w:rsidP="00C30B65">
            <w:pPr>
              <w:jc w:val="center"/>
              <w:rPr>
                <w:rFonts w:ascii="Arial" w:hAnsi="Arial" w:cs="Arial"/>
                <w:sz w:val="16"/>
                <w:szCs w:val="16"/>
              </w:rPr>
            </w:pPr>
            <w:r>
              <w:rPr>
                <w:rFonts w:ascii="Arial" w:hAnsi="Arial" w:cs="Arial"/>
                <w:sz w:val="16"/>
                <w:szCs w:val="16"/>
              </w:rPr>
              <w:t>N/A</w:t>
            </w:r>
          </w:p>
        </w:tc>
        <w:tc>
          <w:tcPr>
            <w:tcW w:w="692" w:type="dxa"/>
            <w:tcBorders>
              <w:left w:val="single" w:sz="4" w:space="0" w:color="BFBFBF" w:themeColor="background1" w:themeShade="BF"/>
              <w:right w:val="single" w:sz="4" w:space="0" w:color="auto"/>
            </w:tcBorders>
            <w:shd w:val="clear" w:color="auto" w:fill="F2F2F2"/>
            <w:vAlign w:val="center"/>
          </w:tcPr>
          <w:p w:rsidR="00C30B65" w:rsidRPr="00DC4C78" w:rsidRDefault="00C30B65" w:rsidP="00C30B65">
            <w:pPr>
              <w:jc w:val="center"/>
              <w:rPr>
                <w:rFonts w:ascii="Arial" w:hAnsi="Arial" w:cs="Arial"/>
                <w:sz w:val="16"/>
                <w:szCs w:val="16"/>
              </w:rPr>
            </w:pPr>
            <w:r>
              <w:rPr>
                <w:rFonts w:ascii="Arial" w:hAnsi="Arial" w:cs="Arial"/>
                <w:sz w:val="16"/>
                <w:szCs w:val="16"/>
              </w:rPr>
              <w:t>N/A</w:t>
            </w:r>
          </w:p>
        </w:tc>
      </w:tr>
      <w:tr w:rsidR="00C30B65" w:rsidRPr="00DC4C78" w:rsidTr="00C30B65">
        <w:trPr>
          <w:cantSplit/>
        </w:trPr>
        <w:tc>
          <w:tcPr>
            <w:tcW w:w="3821" w:type="dxa"/>
            <w:tcBorders>
              <w:top w:val="nil"/>
              <w:right w:val="single" w:sz="8" w:space="0" w:color="000000" w:themeColor="text1"/>
            </w:tcBorders>
            <w:shd w:val="clear" w:color="auto" w:fill="auto"/>
          </w:tcPr>
          <w:p w:rsidR="00C30B65" w:rsidRPr="00DC4C78" w:rsidRDefault="00C30B65" w:rsidP="00C30B65">
            <w:pPr>
              <w:pStyle w:val="TableText"/>
              <w:spacing w:before="40" w:after="40"/>
              <w:ind w:left="284" w:hanging="284"/>
              <w:rPr>
                <w:rFonts w:cs="Arial"/>
                <w:color w:val="000000"/>
                <w:sz w:val="16"/>
                <w:szCs w:val="16"/>
                <w:lang w:eastAsia="en-NZ"/>
              </w:rPr>
            </w:pPr>
            <w:r w:rsidRPr="00DC4C78">
              <w:rPr>
                <w:rFonts w:cs="Arial"/>
                <w:color w:val="000000"/>
                <w:sz w:val="16"/>
                <w:szCs w:val="16"/>
                <w:lang w:eastAsia="en-NZ"/>
              </w:rPr>
              <w:t>10.</w:t>
            </w:r>
            <w:r w:rsidRPr="00DC4C78">
              <w:rPr>
                <w:rFonts w:cs="Arial"/>
                <w:color w:val="000000"/>
                <w:sz w:val="16"/>
                <w:szCs w:val="16"/>
                <w:lang w:eastAsia="en-NZ"/>
              </w:rPr>
              <w:tab/>
              <w:t>Children are seen promptly by specialist services</w:t>
            </w:r>
          </w:p>
        </w:tc>
        <w:tc>
          <w:tcPr>
            <w:tcW w:w="691" w:type="dxa"/>
            <w:tcBorders>
              <w:top w:val="nil"/>
              <w:left w:val="single" w:sz="8" w:space="0" w:color="000000" w:themeColor="text1"/>
            </w:tcBorders>
            <w:noWrap/>
            <w:vAlign w:val="center"/>
          </w:tcPr>
          <w:p w:rsidR="00C30B65" w:rsidRPr="00DC4C78" w:rsidRDefault="00C30B65" w:rsidP="00C30B65">
            <w:pPr>
              <w:pStyle w:val="TableText"/>
              <w:jc w:val="center"/>
              <w:rPr>
                <w:sz w:val="16"/>
              </w:rPr>
            </w:pPr>
            <w:r w:rsidRPr="00DC4C78">
              <w:rPr>
                <w:sz w:val="16"/>
              </w:rPr>
              <w:t>99%</w:t>
            </w:r>
          </w:p>
        </w:tc>
        <w:tc>
          <w:tcPr>
            <w:tcW w:w="692" w:type="dxa"/>
            <w:tcBorders>
              <w:top w:val="nil"/>
              <w:left w:val="single" w:sz="4" w:space="0" w:color="A6A6A6"/>
            </w:tcBorders>
            <w:noWrap/>
            <w:vAlign w:val="center"/>
          </w:tcPr>
          <w:p w:rsidR="00C30B65" w:rsidRPr="00DC4C78" w:rsidRDefault="00C30B65" w:rsidP="00C30B65">
            <w:pPr>
              <w:pStyle w:val="TableText"/>
              <w:jc w:val="center"/>
              <w:rPr>
                <w:sz w:val="16"/>
              </w:rPr>
            </w:pPr>
            <w:r w:rsidRPr="00DC4C78">
              <w:rPr>
                <w:sz w:val="16"/>
              </w:rPr>
              <w:t>N/A</w:t>
            </w:r>
          </w:p>
        </w:tc>
        <w:tc>
          <w:tcPr>
            <w:tcW w:w="692" w:type="dxa"/>
            <w:tcBorders>
              <w:top w:val="nil"/>
              <w:left w:val="single" w:sz="4" w:space="0" w:color="A6A6A6"/>
            </w:tcBorders>
            <w:noWrap/>
            <w:vAlign w:val="center"/>
          </w:tcPr>
          <w:p w:rsidR="00C30B65" w:rsidRPr="00DC4C78" w:rsidRDefault="00C30B65" w:rsidP="00C30B65">
            <w:pPr>
              <w:pStyle w:val="TableText"/>
              <w:jc w:val="center"/>
              <w:rPr>
                <w:sz w:val="16"/>
              </w:rPr>
            </w:pPr>
            <w:r w:rsidRPr="00DC4C78">
              <w:rPr>
                <w:sz w:val="16"/>
              </w:rPr>
              <w:t>N/A</w:t>
            </w:r>
          </w:p>
        </w:tc>
        <w:tc>
          <w:tcPr>
            <w:tcW w:w="692" w:type="dxa"/>
            <w:tcBorders>
              <w:top w:val="nil"/>
              <w:left w:val="single" w:sz="4" w:space="0" w:color="A6A6A6"/>
              <w:right w:val="single" w:sz="8" w:space="0" w:color="000000" w:themeColor="text1"/>
            </w:tcBorders>
            <w:noWrap/>
            <w:vAlign w:val="center"/>
          </w:tcPr>
          <w:p w:rsidR="00C30B65" w:rsidRPr="00DC4C78" w:rsidRDefault="00C30B65" w:rsidP="00C30B65">
            <w:pPr>
              <w:pStyle w:val="TableText"/>
              <w:jc w:val="center"/>
              <w:rPr>
                <w:sz w:val="16"/>
              </w:rPr>
            </w:pPr>
            <w:r w:rsidRPr="00DC4C78">
              <w:rPr>
                <w:sz w:val="16"/>
              </w:rPr>
              <w:t>N/A</w:t>
            </w:r>
          </w:p>
        </w:tc>
        <w:tc>
          <w:tcPr>
            <w:tcW w:w="692" w:type="dxa"/>
            <w:tcBorders>
              <w:top w:val="nil"/>
              <w:left w:val="single" w:sz="8" w:space="0" w:color="000000" w:themeColor="text1"/>
              <w:right w:val="single" w:sz="4" w:space="0" w:color="BFBFBF" w:themeColor="background1" w:themeShade="BF"/>
            </w:tcBorders>
            <w:vAlign w:val="center"/>
          </w:tcPr>
          <w:p w:rsidR="00C30B65" w:rsidRPr="00DC4C78" w:rsidRDefault="00C30B65" w:rsidP="00C30B65">
            <w:pPr>
              <w:jc w:val="center"/>
              <w:rPr>
                <w:rFonts w:ascii="Arial" w:hAnsi="Arial" w:cs="Arial"/>
                <w:sz w:val="16"/>
                <w:szCs w:val="16"/>
              </w:rPr>
            </w:pPr>
            <w:r w:rsidRPr="00DC4C78">
              <w:rPr>
                <w:rFonts w:ascii="Arial" w:hAnsi="Arial" w:cs="Arial"/>
                <w:sz w:val="16"/>
                <w:szCs w:val="16"/>
              </w:rPr>
              <w:t>100%</w:t>
            </w:r>
          </w:p>
        </w:tc>
        <w:tc>
          <w:tcPr>
            <w:tcW w:w="692" w:type="dxa"/>
            <w:tcBorders>
              <w:top w:val="nil"/>
              <w:left w:val="single" w:sz="4" w:space="0" w:color="BFBFBF" w:themeColor="background1" w:themeShade="BF"/>
              <w:right w:val="single" w:sz="4" w:space="0" w:color="BFBFBF" w:themeColor="background1" w:themeShade="BF"/>
            </w:tcBorders>
            <w:vAlign w:val="center"/>
          </w:tcPr>
          <w:p w:rsidR="00C30B65" w:rsidRPr="00DC4C78" w:rsidRDefault="00C30B65" w:rsidP="00C30B65">
            <w:pPr>
              <w:jc w:val="center"/>
              <w:rPr>
                <w:rFonts w:ascii="Arial" w:hAnsi="Arial" w:cs="Arial"/>
                <w:sz w:val="16"/>
                <w:szCs w:val="16"/>
              </w:rPr>
            </w:pPr>
            <w:r>
              <w:rPr>
                <w:rFonts w:ascii="Arial" w:hAnsi="Arial" w:cs="Arial"/>
                <w:sz w:val="16"/>
                <w:szCs w:val="16"/>
              </w:rPr>
              <w:t>N/A</w:t>
            </w:r>
          </w:p>
        </w:tc>
        <w:tc>
          <w:tcPr>
            <w:tcW w:w="692" w:type="dxa"/>
            <w:tcBorders>
              <w:top w:val="nil"/>
              <w:left w:val="single" w:sz="4" w:space="0" w:color="BFBFBF" w:themeColor="background1" w:themeShade="BF"/>
              <w:right w:val="single" w:sz="4" w:space="0" w:color="BFBFBF" w:themeColor="background1" w:themeShade="BF"/>
            </w:tcBorders>
            <w:vAlign w:val="center"/>
          </w:tcPr>
          <w:p w:rsidR="00C30B65" w:rsidRPr="00DC4C78" w:rsidRDefault="00C30B65" w:rsidP="00C30B65">
            <w:pPr>
              <w:jc w:val="center"/>
              <w:rPr>
                <w:rFonts w:ascii="Arial" w:hAnsi="Arial" w:cs="Arial"/>
                <w:sz w:val="16"/>
                <w:szCs w:val="16"/>
              </w:rPr>
            </w:pPr>
            <w:r>
              <w:rPr>
                <w:rFonts w:ascii="Arial" w:hAnsi="Arial" w:cs="Arial"/>
                <w:sz w:val="16"/>
                <w:szCs w:val="16"/>
              </w:rPr>
              <w:t>N/A</w:t>
            </w:r>
          </w:p>
        </w:tc>
        <w:tc>
          <w:tcPr>
            <w:tcW w:w="692" w:type="dxa"/>
            <w:tcBorders>
              <w:top w:val="nil"/>
              <w:left w:val="single" w:sz="4" w:space="0" w:color="BFBFBF" w:themeColor="background1" w:themeShade="BF"/>
              <w:right w:val="single" w:sz="4" w:space="0" w:color="auto"/>
            </w:tcBorders>
            <w:vAlign w:val="center"/>
          </w:tcPr>
          <w:p w:rsidR="00C30B65" w:rsidRPr="00DC4C78" w:rsidRDefault="00C30B65" w:rsidP="00C30B65">
            <w:pPr>
              <w:jc w:val="center"/>
              <w:rPr>
                <w:rFonts w:ascii="Arial" w:hAnsi="Arial" w:cs="Arial"/>
                <w:sz w:val="16"/>
                <w:szCs w:val="16"/>
              </w:rPr>
            </w:pPr>
            <w:r>
              <w:rPr>
                <w:rFonts w:ascii="Arial" w:hAnsi="Arial" w:cs="Arial"/>
                <w:sz w:val="16"/>
                <w:szCs w:val="16"/>
              </w:rPr>
              <w:t>N/A</w:t>
            </w:r>
          </w:p>
        </w:tc>
      </w:tr>
      <w:tr w:rsidR="00C30B65" w:rsidRPr="00DC4C78" w:rsidTr="00C30B65">
        <w:trPr>
          <w:cantSplit/>
        </w:trPr>
        <w:tc>
          <w:tcPr>
            <w:tcW w:w="3821" w:type="dxa"/>
            <w:tcBorders>
              <w:top w:val="nil"/>
              <w:right w:val="single" w:sz="8" w:space="0" w:color="000000" w:themeColor="text1"/>
            </w:tcBorders>
            <w:shd w:val="clear" w:color="auto" w:fill="F2F2F2"/>
          </w:tcPr>
          <w:p w:rsidR="00C30B65" w:rsidRPr="00DC4C78" w:rsidRDefault="00C30B65" w:rsidP="00C30B65">
            <w:pPr>
              <w:pStyle w:val="TableText"/>
              <w:spacing w:before="40" w:after="40"/>
              <w:ind w:left="284" w:hanging="284"/>
              <w:rPr>
                <w:rFonts w:cs="Arial"/>
                <w:color w:val="000000"/>
                <w:spacing w:val="-2"/>
                <w:sz w:val="16"/>
                <w:szCs w:val="16"/>
                <w:lang w:eastAsia="en-NZ"/>
              </w:rPr>
            </w:pPr>
            <w:r w:rsidRPr="00DC4C78">
              <w:rPr>
                <w:rFonts w:cs="Arial"/>
                <w:color w:val="000000"/>
                <w:spacing w:val="-2"/>
                <w:sz w:val="16"/>
                <w:szCs w:val="16"/>
                <w:lang w:eastAsia="en-NZ"/>
              </w:rPr>
              <w:t>11.</w:t>
            </w:r>
            <w:r w:rsidRPr="00DC4C78">
              <w:rPr>
                <w:rFonts w:cs="Arial"/>
                <w:color w:val="000000"/>
                <w:spacing w:val="-2"/>
                <w:sz w:val="16"/>
                <w:szCs w:val="16"/>
                <w:lang w:eastAsia="en-NZ"/>
              </w:rPr>
              <w:tab/>
              <w:t>Infants are exclusively or fully breastfed at two weeks</w:t>
            </w:r>
          </w:p>
        </w:tc>
        <w:tc>
          <w:tcPr>
            <w:tcW w:w="691" w:type="dxa"/>
            <w:tcBorders>
              <w:top w:val="nil"/>
              <w:left w:val="single" w:sz="8" w:space="0" w:color="000000" w:themeColor="text1"/>
            </w:tcBorders>
            <w:shd w:val="clear" w:color="auto" w:fill="F2F2F2"/>
            <w:noWrap/>
            <w:vAlign w:val="center"/>
          </w:tcPr>
          <w:p w:rsidR="00C30B65" w:rsidRPr="00DC4C78" w:rsidRDefault="00C30B65" w:rsidP="00C30B65">
            <w:pPr>
              <w:pStyle w:val="TableText"/>
              <w:jc w:val="center"/>
              <w:rPr>
                <w:sz w:val="16"/>
              </w:rPr>
            </w:pPr>
            <w:r w:rsidRPr="00DC4C78">
              <w:rPr>
                <w:sz w:val="16"/>
              </w:rPr>
              <w:t>79%</w:t>
            </w:r>
          </w:p>
        </w:tc>
        <w:tc>
          <w:tcPr>
            <w:tcW w:w="692" w:type="dxa"/>
            <w:tcBorders>
              <w:top w:val="nil"/>
              <w:left w:val="single" w:sz="4" w:space="0" w:color="A6A6A6"/>
            </w:tcBorders>
            <w:shd w:val="clear" w:color="auto" w:fill="F2F2F2"/>
            <w:noWrap/>
            <w:vAlign w:val="center"/>
          </w:tcPr>
          <w:p w:rsidR="00C30B65" w:rsidRPr="00DC4C78" w:rsidRDefault="00C30B65" w:rsidP="00C30B65">
            <w:pPr>
              <w:pStyle w:val="TableText"/>
              <w:jc w:val="center"/>
              <w:rPr>
                <w:sz w:val="16"/>
              </w:rPr>
            </w:pPr>
            <w:r w:rsidRPr="00DC4C78">
              <w:rPr>
                <w:sz w:val="16"/>
              </w:rPr>
              <w:t>76%</w:t>
            </w:r>
          </w:p>
        </w:tc>
        <w:tc>
          <w:tcPr>
            <w:tcW w:w="692" w:type="dxa"/>
            <w:tcBorders>
              <w:top w:val="nil"/>
              <w:left w:val="single" w:sz="4" w:space="0" w:color="A6A6A6"/>
            </w:tcBorders>
            <w:shd w:val="clear" w:color="auto" w:fill="F2F2F2"/>
            <w:noWrap/>
            <w:vAlign w:val="center"/>
          </w:tcPr>
          <w:p w:rsidR="00C30B65" w:rsidRPr="00DC4C78" w:rsidRDefault="00C30B65" w:rsidP="00C30B65">
            <w:pPr>
              <w:pStyle w:val="TableText"/>
              <w:jc w:val="center"/>
              <w:rPr>
                <w:sz w:val="16"/>
              </w:rPr>
            </w:pPr>
            <w:r w:rsidRPr="00DC4C78">
              <w:rPr>
                <w:sz w:val="16"/>
              </w:rPr>
              <w:t>77%</w:t>
            </w:r>
          </w:p>
        </w:tc>
        <w:tc>
          <w:tcPr>
            <w:tcW w:w="692" w:type="dxa"/>
            <w:tcBorders>
              <w:top w:val="nil"/>
              <w:left w:val="single" w:sz="4" w:space="0" w:color="A6A6A6"/>
              <w:right w:val="single" w:sz="8" w:space="0" w:color="000000" w:themeColor="text1"/>
            </w:tcBorders>
            <w:shd w:val="clear" w:color="auto" w:fill="F2F2F2"/>
            <w:noWrap/>
            <w:vAlign w:val="center"/>
          </w:tcPr>
          <w:p w:rsidR="00C30B65" w:rsidRPr="00DC4C78" w:rsidRDefault="00C30B65" w:rsidP="00C30B65">
            <w:pPr>
              <w:pStyle w:val="TableText"/>
              <w:jc w:val="center"/>
              <w:rPr>
                <w:sz w:val="16"/>
              </w:rPr>
            </w:pPr>
            <w:r w:rsidRPr="00DC4C78">
              <w:rPr>
                <w:sz w:val="16"/>
              </w:rPr>
              <w:t>74%</w:t>
            </w:r>
          </w:p>
        </w:tc>
        <w:tc>
          <w:tcPr>
            <w:tcW w:w="692" w:type="dxa"/>
            <w:tcBorders>
              <w:top w:val="nil"/>
              <w:left w:val="single" w:sz="8" w:space="0" w:color="000000" w:themeColor="text1"/>
              <w:right w:val="single" w:sz="4" w:space="0" w:color="BFBFBF" w:themeColor="background1" w:themeShade="BF"/>
            </w:tcBorders>
            <w:shd w:val="clear" w:color="auto" w:fill="F2F2F2"/>
            <w:vAlign w:val="center"/>
          </w:tcPr>
          <w:p w:rsidR="00C30B65" w:rsidRPr="00DC4C78" w:rsidRDefault="00C30B65" w:rsidP="00C30B65">
            <w:pPr>
              <w:jc w:val="center"/>
              <w:rPr>
                <w:rFonts w:ascii="Arial" w:hAnsi="Arial" w:cs="Arial"/>
                <w:sz w:val="16"/>
                <w:szCs w:val="16"/>
              </w:rPr>
            </w:pPr>
            <w:r w:rsidRPr="00DC4C78">
              <w:rPr>
                <w:rFonts w:ascii="Arial" w:hAnsi="Arial" w:cs="Arial"/>
                <w:sz w:val="16"/>
                <w:szCs w:val="16"/>
              </w:rPr>
              <w:t>78%</w:t>
            </w:r>
          </w:p>
        </w:tc>
        <w:tc>
          <w:tcPr>
            <w:tcW w:w="692" w:type="dxa"/>
            <w:tcBorders>
              <w:top w:val="nil"/>
              <w:left w:val="single" w:sz="4" w:space="0" w:color="BFBFBF" w:themeColor="background1" w:themeShade="BF"/>
              <w:right w:val="single" w:sz="4" w:space="0" w:color="BFBFBF" w:themeColor="background1" w:themeShade="BF"/>
            </w:tcBorders>
            <w:shd w:val="clear" w:color="auto" w:fill="F2F2F2"/>
            <w:vAlign w:val="center"/>
          </w:tcPr>
          <w:p w:rsidR="00C30B65" w:rsidRPr="00DC4C78" w:rsidRDefault="00C30B65" w:rsidP="00C30B65">
            <w:pPr>
              <w:jc w:val="center"/>
              <w:rPr>
                <w:rFonts w:ascii="Arial" w:hAnsi="Arial" w:cs="Arial"/>
                <w:sz w:val="16"/>
                <w:szCs w:val="16"/>
              </w:rPr>
            </w:pPr>
            <w:r w:rsidRPr="00DC4C78">
              <w:rPr>
                <w:rFonts w:ascii="Arial" w:hAnsi="Arial" w:cs="Arial"/>
                <w:sz w:val="16"/>
                <w:szCs w:val="16"/>
              </w:rPr>
              <w:t>74%</w:t>
            </w:r>
          </w:p>
        </w:tc>
        <w:tc>
          <w:tcPr>
            <w:tcW w:w="692" w:type="dxa"/>
            <w:tcBorders>
              <w:top w:val="nil"/>
              <w:left w:val="single" w:sz="4" w:space="0" w:color="BFBFBF" w:themeColor="background1" w:themeShade="BF"/>
              <w:right w:val="single" w:sz="4" w:space="0" w:color="BFBFBF" w:themeColor="background1" w:themeShade="BF"/>
            </w:tcBorders>
            <w:shd w:val="clear" w:color="auto" w:fill="F2F2F2"/>
            <w:vAlign w:val="center"/>
          </w:tcPr>
          <w:p w:rsidR="00C30B65" w:rsidRPr="00DC4C78" w:rsidRDefault="00C30B65" w:rsidP="00C30B65">
            <w:pPr>
              <w:jc w:val="center"/>
              <w:rPr>
                <w:rFonts w:ascii="Arial" w:hAnsi="Arial" w:cs="Arial"/>
                <w:sz w:val="16"/>
                <w:szCs w:val="16"/>
              </w:rPr>
            </w:pPr>
            <w:r w:rsidRPr="00DC4C78">
              <w:rPr>
                <w:rFonts w:ascii="Arial" w:hAnsi="Arial" w:cs="Arial"/>
                <w:sz w:val="16"/>
                <w:szCs w:val="16"/>
              </w:rPr>
              <w:t>76%</w:t>
            </w:r>
          </w:p>
        </w:tc>
        <w:tc>
          <w:tcPr>
            <w:tcW w:w="692" w:type="dxa"/>
            <w:tcBorders>
              <w:top w:val="nil"/>
              <w:left w:val="single" w:sz="4" w:space="0" w:color="BFBFBF" w:themeColor="background1" w:themeShade="BF"/>
              <w:right w:val="single" w:sz="4" w:space="0" w:color="auto"/>
            </w:tcBorders>
            <w:shd w:val="clear" w:color="auto" w:fill="F2F2F2"/>
            <w:vAlign w:val="center"/>
          </w:tcPr>
          <w:p w:rsidR="00C30B65" w:rsidRPr="00DC4C78" w:rsidRDefault="00C30B65" w:rsidP="00C30B65">
            <w:pPr>
              <w:jc w:val="center"/>
              <w:rPr>
                <w:rFonts w:ascii="Arial" w:hAnsi="Arial" w:cs="Arial"/>
                <w:sz w:val="16"/>
                <w:szCs w:val="16"/>
              </w:rPr>
            </w:pPr>
            <w:r w:rsidRPr="00DC4C78">
              <w:rPr>
                <w:rFonts w:ascii="Arial" w:hAnsi="Arial" w:cs="Arial"/>
                <w:sz w:val="16"/>
                <w:szCs w:val="16"/>
              </w:rPr>
              <w:t>72%</w:t>
            </w:r>
          </w:p>
        </w:tc>
      </w:tr>
      <w:tr w:rsidR="00C30B65" w:rsidRPr="00DC4C78" w:rsidTr="00C30B65">
        <w:trPr>
          <w:cantSplit/>
        </w:trPr>
        <w:tc>
          <w:tcPr>
            <w:tcW w:w="3821" w:type="dxa"/>
            <w:tcBorders>
              <w:top w:val="nil"/>
              <w:right w:val="single" w:sz="8" w:space="0" w:color="000000" w:themeColor="text1"/>
            </w:tcBorders>
            <w:shd w:val="clear" w:color="auto" w:fill="auto"/>
          </w:tcPr>
          <w:p w:rsidR="00C30B65" w:rsidRPr="00DC4C78" w:rsidRDefault="00C30B65" w:rsidP="00C30B65">
            <w:pPr>
              <w:pStyle w:val="TableText"/>
              <w:spacing w:before="40" w:after="40"/>
              <w:ind w:left="284" w:hanging="284"/>
              <w:rPr>
                <w:rFonts w:cs="Arial"/>
                <w:color w:val="000000"/>
                <w:sz w:val="16"/>
                <w:szCs w:val="16"/>
                <w:lang w:eastAsia="en-NZ"/>
              </w:rPr>
            </w:pPr>
            <w:r w:rsidRPr="00DC4C78">
              <w:rPr>
                <w:rFonts w:cs="Arial"/>
                <w:color w:val="000000"/>
                <w:sz w:val="16"/>
                <w:szCs w:val="16"/>
                <w:lang w:eastAsia="en-NZ"/>
              </w:rPr>
              <w:t>12.</w:t>
            </w:r>
            <w:r w:rsidRPr="00DC4C78">
              <w:rPr>
                <w:rFonts w:cs="Arial"/>
                <w:color w:val="000000"/>
                <w:sz w:val="16"/>
                <w:szCs w:val="16"/>
                <w:lang w:eastAsia="en-NZ"/>
              </w:rPr>
              <w:tab/>
              <w:t xml:space="preserve">Infants are exclusively or fully breastfed at </w:t>
            </w:r>
            <w:r>
              <w:rPr>
                <w:rFonts w:cs="Arial"/>
                <w:color w:val="000000"/>
                <w:sz w:val="16"/>
                <w:szCs w:val="16"/>
                <w:lang w:eastAsia="en-NZ"/>
              </w:rPr>
              <w:t>discharge from LMC</w:t>
            </w:r>
          </w:p>
        </w:tc>
        <w:tc>
          <w:tcPr>
            <w:tcW w:w="691" w:type="dxa"/>
            <w:tcBorders>
              <w:top w:val="nil"/>
              <w:left w:val="single" w:sz="8" w:space="0" w:color="000000" w:themeColor="text1"/>
            </w:tcBorders>
            <w:noWrap/>
            <w:vAlign w:val="center"/>
          </w:tcPr>
          <w:p w:rsidR="00C30B65" w:rsidRPr="00DC4C78" w:rsidRDefault="00C30B65" w:rsidP="00C30B65">
            <w:pPr>
              <w:pStyle w:val="TableText"/>
              <w:jc w:val="center"/>
              <w:rPr>
                <w:sz w:val="16"/>
              </w:rPr>
            </w:pPr>
            <w:r w:rsidRPr="00DC4C78">
              <w:rPr>
                <w:sz w:val="16"/>
              </w:rPr>
              <w:t>74%</w:t>
            </w:r>
          </w:p>
        </w:tc>
        <w:tc>
          <w:tcPr>
            <w:tcW w:w="692" w:type="dxa"/>
            <w:tcBorders>
              <w:top w:val="nil"/>
              <w:left w:val="single" w:sz="4" w:space="0" w:color="A6A6A6"/>
            </w:tcBorders>
            <w:noWrap/>
            <w:vAlign w:val="center"/>
          </w:tcPr>
          <w:p w:rsidR="00C30B65" w:rsidRPr="00DC4C78" w:rsidRDefault="00C30B65" w:rsidP="00C30B65">
            <w:pPr>
              <w:pStyle w:val="TableText"/>
              <w:jc w:val="center"/>
              <w:rPr>
                <w:sz w:val="16"/>
              </w:rPr>
            </w:pPr>
            <w:r w:rsidRPr="00DC4C78">
              <w:rPr>
                <w:sz w:val="16"/>
              </w:rPr>
              <w:t>71%</w:t>
            </w:r>
          </w:p>
        </w:tc>
        <w:tc>
          <w:tcPr>
            <w:tcW w:w="692" w:type="dxa"/>
            <w:tcBorders>
              <w:top w:val="nil"/>
              <w:left w:val="single" w:sz="4" w:space="0" w:color="A6A6A6"/>
            </w:tcBorders>
            <w:noWrap/>
            <w:vAlign w:val="center"/>
          </w:tcPr>
          <w:p w:rsidR="00C30B65" w:rsidRPr="00DC4C78" w:rsidRDefault="00C30B65" w:rsidP="00C30B65">
            <w:pPr>
              <w:pStyle w:val="TableText"/>
              <w:jc w:val="center"/>
              <w:rPr>
                <w:sz w:val="16"/>
              </w:rPr>
            </w:pPr>
            <w:r w:rsidRPr="00DC4C78">
              <w:rPr>
                <w:sz w:val="16"/>
              </w:rPr>
              <w:t>69%</w:t>
            </w:r>
          </w:p>
        </w:tc>
        <w:tc>
          <w:tcPr>
            <w:tcW w:w="692" w:type="dxa"/>
            <w:tcBorders>
              <w:top w:val="nil"/>
              <w:left w:val="single" w:sz="4" w:space="0" w:color="A6A6A6"/>
              <w:right w:val="single" w:sz="8" w:space="0" w:color="000000" w:themeColor="text1"/>
            </w:tcBorders>
            <w:noWrap/>
            <w:vAlign w:val="center"/>
          </w:tcPr>
          <w:p w:rsidR="00C30B65" w:rsidRPr="00DC4C78" w:rsidRDefault="00C30B65" w:rsidP="00C30B65">
            <w:pPr>
              <w:pStyle w:val="TableText"/>
              <w:jc w:val="center"/>
              <w:rPr>
                <w:sz w:val="16"/>
              </w:rPr>
            </w:pPr>
            <w:r w:rsidRPr="00DC4C78">
              <w:rPr>
                <w:sz w:val="16"/>
              </w:rPr>
              <w:t>72%</w:t>
            </w:r>
          </w:p>
        </w:tc>
        <w:tc>
          <w:tcPr>
            <w:tcW w:w="692" w:type="dxa"/>
            <w:tcBorders>
              <w:top w:val="nil"/>
              <w:left w:val="single" w:sz="8" w:space="0" w:color="000000" w:themeColor="text1"/>
              <w:right w:val="single" w:sz="4" w:space="0" w:color="BFBFBF" w:themeColor="background1" w:themeShade="BF"/>
            </w:tcBorders>
            <w:vAlign w:val="center"/>
          </w:tcPr>
          <w:p w:rsidR="00C30B65" w:rsidRPr="00DC4C78" w:rsidRDefault="00C30B65" w:rsidP="00C30B65">
            <w:pPr>
              <w:jc w:val="center"/>
              <w:rPr>
                <w:rFonts w:ascii="Arial" w:hAnsi="Arial" w:cs="Arial"/>
                <w:sz w:val="16"/>
                <w:szCs w:val="16"/>
              </w:rPr>
            </w:pPr>
            <w:r w:rsidRPr="00DC4C78">
              <w:rPr>
                <w:rFonts w:ascii="Arial" w:hAnsi="Arial" w:cs="Arial"/>
                <w:sz w:val="16"/>
                <w:szCs w:val="16"/>
              </w:rPr>
              <w:t>66%</w:t>
            </w:r>
          </w:p>
        </w:tc>
        <w:tc>
          <w:tcPr>
            <w:tcW w:w="692" w:type="dxa"/>
            <w:tcBorders>
              <w:top w:val="nil"/>
              <w:left w:val="single" w:sz="4" w:space="0" w:color="BFBFBF" w:themeColor="background1" w:themeShade="BF"/>
              <w:right w:val="single" w:sz="4" w:space="0" w:color="BFBFBF" w:themeColor="background1" w:themeShade="BF"/>
            </w:tcBorders>
            <w:vAlign w:val="center"/>
          </w:tcPr>
          <w:p w:rsidR="00C30B65" w:rsidRPr="00DC4C78" w:rsidRDefault="00C30B65" w:rsidP="00C30B65">
            <w:pPr>
              <w:jc w:val="center"/>
              <w:rPr>
                <w:rFonts w:ascii="Arial" w:hAnsi="Arial" w:cs="Arial"/>
                <w:sz w:val="16"/>
                <w:szCs w:val="16"/>
              </w:rPr>
            </w:pPr>
            <w:r w:rsidRPr="00DC4C78">
              <w:rPr>
                <w:rFonts w:ascii="Arial" w:hAnsi="Arial" w:cs="Arial"/>
                <w:sz w:val="16"/>
                <w:szCs w:val="16"/>
              </w:rPr>
              <w:t>59%</w:t>
            </w:r>
          </w:p>
        </w:tc>
        <w:tc>
          <w:tcPr>
            <w:tcW w:w="692" w:type="dxa"/>
            <w:tcBorders>
              <w:top w:val="nil"/>
              <w:left w:val="single" w:sz="4" w:space="0" w:color="BFBFBF" w:themeColor="background1" w:themeShade="BF"/>
              <w:right w:val="single" w:sz="4" w:space="0" w:color="BFBFBF" w:themeColor="background1" w:themeShade="BF"/>
            </w:tcBorders>
            <w:vAlign w:val="center"/>
          </w:tcPr>
          <w:p w:rsidR="00C30B65" w:rsidRPr="00DC4C78" w:rsidRDefault="00C30B65" w:rsidP="00C30B65">
            <w:pPr>
              <w:jc w:val="center"/>
              <w:rPr>
                <w:rFonts w:ascii="Arial" w:hAnsi="Arial" w:cs="Arial"/>
                <w:sz w:val="16"/>
                <w:szCs w:val="16"/>
              </w:rPr>
            </w:pPr>
            <w:r w:rsidRPr="00DC4C78">
              <w:rPr>
                <w:rFonts w:ascii="Arial" w:hAnsi="Arial" w:cs="Arial"/>
                <w:sz w:val="16"/>
                <w:szCs w:val="16"/>
              </w:rPr>
              <w:t>62%</w:t>
            </w:r>
          </w:p>
        </w:tc>
        <w:tc>
          <w:tcPr>
            <w:tcW w:w="692" w:type="dxa"/>
            <w:tcBorders>
              <w:top w:val="nil"/>
              <w:left w:val="single" w:sz="4" w:space="0" w:color="BFBFBF" w:themeColor="background1" w:themeShade="BF"/>
              <w:right w:val="single" w:sz="4" w:space="0" w:color="auto"/>
            </w:tcBorders>
            <w:vAlign w:val="center"/>
          </w:tcPr>
          <w:p w:rsidR="00C30B65" w:rsidRPr="00DC4C78" w:rsidRDefault="00C30B65" w:rsidP="00C30B65">
            <w:pPr>
              <w:jc w:val="center"/>
              <w:rPr>
                <w:rFonts w:ascii="Arial" w:hAnsi="Arial" w:cs="Arial"/>
                <w:sz w:val="16"/>
                <w:szCs w:val="16"/>
              </w:rPr>
            </w:pPr>
            <w:r w:rsidRPr="00DC4C78">
              <w:rPr>
                <w:rFonts w:ascii="Arial" w:hAnsi="Arial" w:cs="Arial"/>
                <w:sz w:val="16"/>
                <w:szCs w:val="16"/>
              </w:rPr>
              <w:t>57%</w:t>
            </w:r>
          </w:p>
        </w:tc>
      </w:tr>
      <w:tr w:rsidR="00C30B65" w:rsidRPr="00DC4C78" w:rsidTr="00C30B65">
        <w:trPr>
          <w:cantSplit/>
        </w:trPr>
        <w:tc>
          <w:tcPr>
            <w:tcW w:w="3821" w:type="dxa"/>
            <w:tcBorders>
              <w:top w:val="nil"/>
              <w:right w:val="single" w:sz="8" w:space="0" w:color="000000" w:themeColor="text1"/>
            </w:tcBorders>
            <w:shd w:val="clear" w:color="auto" w:fill="F2F2F2"/>
          </w:tcPr>
          <w:p w:rsidR="00C30B65" w:rsidRPr="00DC4C78" w:rsidRDefault="00C30B65" w:rsidP="00C30B65">
            <w:pPr>
              <w:pStyle w:val="TableText"/>
              <w:spacing w:before="40" w:after="40"/>
              <w:ind w:left="284" w:hanging="284"/>
              <w:rPr>
                <w:rFonts w:cs="Arial"/>
                <w:color w:val="000000"/>
                <w:sz w:val="16"/>
                <w:szCs w:val="16"/>
                <w:lang w:eastAsia="en-NZ"/>
              </w:rPr>
            </w:pPr>
            <w:r w:rsidRPr="00DC4C78">
              <w:rPr>
                <w:rFonts w:cs="Arial"/>
                <w:color w:val="000000"/>
                <w:sz w:val="16"/>
                <w:szCs w:val="16"/>
                <w:lang w:eastAsia="en-NZ"/>
              </w:rPr>
              <w:t>13.</w:t>
            </w:r>
            <w:r w:rsidRPr="00DC4C78">
              <w:rPr>
                <w:rFonts w:cs="Arial"/>
                <w:color w:val="000000"/>
                <w:sz w:val="16"/>
                <w:szCs w:val="16"/>
                <w:lang w:eastAsia="en-NZ"/>
              </w:rPr>
              <w:tab/>
              <w:t>Infants are exclusively or fully breastfed at three months</w:t>
            </w:r>
          </w:p>
        </w:tc>
        <w:tc>
          <w:tcPr>
            <w:tcW w:w="691" w:type="dxa"/>
            <w:tcBorders>
              <w:top w:val="nil"/>
              <w:left w:val="single" w:sz="8" w:space="0" w:color="000000" w:themeColor="text1"/>
            </w:tcBorders>
            <w:shd w:val="clear" w:color="auto" w:fill="F2F2F2"/>
            <w:noWrap/>
            <w:vAlign w:val="center"/>
          </w:tcPr>
          <w:p w:rsidR="00C30B65" w:rsidRPr="00DC4C78" w:rsidRDefault="00C30B65" w:rsidP="00C30B65">
            <w:pPr>
              <w:pStyle w:val="TableText"/>
              <w:jc w:val="center"/>
              <w:rPr>
                <w:sz w:val="16"/>
              </w:rPr>
            </w:pPr>
            <w:r w:rsidRPr="00DC4C78">
              <w:rPr>
                <w:sz w:val="16"/>
              </w:rPr>
              <w:t>55%</w:t>
            </w:r>
          </w:p>
        </w:tc>
        <w:tc>
          <w:tcPr>
            <w:tcW w:w="692" w:type="dxa"/>
            <w:tcBorders>
              <w:top w:val="nil"/>
              <w:left w:val="single" w:sz="4" w:space="0" w:color="A6A6A6"/>
            </w:tcBorders>
            <w:shd w:val="clear" w:color="auto" w:fill="F2F2F2"/>
            <w:noWrap/>
            <w:vAlign w:val="center"/>
          </w:tcPr>
          <w:p w:rsidR="00C30B65" w:rsidRPr="00DC4C78" w:rsidRDefault="00C30B65" w:rsidP="00C30B65">
            <w:pPr>
              <w:pStyle w:val="TableText"/>
              <w:jc w:val="center"/>
              <w:rPr>
                <w:sz w:val="16"/>
              </w:rPr>
            </w:pPr>
            <w:r w:rsidRPr="00DC4C78">
              <w:rPr>
                <w:sz w:val="16"/>
              </w:rPr>
              <w:t>44%</w:t>
            </w:r>
          </w:p>
        </w:tc>
        <w:tc>
          <w:tcPr>
            <w:tcW w:w="692" w:type="dxa"/>
            <w:tcBorders>
              <w:top w:val="nil"/>
              <w:left w:val="single" w:sz="4" w:space="0" w:color="A6A6A6"/>
            </w:tcBorders>
            <w:shd w:val="clear" w:color="auto" w:fill="F2F2F2"/>
            <w:noWrap/>
            <w:vAlign w:val="center"/>
          </w:tcPr>
          <w:p w:rsidR="00C30B65" w:rsidRPr="00DC4C78" w:rsidRDefault="00C30B65" w:rsidP="00C30B65">
            <w:pPr>
              <w:pStyle w:val="TableText"/>
              <w:jc w:val="center"/>
              <w:rPr>
                <w:sz w:val="16"/>
              </w:rPr>
            </w:pPr>
            <w:r w:rsidRPr="00DC4C78">
              <w:rPr>
                <w:sz w:val="16"/>
              </w:rPr>
              <w:t>45%</w:t>
            </w:r>
          </w:p>
        </w:tc>
        <w:tc>
          <w:tcPr>
            <w:tcW w:w="692" w:type="dxa"/>
            <w:tcBorders>
              <w:top w:val="nil"/>
              <w:left w:val="single" w:sz="4" w:space="0" w:color="A6A6A6"/>
              <w:right w:val="single" w:sz="8" w:space="0" w:color="000000" w:themeColor="text1"/>
            </w:tcBorders>
            <w:shd w:val="clear" w:color="auto" w:fill="F2F2F2"/>
            <w:noWrap/>
            <w:vAlign w:val="center"/>
          </w:tcPr>
          <w:p w:rsidR="00C30B65" w:rsidRPr="00DC4C78" w:rsidRDefault="00C30B65" w:rsidP="00C30B65">
            <w:pPr>
              <w:pStyle w:val="TableText"/>
              <w:jc w:val="center"/>
              <w:rPr>
                <w:sz w:val="16"/>
              </w:rPr>
            </w:pPr>
            <w:r w:rsidRPr="00DC4C78">
              <w:rPr>
                <w:sz w:val="16"/>
              </w:rPr>
              <w:t>46%</w:t>
            </w:r>
          </w:p>
        </w:tc>
        <w:tc>
          <w:tcPr>
            <w:tcW w:w="692" w:type="dxa"/>
            <w:tcBorders>
              <w:top w:val="nil"/>
              <w:left w:val="single" w:sz="8" w:space="0" w:color="000000" w:themeColor="text1"/>
              <w:right w:val="single" w:sz="4" w:space="0" w:color="BFBFBF" w:themeColor="background1" w:themeShade="BF"/>
            </w:tcBorders>
            <w:shd w:val="clear" w:color="auto" w:fill="F2F2F2"/>
            <w:vAlign w:val="center"/>
          </w:tcPr>
          <w:p w:rsidR="00C30B65" w:rsidRPr="00DC4C78" w:rsidRDefault="00C30B65" w:rsidP="00C30B65">
            <w:pPr>
              <w:jc w:val="center"/>
              <w:rPr>
                <w:rFonts w:ascii="Arial" w:hAnsi="Arial" w:cs="Arial"/>
                <w:sz w:val="16"/>
                <w:szCs w:val="16"/>
              </w:rPr>
            </w:pPr>
            <w:r w:rsidRPr="00DC4C78">
              <w:rPr>
                <w:rFonts w:ascii="Arial" w:hAnsi="Arial" w:cs="Arial"/>
                <w:sz w:val="16"/>
                <w:szCs w:val="16"/>
              </w:rPr>
              <w:t>55%</w:t>
            </w:r>
          </w:p>
        </w:tc>
        <w:tc>
          <w:tcPr>
            <w:tcW w:w="692" w:type="dxa"/>
            <w:tcBorders>
              <w:top w:val="nil"/>
              <w:left w:val="single" w:sz="4" w:space="0" w:color="BFBFBF" w:themeColor="background1" w:themeShade="BF"/>
              <w:right w:val="single" w:sz="4" w:space="0" w:color="BFBFBF" w:themeColor="background1" w:themeShade="BF"/>
            </w:tcBorders>
            <w:shd w:val="clear" w:color="auto" w:fill="F2F2F2"/>
            <w:vAlign w:val="center"/>
          </w:tcPr>
          <w:p w:rsidR="00C30B65" w:rsidRPr="00DC4C78" w:rsidRDefault="00C30B65" w:rsidP="00C30B65">
            <w:pPr>
              <w:jc w:val="center"/>
              <w:rPr>
                <w:rFonts w:ascii="Arial" w:hAnsi="Arial" w:cs="Arial"/>
                <w:sz w:val="16"/>
                <w:szCs w:val="16"/>
              </w:rPr>
            </w:pPr>
            <w:r w:rsidRPr="00DC4C78">
              <w:rPr>
                <w:rFonts w:ascii="Arial" w:hAnsi="Arial" w:cs="Arial"/>
                <w:sz w:val="16"/>
                <w:szCs w:val="16"/>
              </w:rPr>
              <w:t>45%</w:t>
            </w:r>
          </w:p>
        </w:tc>
        <w:tc>
          <w:tcPr>
            <w:tcW w:w="692" w:type="dxa"/>
            <w:tcBorders>
              <w:top w:val="nil"/>
              <w:left w:val="single" w:sz="4" w:space="0" w:color="BFBFBF" w:themeColor="background1" w:themeShade="BF"/>
              <w:right w:val="single" w:sz="4" w:space="0" w:color="BFBFBF" w:themeColor="background1" w:themeShade="BF"/>
            </w:tcBorders>
            <w:shd w:val="clear" w:color="auto" w:fill="F2F2F2"/>
            <w:vAlign w:val="center"/>
          </w:tcPr>
          <w:p w:rsidR="00C30B65" w:rsidRPr="00DC4C78" w:rsidRDefault="00C30B65" w:rsidP="00C30B65">
            <w:pPr>
              <w:jc w:val="center"/>
              <w:rPr>
                <w:rFonts w:ascii="Arial" w:hAnsi="Arial" w:cs="Arial"/>
                <w:sz w:val="16"/>
                <w:szCs w:val="16"/>
              </w:rPr>
            </w:pPr>
            <w:r w:rsidRPr="00DC4C78">
              <w:rPr>
                <w:rFonts w:ascii="Arial" w:hAnsi="Arial" w:cs="Arial"/>
                <w:sz w:val="16"/>
                <w:szCs w:val="16"/>
              </w:rPr>
              <w:t>45%</w:t>
            </w:r>
          </w:p>
        </w:tc>
        <w:tc>
          <w:tcPr>
            <w:tcW w:w="692" w:type="dxa"/>
            <w:tcBorders>
              <w:top w:val="nil"/>
              <w:left w:val="single" w:sz="4" w:space="0" w:color="BFBFBF" w:themeColor="background1" w:themeShade="BF"/>
              <w:right w:val="single" w:sz="4" w:space="0" w:color="auto"/>
            </w:tcBorders>
            <w:shd w:val="clear" w:color="auto" w:fill="F2F2F2"/>
            <w:vAlign w:val="center"/>
          </w:tcPr>
          <w:p w:rsidR="00C30B65" w:rsidRPr="00DC4C78" w:rsidRDefault="00C30B65" w:rsidP="00C30B65">
            <w:pPr>
              <w:jc w:val="center"/>
              <w:rPr>
                <w:rFonts w:ascii="Arial" w:hAnsi="Arial" w:cs="Arial"/>
                <w:sz w:val="16"/>
                <w:szCs w:val="16"/>
              </w:rPr>
            </w:pPr>
            <w:r w:rsidRPr="00DC4C78">
              <w:rPr>
                <w:rFonts w:ascii="Arial" w:hAnsi="Arial" w:cs="Arial"/>
                <w:sz w:val="16"/>
                <w:szCs w:val="16"/>
              </w:rPr>
              <w:t>47%</w:t>
            </w:r>
          </w:p>
        </w:tc>
      </w:tr>
      <w:tr w:rsidR="00C30B65" w:rsidRPr="00DC4C78" w:rsidTr="00C30B65">
        <w:trPr>
          <w:cantSplit/>
        </w:trPr>
        <w:tc>
          <w:tcPr>
            <w:tcW w:w="3821" w:type="dxa"/>
            <w:tcBorders>
              <w:top w:val="nil"/>
              <w:right w:val="single" w:sz="8" w:space="0" w:color="000000" w:themeColor="text1"/>
            </w:tcBorders>
            <w:shd w:val="clear" w:color="auto" w:fill="auto"/>
          </w:tcPr>
          <w:p w:rsidR="00C30B65" w:rsidRPr="00DC4C78" w:rsidRDefault="00C30B65" w:rsidP="00C30B65">
            <w:pPr>
              <w:pStyle w:val="TableText"/>
              <w:spacing w:before="40" w:after="40"/>
              <w:ind w:left="284" w:hanging="284"/>
              <w:rPr>
                <w:rFonts w:cs="Arial"/>
                <w:color w:val="000000"/>
                <w:sz w:val="16"/>
                <w:szCs w:val="16"/>
                <w:lang w:eastAsia="en-NZ"/>
              </w:rPr>
            </w:pPr>
            <w:r w:rsidRPr="00DC4C78">
              <w:rPr>
                <w:rFonts w:cs="Arial"/>
                <w:color w:val="000000"/>
                <w:sz w:val="16"/>
                <w:szCs w:val="16"/>
                <w:lang w:eastAsia="en-NZ"/>
              </w:rPr>
              <w:t>14.</w:t>
            </w:r>
            <w:r w:rsidRPr="00DC4C78">
              <w:rPr>
                <w:rFonts w:cs="Arial"/>
                <w:color w:val="000000"/>
                <w:sz w:val="16"/>
                <w:szCs w:val="16"/>
                <w:lang w:eastAsia="en-NZ"/>
              </w:rPr>
              <w:tab/>
            </w:r>
            <w:r w:rsidRPr="00DC4C78">
              <w:rPr>
                <w:rFonts w:cs="Arial"/>
                <w:color w:val="000000"/>
                <w:spacing w:val="-4"/>
                <w:sz w:val="16"/>
                <w:szCs w:val="16"/>
                <w:lang w:eastAsia="en-NZ"/>
              </w:rPr>
              <w:t>Infants are receiving breast milk at six months</w:t>
            </w:r>
          </w:p>
        </w:tc>
        <w:tc>
          <w:tcPr>
            <w:tcW w:w="691" w:type="dxa"/>
            <w:tcBorders>
              <w:top w:val="nil"/>
              <w:left w:val="single" w:sz="8" w:space="0" w:color="000000" w:themeColor="text1"/>
            </w:tcBorders>
            <w:noWrap/>
            <w:vAlign w:val="center"/>
          </w:tcPr>
          <w:p w:rsidR="00C30B65" w:rsidRPr="00DC4C78" w:rsidRDefault="00C30B65" w:rsidP="00C30B65">
            <w:pPr>
              <w:pStyle w:val="TableText"/>
              <w:jc w:val="center"/>
              <w:rPr>
                <w:sz w:val="16"/>
              </w:rPr>
            </w:pPr>
            <w:r w:rsidRPr="00DC4C78">
              <w:rPr>
                <w:sz w:val="16"/>
              </w:rPr>
              <w:t>66%</w:t>
            </w:r>
          </w:p>
        </w:tc>
        <w:tc>
          <w:tcPr>
            <w:tcW w:w="692" w:type="dxa"/>
            <w:tcBorders>
              <w:top w:val="nil"/>
              <w:left w:val="single" w:sz="4" w:space="0" w:color="A6A6A6"/>
            </w:tcBorders>
            <w:noWrap/>
            <w:vAlign w:val="center"/>
          </w:tcPr>
          <w:p w:rsidR="00C30B65" w:rsidRPr="00DC4C78" w:rsidRDefault="00C30B65" w:rsidP="00C30B65">
            <w:pPr>
              <w:pStyle w:val="TableText"/>
              <w:jc w:val="center"/>
              <w:rPr>
                <w:sz w:val="16"/>
              </w:rPr>
            </w:pPr>
            <w:r w:rsidRPr="00DC4C78">
              <w:rPr>
                <w:sz w:val="16"/>
              </w:rPr>
              <w:t>56%</w:t>
            </w:r>
          </w:p>
        </w:tc>
        <w:tc>
          <w:tcPr>
            <w:tcW w:w="692" w:type="dxa"/>
            <w:tcBorders>
              <w:top w:val="nil"/>
              <w:left w:val="single" w:sz="4" w:space="0" w:color="A6A6A6"/>
            </w:tcBorders>
            <w:noWrap/>
            <w:vAlign w:val="center"/>
          </w:tcPr>
          <w:p w:rsidR="00C30B65" w:rsidRPr="00DC4C78" w:rsidRDefault="00C30B65" w:rsidP="00C30B65">
            <w:pPr>
              <w:pStyle w:val="TableText"/>
              <w:jc w:val="center"/>
              <w:rPr>
                <w:sz w:val="16"/>
              </w:rPr>
            </w:pPr>
            <w:r w:rsidRPr="00DC4C78">
              <w:rPr>
                <w:sz w:val="16"/>
              </w:rPr>
              <w:t>55%</w:t>
            </w:r>
          </w:p>
        </w:tc>
        <w:tc>
          <w:tcPr>
            <w:tcW w:w="692" w:type="dxa"/>
            <w:tcBorders>
              <w:top w:val="nil"/>
              <w:left w:val="single" w:sz="4" w:space="0" w:color="A6A6A6"/>
              <w:right w:val="single" w:sz="8" w:space="0" w:color="000000" w:themeColor="text1"/>
            </w:tcBorders>
            <w:noWrap/>
            <w:vAlign w:val="center"/>
          </w:tcPr>
          <w:p w:rsidR="00C30B65" w:rsidRPr="00DC4C78" w:rsidRDefault="00C30B65" w:rsidP="00C30B65">
            <w:pPr>
              <w:pStyle w:val="TableText"/>
              <w:jc w:val="center"/>
              <w:rPr>
                <w:sz w:val="16"/>
              </w:rPr>
            </w:pPr>
            <w:r w:rsidRPr="00DC4C78">
              <w:rPr>
                <w:sz w:val="16"/>
              </w:rPr>
              <w:t>59%</w:t>
            </w:r>
          </w:p>
        </w:tc>
        <w:tc>
          <w:tcPr>
            <w:tcW w:w="692" w:type="dxa"/>
            <w:tcBorders>
              <w:top w:val="nil"/>
              <w:left w:val="single" w:sz="8" w:space="0" w:color="000000" w:themeColor="text1"/>
              <w:right w:val="single" w:sz="4" w:space="0" w:color="BFBFBF" w:themeColor="background1" w:themeShade="BF"/>
            </w:tcBorders>
            <w:vAlign w:val="center"/>
          </w:tcPr>
          <w:p w:rsidR="00C30B65" w:rsidRPr="00DC4C78" w:rsidRDefault="00C30B65" w:rsidP="00C30B65">
            <w:pPr>
              <w:jc w:val="center"/>
              <w:rPr>
                <w:rFonts w:ascii="Arial" w:hAnsi="Arial" w:cs="Arial"/>
                <w:sz w:val="16"/>
                <w:szCs w:val="16"/>
              </w:rPr>
            </w:pPr>
            <w:r w:rsidRPr="00DC4C78">
              <w:rPr>
                <w:rFonts w:ascii="Arial" w:hAnsi="Arial" w:cs="Arial"/>
                <w:sz w:val="16"/>
                <w:szCs w:val="16"/>
              </w:rPr>
              <w:t>66%</w:t>
            </w:r>
          </w:p>
        </w:tc>
        <w:tc>
          <w:tcPr>
            <w:tcW w:w="692" w:type="dxa"/>
            <w:tcBorders>
              <w:top w:val="nil"/>
              <w:left w:val="single" w:sz="4" w:space="0" w:color="BFBFBF" w:themeColor="background1" w:themeShade="BF"/>
              <w:right w:val="single" w:sz="4" w:space="0" w:color="BFBFBF" w:themeColor="background1" w:themeShade="BF"/>
            </w:tcBorders>
            <w:vAlign w:val="center"/>
          </w:tcPr>
          <w:p w:rsidR="00C30B65" w:rsidRPr="00DC4C78" w:rsidRDefault="00C30B65" w:rsidP="00C30B65">
            <w:pPr>
              <w:jc w:val="center"/>
              <w:rPr>
                <w:rFonts w:ascii="Arial" w:hAnsi="Arial" w:cs="Arial"/>
                <w:sz w:val="16"/>
                <w:szCs w:val="16"/>
              </w:rPr>
            </w:pPr>
            <w:r w:rsidRPr="00DC4C78">
              <w:rPr>
                <w:rFonts w:ascii="Arial" w:hAnsi="Arial" w:cs="Arial"/>
                <w:sz w:val="16"/>
                <w:szCs w:val="16"/>
              </w:rPr>
              <w:t>56%</w:t>
            </w:r>
          </w:p>
        </w:tc>
        <w:tc>
          <w:tcPr>
            <w:tcW w:w="692" w:type="dxa"/>
            <w:tcBorders>
              <w:top w:val="nil"/>
              <w:left w:val="single" w:sz="4" w:space="0" w:color="BFBFBF" w:themeColor="background1" w:themeShade="BF"/>
              <w:right w:val="single" w:sz="4" w:space="0" w:color="BFBFBF" w:themeColor="background1" w:themeShade="BF"/>
            </w:tcBorders>
            <w:vAlign w:val="center"/>
          </w:tcPr>
          <w:p w:rsidR="00C30B65" w:rsidRPr="00DC4C78" w:rsidRDefault="00C30B65" w:rsidP="00C30B65">
            <w:pPr>
              <w:jc w:val="center"/>
              <w:rPr>
                <w:rFonts w:ascii="Arial" w:hAnsi="Arial" w:cs="Arial"/>
                <w:sz w:val="16"/>
                <w:szCs w:val="16"/>
              </w:rPr>
            </w:pPr>
            <w:r w:rsidRPr="00DC4C78">
              <w:rPr>
                <w:rFonts w:ascii="Arial" w:hAnsi="Arial" w:cs="Arial"/>
                <w:sz w:val="16"/>
                <w:szCs w:val="16"/>
              </w:rPr>
              <w:t>54%</w:t>
            </w:r>
          </w:p>
        </w:tc>
        <w:tc>
          <w:tcPr>
            <w:tcW w:w="692" w:type="dxa"/>
            <w:tcBorders>
              <w:top w:val="nil"/>
              <w:left w:val="single" w:sz="4" w:space="0" w:color="BFBFBF" w:themeColor="background1" w:themeShade="BF"/>
              <w:right w:val="single" w:sz="4" w:space="0" w:color="auto"/>
            </w:tcBorders>
            <w:vAlign w:val="center"/>
          </w:tcPr>
          <w:p w:rsidR="00C30B65" w:rsidRPr="00DC4C78" w:rsidRDefault="00C30B65" w:rsidP="00C30B65">
            <w:pPr>
              <w:jc w:val="center"/>
              <w:rPr>
                <w:rFonts w:ascii="Arial" w:hAnsi="Arial" w:cs="Arial"/>
                <w:sz w:val="16"/>
                <w:szCs w:val="16"/>
              </w:rPr>
            </w:pPr>
            <w:r w:rsidRPr="00DC4C78">
              <w:rPr>
                <w:rFonts w:ascii="Arial" w:hAnsi="Arial" w:cs="Arial"/>
                <w:sz w:val="16"/>
                <w:szCs w:val="16"/>
              </w:rPr>
              <w:t>59%</w:t>
            </w:r>
          </w:p>
        </w:tc>
      </w:tr>
      <w:tr w:rsidR="00C30B65" w:rsidRPr="00DC4C78" w:rsidTr="00C30B65">
        <w:trPr>
          <w:cantSplit/>
        </w:trPr>
        <w:tc>
          <w:tcPr>
            <w:tcW w:w="3821" w:type="dxa"/>
            <w:tcBorders>
              <w:top w:val="nil"/>
              <w:right w:val="single" w:sz="8" w:space="0" w:color="000000" w:themeColor="text1"/>
            </w:tcBorders>
            <w:shd w:val="clear" w:color="auto" w:fill="F2F2F2"/>
          </w:tcPr>
          <w:p w:rsidR="00C30B65" w:rsidRPr="00DC4C78" w:rsidRDefault="00C30B65" w:rsidP="00C30B65">
            <w:pPr>
              <w:pStyle w:val="TableText"/>
              <w:spacing w:before="40" w:after="40"/>
              <w:ind w:left="284" w:hanging="284"/>
              <w:rPr>
                <w:rFonts w:cs="Arial"/>
                <w:color w:val="000000"/>
                <w:sz w:val="16"/>
                <w:szCs w:val="16"/>
                <w:lang w:eastAsia="en-NZ"/>
              </w:rPr>
            </w:pPr>
            <w:r w:rsidRPr="00DC4C78">
              <w:rPr>
                <w:rFonts w:cs="Arial"/>
                <w:color w:val="000000"/>
                <w:sz w:val="16"/>
                <w:szCs w:val="16"/>
                <w:lang w:eastAsia="en-NZ"/>
              </w:rPr>
              <w:t>15.</w:t>
            </w:r>
            <w:r w:rsidRPr="00DC4C78">
              <w:rPr>
                <w:rFonts w:cs="Arial"/>
                <w:color w:val="000000"/>
                <w:sz w:val="16"/>
                <w:szCs w:val="16"/>
                <w:lang w:eastAsia="en-NZ"/>
              </w:rPr>
              <w:tab/>
            </w:r>
            <w:r w:rsidRPr="00DC4C78">
              <w:rPr>
                <w:rFonts w:cs="Arial"/>
                <w:color w:val="000000"/>
                <w:spacing w:val="-2"/>
                <w:sz w:val="16"/>
                <w:szCs w:val="16"/>
                <w:lang w:eastAsia="en-NZ"/>
              </w:rPr>
              <w:t>Children are a healthy weight at four years</w:t>
            </w:r>
          </w:p>
        </w:tc>
        <w:tc>
          <w:tcPr>
            <w:tcW w:w="691" w:type="dxa"/>
            <w:tcBorders>
              <w:top w:val="nil"/>
              <w:left w:val="single" w:sz="8" w:space="0" w:color="000000" w:themeColor="text1"/>
            </w:tcBorders>
            <w:shd w:val="clear" w:color="auto" w:fill="F2F2F2"/>
            <w:noWrap/>
            <w:vAlign w:val="center"/>
          </w:tcPr>
          <w:p w:rsidR="00C30B65" w:rsidRPr="00DC4C78" w:rsidRDefault="00C30B65" w:rsidP="00C30B65">
            <w:pPr>
              <w:pStyle w:val="TableText"/>
              <w:jc w:val="center"/>
              <w:rPr>
                <w:sz w:val="16"/>
              </w:rPr>
            </w:pPr>
            <w:r w:rsidRPr="00DC4C78">
              <w:rPr>
                <w:sz w:val="16"/>
              </w:rPr>
              <w:t>75%</w:t>
            </w:r>
          </w:p>
        </w:tc>
        <w:tc>
          <w:tcPr>
            <w:tcW w:w="692" w:type="dxa"/>
            <w:tcBorders>
              <w:top w:val="nil"/>
              <w:left w:val="single" w:sz="4" w:space="0" w:color="A6A6A6"/>
            </w:tcBorders>
            <w:shd w:val="clear" w:color="auto" w:fill="F2F2F2"/>
            <w:noWrap/>
            <w:vAlign w:val="center"/>
          </w:tcPr>
          <w:p w:rsidR="00C30B65" w:rsidRPr="00DC4C78" w:rsidRDefault="00C30B65" w:rsidP="00C30B65">
            <w:pPr>
              <w:pStyle w:val="TableText"/>
              <w:jc w:val="center"/>
              <w:rPr>
                <w:sz w:val="16"/>
              </w:rPr>
            </w:pPr>
            <w:r w:rsidRPr="00DC4C78">
              <w:rPr>
                <w:sz w:val="16"/>
              </w:rPr>
              <w:t>69%</w:t>
            </w:r>
          </w:p>
        </w:tc>
        <w:tc>
          <w:tcPr>
            <w:tcW w:w="692" w:type="dxa"/>
            <w:tcBorders>
              <w:top w:val="nil"/>
              <w:left w:val="single" w:sz="4" w:space="0" w:color="A6A6A6"/>
            </w:tcBorders>
            <w:shd w:val="clear" w:color="auto" w:fill="F2F2F2"/>
            <w:noWrap/>
            <w:vAlign w:val="center"/>
          </w:tcPr>
          <w:p w:rsidR="00C30B65" w:rsidRPr="00DC4C78" w:rsidRDefault="00C30B65" w:rsidP="00C30B65">
            <w:pPr>
              <w:pStyle w:val="TableText"/>
              <w:jc w:val="center"/>
              <w:rPr>
                <w:sz w:val="16"/>
              </w:rPr>
            </w:pPr>
            <w:r w:rsidRPr="00DC4C78">
              <w:rPr>
                <w:sz w:val="16"/>
              </w:rPr>
              <w:t>71%</w:t>
            </w:r>
          </w:p>
        </w:tc>
        <w:tc>
          <w:tcPr>
            <w:tcW w:w="692" w:type="dxa"/>
            <w:tcBorders>
              <w:top w:val="nil"/>
              <w:left w:val="single" w:sz="4" w:space="0" w:color="A6A6A6"/>
              <w:right w:val="single" w:sz="8" w:space="0" w:color="000000" w:themeColor="text1"/>
            </w:tcBorders>
            <w:shd w:val="clear" w:color="auto" w:fill="F2F2F2"/>
            <w:noWrap/>
            <w:vAlign w:val="center"/>
          </w:tcPr>
          <w:p w:rsidR="00C30B65" w:rsidRPr="00DC4C78" w:rsidRDefault="00C30B65" w:rsidP="00C30B65">
            <w:pPr>
              <w:pStyle w:val="TableText"/>
              <w:jc w:val="center"/>
              <w:rPr>
                <w:sz w:val="16"/>
              </w:rPr>
            </w:pPr>
            <w:r w:rsidRPr="00DC4C78">
              <w:rPr>
                <w:sz w:val="16"/>
              </w:rPr>
              <w:t>61%</w:t>
            </w:r>
          </w:p>
        </w:tc>
        <w:tc>
          <w:tcPr>
            <w:tcW w:w="692" w:type="dxa"/>
            <w:tcBorders>
              <w:top w:val="nil"/>
              <w:left w:val="single" w:sz="8" w:space="0" w:color="000000" w:themeColor="text1"/>
              <w:right w:val="single" w:sz="4" w:space="0" w:color="BFBFBF" w:themeColor="background1" w:themeShade="BF"/>
            </w:tcBorders>
            <w:shd w:val="clear" w:color="auto" w:fill="F2F2F2"/>
            <w:vAlign w:val="center"/>
          </w:tcPr>
          <w:p w:rsidR="00C30B65" w:rsidRPr="00DC4C78" w:rsidRDefault="00C30B65" w:rsidP="00C30B65">
            <w:pPr>
              <w:jc w:val="center"/>
              <w:rPr>
                <w:rFonts w:ascii="Arial" w:hAnsi="Arial" w:cs="Arial"/>
                <w:sz w:val="16"/>
                <w:szCs w:val="16"/>
              </w:rPr>
            </w:pPr>
            <w:r w:rsidRPr="00DC4C78">
              <w:rPr>
                <w:rFonts w:ascii="Arial" w:hAnsi="Arial" w:cs="Arial"/>
                <w:sz w:val="16"/>
                <w:szCs w:val="16"/>
              </w:rPr>
              <w:t>75%</w:t>
            </w:r>
          </w:p>
        </w:tc>
        <w:tc>
          <w:tcPr>
            <w:tcW w:w="692" w:type="dxa"/>
            <w:tcBorders>
              <w:top w:val="nil"/>
              <w:left w:val="single" w:sz="4" w:space="0" w:color="BFBFBF" w:themeColor="background1" w:themeShade="BF"/>
              <w:right w:val="single" w:sz="4" w:space="0" w:color="BFBFBF" w:themeColor="background1" w:themeShade="BF"/>
            </w:tcBorders>
            <w:shd w:val="clear" w:color="auto" w:fill="F2F2F2"/>
            <w:vAlign w:val="center"/>
          </w:tcPr>
          <w:p w:rsidR="00C30B65" w:rsidRPr="00DC4C78" w:rsidRDefault="00C30B65" w:rsidP="00C30B65">
            <w:pPr>
              <w:jc w:val="center"/>
              <w:rPr>
                <w:rFonts w:ascii="Arial" w:hAnsi="Arial" w:cs="Arial"/>
                <w:sz w:val="16"/>
                <w:szCs w:val="16"/>
              </w:rPr>
            </w:pPr>
            <w:r w:rsidRPr="00DC4C78">
              <w:rPr>
                <w:rFonts w:ascii="Arial" w:hAnsi="Arial" w:cs="Arial"/>
                <w:sz w:val="16"/>
                <w:szCs w:val="16"/>
              </w:rPr>
              <w:t>68%</w:t>
            </w:r>
          </w:p>
        </w:tc>
        <w:tc>
          <w:tcPr>
            <w:tcW w:w="692" w:type="dxa"/>
            <w:tcBorders>
              <w:top w:val="nil"/>
              <w:left w:val="single" w:sz="4" w:space="0" w:color="BFBFBF" w:themeColor="background1" w:themeShade="BF"/>
              <w:right w:val="single" w:sz="4" w:space="0" w:color="BFBFBF" w:themeColor="background1" w:themeShade="BF"/>
            </w:tcBorders>
            <w:shd w:val="clear" w:color="auto" w:fill="F2F2F2"/>
            <w:vAlign w:val="center"/>
          </w:tcPr>
          <w:p w:rsidR="00C30B65" w:rsidRPr="00DC4C78" w:rsidRDefault="00C30B65" w:rsidP="00C30B65">
            <w:pPr>
              <w:jc w:val="center"/>
              <w:rPr>
                <w:rFonts w:ascii="Arial" w:hAnsi="Arial" w:cs="Arial"/>
                <w:sz w:val="16"/>
                <w:szCs w:val="16"/>
              </w:rPr>
            </w:pPr>
            <w:r w:rsidRPr="00DC4C78">
              <w:rPr>
                <w:rFonts w:ascii="Arial" w:hAnsi="Arial" w:cs="Arial"/>
                <w:sz w:val="16"/>
                <w:szCs w:val="16"/>
              </w:rPr>
              <w:t>72%</w:t>
            </w:r>
          </w:p>
        </w:tc>
        <w:tc>
          <w:tcPr>
            <w:tcW w:w="692" w:type="dxa"/>
            <w:tcBorders>
              <w:top w:val="nil"/>
              <w:left w:val="single" w:sz="4" w:space="0" w:color="BFBFBF" w:themeColor="background1" w:themeShade="BF"/>
              <w:right w:val="single" w:sz="4" w:space="0" w:color="auto"/>
            </w:tcBorders>
            <w:shd w:val="clear" w:color="auto" w:fill="F2F2F2"/>
            <w:vAlign w:val="center"/>
          </w:tcPr>
          <w:p w:rsidR="00C30B65" w:rsidRPr="00DC4C78" w:rsidRDefault="00C30B65" w:rsidP="00C30B65">
            <w:pPr>
              <w:jc w:val="center"/>
              <w:rPr>
                <w:rFonts w:ascii="Arial" w:hAnsi="Arial" w:cs="Arial"/>
                <w:sz w:val="16"/>
                <w:szCs w:val="16"/>
              </w:rPr>
            </w:pPr>
            <w:r w:rsidRPr="00DC4C78">
              <w:rPr>
                <w:rFonts w:ascii="Arial" w:hAnsi="Arial" w:cs="Arial"/>
                <w:sz w:val="16"/>
                <w:szCs w:val="16"/>
              </w:rPr>
              <w:t>60%</w:t>
            </w:r>
          </w:p>
        </w:tc>
      </w:tr>
      <w:tr w:rsidR="00C30B65" w:rsidRPr="00DC4C78" w:rsidTr="00C30B65">
        <w:trPr>
          <w:cantSplit/>
        </w:trPr>
        <w:tc>
          <w:tcPr>
            <w:tcW w:w="3821" w:type="dxa"/>
            <w:tcBorders>
              <w:top w:val="nil"/>
              <w:right w:val="single" w:sz="8" w:space="0" w:color="000000" w:themeColor="text1"/>
            </w:tcBorders>
            <w:shd w:val="clear" w:color="auto" w:fill="FFFFFF" w:themeFill="background1"/>
          </w:tcPr>
          <w:p w:rsidR="00C30B65" w:rsidRPr="00DC4C78" w:rsidRDefault="00C30B65" w:rsidP="00C30B65">
            <w:pPr>
              <w:pStyle w:val="TableText"/>
              <w:spacing w:before="40" w:after="40"/>
              <w:ind w:left="284" w:hanging="284"/>
              <w:rPr>
                <w:rFonts w:cs="Arial"/>
                <w:color w:val="000000"/>
                <w:sz w:val="16"/>
                <w:szCs w:val="16"/>
                <w:lang w:eastAsia="en-NZ"/>
              </w:rPr>
            </w:pPr>
            <w:r w:rsidRPr="00DC4C78">
              <w:rPr>
                <w:rFonts w:cs="Arial"/>
                <w:color w:val="000000"/>
                <w:sz w:val="16"/>
                <w:szCs w:val="16"/>
                <w:lang w:eastAsia="en-NZ"/>
              </w:rPr>
              <w:t>16.</w:t>
            </w:r>
            <w:r w:rsidRPr="00DC4C78">
              <w:rPr>
                <w:rFonts w:cs="Arial"/>
                <w:color w:val="000000"/>
                <w:sz w:val="16"/>
                <w:szCs w:val="16"/>
                <w:lang w:eastAsia="en-NZ"/>
              </w:rPr>
              <w:tab/>
              <w:t>Children are caries free at five years</w:t>
            </w:r>
          </w:p>
        </w:tc>
        <w:tc>
          <w:tcPr>
            <w:tcW w:w="691" w:type="dxa"/>
            <w:tcBorders>
              <w:top w:val="nil"/>
              <w:left w:val="single" w:sz="8" w:space="0" w:color="000000" w:themeColor="text1"/>
            </w:tcBorders>
            <w:shd w:val="clear" w:color="auto" w:fill="FFFFFF" w:themeFill="background1"/>
            <w:noWrap/>
            <w:vAlign w:val="center"/>
          </w:tcPr>
          <w:p w:rsidR="00C30B65" w:rsidRPr="00DC4C78" w:rsidRDefault="00C30B65" w:rsidP="00C30B65">
            <w:pPr>
              <w:pStyle w:val="TableText"/>
              <w:jc w:val="center"/>
              <w:rPr>
                <w:sz w:val="16"/>
              </w:rPr>
            </w:pPr>
            <w:r w:rsidRPr="00DC4C78">
              <w:rPr>
                <w:sz w:val="16"/>
              </w:rPr>
              <w:t>57%</w:t>
            </w:r>
          </w:p>
        </w:tc>
        <w:tc>
          <w:tcPr>
            <w:tcW w:w="692" w:type="dxa"/>
            <w:tcBorders>
              <w:top w:val="nil"/>
              <w:left w:val="single" w:sz="4" w:space="0" w:color="A6A6A6"/>
            </w:tcBorders>
            <w:shd w:val="clear" w:color="auto" w:fill="FFFFFF" w:themeFill="background1"/>
            <w:vAlign w:val="center"/>
          </w:tcPr>
          <w:p w:rsidR="00C30B65" w:rsidRPr="00DC4C78" w:rsidRDefault="00C30B65" w:rsidP="00C30B65">
            <w:pPr>
              <w:pStyle w:val="TableText"/>
              <w:jc w:val="center"/>
              <w:rPr>
                <w:sz w:val="16"/>
              </w:rPr>
            </w:pPr>
            <w:r w:rsidRPr="00DC4C78">
              <w:rPr>
                <w:sz w:val="16"/>
              </w:rPr>
              <w:t>N/A</w:t>
            </w:r>
          </w:p>
        </w:tc>
        <w:tc>
          <w:tcPr>
            <w:tcW w:w="692" w:type="dxa"/>
            <w:tcBorders>
              <w:top w:val="nil"/>
              <w:left w:val="single" w:sz="4" w:space="0" w:color="A6A6A6"/>
            </w:tcBorders>
            <w:shd w:val="clear" w:color="auto" w:fill="FFFFFF" w:themeFill="background1"/>
            <w:vAlign w:val="center"/>
          </w:tcPr>
          <w:p w:rsidR="00C30B65" w:rsidRPr="00DC4C78" w:rsidRDefault="00C30B65" w:rsidP="00C30B65">
            <w:pPr>
              <w:pStyle w:val="TableText"/>
              <w:jc w:val="center"/>
              <w:rPr>
                <w:sz w:val="16"/>
              </w:rPr>
            </w:pPr>
            <w:r w:rsidRPr="00DC4C78">
              <w:rPr>
                <w:sz w:val="16"/>
              </w:rPr>
              <w:t>37%</w:t>
            </w:r>
          </w:p>
        </w:tc>
        <w:tc>
          <w:tcPr>
            <w:tcW w:w="692" w:type="dxa"/>
            <w:tcBorders>
              <w:top w:val="nil"/>
              <w:left w:val="single" w:sz="4" w:space="0" w:color="A6A6A6"/>
              <w:right w:val="single" w:sz="8" w:space="0" w:color="000000" w:themeColor="text1"/>
            </w:tcBorders>
            <w:shd w:val="clear" w:color="auto" w:fill="FFFFFF" w:themeFill="background1"/>
            <w:vAlign w:val="center"/>
          </w:tcPr>
          <w:p w:rsidR="00C30B65" w:rsidRPr="00DC4C78" w:rsidRDefault="00C30B65" w:rsidP="00C30B65">
            <w:pPr>
              <w:pStyle w:val="TableText"/>
              <w:jc w:val="center"/>
              <w:rPr>
                <w:sz w:val="16"/>
              </w:rPr>
            </w:pPr>
            <w:r w:rsidRPr="00DC4C78">
              <w:rPr>
                <w:sz w:val="16"/>
              </w:rPr>
              <w:t>36%</w:t>
            </w:r>
          </w:p>
        </w:tc>
        <w:tc>
          <w:tcPr>
            <w:tcW w:w="692" w:type="dxa"/>
            <w:tcBorders>
              <w:top w:val="nil"/>
              <w:left w:val="single" w:sz="8" w:space="0" w:color="000000" w:themeColor="text1"/>
              <w:right w:val="single" w:sz="4" w:space="0" w:color="BFBFBF" w:themeColor="background1" w:themeShade="BF"/>
            </w:tcBorders>
            <w:shd w:val="clear" w:color="auto" w:fill="FFFFFF" w:themeFill="background1"/>
            <w:vAlign w:val="center"/>
          </w:tcPr>
          <w:p w:rsidR="00C30B65" w:rsidRPr="00DC4C78" w:rsidRDefault="00C30B65" w:rsidP="006D5F6C">
            <w:pPr>
              <w:jc w:val="center"/>
              <w:rPr>
                <w:rFonts w:ascii="Arial" w:hAnsi="Arial" w:cs="Arial"/>
                <w:color w:val="000000"/>
                <w:sz w:val="16"/>
                <w:szCs w:val="16"/>
              </w:rPr>
            </w:pPr>
            <w:r w:rsidRPr="00DC4C78">
              <w:rPr>
                <w:rFonts w:ascii="Arial" w:hAnsi="Arial" w:cs="Arial"/>
                <w:color w:val="000000"/>
                <w:sz w:val="16"/>
                <w:szCs w:val="16"/>
              </w:rPr>
              <w:t>5</w:t>
            </w:r>
            <w:r w:rsidR="006D5F6C">
              <w:rPr>
                <w:rFonts w:ascii="Arial" w:hAnsi="Arial" w:cs="Arial"/>
                <w:color w:val="000000"/>
                <w:sz w:val="16"/>
                <w:szCs w:val="16"/>
              </w:rPr>
              <w:t>9</w:t>
            </w:r>
            <w:r w:rsidRPr="00DC4C78">
              <w:rPr>
                <w:rFonts w:ascii="Arial" w:hAnsi="Arial" w:cs="Arial"/>
                <w:color w:val="000000"/>
                <w:sz w:val="16"/>
                <w:szCs w:val="16"/>
              </w:rPr>
              <w:t>%</w:t>
            </w:r>
          </w:p>
        </w:tc>
        <w:tc>
          <w:tcPr>
            <w:tcW w:w="692" w:type="dxa"/>
            <w:tcBorders>
              <w:top w:val="nil"/>
              <w:left w:val="single" w:sz="4" w:space="0" w:color="BFBFBF" w:themeColor="background1" w:themeShade="BF"/>
              <w:right w:val="single" w:sz="4" w:space="0" w:color="BFBFBF" w:themeColor="background1" w:themeShade="BF"/>
            </w:tcBorders>
            <w:shd w:val="clear" w:color="auto" w:fill="FFFFFF" w:themeFill="background1"/>
            <w:vAlign w:val="center"/>
          </w:tcPr>
          <w:p w:rsidR="00C30B65" w:rsidRPr="00DC4C78" w:rsidRDefault="00C30B65" w:rsidP="00C30B65">
            <w:pPr>
              <w:jc w:val="center"/>
              <w:rPr>
                <w:rFonts w:ascii="Arial" w:hAnsi="Arial" w:cs="Arial"/>
                <w:color w:val="000000"/>
                <w:sz w:val="16"/>
                <w:szCs w:val="16"/>
              </w:rPr>
            </w:pPr>
            <w:r>
              <w:rPr>
                <w:rFonts w:ascii="Arial" w:hAnsi="Arial" w:cs="Arial"/>
                <w:color w:val="000000"/>
                <w:sz w:val="16"/>
                <w:szCs w:val="16"/>
              </w:rPr>
              <w:t>N/A</w:t>
            </w:r>
          </w:p>
        </w:tc>
        <w:tc>
          <w:tcPr>
            <w:tcW w:w="692" w:type="dxa"/>
            <w:tcBorders>
              <w:top w:val="nil"/>
              <w:left w:val="single" w:sz="4" w:space="0" w:color="BFBFBF" w:themeColor="background1" w:themeShade="BF"/>
              <w:right w:val="single" w:sz="4" w:space="0" w:color="BFBFBF" w:themeColor="background1" w:themeShade="BF"/>
            </w:tcBorders>
            <w:shd w:val="clear" w:color="auto" w:fill="FFFFFF" w:themeFill="background1"/>
            <w:vAlign w:val="center"/>
          </w:tcPr>
          <w:p w:rsidR="00C30B65" w:rsidRPr="00DC4C78" w:rsidRDefault="006D5F6C" w:rsidP="00C30B65">
            <w:pPr>
              <w:jc w:val="center"/>
              <w:rPr>
                <w:rFonts w:ascii="Arial" w:hAnsi="Arial" w:cs="Arial"/>
                <w:color w:val="000000"/>
                <w:sz w:val="16"/>
                <w:szCs w:val="16"/>
              </w:rPr>
            </w:pPr>
            <w:r>
              <w:rPr>
                <w:rFonts w:ascii="Arial" w:hAnsi="Arial" w:cs="Arial"/>
                <w:color w:val="000000"/>
                <w:sz w:val="16"/>
                <w:szCs w:val="16"/>
              </w:rPr>
              <w:t>40</w:t>
            </w:r>
            <w:r w:rsidR="00C30B65" w:rsidRPr="00DC4C78">
              <w:rPr>
                <w:rFonts w:ascii="Arial" w:hAnsi="Arial" w:cs="Arial"/>
                <w:color w:val="000000"/>
                <w:sz w:val="16"/>
                <w:szCs w:val="16"/>
              </w:rPr>
              <w:t>%</w:t>
            </w:r>
          </w:p>
        </w:tc>
        <w:tc>
          <w:tcPr>
            <w:tcW w:w="692" w:type="dxa"/>
            <w:tcBorders>
              <w:top w:val="nil"/>
              <w:left w:val="single" w:sz="4" w:space="0" w:color="BFBFBF" w:themeColor="background1" w:themeShade="BF"/>
              <w:right w:val="single" w:sz="4" w:space="0" w:color="auto"/>
            </w:tcBorders>
            <w:shd w:val="clear" w:color="auto" w:fill="FFFFFF" w:themeFill="background1"/>
            <w:vAlign w:val="center"/>
          </w:tcPr>
          <w:p w:rsidR="00C30B65" w:rsidRPr="00DC4C78" w:rsidRDefault="00C30B65" w:rsidP="00C30B65">
            <w:pPr>
              <w:jc w:val="center"/>
              <w:rPr>
                <w:rFonts w:ascii="Arial" w:hAnsi="Arial" w:cs="Arial"/>
                <w:color w:val="000000"/>
                <w:sz w:val="16"/>
                <w:szCs w:val="16"/>
              </w:rPr>
            </w:pPr>
            <w:r w:rsidRPr="00DC4C78">
              <w:rPr>
                <w:rFonts w:ascii="Arial" w:hAnsi="Arial" w:cs="Arial"/>
                <w:color w:val="000000"/>
                <w:sz w:val="16"/>
                <w:szCs w:val="16"/>
              </w:rPr>
              <w:t>36%</w:t>
            </w:r>
          </w:p>
        </w:tc>
      </w:tr>
      <w:tr w:rsidR="00C30B65" w:rsidRPr="00DC4C78" w:rsidTr="00C30B65">
        <w:trPr>
          <w:cantSplit/>
        </w:trPr>
        <w:tc>
          <w:tcPr>
            <w:tcW w:w="3821" w:type="dxa"/>
            <w:tcBorders>
              <w:top w:val="nil"/>
              <w:right w:val="single" w:sz="8" w:space="0" w:color="000000" w:themeColor="text1"/>
            </w:tcBorders>
            <w:shd w:val="clear" w:color="auto" w:fill="F2F2F2" w:themeFill="background1" w:themeFillShade="F2"/>
          </w:tcPr>
          <w:p w:rsidR="00C30B65" w:rsidRPr="00DC4C78" w:rsidRDefault="00C30B65" w:rsidP="00C30B65">
            <w:pPr>
              <w:pStyle w:val="TableText"/>
              <w:spacing w:before="40" w:after="40"/>
              <w:ind w:left="284" w:hanging="284"/>
              <w:rPr>
                <w:rFonts w:cs="Arial"/>
                <w:color w:val="000000"/>
                <w:sz w:val="16"/>
                <w:szCs w:val="16"/>
                <w:lang w:eastAsia="en-NZ"/>
              </w:rPr>
            </w:pPr>
            <w:r w:rsidRPr="00DC4C78">
              <w:rPr>
                <w:rFonts w:cs="Arial"/>
                <w:color w:val="000000"/>
                <w:sz w:val="16"/>
                <w:szCs w:val="16"/>
                <w:lang w:eastAsia="en-NZ"/>
              </w:rPr>
              <w:t>17.</w:t>
            </w:r>
            <w:r w:rsidRPr="00DC4C78">
              <w:rPr>
                <w:rFonts w:cs="Arial"/>
                <w:color w:val="000000"/>
                <w:sz w:val="16"/>
                <w:szCs w:val="16"/>
                <w:lang w:eastAsia="en-NZ"/>
              </w:rPr>
              <w:tab/>
              <w:t xml:space="preserve">The burden of dental decay is minimised (average </w:t>
            </w:r>
            <w:proofErr w:type="spellStart"/>
            <w:r w:rsidRPr="00DC4C78">
              <w:rPr>
                <w:rFonts w:cs="Arial"/>
                <w:color w:val="000000"/>
                <w:sz w:val="16"/>
                <w:szCs w:val="16"/>
                <w:lang w:eastAsia="en-NZ"/>
              </w:rPr>
              <w:t>dmft</w:t>
            </w:r>
            <w:proofErr w:type="spellEnd"/>
            <w:r w:rsidRPr="00DC4C78">
              <w:rPr>
                <w:rFonts w:cs="Arial"/>
                <w:color w:val="000000"/>
                <w:sz w:val="16"/>
                <w:szCs w:val="16"/>
                <w:lang w:eastAsia="en-NZ"/>
              </w:rPr>
              <w:t>)</w:t>
            </w:r>
          </w:p>
        </w:tc>
        <w:tc>
          <w:tcPr>
            <w:tcW w:w="691" w:type="dxa"/>
            <w:tcBorders>
              <w:top w:val="nil"/>
              <w:left w:val="single" w:sz="8" w:space="0" w:color="000000" w:themeColor="text1"/>
            </w:tcBorders>
            <w:shd w:val="clear" w:color="auto" w:fill="F2F2F2" w:themeFill="background1" w:themeFillShade="F2"/>
            <w:noWrap/>
            <w:vAlign w:val="center"/>
          </w:tcPr>
          <w:p w:rsidR="00C30B65" w:rsidRPr="00DC4C78" w:rsidRDefault="00C30B65" w:rsidP="00C30B65">
            <w:pPr>
              <w:pStyle w:val="TableText"/>
              <w:jc w:val="center"/>
              <w:rPr>
                <w:sz w:val="16"/>
                <w:lang w:eastAsia="en-NZ"/>
              </w:rPr>
            </w:pPr>
            <w:r w:rsidRPr="00DC4C78">
              <w:rPr>
                <w:sz w:val="16"/>
                <w:lang w:eastAsia="en-NZ"/>
              </w:rPr>
              <w:t>4.4</w:t>
            </w:r>
          </w:p>
        </w:tc>
        <w:tc>
          <w:tcPr>
            <w:tcW w:w="692" w:type="dxa"/>
            <w:tcBorders>
              <w:top w:val="nil"/>
              <w:left w:val="single" w:sz="4" w:space="0" w:color="A6A6A6"/>
            </w:tcBorders>
            <w:shd w:val="clear" w:color="auto" w:fill="F2F2F2" w:themeFill="background1" w:themeFillShade="F2"/>
            <w:vAlign w:val="center"/>
          </w:tcPr>
          <w:p w:rsidR="00C30B65" w:rsidRPr="00DC4C78" w:rsidRDefault="00C30B65" w:rsidP="00C30B65">
            <w:pPr>
              <w:pStyle w:val="TableText"/>
              <w:jc w:val="center"/>
              <w:rPr>
                <w:sz w:val="16"/>
                <w:lang w:eastAsia="en-NZ"/>
              </w:rPr>
            </w:pPr>
            <w:r w:rsidRPr="00DC4C78">
              <w:rPr>
                <w:sz w:val="16"/>
                <w:lang w:eastAsia="en-NZ"/>
              </w:rPr>
              <w:t>N/A</w:t>
            </w:r>
          </w:p>
        </w:tc>
        <w:tc>
          <w:tcPr>
            <w:tcW w:w="692" w:type="dxa"/>
            <w:tcBorders>
              <w:top w:val="nil"/>
              <w:left w:val="single" w:sz="4" w:space="0" w:color="A6A6A6"/>
            </w:tcBorders>
            <w:shd w:val="clear" w:color="auto" w:fill="F2F2F2" w:themeFill="background1" w:themeFillShade="F2"/>
            <w:vAlign w:val="center"/>
          </w:tcPr>
          <w:p w:rsidR="00C30B65" w:rsidRPr="00DC4C78" w:rsidRDefault="00C30B65" w:rsidP="00C30B65">
            <w:pPr>
              <w:pStyle w:val="TableText"/>
              <w:jc w:val="center"/>
              <w:rPr>
                <w:sz w:val="16"/>
                <w:lang w:eastAsia="en-NZ"/>
              </w:rPr>
            </w:pPr>
            <w:r w:rsidRPr="00DC4C78">
              <w:rPr>
                <w:sz w:val="16"/>
                <w:lang w:eastAsia="en-NZ"/>
              </w:rPr>
              <w:t>5.0</w:t>
            </w:r>
          </w:p>
        </w:tc>
        <w:tc>
          <w:tcPr>
            <w:tcW w:w="692" w:type="dxa"/>
            <w:tcBorders>
              <w:top w:val="nil"/>
              <w:left w:val="single" w:sz="4" w:space="0" w:color="A6A6A6"/>
              <w:right w:val="single" w:sz="8" w:space="0" w:color="000000" w:themeColor="text1"/>
            </w:tcBorders>
            <w:shd w:val="clear" w:color="auto" w:fill="F2F2F2" w:themeFill="background1" w:themeFillShade="F2"/>
            <w:vAlign w:val="center"/>
          </w:tcPr>
          <w:p w:rsidR="00C30B65" w:rsidRPr="00DC4C78" w:rsidRDefault="00C30B65" w:rsidP="00C30B65">
            <w:pPr>
              <w:pStyle w:val="TableText"/>
              <w:jc w:val="center"/>
              <w:rPr>
                <w:sz w:val="16"/>
                <w:lang w:eastAsia="en-NZ"/>
              </w:rPr>
            </w:pPr>
            <w:r w:rsidRPr="00DC4C78">
              <w:rPr>
                <w:sz w:val="16"/>
                <w:lang w:eastAsia="en-NZ"/>
              </w:rPr>
              <w:t>5.1</w:t>
            </w:r>
          </w:p>
        </w:tc>
        <w:tc>
          <w:tcPr>
            <w:tcW w:w="692" w:type="dxa"/>
            <w:tcBorders>
              <w:top w:val="nil"/>
              <w:left w:val="single" w:sz="8" w:space="0" w:color="000000" w:themeColor="text1"/>
              <w:right w:val="single" w:sz="4" w:space="0" w:color="BFBFBF" w:themeColor="background1" w:themeShade="BF"/>
            </w:tcBorders>
            <w:shd w:val="clear" w:color="auto" w:fill="F2F2F2" w:themeFill="background1" w:themeFillShade="F2"/>
            <w:vAlign w:val="center"/>
          </w:tcPr>
          <w:p w:rsidR="00C30B65" w:rsidRPr="00DC4C78" w:rsidRDefault="00C30B65" w:rsidP="00C30B65">
            <w:pPr>
              <w:jc w:val="center"/>
              <w:rPr>
                <w:rFonts w:ascii="Arial" w:hAnsi="Arial" w:cs="Arial"/>
                <w:color w:val="000000"/>
                <w:sz w:val="16"/>
                <w:szCs w:val="16"/>
              </w:rPr>
            </w:pPr>
            <w:r w:rsidRPr="00DC4C78">
              <w:rPr>
                <w:rFonts w:ascii="Arial" w:hAnsi="Arial" w:cs="Arial"/>
                <w:color w:val="000000"/>
                <w:sz w:val="16"/>
                <w:szCs w:val="16"/>
              </w:rPr>
              <w:t>4.41</w:t>
            </w:r>
          </w:p>
        </w:tc>
        <w:tc>
          <w:tcPr>
            <w:tcW w:w="692" w:type="dxa"/>
            <w:tcBorders>
              <w:top w:val="nil"/>
              <w:left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C30B65" w:rsidRPr="00DC4C78" w:rsidRDefault="00C30B65" w:rsidP="00C30B65">
            <w:pPr>
              <w:jc w:val="center"/>
              <w:rPr>
                <w:rFonts w:ascii="Arial" w:hAnsi="Arial" w:cs="Arial"/>
                <w:color w:val="000000"/>
                <w:sz w:val="16"/>
                <w:szCs w:val="16"/>
              </w:rPr>
            </w:pPr>
            <w:r>
              <w:rPr>
                <w:rFonts w:ascii="Arial" w:hAnsi="Arial" w:cs="Arial"/>
                <w:color w:val="000000"/>
                <w:sz w:val="16"/>
                <w:szCs w:val="16"/>
              </w:rPr>
              <w:t>N/A</w:t>
            </w:r>
          </w:p>
        </w:tc>
        <w:tc>
          <w:tcPr>
            <w:tcW w:w="692" w:type="dxa"/>
            <w:tcBorders>
              <w:top w:val="nil"/>
              <w:left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C30B65" w:rsidRPr="00DC4C78" w:rsidRDefault="00C30B65" w:rsidP="00C30B65">
            <w:pPr>
              <w:jc w:val="center"/>
              <w:rPr>
                <w:rFonts w:ascii="Arial" w:hAnsi="Arial" w:cs="Arial"/>
                <w:color w:val="000000"/>
                <w:sz w:val="16"/>
                <w:szCs w:val="16"/>
              </w:rPr>
            </w:pPr>
            <w:r w:rsidRPr="00DC4C78">
              <w:rPr>
                <w:rFonts w:ascii="Arial" w:hAnsi="Arial" w:cs="Arial"/>
                <w:color w:val="000000"/>
                <w:sz w:val="16"/>
                <w:szCs w:val="16"/>
              </w:rPr>
              <w:t>4.98</w:t>
            </w:r>
          </w:p>
        </w:tc>
        <w:tc>
          <w:tcPr>
            <w:tcW w:w="692" w:type="dxa"/>
            <w:tcBorders>
              <w:top w:val="nil"/>
              <w:left w:val="single" w:sz="4" w:space="0" w:color="BFBFBF" w:themeColor="background1" w:themeShade="BF"/>
              <w:right w:val="single" w:sz="4" w:space="0" w:color="auto"/>
            </w:tcBorders>
            <w:shd w:val="clear" w:color="auto" w:fill="F2F2F2" w:themeFill="background1" w:themeFillShade="F2"/>
            <w:vAlign w:val="center"/>
          </w:tcPr>
          <w:p w:rsidR="00C30B65" w:rsidRPr="00DC4C78" w:rsidRDefault="00C30B65" w:rsidP="00C30B65">
            <w:pPr>
              <w:jc w:val="center"/>
              <w:rPr>
                <w:rFonts w:ascii="Arial" w:hAnsi="Arial" w:cs="Arial"/>
                <w:color w:val="000000"/>
                <w:sz w:val="16"/>
                <w:szCs w:val="16"/>
              </w:rPr>
            </w:pPr>
            <w:r w:rsidRPr="00DC4C78">
              <w:rPr>
                <w:rFonts w:ascii="Arial" w:hAnsi="Arial" w:cs="Arial"/>
                <w:color w:val="000000"/>
                <w:sz w:val="16"/>
                <w:szCs w:val="16"/>
              </w:rPr>
              <w:t>5.07</w:t>
            </w:r>
          </w:p>
        </w:tc>
      </w:tr>
      <w:tr w:rsidR="00C30B65" w:rsidRPr="00DC4C78" w:rsidTr="00C30B65">
        <w:trPr>
          <w:cantSplit/>
        </w:trPr>
        <w:tc>
          <w:tcPr>
            <w:tcW w:w="3821" w:type="dxa"/>
            <w:tcBorders>
              <w:top w:val="nil"/>
              <w:right w:val="single" w:sz="8" w:space="0" w:color="000000" w:themeColor="text1"/>
            </w:tcBorders>
            <w:shd w:val="clear" w:color="auto" w:fill="auto"/>
          </w:tcPr>
          <w:p w:rsidR="00C30B65" w:rsidRPr="00DC4C78" w:rsidRDefault="00C30B65" w:rsidP="00C30B65">
            <w:pPr>
              <w:pStyle w:val="TableText"/>
              <w:spacing w:before="40" w:after="40"/>
              <w:ind w:left="284" w:hanging="284"/>
              <w:rPr>
                <w:rFonts w:cs="Arial"/>
                <w:color w:val="000000"/>
                <w:sz w:val="16"/>
                <w:szCs w:val="16"/>
                <w:lang w:eastAsia="en-NZ"/>
              </w:rPr>
            </w:pPr>
            <w:r w:rsidRPr="00DC4C78">
              <w:rPr>
                <w:rFonts w:cs="Arial"/>
                <w:color w:val="000000"/>
                <w:sz w:val="16"/>
                <w:szCs w:val="16"/>
                <w:lang w:eastAsia="en-NZ"/>
              </w:rPr>
              <w:t>18.</w:t>
            </w:r>
            <w:r w:rsidRPr="00DC4C78">
              <w:rPr>
                <w:rFonts w:cs="Arial"/>
                <w:color w:val="000000"/>
                <w:sz w:val="16"/>
                <w:szCs w:val="16"/>
                <w:lang w:eastAsia="en-NZ"/>
              </w:rPr>
              <w:tab/>
              <w:t>Child mental health is supported</w:t>
            </w:r>
            <w:r w:rsidRPr="00DC4C78">
              <w:rPr>
                <w:rFonts w:cs="Arial"/>
                <w:color w:val="000000"/>
                <w:sz w:val="16"/>
                <w:szCs w:val="16"/>
                <w:lang w:eastAsia="en-NZ"/>
              </w:rPr>
              <w:br/>
              <w:t>(normal SDQ-P score)</w:t>
            </w:r>
          </w:p>
        </w:tc>
        <w:tc>
          <w:tcPr>
            <w:tcW w:w="691" w:type="dxa"/>
            <w:tcBorders>
              <w:top w:val="nil"/>
              <w:left w:val="single" w:sz="8" w:space="0" w:color="000000" w:themeColor="text1"/>
            </w:tcBorders>
            <w:noWrap/>
            <w:vAlign w:val="center"/>
          </w:tcPr>
          <w:p w:rsidR="00C30B65" w:rsidRPr="00DC4C78" w:rsidRDefault="00C30B65" w:rsidP="00C30B65">
            <w:pPr>
              <w:pStyle w:val="TableText"/>
              <w:jc w:val="center"/>
              <w:rPr>
                <w:sz w:val="16"/>
              </w:rPr>
            </w:pPr>
            <w:r w:rsidRPr="00DC4C78">
              <w:rPr>
                <w:sz w:val="16"/>
              </w:rPr>
              <w:t>96%</w:t>
            </w:r>
          </w:p>
        </w:tc>
        <w:tc>
          <w:tcPr>
            <w:tcW w:w="692" w:type="dxa"/>
            <w:tcBorders>
              <w:top w:val="nil"/>
              <w:left w:val="single" w:sz="4" w:space="0" w:color="A6A6A6"/>
            </w:tcBorders>
            <w:noWrap/>
            <w:vAlign w:val="center"/>
          </w:tcPr>
          <w:p w:rsidR="00C30B65" w:rsidRPr="00DC4C78" w:rsidRDefault="00C30B65" w:rsidP="00C30B65">
            <w:pPr>
              <w:pStyle w:val="TableText"/>
              <w:jc w:val="center"/>
              <w:rPr>
                <w:sz w:val="16"/>
              </w:rPr>
            </w:pPr>
            <w:r w:rsidRPr="00DC4C78">
              <w:rPr>
                <w:sz w:val="16"/>
              </w:rPr>
              <w:t>93%</w:t>
            </w:r>
          </w:p>
        </w:tc>
        <w:tc>
          <w:tcPr>
            <w:tcW w:w="692" w:type="dxa"/>
            <w:tcBorders>
              <w:top w:val="nil"/>
              <w:left w:val="single" w:sz="4" w:space="0" w:color="A6A6A6"/>
            </w:tcBorders>
            <w:noWrap/>
            <w:vAlign w:val="center"/>
          </w:tcPr>
          <w:p w:rsidR="00C30B65" w:rsidRPr="00DC4C78" w:rsidRDefault="00C30B65" w:rsidP="00C30B65">
            <w:pPr>
              <w:pStyle w:val="TableText"/>
              <w:jc w:val="center"/>
              <w:rPr>
                <w:sz w:val="16"/>
              </w:rPr>
            </w:pPr>
            <w:r w:rsidRPr="00DC4C78">
              <w:rPr>
                <w:sz w:val="16"/>
              </w:rPr>
              <w:t>94%</w:t>
            </w:r>
          </w:p>
        </w:tc>
        <w:tc>
          <w:tcPr>
            <w:tcW w:w="692" w:type="dxa"/>
            <w:tcBorders>
              <w:top w:val="nil"/>
              <w:left w:val="single" w:sz="4" w:space="0" w:color="A6A6A6"/>
              <w:right w:val="single" w:sz="8" w:space="0" w:color="000000" w:themeColor="text1"/>
            </w:tcBorders>
            <w:noWrap/>
            <w:vAlign w:val="center"/>
          </w:tcPr>
          <w:p w:rsidR="00C30B65" w:rsidRPr="00DC4C78" w:rsidRDefault="00C30B65" w:rsidP="00C30B65">
            <w:pPr>
              <w:pStyle w:val="TableText"/>
              <w:jc w:val="center"/>
              <w:rPr>
                <w:sz w:val="16"/>
              </w:rPr>
            </w:pPr>
            <w:r w:rsidRPr="00DC4C78">
              <w:rPr>
                <w:sz w:val="16"/>
              </w:rPr>
              <w:t>95%</w:t>
            </w:r>
          </w:p>
        </w:tc>
        <w:tc>
          <w:tcPr>
            <w:tcW w:w="692" w:type="dxa"/>
            <w:tcBorders>
              <w:top w:val="nil"/>
              <w:left w:val="single" w:sz="8" w:space="0" w:color="000000" w:themeColor="text1"/>
              <w:right w:val="single" w:sz="4" w:space="0" w:color="BFBFBF" w:themeColor="background1" w:themeShade="BF"/>
            </w:tcBorders>
            <w:vAlign w:val="center"/>
          </w:tcPr>
          <w:p w:rsidR="00C30B65" w:rsidRPr="00DC4C78" w:rsidRDefault="00C30B65" w:rsidP="00C30B65">
            <w:pPr>
              <w:jc w:val="center"/>
              <w:rPr>
                <w:rFonts w:ascii="Arial" w:hAnsi="Arial" w:cs="Arial"/>
                <w:sz w:val="16"/>
                <w:szCs w:val="16"/>
              </w:rPr>
            </w:pPr>
            <w:r w:rsidRPr="00DC4C78">
              <w:rPr>
                <w:rFonts w:ascii="Arial" w:hAnsi="Arial" w:cs="Arial"/>
                <w:sz w:val="16"/>
                <w:szCs w:val="16"/>
              </w:rPr>
              <w:t>96%</w:t>
            </w:r>
          </w:p>
        </w:tc>
        <w:tc>
          <w:tcPr>
            <w:tcW w:w="692" w:type="dxa"/>
            <w:tcBorders>
              <w:top w:val="nil"/>
              <w:left w:val="single" w:sz="4" w:space="0" w:color="BFBFBF" w:themeColor="background1" w:themeShade="BF"/>
              <w:right w:val="single" w:sz="4" w:space="0" w:color="BFBFBF" w:themeColor="background1" w:themeShade="BF"/>
            </w:tcBorders>
            <w:vAlign w:val="center"/>
          </w:tcPr>
          <w:p w:rsidR="00C30B65" w:rsidRPr="00DC4C78" w:rsidRDefault="00C30B65" w:rsidP="00C30B65">
            <w:pPr>
              <w:jc w:val="center"/>
              <w:rPr>
                <w:rFonts w:ascii="Arial" w:hAnsi="Arial" w:cs="Arial"/>
                <w:sz w:val="16"/>
                <w:szCs w:val="16"/>
              </w:rPr>
            </w:pPr>
            <w:r w:rsidRPr="00DC4C78">
              <w:rPr>
                <w:rFonts w:ascii="Arial" w:hAnsi="Arial" w:cs="Arial"/>
                <w:sz w:val="16"/>
                <w:szCs w:val="16"/>
              </w:rPr>
              <w:t>94%</w:t>
            </w:r>
          </w:p>
        </w:tc>
        <w:tc>
          <w:tcPr>
            <w:tcW w:w="692" w:type="dxa"/>
            <w:tcBorders>
              <w:top w:val="nil"/>
              <w:left w:val="single" w:sz="4" w:space="0" w:color="BFBFBF" w:themeColor="background1" w:themeShade="BF"/>
              <w:right w:val="single" w:sz="4" w:space="0" w:color="BFBFBF" w:themeColor="background1" w:themeShade="BF"/>
            </w:tcBorders>
            <w:vAlign w:val="center"/>
          </w:tcPr>
          <w:p w:rsidR="00C30B65" w:rsidRPr="00DC4C78" w:rsidRDefault="00C30B65" w:rsidP="00C30B65">
            <w:pPr>
              <w:jc w:val="center"/>
              <w:rPr>
                <w:rFonts w:ascii="Arial" w:hAnsi="Arial" w:cs="Arial"/>
                <w:sz w:val="16"/>
                <w:szCs w:val="16"/>
              </w:rPr>
            </w:pPr>
            <w:r w:rsidRPr="00DC4C78">
              <w:rPr>
                <w:rFonts w:ascii="Arial" w:hAnsi="Arial" w:cs="Arial"/>
                <w:sz w:val="16"/>
                <w:szCs w:val="16"/>
              </w:rPr>
              <w:t>94%</w:t>
            </w:r>
          </w:p>
        </w:tc>
        <w:tc>
          <w:tcPr>
            <w:tcW w:w="692" w:type="dxa"/>
            <w:tcBorders>
              <w:top w:val="nil"/>
              <w:left w:val="single" w:sz="4" w:space="0" w:color="BFBFBF" w:themeColor="background1" w:themeShade="BF"/>
              <w:right w:val="single" w:sz="4" w:space="0" w:color="auto"/>
            </w:tcBorders>
            <w:vAlign w:val="center"/>
          </w:tcPr>
          <w:p w:rsidR="00C30B65" w:rsidRPr="00DC4C78" w:rsidRDefault="00C30B65" w:rsidP="00C30B65">
            <w:pPr>
              <w:jc w:val="center"/>
              <w:rPr>
                <w:rFonts w:ascii="Arial" w:hAnsi="Arial" w:cs="Arial"/>
                <w:sz w:val="16"/>
                <w:szCs w:val="16"/>
              </w:rPr>
            </w:pPr>
            <w:r w:rsidRPr="00DC4C78">
              <w:rPr>
                <w:rFonts w:ascii="Arial" w:hAnsi="Arial" w:cs="Arial"/>
                <w:sz w:val="16"/>
                <w:szCs w:val="16"/>
              </w:rPr>
              <w:t>95%</w:t>
            </w:r>
          </w:p>
        </w:tc>
      </w:tr>
      <w:tr w:rsidR="00C30B65" w:rsidRPr="00DC4C78" w:rsidTr="00C30B65">
        <w:trPr>
          <w:cantSplit/>
        </w:trPr>
        <w:tc>
          <w:tcPr>
            <w:tcW w:w="3821" w:type="dxa"/>
            <w:tcBorders>
              <w:top w:val="nil"/>
              <w:right w:val="single" w:sz="8" w:space="0" w:color="000000" w:themeColor="text1"/>
            </w:tcBorders>
            <w:shd w:val="clear" w:color="auto" w:fill="F2F2F2"/>
          </w:tcPr>
          <w:p w:rsidR="00C30B65" w:rsidRPr="00DC4C78" w:rsidRDefault="00C30B65" w:rsidP="00C30B65">
            <w:pPr>
              <w:pStyle w:val="TableText"/>
              <w:spacing w:before="40" w:after="40"/>
              <w:ind w:left="284" w:hanging="284"/>
              <w:rPr>
                <w:rFonts w:cs="Arial"/>
                <w:color w:val="000000"/>
                <w:sz w:val="16"/>
                <w:szCs w:val="16"/>
                <w:lang w:eastAsia="en-NZ"/>
              </w:rPr>
            </w:pPr>
            <w:r w:rsidRPr="00DC4C78">
              <w:rPr>
                <w:rFonts w:cs="Arial"/>
                <w:color w:val="000000"/>
                <w:sz w:val="16"/>
                <w:szCs w:val="16"/>
                <w:lang w:eastAsia="en-NZ"/>
              </w:rPr>
              <w:t>19.</w:t>
            </w:r>
            <w:r w:rsidRPr="00DC4C78">
              <w:rPr>
                <w:rFonts w:cs="Arial"/>
                <w:color w:val="000000"/>
                <w:sz w:val="16"/>
                <w:szCs w:val="16"/>
                <w:lang w:eastAsia="en-NZ"/>
              </w:rPr>
              <w:tab/>
              <w:t xml:space="preserve">Mothers are </w:t>
            </w:r>
            <w:proofErr w:type="spellStart"/>
            <w:r w:rsidRPr="00DC4C78">
              <w:rPr>
                <w:rFonts w:cs="Arial"/>
                <w:color w:val="000000"/>
                <w:sz w:val="16"/>
                <w:szCs w:val="16"/>
                <w:lang w:eastAsia="en-NZ"/>
              </w:rPr>
              <w:t>smokefree</w:t>
            </w:r>
            <w:proofErr w:type="spellEnd"/>
            <w:r w:rsidRPr="00DC4C78">
              <w:rPr>
                <w:rFonts w:cs="Arial"/>
                <w:color w:val="000000"/>
                <w:sz w:val="16"/>
                <w:szCs w:val="16"/>
                <w:lang w:eastAsia="en-NZ"/>
              </w:rPr>
              <w:t xml:space="preserve"> at two weeks postnatal</w:t>
            </w:r>
          </w:p>
        </w:tc>
        <w:tc>
          <w:tcPr>
            <w:tcW w:w="691" w:type="dxa"/>
            <w:tcBorders>
              <w:top w:val="nil"/>
              <w:left w:val="single" w:sz="8" w:space="0" w:color="000000" w:themeColor="text1"/>
            </w:tcBorders>
            <w:shd w:val="clear" w:color="auto" w:fill="F2F2F2"/>
            <w:noWrap/>
            <w:vAlign w:val="center"/>
          </w:tcPr>
          <w:p w:rsidR="00C30B65" w:rsidRPr="00DC4C78" w:rsidRDefault="00C30B65" w:rsidP="00C30B65">
            <w:pPr>
              <w:pStyle w:val="TableText"/>
              <w:jc w:val="center"/>
              <w:rPr>
                <w:sz w:val="16"/>
              </w:rPr>
            </w:pPr>
            <w:r w:rsidRPr="00DC4C78">
              <w:rPr>
                <w:sz w:val="16"/>
              </w:rPr>
              <w:t>87%</w:t>
            </w:r>
          </w:p>
        </w:tc>
        <w:tc>
          <w:tcPr>
            <w:tcW w:w="692" w:type="dxa"/>
            <w:tcBorders>
              <w:top w:val="nil"/>
              <w:left w:val="single" w:sz="4" w:space="0" w:color="A6A6A6"/>
            </w:tcBorders>
            <w:shd w:val="clear" w:color="auto" w:fill="F2F2F2"/>
            <w:noWrap/>
            <w:vAlign w:val="center"/>
          </w:tcPr>
          <w:p w:rsidR="00C30B65" w:rsidRPr="00DC4C78" w:rsidRDefault="00C30B65" w:rsidP="00C30B65">
            <w:pPr>
              <w:pStyle w:val="TableText"/>
              <w:jc w:val="center"/>
              <w:rPr>
                <w:sz w:val="16"/>
              </w:rPr>
            </w:pPr>
            <w:r w:rsidRPr="00DC4C78">
              <w:rPr>
                <w:sz w:val="16"/>
              </w:rPr>
              <w:t>76%</w:t>
            </w:r>
          </w:p>
        </w:tc>
        <w:tc>
          <w:tcPr>
            <w:tcW w:w="692" w:type="dxa"/>
            <w:tcBorders>
              <w:top w:val="nil"/>
              <w:left w:val="single" w:sz="4" w:space="0" w:color="A6A6A6"/>
            </w:tcBorders>
            <w:shd w:val="clear" w:color="auto" w:fill="F2F2F2"/>
            <w:noWrap/>
            <w:vAlign w:val="center"/>
          </w:tcPr>
          <w:p w:rsidR="00C30B65" w:rsidRPr="00DC4C78" w:rsidRDefault="00C30B65" w:rsidP="00C30B65">
            <w:pPr>
              <w:pStyle w:val="TableText"/>
              <w:jc w:val="center"/>
              <w:rPr>
                <w:sz w:val="16"/>
              </w:rPr>
            </w:pPr>
            <w:r w:rsidRPr="00DC4C78">
              <w:rPr>
                <w:sz w:val="16"/>
              </w:rPr>
              <w:t>65%</w:t>
            </w:r>
          </w:p>
        </w:tc>
        <w:tc>
          <w:tcPr>
            <w:tcW w:w="692" w:type="dxa"/>
            <w:tcBorders>
              <w:top w:val="nil"/>
              <w:left w:val="single" w:sz="4" w:space="0" w:color="A6A6A6"/>
              <w:right w:val="single" w:sz="8" w:space="0" w:color="000000" w:themeColor="text1"/>
            </w:tcBorders>
            <w:shd w:val="clear" w:color="auto" w:fill="F2F2F2"/>
            <w:noWrap/>
            <w:vAlign w:val="center"/>
          </w:tcPr>
          <w:p w:rsidR="00C30B65" w:rsidRPr="00DC4C78" w:rsidRDefault="00C30B65" w:rsidP="00C30B65">
            <w:pPr>
              <w:pStyle w:val="TableText"/>
              <w:jc w:val="center"/>
              <w:rPr>
                <w:sz w:val="16"/>
              </w:rPr>
            </w:pPr>
            <w:r w:rsidRPr="00DC4C78">
              <w:rPr>
                <w:sz w:val="16"/>
              </w:rPr>
              <w:t>91%</w:t>
            </w:r>
          </w:p>
        </w:tc>
        <w:tc>
          <w:tcPr>
            <w:tcW w:w="692" w:type="dxa"/>
            <w:tcBorders>
              <w:top w:val="nil"/>
              <w:left w:val="single" w:sz="8" w:space="0" w:color="000000" w:themeColor="text1"/>
              <w:right w:val="single" w:sz="4" w:space="0" w:color="BFBFBF" w:themeColor="background1" w:themeShade="BF"/>
            </w:tcBorders>
            <w:shd w:val="clear" w:color="auto" w:fill="F2F2F2"/>
            <w:vAlign w:val="center"/>
          </w:tcPr>
          <w:p w:rsidR="00C30B65" w:rsidRPr="00DC4C78" w:rsidRDefault="00C30B65" w:rsidP="00C30B65">
            <w:pPr>
              <w:jc w:val="center"/>
              <w:rPr>
                <w:rFonts w:ascii="Arial" w:hAnsi="Arial" w:cs="Arial"/>
                <w:sz w:val="16"/>
                <w:szCs w:val="16"/>
              </w:rPr>
            </w:pPr>
            <w:r w:rsidRPr="00DC4C78">
              <w:rPr>
                <w:rFonts w:ascii="Arial" w:hAnsi="Arial" w:cs="Arial"/>
                <w:sz w:val="16"/>
                <w:szCs w:val="16"/>
              </w:rPr>
              <w:t>87%</w:t>
            </w:r>
          </w:p>
        </w:tc>
        <w:tc>
          <w:tcPr>
            <w:tcW w:w="692" w:type="dxa"/>
            <w:tcBorders>
              <w:top w:val="nil"/>
              <w:left w:val="single" w:sz="4" w:space="0" w:color="BFBFBF" w:themeColor="background1" w:themeShade="BF"/>
              <w:right w:val="single" w:sz="4" w:space="0" w:color="BFBFBF" w:themeColor="background1" w:themeShade="BF"/>
            </w:tcBorders>
            <w:shd w:val="clear" w:color="auto" w:fill="F2F2F2"/>
            <w:vAlign w:val="center"/>
          </w:tcPr>
          <w:p w:rsidR="00C30B65" w:rsidRPr="00DC4C78" w:rsidRDefault="00C30B65" w:rsidP="00C30B65">
            <w:pPr>
              <w:jc w:val="center"/>
              <w:rPr>
                <w:rFonts w:ascii="Arial" w:hAnsi="Arial" w:cs="Arial"/>
                <w:sz w:val="16"/>
                <w:szCs w:val="16"/>
              </w:rPr>
            </w:pPr>
            <w:r w:rsidRPr="00DC4C78">
              <w:rPr>
                <w:rFonts w:ascii="Arial" w:hAnsi="Arial" w:cs="Arial"/>
                <w:sz w:val="16"/>
                <w:szCs w:val="16"/>
              </w:rPr>
              <w:t>78%</w:t>
            </w:r>
          </w:p>
        </w:tc>
        <w:tc>
          <w:tcPr>
            <w:tcW w:w="692" w:type="dxa"/>
            <w:tcBorders>
              <w:top w:val="nil"/>
              <w:left w:val="single" w:sz="4" w:space="0" w:color="BFBFBF" w:themeColor="background1" w:themeShade="BF"/>
              <w:right w:val="single" w:sz="4" w:space="0" w:color="BFBFBF" w:themeColor="background1" w:themeShade="BF"/>
            </w:tcBorders>
            <w:shd w:val="clear" w:color="auto" w:fill="F2F2F2"/>
            <w:vAlign w:val="center"/>
          </w:tcPr>
          <w:p w:rsidR="00C30B65" w:rsidRPr="00DC4C78" w:rsidRDefault="00C30B65" w:rsidP="00C30B65">
            <w:pPr>
              <w:jc w:val="center"/>
              <w:rPr>
                <w:rFonts w:ascii="Arial" w:hAnsi="Arial" w:cs="Arial"/>
                <w:sz w:val="16"/>
                <w:szCs w:val="16"/>
              </w:rPr>
            </w:pPr>
            <w:r w:rsidRPr="00DC4C78">
              <w:rPr>
                <w:rFonts w:ascii="Arial" w:hAnsi="Arial" w:cs="Arial"/>
                <w:sz w:val="16"/>
                <w:szCs w:val="16"/>
              </w:rPr>
              <w:t>66%</w:t>
            </w:r>
          </w:p>
        </w:tc>
        <w:tc>
          <w:tcPr>
            <w:tcW w:w="692" w:type="dxa"/>
            <w:tcBorders>
              <w:top w:val="nil"/>
              <w:left w:val="single" w:sz="4" w:space="0" w:color="BFBFBF" w:themeColor="background1" w:themeShade="BF"/>
              <w:right w:val="single" w:sz="4" w:space="0" w:color="auto"/>
            </w:tcBorders>
            <w:shd w:val="clear" w:color="auto" w:fill="F2F2F2"/>
            <w:vAlign w:val="center"/>
          </w:tcPr>
          <w:p w:rsidR="00C30B65" w:rsidRPr="00DC4C78" w:rsidRDefault="00C30B65" w:rsidP="00C30B65">
            <w:pPr>
              <w:jc w:val="center"/>
              <w:rPr>
                <w:rFonts w:ascii="Arial" w:hAnsi="Arial" w:cs="Arial"/>
                <w:sz w:val="16"/>
                <w:szCs w:val="16"/>
              </w:rPr>
            </w:pPr>
            <w:r w:rsidRPr="00DC4C78">
              <w:rPr>
                <w:rFonts w:ascii="Arial" w:hAnsi="Arial" w:cs="Arial"/>
                <w:sz w:val="16"/>
                <w:szCs w:val="16"/>
              </w:rPr>
              <w:t>92%</w:t>
            </w:r>
          </w:p>
        </w:tc>
      </w:tr>
      <w:tr w:rsidR="00C30B65" w:rsidRPr="00DC4C78" w:rsidTr="00C30B65">
        <w:trPr>
          <w:cantSplit/>
        </w:trPr>
        <w:tc>
          <w:tcPr>
            <w:tcW w:w="3821" w:type="dxa"/>
            <w:tcBorders>
              <w:top w:val="nil"/>
              <w:right w:val="single" w:sz="8" w:space="0" w:color="000000" w:themeColor="text1"/>
            </w:tcBorders>
            <w:shd w:val="clear" w:color="auto" w:fill="auto"/>
          </w:tcPr>
          <w:p w:rsidR="00C30B65" w:rsidRPr="00DC4C78" w:rsidRDefault="00C30B65" w:rsidP="00C30B65">
            <w:pPr>
              <w:pStyle w:val="TableText"/>
              <w:spacing w:before="40" w:after="40"/>
              <w:ind w:left="284" w:hanging="284"/>
              <w:rPr>
                <w:rFonts w:cs="Arial"/>
                <w:color w:val="000000"/>
                <w:sz w:val="16"/>
                <w:szCs w:val="16"/>
                <w:lang w:eastAsia="en-NZ"/>
              </w:rPr>
            </w:pPr>
            <w:r w:rsidRPr="00DC4C78">
              <w:rPr>
                <w:rFonts w:cs="Arial"/>
                <w:color w:val="000000"/>
                <w:sz w:val="16"/>
                <w:szCs w:val="16"/>
                <w:lang w:eastAsia="en-NZ"/>
              </w:rPr>
              <w:t>20.</w:t>
            </w:r>
            <w:r w:rsidRPr="00DC4C78">
              <w:rPr>
                <w:rFonts w:cs="Arial"/>
                <w:color w:val="000000"/>
                <w:sz w:val="16"/>
                <w:szCs w:val="16"/>
                <w:lang w:eastAsia="en-NZ"/>
              </w:rPr>
              <w:tab/>
              <w:t xml:space="preserve">Children live in </w:t>
            </w:r>
            <w:r>
              <w:rPr>
                <w:rFonts w:cs="Arial"/>
                <w:color w:val="000000"/>
                <w:sz w:val="16"/>
                <w:szCs w:val="16"/>
                <w:lang w:eastAsia="en-NZ"/>
              </w:rPr>
              <w:t xml:space="preserve">a </w:t>
            </w:r>
            <w:proofErr w:type="spellStart"/>
            <w:r w:rsidRPr="00DC4C78">
              <w:rPr>
                <w:rFonts w:cs="Arial"/>
                <w:color w:val="000000"/>
                <w:sz w:val="16"/>
                <w:szCs w:val="16"/>
                <w:lang w:eastAsia="en-NZ"/>
              </w:rPr>
              <w:t>smokefree</w:t>
            </w:r>
            <w:proofErr w:type="spellEnd"/>
            <w:r w:rsidRPr="00DC4C78">
              <w:rPr>
                <w:rFonts w:cs="Arial"/>
                <w:color w:val="000000"/>
                <w:sz w:val="16"/>
                <w:szCs w:val="16"/>
                <w:lang w:eastAsia="en-NZ"/>
              </w:rPr>
              <w:t xml:space="preserve"> home</w:t>
            </w:r>
            <w:r w:rsidRPr="00DC4C78">
              <w:rPr>
                <w:rFonts w:cs="Arial"/>
                <w:color w:val="000000"/>
                <w:sz w:val="16"/>
                <w:szCs w:val="16"/>
                <w:lang w:eastAsia="en-NZ"/>
              </w:rPr>
              <w:br/>
              <w:t>(age four years)</w:t>
            </w:r>
          </w:p>
        </w:tc>
        <w:tc>
          <w:tcPr>
            <w:tcW w:w="691" w:type="dxa"/>
            <w:tcBorders>
              <w:top w:val="nil"/>
              <w:left w:val="single" w:sz="8" w:space="0" w:color="000000" w:themeColor="text1"/>
            </w:tcBorders>
            <w:noWrap/>
            <w:vAlign w:val="center"/>
          </w:tcPr>
          <w:p w:rsidR="00C30B65" w:rsidRPr="00DC4C78" w:rsidRDefault="00C30B65" w:rsidP="00C30B65">
            <w:pPr>
              <w:pStyle w:val="TableText"/>
              <w:jc w:val="center"/>
              <w:rPr>
                <w:sz w:val="16"/>
              </w:rPr>
            </w:pPr>
            <w:r w:rsidRPr="00DC4C78">
              <w:rPr>
                <w:sz w:val="16"/>
              </w:rPr>
              <w:t>98%</w:t>
            </w:r>
          </w:p>
        </w:tc>
        <w:tc>
          <w:tcPr>
            <w:tcW w:w="692" w:type="dxa"/>
            <w:tcBorders>
              <w:top w:val="nil"/>
              <w:left w:val="single" w:sz="4" w:space="0" w:color="A6A6A6"/>
            </w:tcBorders>
            <w:noWrap/>
            <w:vAlign w:val="center"/>
          </w:tcPr>
          <w:p w:rsidR="00C30B65" w:rsidRPr="00DC4C78" w:rsidRDefault="00C30B65" w:rsidP="00C30B65">
            <w:pPr>
              <w:pStyle w:val="TableText"/>
              <w:jc w:val="center"/>
              <w:rPr>
                <w:sz w:val="16"/>
              </w:rPr>
            </w:pPr>
            <w:r w:rsidRPr="00DC4C78">
              <w:rPr>
                <w:sz w:val="16"/>
              </w:rPr>
              <w:t>97%</w:t>
            </w:r>
          </w:p>
        </w:tc>
        <w:tc>
          <w:tcPr>
            <w:tcW w:w="692" w:type="dxa"/>
            <w:tcBorders>
              <w:top w:val="nil"/>
              <w:left w:val="single" w:sz="4" w:space="0" w:color="A6A6A6"/>
            </w:tcBorders>
            <w:noWrap/>
            <w:vAlign w:val="center"/>
          </w:tcPr>
          <w:p w:rsidR="00C30B65" w:rsidRPr="00DC4C78" w:rsidRDefault="00C30B65" w:rsidP="00C30B65">
            <w:pPr>
              <w:pStyle w:val="TableText"/>
              <w:jc w:val="center"/>
              <w:rPr>
                <w:sz w:val="16"/>
              </w:rPr>
            </w:pPr>
            <w:r w:rsidRPr="00DC4C78">
              <w:rPr>
                <w:sz w:val="16"/>
              </w:rPr>
              <w:t>97%</w:t>
            </w:r>
          </w:p>
        </w:tc>
        <w:tc>
          <w:tcPr>
            <w:tcW w:w="692" w:type="dxa"/>
            <w:tcBorders>
              <w:top w:val="nil"/>
              <w:left w:val="single" w:sz="4" w:space="0" w:color="A6A6A6"/>
              <w:right w:val="single" w:sz="8" w:space="0" w:color="000000" w:themeColor="text1"/>
            </w:tcBorders>
            <w:noWrap/>
            <w:vAlign w:val="center"/>
          </w:tcPr>
          <w:p w:rsidR="00C30B65" w:rsidRPr="00DC4C78" w:rsidRDefault="00C30B65" w:rsidP="00C30B65">
            <w:pPr>
              <w:pStyle w:val="TableText"/>
              <w:jc w:val="center"/>
              <w:rPr>
                <w:sz w:val="16"/>
              </w:rPr>
            </w:pPr>
            <w:r w:rsidRPr="00DC4C78">
              <w:rPr>
                <w:sz w:val="16"/>
              </w:rPr>
              <w:t>97%</w:t>
            </w:r>
          </w:p>
        </w:tc>
        <w:tc>
          <w:tcPr>
            <w:tcW w:w="692" w:type="dxa"/>
            <w:tcBorders>
              <w:top w:val="nil"/>
              <w:left w:val="single" w:sz="8" w:space="0" w:color="000000" w:themeColor="text1"/>
              <w:right w:val="single" w:sz="4" w:space="0" w:color="BFBFBF" w:themeColor="background1" w:themeShade="BF"/>
            </w:tcBorders>
            <w:vAlign w:val="center"/>
          </w:tcPr>
          <w:p w:rsidR="00C30B65" w:rsidRPr="00DC4C78" w:rsidRDefault="00C30B65" w:rsidP="00C30B65">
            <w:pPr>
              <w:jc w:val="center"/>
              <w:rPr>
                <w:rFonts w:ascii="Arial" w:hAnsi="Arial" w:cs="Arial"/>
                <w:sz w:val="16"/>
                <w:szCs w:val="16"/>
              </w:rPr>
            </w:pPr>
            <w:r w:rsidRPr="00DC4C78">
              <w:rPr>
                <w:rFonts w:ascii="Arial" w:hAnsi="Arial" w:cs="Arial"/>
                <w:sz w:val="16"/>
                <w:szCs w:val="16"/>
              </w:rPr>
              <w:t>98%</w:t>
            </w:r>
          </w:p>
        </w:tc>
        <w:tc>
          <w:tcPr>
            <w:tcW w:w="692" w:type="dxa"/>
            <w:tcBorders>
              <w:top w:val="nil"/>
              <w:left w:val="single" w:sz="4" w:space="0" w:color="BFBFBF" w:themeColor="background1" w:themeShade="BF"/>
              <w:right w:val="single" w:sz="4" w:space="0" w:color="BFBFBF" w:themeColor="background1" w:themeShade="BF"/>
            </w:tcBorders>
            <w:vAlign w:val="center"/>
          </w:tcPr>
          <w:p w:rsidR="00C30B65" w:rsidRPr="00DC4C78" w:rsidRDefault="00C30B65" w:rsidP="00C30B65">
            <w:pPr>
              <w:jc w:val="center"/>
              <w:rPr>
                <w:rFonts w:ascii="Arial" w:hAnsi="Arial" w:cs="Arial"/>
                <w:sz w:val="16"/>
                <w:szCs w:val="16"/>
              </w:rPr>
            </w:pPr>
            <w:r w:rsidRPr="00DC4C78">
              <w:rPr>
                <w:rFonts w:ascii="Arial" w:hAnsi="Arial" w:cs="Arial"/>
                <w:sz w:val="16"/>
                <w:szCs w:val="16"/>
              </w:rPr>
              <w:t>97%</w:t>
            </w:r>
          </w:p>
        </w:tc>
        <w:tc>
          <w:tcPr>
            <w:tcW w:w="692" w:type="dxa"/>
            <w:tcBorders>
              <w:top w:val="nil"/>
              <w:left w:val="single" w:sz="4" w:space="0" w:color="BFBFBF" w:themeColor="background1" w:themeShade="BF"/>
              <w:right w:val="single" w:sz="4" w:space="0" w:color="BFBFBF" w:themeColor="background1" w:themeShade="BF"/>
            </w:tcBorders>
            <w:vAlign w:val="center"/>
          </w:tcPr>
          <w:p w:rsidR="00C30B65" w:rsidRPr="00DC4C78" w:rsidRDefault="00C30B65" w:rsidP="00C30B65">
            <w:pPr>
              <w:jc w:val="center"/>
              <w:rPr>
                <w:rFonts w:ascii="Arial" w:hAnsi="Arial" w:cs="Arial"/>
                <w:sz w:val="16"/>
                <w:szCs w:val="16"/>
              </w:rPr>
            </w:pPr>
            <w:r w:rsidRPr="00DC4C78">
              <w:rPr>
                <w:rFonts w:ascii="Arial" w:hAnsi="Arial" w:cs="Arial"/>
                <w:sz w:val="16"/>
                <w:szCs w:val="16"/>
              </w:rPr>
              <w:t>97%</w:t>
            </w:r>
          </w:p>
        </w:tc>
        <w:tc>
          <w:tcPr>
            <w:tcW w:w="692" w:type="dxa"/>
            <w:tcBorders>
              <w:top w:val="nil"/>
              <w:left w:val="single" w:sz="4" w:space="0" w:color="BFBFBF" w:themeColor="background1" w:themeShade="BF"/>
              <w:right w:val="single" w:sz="4" w:space="0" w:color="auto"/>
            </w:tcBorders>
            <w:vAlign w:val="center"/>
          </w:tcPr>
          <w:p w:rsidR="00C30B65" w:rsidRPr="00DC4C78" w:rsidRDefault="00C30B65" w:rsidP="00C30B65">
            <w:pPr>
              <w:jc w:val="center"/>
              <w:rPr>
                <w:rFonts w:ascii="Arial" w:hAnsi="Arial" w:cs="Arial"/>
                <w:sz w:val="16"/>
                <w:szCs w:val="16"/>
              </w:rPr>
            </w:pPr>
            <w:r w:rsidRPr="00DC4C78">
              <w:rPr>
                <w:rFonts w:ascii="Arial" w:hAnsi="Arial" w:cs="Arial"/>
                <w:sz w:val="16"/>
                <w:szCs w:val="16"/>
              </w:rPr>
              <w:t>97%</w:t>
            </w:r>
          </w:p>
        </w:tc>
      </w:tr>
      <w:tr w:rsidR="00C30B65" w:rsidRPr="00DC4C78" w:rsidTr="00C30B65">
        <w:trPr>
          <w:cantSplit/>
        </w:trPr>
        <w:tc>
          <w:tcPr>
            <w:tcW w:w="3821" w:type="dxa"/>
            <w:tcBorders>
              <w:top w:val="nil"/>
              <w:right w:val="single" w:sz="8" w:space="0" w:color="000000" w:themeColor="text1"/>
            </w:tcBorders>
            <w:shd w:val="clear" w:color="auto" w:fill="F2F2F2"/>
          </w:tcPr>
          <w:p w:rsidR="00C30B65" w:rsidRPr="00DC4C78" w:rsidRDefault="00C30B65" w:rsidP="00C30B65">
            <w:pPr>
              <w:pStyle w:val="TableText"/>
              <w:spacing w:before="40" w:after="40"/>
              <w:ind w:left="284" w:hanging="284"/>
              <w:rPr>
                <w:rFonts w:cs="Arial"/>
                <w:color w:val="000000"/>
                <w:spacing w:val="-2"/>
                <w:sz w:val="16"/>
                <w:szCs w:val="16"/>
                <w:lang w:eastAsia="en-NZ"/>
              </w:rPr>
            </w:pPr>
            <w:r w:rsidRPr="00DC4C78">
              <w:rPr>
                <w:rFonts w:cs="Arial"/>
                <w:color w:val="000000"/>
                <w:spacing w:val="-2"/>
                <w:sz w:val="16"/>
                <w:szCs w:val="16"/>
                <w:lang w:eastAsia="en-NZ"/>
              </w:rPr>
              <w:t>21.</w:t>
            </w:r>
            <w:r w:rsidRPr="00DC4C78">
              <w:rPr>
                <w:rFonts w:cs="Arial"/>
                <w:color w:val="000000"/>
                <w:spacing w:val="-2"/>
                <w:sz w:val="16"/>
                <w:szCs w:val="16"/>
                <w:lang w:eastAsia="en-NZ"/>
              </w:rPr>
              <w:tab/>
              <w:t>B4SCs are started before children are 4½ years</w:t>
            </w:r>
          </w:p>
        </w:tc>
        <w:tc>
          <w:tcPr>
            <w:tcW w:w="691" w:type="dxa"/>
            <w:tcBorders>
              <w:top w:val="nil"/>
              <w:left w:val="single" w:sz="8" w:space="0" w:color="000000" w:themeColor="text1"/>
            </w:tcBorders>
            <w:shd w:val="clear" w:color="auto" w:fill="F2F2F2"/>
            <w:noWrap/>
            <w:vAlign w:val="center"/>
          </w:tcPr>
          <w:p w:rsidR="00C30B65" w:rsidRPr="00DC4C78" w:rsidRDefault="00C30B65" w:rsidP="00C30B65">
            <w:pPr>
              <w:pStyle w:val="TableText"/>
              <w:jc w:val="center"/>
              <w:rPr>
                <w:sz w:val="16"/>
              </w:rPr>
            </w:pPr>
            <w:r w:rsidRPr="00DC4C78">
              <w:rPr>
                <w:sz w:val="16"/>
              </w:rPr>
              <w:t>85%</w:t>
            </w:r>
          </w:p>
        </w:tc>
        <w:tc>
          <w:tcPr>
            <w:tcW w:w="692" w:type="dxa"/>
            <w:tcBorders>
              <w:top w:val="nil"/>
              <w:left w:val="single" w:sz="4" w:space="0" w:color="A6A6A6"/>
            </w:tcBorders>
            <w:shd w:val="clear" w:color="auto" w:fill="F2F2F2"/>
            <w:noWrap/>
            <w:vAlign w:val="center"/>
          </w:tcPr>
          <w:p w:rsidR="00C30B65" w:rsidRPr="00DC4C78" w:rsidRDefault="00C30B65" w:rsidP="00C30B65">
            <w:pPr>
              <w:pStyle w:val="TableText"/>
              <w:jc w:val="center"/>
              <w:rPr>
                <w:sz w:val="16"/>
              </w:rPr>
            </w:pPr>
            <w:r w:rsidRPr="00DC4C78">
              <w:rPr>
                <w:sz w:val="16"/>
              </w:rPr>
              <w:t>82%</w:t>
            </w:r>
          </w:p>
        </w:tc>
        <w:tc>
          <w:tcPr>
            <w:tcW w:w="692" w:type="dxa"/>
            <w:tcBorders>
              <w:top w:val="nil"/>
              <w:left w:val="single" w:sz="4" w:space="0" w:color="A6A6A6"/>
            </w:tcBorders>
            <w:shd w:val="clear" w:color="auto" w:fill="F2F2F2"/>
            <w:noWrap/>
            <w:vAlign w:val="center"/>
          </w:tcPr>
          <w:p w:rsidR="00C30B65" w:rsidRPr="00DC4C78" w:rsidRDefault="00C30B65" w:rsidP="00C30B65">
            <w:pPr>
              <w:pStyle w:val="TableText"/>
              <w:jc w:val="center"/>
              <w:rPr>
                <w:sz w:val="16"/>
              </w:rPr>
            </w:pPr>
            <w:r w:rsidRPr="00DC4C78">
              <w:rPr>
                <w:sz w:val="16"/>
              </w:rPr>
              <w:t>80%</w:t>
            </w:r>
          </w:p>
        </w:tc>
        <w:tc>
          <w:tcPr>
            <w:tcW w:w="692" w:type="dxa"/>
            <w:tcBorders>
              <w:top w:val="nil"/>
              <w:left w:val="single" w:sz="4" w:space="0" w:color="A6A6A6"/>
              <w:right w:val="single" w:sz="8" w:space="0" w:color="000000" w:themeColor="text1"/>
            </w:tcBorders>
            <w:shd w:val="clear" w:color="auto" w:fill="F2F2F2"/>
            <w:noWrap/>
            <w:vAlign w:val="center"/>
          </w:tcPr>
          <w:p w:rsidR="00C30B65" w:rsidRPr="00DC4C78" w:rsidRDefault="00C30B65" w:rsidP="00C30B65">
            <w:pPr>
              <w:pStyle w:val="TableText"/>
              <w:jc w:val="center"/>
              <w:rPr>
                <w:sz w:val="16"/>
              </w:rPr>
            </w:pPr>
            <w:r w:rsidRPr="00DC4C78">
              <w:rPr>
                <w:sz w:val="16"/>
              </w:rPr>
              <w:t>82%</w:t>
            </w:r>
          </w:p>
        </w:tc>
        <w:tc>
          <w:tcPr>
            <w:tcW w:w="692" w:type="dxa"/>
            <w:tcBorders>
              <w:top w:val="nil"/>
              <w:left w:val="single" w:sz="8" w:space="0" w:color="000000" w:themeColor="text1"/>
              <w:right w:val="single" w:sz="4" w:space="0" w:color="BFBFBF" w:themeColor="background1" w:themeShade="BF"/>
            </w:tcBorders>
            <w:shd w:val="clear" w:color="auto" w:fill="F2F2F2"/>
            <w:vAlign w:val="center"/>
          </w:tcPr>
          <w:p w:rsidR="00C30B65" w:rsidRPr="00DC4C78" w:rsidRDefault="00C30B65" w:rsidP="00C30B65">
            <w:pPr>
              <w:jc w:val="center"/>
              <w:rPr>
                <w:rFonts w:ascii="Arial" w:hAnsi="Arial" w:cs="Arial"/>
                <w:sz w:val="16"/>
                <w:szCs w:val="16"/>
              </w:rPr>
            </w:pPr>
            <w:r w:rsidRPr="00DC4C78">
              <w:rPr>
                <w:rFonts w:ascii="Arial" w:hAnsi="Arial" w:cs="Arial"/>
                <w:sz w:val="16"/>
                <w:szCs w:val="16"/>
              </w:rPr>
              <w:t>85%</w:t>
            </w:r>
          </w:p>
        </w:tc>
        <w:tc>
          <w:tcPr>
            <w:tcW w:w="692" w:type="dxa"/>
            <w:tcBorders>
              <w:top w:val="nil"/>
              <w:left w:val="single" w:sz="4" w:space="0" w:color="BFBFBF" w:themeColor="background1" w:themeShade="BF"/>
              <w:right w:val="single" w:sz="4" w:space="0" w:color="BFBFBF" w:themeColor="background1" w:themeShade="BF"/>
            </w:tcBorders>
            <w:shd w:val="clear" w:color="auto" w:fill="F2F2F2"/>
            <w:vAlign w:val="center"/>
          </w:tcPr>
          <w:p w:rsidR="00C30B65" w:rsidRPr="00DC4C78" w:rsidRDefault="00C30B65" w:rsidP="00C30B65">
            <w:pPr>
              <w:jc w:val="center"/>
              <w:rPr>
                <w:rFonts w:ascii="Arial" w:hAnsi="Arial" w:cs="Arial"/>
                <w:sz w:val="16"/>
                <w:szCs w:val="16"/>
              </w:rPr>
            </w:pPr>
            <w:r w:rsidRPr="00DC4C78">
              <w:rPr>
                <w:rFonts w:ascii="Arial" w:hAnsi="Arial" w:cs="Arial"/>
                <w:sz w:val="16"/>
                <w:szCs w:val="16"/>
              </w:rPr>
              <w:t>84%</w:t>
            </w:r>
          </w:p>
        </w:tc>
        <w:tc>
          <w:tcPr>
            <w:tcW w:w="692" w:type="dxa"/>
            <w:tcBorders>
              <w:top w:val="nil"/>
              <w:left w:val="single" w:sz="4" w:space="0" w:color="BFBFBF" w:themeColor="background1" w:themeShade="BF"/>
              <w:right w:val="single" w:sz="4" w:space="0" w:color="BFBFBF" w:themeColor="background1" w:themeShade="BF"/>
            </w:tcBorders>
            <w:shd w:val="clear" w:color="auto" w:fill="F2F2F2"/>
            <w:vAlign w:val="center"/>
          </w:tcPr>
          <w:p w:rsidR="00C30B65" w:rsidRPr="00DC4C78" w:rsidRDefault="00C30B65" w:rsidP="00C30B65">
            <w:pPr>
              <w:jc w:val="center"/>
              <w:rPr>
                <w:rFonts w:ascii="Arial" w:hAnsi="Arial" w:cs="Arial"/>
                <w:sz w:val="16"/>
                <w:szCs w:val="16"/>
              </w:rPr>
            </w:pPr>
            <w:r w:rsidRPr="00DC4C78">
              <w:rPr>
                <w:rFonts w:ascii="Arial" w:hAnsi="Arial" w:cs="Arial"/>
                <w:sz w:val="16"/>
                <w:szCs w:val="16"/>
              </w:rPr>
              <w:t>81%</w:t>
            </w:r>
          </w:p>
        </w:tc>
        <w:tc>
          <w:tcPr>
            <w:tcW w:w="692" w:type="dxa"/>
            <w:tcBorders>
              <w:top w:val="nil"/>
              <w:left w:val="single" w:sz="4" w:space="0" w:color="BFBFBF" w:themeColor="background1" w:themeShade="BF"/>
              <w:right w:val="single" w:sz="4" w:space="0" w:color="auto"/>
            </w:tcBorders>
            <w:shd w:val="clear" w:color="auto" w:fill="F2F2F2"/>
            <w:vAlign w:val="center"/>
          </w:tcPr>
          <w:p w:rsidR="00C30B65" w:rsidRPr="00DC4C78" w:rsidRDefault="00C30B65" w:rsidP="00C30B65">
            <w:pPr>
              <w:jc w:val="center"/>
              <w:rPr>
                <w:rFonts w:ascii="Arial" w:hAnsi="Arial" w:cs="Arial"/>
                <w:sz w:val="16"/>
                <w:szCs w:val="16"/>
              </w:rPr>
            </w:pPr>
            <w:r w:rsidRPr="00DC4C78">
              <w:rPr>
                <w:rFonts w:ascii="Arial" w:hAnsi="Arial" w:cs="Arial"/>
                <w:sz w:val="16"/>
                <w:szCs w:val="16"/>
              </w:rPr>
              <w:t>84%</w:t>
            </w:r>
          </w:p>
        </w:tc>
      </w:tr>
      <w:tr w:rsidR="00C30B65" w:rsidRPr="00DC4C78" w:rsidTr="00C30B65">
        <w:trPr>
          <w:cantSplit/>
        </w:trPr>
        <w:tc>
          <w:tcPr>
            <w:tcW w:w="3821" w:type="dxa"/>
            <w:tcBorders>
              <w:top w:val="nil"/>
              <w:right w:val="single" w:sz="8" w:space="0" w:color="000000" w:themeColor="text1"/>
            </w:tcBorders>
            <w:shd w:val="clear" w:color="auto" w:fill="auto"/>
          </w:tcPr>
          <w:p w:rsidR="00C30B65" w:rsidRPr="00DC4C78" w:rsidRDefault="00C30B65" w:rsidP="00C30B65">
            <w:pPr>
              <w:pStyle w:val="TableText"/>
              <w:spacing w:before="40" w:after="40"/>
              <w:ind w:left="284" w:hanging="284"/>
              <w:rPr>
                <w:rFonts w:cs="Arial"/>
                <w:color w:val="000000"/>
                <w:sz w:val="16"/>
                <w:szCs w:val="16"/>
                <w:lang w:eastAsia="en-NZ"/>
              </w:rPr>
            </w:pPr>
            <w:r w:rsidRPr="00DC4C78">
              <w:rPr>
                <w:rFonts w:cs="Arial"/>
                <w:color w:val="000000"/>
                <w:sz w:val="16"/>
                <w:szCs w:val="16"/>
                <w:lang w:eastAsia="en-NZ"/>
              </w:rPr>
              <w:t>22.</w:t>
            </w:r>
            <w:r w:rsidRPr="00DC4C78">
              <w:rPr>
                <w:rFonts w:cs="Arial"/>
                <w:color w:val="000000"/>
                <w:sz w:val="16"/>
                <w:szCs w:val="16"/>
                <w:lang w:eastAsia="en-NZ"/>
              </w:rPr>
              <w:tab/>
              <w:t>Children with an abnormal SDQ-P score are referred**</w:t>
            </w:r>
          </w:p>
        </w:tc>
        <w:tc>
          <w:tcPr>
            <w:tcW w:w="691" w:type="dxa"/>
            <w:tcBorders>
              <w:top w:val="nil"/>
              <w:left w:val="single" w:sz="8" w:space="0" w:color="000000" w:themeColor="text1"/>
            </w:tcBorders>
            <w:noWrap/>
            <w:vAlign w:val="center"/>
          </w:tcPr>
          <w:p w:rsidR="00C30B65" w:rsidRPr="00DC4C78" w:rsidRDefault="00C30B65" w:rsidP="00C30B65">
            <w:pPr>
              <w:pStyle w:val="TableText"/>
              <w:jc w:val="center"/>
              <w:rPr>
                <w:sz w:val="16"/>
              </w:rPr>
            </w:pPr>
            <w:r w:rsidRPr="00DC4C78">
              <w:rPr>
                <w:sz w:val="16"/>
              </w:rPr>
              <w:t>100%</w:t>
            </w:r>
          </w:p>
        </w:tc>
        <w:tc>
          <w:tcPr>
            <w:tcW w:w="692" w:type="dxa"/>
            <w:tcBorders>
              <w:top w:val="nil"/>
              <w:left w:val="single" w:sz="4" w:space="0" w:color="A6A6A6"/>
            </w:tcBorders>
            <w:noWrap/>
            <w:vAlign w:val="center"/>
          </w:tcPr>
          <w:p w:rsidR="00C30B65" w:rsidRPr="00DC4C78" w:rsidRDefault="00C30B65" w:rsidP="00C30B65">
            <w:pPr>
              <w:pStyle w:val="TableText"/>
              <w:jc w:val="center"/>
              <w:rPr>
                <w:sz w:val="16"/>
              </w:rPr>
            </w:pPr>
            <w:r w:rsidRPr="00DC4C78">
              <w:rPr>
                <w:sz w:val="16"/>
              </w:rPr>
              <w:t>100%</w:t>
            </w:r>
          </w:p>
        </w:tc>
        <w:tc>
          <w:tcPr>
            <w:tcW w:w="692" w:type="dxa"/>
            <w:tcBorders>
              <w:top w:val="nil"/>
              <w:left w:val="single" w:sz="4" w:space="0" w:color="A6A6A6"/>
            </w:tcBorders>
            <w:noWrap/>
            <w:vAlign w:val="center"/>
          </w:tcPr>
          <w:p w:rsidR="00C30B65" w:rsidRPr="00DC4C78" w:rsidRDefault="00C30B65" w:rsidP="00C30B65">
            <w:pPr>
              <w:pStyle w:val="TableText"/>
              <w:jc w:val="center"/>
              <w:rPr>
                <w:sz w:val="16"/>
              </w:rPr>
            </w:pPr>
            <w:r w:rsidRPr="00DC4C78">
              <w:rPr>
                <w:sz w:val="16"/>
              </w:rPr>
              <w:t>100%</w:t>
            </w:r>
          </w:p>
        </w:tc>
        <w:tc>
          <w:tcPr>
            <w:tcW w:w="692" w:type="dxa"/>
            <w:tcBorders>
              <w:top w:val="nil"/>
              <w:left w:val="single" w:sz="4" w:space="0" w:color="A6A6A6"/>
              <w:right w:val="single" w:sz="8" w:space="0" w:color="000000" w:themeColor="text1"/>
            </w:tcBorders>
            <w:noWrap/>
            <w:vAlign w:val="center"/>
          </w:tcPr>
          <w:p w:rsidR="00C30B65" w:rsidRPr="00DC4C78" w:rsidRDefault="00C30B65" w:rsidP="00C30B65">
            <w:pPr>
              <w:pStyle w:val="TableText"/>
              <w:jc w:val="center"/>
              <w:rPr>
                <w:sz w:val="16"/>
              </w:rPr>
            </w:pPr>
            <w:r w:rsidRPr="00DC4C78">
              <w:rPr>
                <w:sz w:val="16"/>
              </w:rPr>
              <w:t>100%</w:t>
            </w:r>
          </w:p>
        </w:tc>
        <w:tc>
          <w:tcPr>
            <w:tcW w:w="692" w:type="dxa"/>
            <w:tcBorders>
              <w:top w:val="nil"/>
              <w:left w:val="single" w:sz="8" w:space="0" w:color="000000" w:themeColor="text1"/>
              <w:right w:val="single" w:sz="4" w:space="0" w:color="BFBFBF" w:themeColor="background1" w:themeShade="BF"/>
            </w:tcBorders>
            <w:vAlign w:val="center"/>
          </w:tcPr>
          <w:p w:rsidR="00C30B65" w:rsidRPr="00DC4C78" w:rsidRDefault="00C30B65" w:rsidP="00C30B65">
            <w:pPr>
              <w:jc w:val="center"/>
              <w:rPr>
                <w:rFonts w:ascii="Arial" w:hAnsi="Arial" w:cs="Arial"/>
                <w:sz w:val="16"/>
                <w:szCs w:val="16"/>
              </w:rPr>
            </w:pPr>
            <w:r w:rsidRPr="00DC4C78">
              <w:rPr>
                <w:rFonts w:ascii="Arial" w:hAnsi="Arial" w:cs="Arial"/>
                <w:sz w:val="16"/>
                <w:szCs w:val="16"/>
              </w:rPr>
              <w:t>100%</w:t>
            </w:r>
          </w:p>
        </w:tc>
        <w:tc>
          <w:tcPr>
            <w:tcW w:w="692" w:type="dxa"/>
            <w:tcBorders>
              <w:top w:val="nil"/>
              <w:left w:val="single" w:sz="4" w:space="0" w:color="BFBFBF" w:themeColor="background1" w:themeShade="BF"/>
              <w:right w:val="single" w:sz="4" w:space="0" w:color="BFBFBF" w:themeColor="background1" w:themeShade="BF"/>
            </w:tcBorders>
            <w:vAlign w:val="center"/>
          </w:tcPr>
          <w:p w:rsidR="00C30B65" w:rsidRPr="00DC4C78" w:rsidRDefault="00C30B65" w:rsidP="00C30B65">
            <w:pPr>
              <w:jc w:val="center"/>
              <w:rPr>
                <w:rFonts w:ascii="Arial" w:hAnsi="Arial" w:cs="Arial"/>
                <w:sz w:val="16"/>
                <w:szCs w:val="16"/>
              </w:rPr>
            </w:pPr>
            <w:r w:rsidRPr="00DC4C78">
              <w:rPr>
                <w:rFonts w:ascii="Arial" w:hAnsi="Arial" w:cs="Arial"/>
                <w:sz w:val="16"/>
                <w:szCs w:val="16"/>
              </w:rPr>
              <w:t>100%</w:t>
            </w:r>
          </w:p>
        </w:tc>
        <w:tc>
          <w:tcPr>
            <w:tcW w:w="692" w:type="dxa"/>
            <w:tcBorders>
              <w:top w:val="nil"/>
              <w:left w:val="single" w:sz="4" w:space="0" w:color="BFBFBF" w:themeColor="background1" w:themeShade="BF"/>
              <w:right w:val="single" w:sz="4" w:space="0" w:color="BFBFBF" w:themeColor="background1" w:themeShade="BF"/>
            </w:tcBorders>
            <w:vAlign w:val="center"/>
          </w:tcPr>
          <w:p w:rsidR="00C30B65" w:rsidRPr="00DC4C78" w:rsidRDefault="00C30B65" w:rsidP="00C30B65">
            <w:pPr>
              <w:jc w:val="center"/>
              <w:rPr>
                <w:rFonts w:ascii="Arial" w:hAnsi="Arial" w:cs="Arial"/>
                <w:sz w:val="16"/>
                <w:szCs w:val="16"/>
              </w:rPr>
            </w:pPr>
            <w:r w:rsidRPr="00DC4C78">
              <w:rPr>
                <w:rFonts w:ascii="Arial" w:hAnsi="Arial" w:cs="Arial"/>
                <w:sz w:val="16"/>
                <w:szCs w:val="16"/>
              </w:rPr>
              <w:t>100%</w:t>
            </w:r>
          </w:p>
        </w:tc>
        <w:tc>
          <w:tcPr>
            <w:tcW w:w="692" w:type="dxa"/>
            <w:tcBorders>
              <w:top w:val="nil"/>
              <w:left w:val="single" w:sz="4" w:space="0" w:color="BFBFBF" w:themeColor="background1" w:themeShade="BF"/>
              <w:right w:val="single" w:sz="4" w:space="0" w:color="auto"/>
            </w:tcBorders>
            <w:vAlign w:val="center"/>
          </w:tcPr>
          <w:p w:rsidR="00C30B65" w:rsidRPr="00DC4C78" w:rsidRDefault="00C30B65" w:rsidP="00C30B65">
            <w:pPr>
              <w:jc w:val="center"/>
              <w:rPr>
                <w:rFonts w:ascii="Arial" w:hAnsi="Arial" w:cs="Arial"/>
                <w:sz w:val="16"/>
                <w:szCs w:val="16"/>
              </w:rPr>
            </w:pPr>
            <w:r w:rsidRPr="00DC4C78">
              <w:rPr>
                <w:rFonts w:ascii="Arial" w:hAnsi="Arial" w:cs="Arial"/>
                <w:sz w:val="16"/>
                <w:szCs w:val="16"/>
              </w:rPr>
              <w:t>100%</w:t>
            </w:r>
          </w:p>
        </w:tc>
      </w:tr>
      <w:tr w:rsidR="00C30B65" w:rsidRPr="00DC4C78" w:rsidTr="00C30B65">
        <w:trPr>
          <w:cantSplit/>
        </w:trPr>
        <w:tc>
          <w:tcPr>
            <w:tcW w:w="3821" w:type="dxa"/>
            <w:tcBorders>
              <w:top w:val="nil"/>
              <w:right w:val="single" w:sz="8" w:space="0" w:color="000000" w:themeColor="text1"/>
            </w:tcBorders>
            <w:shd w:val="clear" w:color="auto" w:fill="F2F2F2"/>
          </w:tcPr>
          <w:p w:rsidR="00C30B65" w:rsidRPr="00DC4C78" w:rsidRDefault="00C30B65" w:rsidP="00C30B65">
            <w:pPr>
              <w:pStyle w:val="TableText"/>
              <w:spacing w:before="40" w:after="40"/>
              <w:ind w:left="284" w:hanging="284"/>
              <w:rPr>
                <w:rFonts w:cs="Arial"/>
                <w:color w:val="000000"/>
                <w:sz w:val="16"/>
                <w:szCs w:val="16"/>
                <w:lang w:eastAsia="en-NZ"/>
              </w:rPr>
            </w:pPr>
            <w:r w:rsidRPr="00DC4C78">
              <w:rPr>
                <w:rFonts w:cs="Arial"/>
                <w:color w:val="000000"/>
                <w:sz w:val="16"/>
                <w:szCs w:val="16"/>
                <w:lang w:eastAsia="en-NZ"/>
              </w:rPr>
              <w:t>23.</w:t>
            </w:r>
            <w:r w:rsidRPr="00DC4C78">
              <w:rPr>
                <w:rFonts w:cs="Arial"/>
                <w:color w:val="000000"/>
                <w:sz w:val="16"/>
                <w:szCs w:val="16"/>
                <w:lang w:eastAsia="en-NZ"/>
              </w:rPr>
              <w:tab/>
              <w:t>Children with a PEDS Pathway A are referred**</w:t>
            </w:r>
          </w:p>
        </w:tc>
        <w:tc>
          <w:tcPr>
            <w:tcW w:w="691" w:type="dxa"/>
            <w:tcBorders>
              <w:top w:val="nil"/>
              <w:left w:val="single" w:sz="8" w:space="0" w:color="000000" w:themeColor="text1"/>
            </w:tcBorders>
            <w:shd w:val="clear" w:color="auto" w:fill="F2F2F2"/>
            <w:noWrap/>
            <w:vAlign w:val="center"/>
          </w:tcPr>
          <w:p w:rsidR="00C30B65" w:rsidRPr="00DC4C78" w:rsidRDefault="00C30B65" w:rsidP="00C30B65">
            <w:pPr>
              <w:pStyle w:val="TableText"/>
              <w:jc w:val="center"/>
              <w:rPr>
                <w:sz w:val="16"/>
              </w:rPr>
            </w:pPr>
            <w:r w:rsidRPr="00DC4C78">
              <w:rPr>
                <w:sz w:val="16"/>
              </w:rPr>
              <w:t>97%</w:t>
            </w:r>
          </w:p>
        </w:tc>
        <w:tc>
          <w:tcPr>
            <w:tcW w:w="692" w:type="dxa"/>
            <w:tcBorders>
              <w:top w:val="nil"/>
              <w:left w:val="single" w:sz="4" w:space="0" w:color="A6A6A6"/>
            </w:tcBorders>
            <w:shd w:val="clear" w:color="auto" w:fill="F2F2F2"/>
            <w:noWrap/>
            <w:vAlign w:val="center"/>
          </w:tcPr>
          <w:p w:rsidR="00C30B65" w:rsidRPr="00DC4C78" w:rsidRDefault="00C30B65" w:rsidP="00C30B65">
            <w:pPr>
              <w:pStyle w:val="TableText"/>
              <w:jc w:val="center"/>
              <w:rPr>
                <w:sz w:val="16"/>
              </w:rPr>
            </w:pPr>
            <w:r w:rsidRPr="00DC4C78">
              <w:rPr>
                <w:sz w:val="16"/>
              </w:rPr>
              <w:t>99%</w:t>
            </w:r>
          </w:p>
        </w:tc>
        <w:tc>
          <w:tcPr>
            <w:tcW w:w="692" w:type="dxa"/>
            <w:tcBorders>
              <w:top w:val="nil"/>
              <w:left w:val="single" w:sz="4" w:space="0" w:color="A6A6A6"/>
            </w:tcBorders>
            <w:shd w:val="clear" w:color="auto" w:fill="F2F2F2"/>
            <w:noWrap/>
            <w:vAlign w:val="center"/>
          </w:tcPr>
          <w:p w:rsidR="00C30B65" w:rsidRPr="00DC4C78" w:rsidRDefault="00C30B65" w:rsidP="00C30B65">
            <w:pPr>
              <w:pStyle w:val="TableText"/>
              <w:jc w:val="center"/>
              <w:rPr>
                <w:sz w:val="16"/>
              </w:rPr>
            </w:pPr>
            <w:r w:rsidRPr="00DC4C78">
              <w:rPr>
                <w:sz w:val="16"/>
              </w:rPr>
              <w:t>98%</w:t>
            </w:r>
          </w:p>
        </w:tc>
        <w:tc>
          <w:tcPr>
            <w:tcW w:w="692" w:type="dxa"/>
            <w:tcBorders>
              <w:top w:val="nil"/>
              <w:left w:val="single" w:sz="4" w:space="0" w:color="A6A6A6"/>
              <w:right w:val="single" w:sz="8" w:space="0" w:color="000000" w:themeColor="text1"/>
            </w:tcBorders>
            <w:shd w:val="clear" w:color="auto" w:fill="F2F2F2"/>
            <w:noWrap/>
            <w:vAlign w:val="center"/>
          </w:tcPr>
          <w:p w:rsidR="00C30B65" w:rsidRPr="00DC4C78" w:rsidRDefault="00C30B65" w:rsidP="00C30B65">
            <w:pPr>
              <w:pStyle w:val="TableText"/>
              <w:jc w:val="center"/>
              <w:rPr>
                <w:sz w:val="16"/>
              </w:rPr>
            </w:pPr>
            <w:r w:rsidRPr="00DC4C78">
              <w:rPr>
                <w:sz w:val="16"/>
              </w:rPr>
              <w:t>99%</w:t>
            </w:r>
          </w:p>
        </w:tc>
        <w:tc>
          <w:tcPr>
            <w:tcW w:w="692" w:type="dxa"/>
            <w:tcBorders>
              <w:top w:val="nil"/>
              <w:left w:val="single" w:sz="8" w:space="0" w:color="000000" w:themeColor="text1"/>
              <w:right w:val="single" w:sz="4" w:space="0" w:color="BFBFBF" w:themeColor="background1" w:themeShade="BF"/>
            </w:tcBorders>
            <w:shd w:val="clear" w:color="auto" w:fill="F2F2F2"/>
            <w:vAlign w:val="center"/>
          </w:tcPr>
          <w:p w:rsidR="00C30B65" w:rsidRPr="00DC4C78" w:rsidRDefault="00C30B65" w:rsidP="00C30B65">
            <w:pPr>
              <w:jc w:val="center"/>
              <w:rPr>
                <w:rFonts w:ascii="Arial" w:hAnsi="Arial" w:cs="Arial"/>
                <w:sz w:val="16"/>
                <w:szCs w:val="16"/>
              </w:rPr>
            </w:pPr>
            <w:r w:rsidRPr="00DC4C78">
              <w:rPr>
                <w:rFonts w:ascii="Arial" w:hAnsi="Arial" w:cs="Arial"/>
                <w:sz w:val="16"/>
                <w:szCs w:val="16"/>
              </w:rPr>
              <w:t>98%</w:t>
            </w:r>
          </w:p>
        </w:tc>
        <w:tc>
          <w:tcPr>
            <w:tcW w:w="692" w:type="dxa"/>
            <w:tcBorders>
              <w:top w:val="nil"/>
              <w:left w:val="single" w:sz="4" w:space="0" w:color="BFBFBF" w:themeColor="background1" w:themeShade="BF"/>
              <w:right w:val="single" w:sz="4" w:space="0" w:color="BFBFBF" w:themeColor="background1" w:themeShade="BF"/>
            </w:tcBorders>
            <w:shd w:val="clear" w:color="auto" w:fill="F2F2F2"/>
            <w:vAlign w:val="center"/>
          </w:tcPr>
          <w:p w:rsidR="00C30B65" w:rsidRPr="00DC4C78" w:rsidRDefault="00C30B65" w:rsidP="00C30B65">
            <w:pPr>
              <w:jc w:val="center"/>
              <w:rPr>
                <w:rFonts w:ascii="Arial" w:hAnsi="Arial" w:cs="Arial"/>
                <w:sz w:val="16"/>
                <w:szCs w:val="16"/>
              </w:rPr>
            </w:pPr>
            <w:r w:rsidRPr="00DC4C78">
              <w:rPr>
                <w:rFonts w:ascii="Arial" w:hAnsi="Arial" w:cs="Arial"/>
                <w:sz w:val="16"/>
                <w:szCs w:val="16"/>
              </w:rPr>
              <w:t>99%</w:t>
            </w:r>
          </w:p>
        </w:tc>
        <w:tc>
          <w:tcPr>
            <w:tcW w:w="692" w:type="dxa"/>
            <w:tcBorders>
              <w:top w:val="nil"/>
              <w:left w:val="single" w:sz="4" w:space="0" w:color="BFBFBF" w:themeColor="background1" w:themeShade="BF"/>
              <w:right w:val="single" w:sz="4" w:space="0" w:color="BFBFBF" w:themeColor="background1" w:themeShade="BF"/>
            </w:tcBorders>
            <w:shd w:val="clear" w:color="auto" w:fill="F2F2F2"/>
            <w:vAlign w:val="center"/>
          </w:tcPr>
          <w:p w:rsidR="00C30B65" w:rsidRPr="00DC4C78" w:rsidRDefault="00C30B65" w:rsidP="00C30B65">
            <w:pPr>
              <w:jc w:val="center"/>
              <w:rPr>
                <w:rFonts w:ascii="Arial" w:hAnsi="Arial" w:cs="Arial"/>
                <w:sz w:val="16"/>
                <w:szCs w:val="16"/>
              </w:rPr>
            </w:pPr>
            <w:r w:rsidRPr="00DC4C78">
              <w:rPr>
                <w:rFonts w:ascii="Arial" w:hAnsi="Arial" w:cs="Arial"/>
                <w:sz w:val="16"/>
                <w:szCs w:val="16"/>
              </w:rPr>
              <w:t>98%</w:t>
            </w:r>
          </w:p>
        </w:tc>
        <w:tc>
          <w:tcPr>
            <w:tcW w:w="692" w:type="dxa"/>
            <w:tcBorders>
              <w:top w:val="nil"/>
              <w:left w:val="single" w:sz="4" w:space="0" w:color="BFBFBF" w:themeColor="background1" w:themeShade="BF"/>
              <w:right w:val="single" w:sz="4" w:space="0" w:color="auto"/>
            </w:tcBorders>
            <w:shd w:val="clear" w:color="auto" w:fill="F2F2F2"/>
            <w:vAlign w:val="center"/>
          </w:tcPr>
          <w:p w:rsidR="00C30B65" w:rsidRPr="00DC4C78" w:rsidRDefault="00C30B65" w:rsidP="00C30B65">
            <w:pPr>
              <w:jc w:val="center"/>
              <w:rPr>
                <w:rFonts w:ascii="Arial" w:hAnsi="Arial" w:cs="Arial"/>
                <w:sz w:val="16"/>
                <w:szCs w:val="16"/>
              </w:rPr>
            </w:pPr>
            <w:r w:rsidRPr="00DC4C78">
              <w:rPr>
                <w:rFonts w:ascii="Arial" w:hAnsi="Arial" w:cs="Arial"/>
                <w:sz w:val="16"/>
                <w:szCs w:val="16"/>
              </w:rPr>
              <w:t>98%</w:t>
            </w:r>
          </w:p>
        </w:tc>
      </w:tr>
      <w:tr w:rsidR="00C30B65" w:rsidRPr="00DC4C78" w:rsidTr="00C30B65">
        <w:trPr>
          <w:cantSplit/>
        </w:trPr>
        <w:tc>
          <w:tcPr>
            <w:tcW w:w="3821" w:type="dxa"/>
            <w:tcBorders>
              <w:top w:val="nil"/>
              <w:right w:val="single" w:sz="8" w:space="0" w:color="000000" w:themeColor="text1"/>
            </w:tcBorders>
            <w:shd w:val="clear" w:color="auto" w:fill="auto"/>
          </w:tcPr>
          <w:p w:rsidR="00C30B65" w:rsidRPr="00DC4C78" w:rsidRDefault="00C30B65" w:rsidP="00C30B65">
            <w:pPr>
              <w:pStyle w:val="TableText"/>
              <w:spacing w:before="40" w:after="40"/>
              <w:ind w:left="284" w:hanging="284"/>
              <w:rPr>
                <w:rFonts w:cs="Arial"/>
                <w:color w:val="000000"/>
                <w:sz w:val="16"/>
                <w:szCs w:val="16"/>
                <w:lang w:eastAsia="en-NZ"/>
              </w:rPr>
            </w:pPr>
            <w:r w:rsidRPr="00DC4C78">
              <w:rPr>
                <w:rFonts w:cs="Arial"/>
                <w:color w:val="000000"/>
                <w:sz w:val="16"/>
                <w:szCs w:val="16"/>
                <w:lang w:eastAsia="en-NZ"/>
              </w:rPr>
              <w:t>24.</w:t>
            </w:r>
            <w:r w:rsidRPr="00DC4C78">
              <w:rPr>
                <w:rFonts w:cs="Arial"/>
                <w:color w:val="000000"/>
                <w:sz w:val="16"/>
                <w:szCs w:val="16"/>
                <w:lang w:eastAsia="en-NZ"/>
              </w:rPr>
              <w:tab/>
              <w:t>Children with a Lift the Lip (oral health) score of 2–6 are referred</w:t>
            </w:r>
          </w:p>
        </w:tc>
        <w:tc>
          <w:tcPr>
            <w:tcW w:w="691" w:type="dxa"/>
            <w:tcBorders>
              <w:top w:val="nil"/>
              <w:left w:val="single" w:sz="8" w:space="0" w:color="000000" w:themeColor="text1"/>
            </w:tcBorders>
            <w:noWrap/>
            <w:vAlign w:val="center"/>
          </w:tcPr>
          <w:p w:rsidR="00C30B65" w:rsidRPr="00DC4C78" w:rsidRDefault="00C30B65" w:rsidP="00C30B65">
            <w:pPr>
              <w:pStyle w:val="TableText"/>
              <w:jc w:val="center"/>
              <w:rPr>
                <w:sz w:val="16"/>
              </w:rPr>
            </w:pPr>
            <w:r w:rsidRPr="00DC4C78">
              <w:rPr>
                <w:sz w:val="16"/>
              </w:rPr>
              <w:t>99%</w:t>
            </w:r>
          </w:p>
        </w:tc>
        <w:tc>
          <w:tcPr>
            <w:tcW w:w="692" w:type="dxa"/>
            <w:tcBorders>
              <w:top w:val="nil"/>
              <w:left w:val="single" w:sz="4" w:space="0" w:color="A6A6A6"/>
            </w:tcBorders>
            <w:noWrap/>
            <w:vAlign w:val="center"/>
          </w:tcPr>
          <w:p w:rsidR="00C30B65" w:rsidRPr="00DC4C78" w:rsidRDefault="00C30B65" w:rsidP="00C30B65">
            <w:pPr>
              <w:pStyle w:val="TableText"/>
              <w:jc w:val="center"/>
              <w:rPr>
                <w:sz w:val="16"/>
              </w:rPr>
            </w:pPr>
            <w:r w:rsidRPr="00DC4C78">
              <w:rPr>
                <w:sz w:val="16"/>
              </w:rPr>
              <w:t>99%</w:t>
            </w:r>
          </w:p>
        </w:tc>
        <w:tc>
          <w:tcPr>
            <w:tcW w:w="692" w:type="dxa"/>
            <w:tcBorders>
              <w:top w:val="nil"/>
              <w:left w:val="single" w:sz="4" w:space="0" w:color="A6A6A6"/>
            </w:tcBorders>
            <w:noWrap/>
            <w:vAlign w:val="center"/>
          </w:tcPr>
          <w:p w:rsidR="00C30B65" w:rsidRPr="00DC4C78" w:rsidRDefault="00C30B65" w:rsidP="00C30B65">
            <w:pPr>
              <w:pStyle w:val="TableText"/>
              <w:jc w:val="center"/>
              <w:rPr>
                <w:sz w:val="16"/>
              </w:rPr>
            </w:pPr>
            <w:r w:rsidRPr="00DC4C78">
              <w:rPr>
                <w:sz w:val="16"/>
              </w:rPr>
              <w:t>97%</w:t>
            </w:r>
          </w:p>
        </w:tc>
        <w:tc>
          <w:tcPr>
            <w:tcW w:w="692" w:type="dxa"/>
            <w:tcBorders>
              <w:top w:val="nil"/>
              <w:left w:val="single" w:sz="4" w:space="0" w:color="A6A6A6"/>
              <w:right w:val="single" w:sz="8" w:space="0" w:color="000000" w:themeColor="text1"/>
            </w:tcBorders>
            <w:noWrap/>
            <w:vAlign w:val="center"/>
          </w:tcPr>
          <w:p w:rsidR="00C30B65" w:rsidRPr="00DC4C78" w:rsidRDefault="00C30B65" w:rsidP="00C30B65">
            <w:pPr>
              <w:pStyle w:val="TableText"/>
              <w:jc w:val="center"/>
              <w:rPr>
                <w:sz w:val="16"/>
              </w:rPr>
            </w:pPr>
            <w:r w:rsidRPr="00DC4C78">
              <w:rPr>
                <w:sz w:val="16"/>
              </w:rPr>
              <w:t>99%</w:t>
            </w:r>
          </w:p>
        </w:tc>
        <w:tc>
          <w:tcPr>
            <w:tcW w:w="692" w:type="dxa"/>
            <w:tcBorders>
              <w:top w:val="nil"/>
              <w:left w:val="single" w:sz="8" w:space="0" w:color="000000" w:themeColor="text1"/>
              <w:right w:val="single" w:sz="4" w:space="0" w:color="BFBFBF" w:themeColor="background1" w:themeShade="BF"/>
            </w:tcBorders>
            <w:vAlign w:val="center"/>
          </w:tcPr>
          <w:p w:rsidR="00C30B65" w:rsidRPr="00DC4C78" w:rsidRDefault="00C30B65" w:rsidP="00C30B65">
            <w:pPr>
              <w:jc w:val="center"/>
              <w:rPr>
                <w:rFonts w:ascii="Arial" w:hAnsi="Arial" w:cs="Arial"/>
                <w:sz w:val="16"/>
                <w:szCs w:val="16"/>
              </w:rPr>
            </w:pPr>
            <w:r w:rsidRPr="00DC4C78">
              <w:rPr>
                <w:rFonts w:ascii="Arial" w:hAnsi="Arial" w:cs="Arial"/>
                <w:sz w:val="16"/>
                <w:szCs w:val="16"/>
              </w:rPr>
              <w:t>100%</w:t>
            </w:r>
          </w:p>
        </w:tc>
        <w:tc>
          <w:tcPr>
            <w:tcW w:w="692" w:type="dxa"/>
            <w:tcBorders>
              <w:top w:val="nil"/>
              <w:left w:val="single" w:sz="4" w:space="0" w:color="BFBFBF" w:themeColor="background1" w:themeShade="BF"/>
              <w:right w:val="single" w:sz="4" w:space="0" w:color="BFBFBF" w:themeColor="background1" w:themeShade="BF"/>
            </w:tcBorders>
            <w:vAlign w:val="center"/>
          </w:tcPr>
          <w:p w:rsidR="00C30B65" w:rsidRPr="00DC4C78" w:rsidRDefault="00C30B65" w:rsidP="00C30B65">
            <w:pPr>
              <w:jc w:val="center"/>
              <w:rPr>
                <w:rFonts w:ascii="Arial" w:hAnsi="Arial" w:cs="Arial"/>
                <w:sz w:val="16"/>
                <w:szCs w:val="16"/>
              </w:rPr>
            </w:pPr>
            <w:r w:rsidRPr="00DC4C78">
              <w:rPr>
                <w:rFonts w:ascii="Arial" w:hAnsi="Arial" w:cs="Arial"/>
                <w:sz w:val="16"/>
                <w:szCs w:val="16"/>
              </w:rPr>
              <w:t>100%</w:t>
            </w:r>
          </w:p>
        </w:tc>
        <w:tc>
          <w:tcPr>
            <w:tcW w:w="692" w:type="dxa"/>
            <w:tcBorders>
              <w:top w:val="nil"/>
              <w:left w:val="single" w:sz="4" w:space="0" w:color="BFBFBF" w:themeColor="background1" w:themeShade="BF"/>
              <w:right w:val="single" w:sz="4" w:space="0" w:color="BFBFBF" w:themeColor="background1" w:themeShade="BF"/>
            </w:tcBorders>
            <w:vAlign w:val="center"/>
          </w:tcPr>
          <w:p w:rsidR="00C30B65" w:rsidRPr="00DC4C78" w:rsidRDefault="00C30B65" w:rsidP="00C30B65">
            <w:pPr>
              <w:jc w:val="center"/>
              <w:rPr>
                <w:rFonts w:ascii="Arial" w:hAnsi="Arial" w:cs="Arial"/>
                <w:sz w:val="16"/>
                <w:szCs w:val="16"/>
              </w:rPr>
            </w:pPr>
            <w:r w:rsidRPr="00DC4C78">
              <w:rPr>
                <w:rFonts w:ascii="Arial" w:hAnsi="Arial" w:cs="Arial"/>
                <w:sz w:val="16"/>
                <w:szCs w:val="16"/>
              </w:rPr>
              <w:t>100%</w:t>
            </w:r>
          </w:p>
        </w:tc>
        <w:tc>
          <w:tcPr>
            <w:tcW w:w="692" w:type="dxa"/>
            <w:tcBorders>
              <w:top w:val="nil"/>
              <w:left w:val="single" w:sz="4" w:space="0" w:color="BFBFBF" w:themeColor="background1" w:themeShade="BF"/>
              <w:right w:val="single" w:sz="4" w:space="0" w:color="auto"/>
            </w:tcBorders>
            <w:vAlign w:val="center"/>
          </w:tcPr>
          <w:p w:rsidR="00C30B65" w:rsidRPr="00DC4C78" w:rsidRDefault="00C30B65" w:rsidP="00C30B65">
            <w:pPr>
              <w:jc w:val="center"/>
              <w:rPr>
                <w:rFonts w:ascii="Arial" w:hAnsi="Arial" w:cs="Arial"/>
                <w:sz w:val="16"/>
                <w:szCs w:val="16"/>
              </w:rPr>
            </w:pPr>
            <w:r w:rsidRPr="00DC4C78">
              <w:rPr>
                <w:rFonts w:ascii="Arial" w:hAnsi="Arial" w:cs="Arial"/>
                <w:sz w:val="16"/>
                <w:szCs w:val="16"/>
              </w:rPr>
              <w:t>100%</w:t>
            </w:r>
          </w:p>
        </w:tc>
      </w:tr>
      <w:tr w:rsidR="00C30B65" w:rsidRPr="00DC4C78" w:rsidTr="00C30B65">
        <w:trPr>
          <w:cantSplit/>
        </w:trPr>
        <w:tc>
          <w:tcPr>
            <w:tcW w:w="3821" w:type="dxa"/>
            <w:tcBorders>
              <w:right w:val="single" w:sz="8" w:space="0" w:color="000000" w:themeColor="text1"/>
            </w:tcBorders>
            <w:shd w:val="clear" w:color="auto" w:fill="F2F2F2"/>
          </w:tcPr>
          <w:p w:rsidR="00C30B65" w:rsidRPr="00DC4C78" w:rsidRDefault="00C30B65" w:rsidP="00C30B65">
            <w:pPr>
              <w:pStyle w:val="TableText"/>
              <w:spacing w:before="40" w:after="40"/>
              <w:ind w:left="284" w:hanging="284"/>
              <w:rPr>
                <w:rFonts w:cs="Arial"/>
                <w:color w:val="000000"/>
                <w:sz w:val="16"/>
                <w:szCs w:val="16"/>
                <w:lang w:eastAsia="en-NZ"/>
              </w:rPr>
            </w:pPr>
            <w:r w:rsidRPr="00DC4C78">
              <w:rPr>
                <w:rFonts w:cs="Arial"/>
                <w:color w:val="000000"/>
                <w:sz w:val="16"/>
                <w:szCs w:val="16"/>
                <w:lang w:eastAsia="en-NZ"/>
              </w:rPr>
              <w:t>25.</w:t>
            </w:r>
            <w:r w:rsidRPr="00DC4C78">
              <w:rPr>
                <w:rFonts w:cs="Arial"/>
                <w:color w:val="000000"/>
                <w:sz w:val="16"/>
                <w:szCs w:val="16"/>
                <w:lang w:eastAsia="en-NZ"/>
              </w:rPr>
              <w:tab/>
              <w:t>Children with an untreated vision problem are referred</w:t>
            </w:r>
          </w:p>
        </w:tc>
        <w:tc>
          <w:tcPr>
            <w:tcW w:w="691" w:type="dxa"/>
            <w:tcBorders>
              <w:left w:val="single" w:sz="8" w:space="0" w:color="000000" w:themeColor="text1"/>
            </w:tcBorders>
            <w:shd w:val="clear" w:color="auto" w:fill="F2F2F2"/>
            <w:noWrap/>
            <w:vAlign w:val="center"/>
          </w:tcPr>
          <w:p w:rsidR="00C30B65" w:rsidRPr="00DC4C78" w:rsidRDefault="00C30B65" w:rsidP="00C30B65">
            <w:pPr>
              <w:pStyle w:val="TableText"/>
              <w:jc w:val="center"/>
              <w:rPr>
                <w:sz w:val="16"/>
              </w:rPr>
            </w:pPr>
            <w:r w:rsidRPr="00DC4C78">
              <w:rPr>
                <w:sz w:val="16"/>
              </w:rPr>
              <w:t>100%</w:t>
            </w:r>
          </w:p>
        </w:tc>
        <w:tc>
          <w:tcPr>
            <w:tcW w:w="692" w:type="dxa"/>
            <w:tcBorders>
              <w:left w:val="single" w:sz="4" w:space="0" w:color="A6A6A6"/>
            </w:tcBorders>
            <w:shd w:val="clear" w:color="auto" w:fill="F2F2F2"/>
            <w:noWrap/>
            <w:vAlign w:val="center"/>
          </w:tcPr>
          <w:p w:rsidR="00C30B65" w:rsidRPr="00DC4C78" w:rsidRDefault="00C30B65" w:rsidP="00C30B65">
            <w:pPr>
              <w:pStyle w:val="TableText"/>
              <w:jc w:val="center"/>
              <w:rPr>
                <w:sz w:val="16"/>
              </w:rPr>
            </w:pPr>
            <w:r w:rsidRPr="00DC4C78">
              <w:rPr>
                <w:sz w:val="16"/>
              </w:rPr>
              <w:t>100%</w:t>
            </w:r>
          </w:p>
        </w:tc>
        <w:tc>
          <w:tcPr>
            <w:tcW w:w="692" w:type="dxa"/>
            <w:tcBorders>
              <w:left w:val="single" w:sz="4" w:space="0" w:color="A6A6A6"/>
            </w:tcBorders>
            <w:shd w:val="clear" w:color="auto" w:fill="F2F2F2"/>
            <w:noWrap/>
            <w:vAlign w:val="center"/>
          </w:tcPr>
          <w:p w:rsidR="00C30B65" w:rsidRPr="00DC4C78" w:rsidRDefault="00C30B65" w:rsidP="00C30B65">
            <w:pPr>
              <w:pStyle w:val="TableText"/>
              <w:jc w:val="center"/>
              <w:rPr>
                <w:sz w:val="16"/>
              </w:rPr>
            </w:pPr>
            <w:r w:rsidRPr="00DC4C78">
              <w:rPr>
                <w:sz w:val="16"/>
              </w:rPr>
              <w:t>100%</w:t>
            </w:r>
          </w:p>
        </w:tc>
        <w:tc>
          <w:tcPr>
            <w:tcW w:w="692" w:type="dxa"/>
            <w:tcBorders>
              <w:left w:val="single" w:sz="4" w:space="0" w:color="A6A6A6"/>
              <w:right w:val="single" w:sz="8" w:space="0" w:color="000000" w:themeColor="text1"/>
            </w:tcBorders>
            <w:shd w:val="clear" w:color="auto" w:fill="F2F2F2"/>
            <w:noWrap/>
            <w:vAlign w:val="center"/>
          </w:tcPr>
          <w:p w:rsidR="00C30B65" w:rsidRPr="00DC4C78" w:rsidRDefault="00C30B65" w:rsidP="00C30B65">
            <w:pPr>
              <w:pStyle w:val="TableText"/>
              <w:jc w:val="center"/>
              <w:rPr>
                <w:sz w:val="16"/>
              </w:rPr>
            </w:pPr>
            <w:r w:rsidRPr="00DC4C78">
              <w:rPr>
                <w:sz w:val="16"/>
              </w:rPr>
              <w:t>100%</w:t>
            </w:r>
          </w:p>
        </w:tc>
        <w:tc>
          <w:tcPr>
            <w:tcW w:w="692" w:type="dxa"/>
            <w:tcBorders>
              <w:left w:val="single" w:sz="8" w:space="0" w:color="000000" w:themeColor="text1"/>
              <w:right w:val="single" w:sz="4" w:space="0" w:color="BFBFBF" w:themeColor="background1" w:themeShade="BF"/>
            </w:tcBorders>
            <w:shd w:val="clear" w:color="auto" w:fill="F2F2F2"/>
            <w:vAlign w:val="center"/>
          </w:tcPr>
          <w:p w:rsidR="00C30B65" w:rsidRPr="00DC4C78" w:rsidRDefault="00C30B65" w:rsidP="00C30B65">
            <w:pPr>
              <w:jc w:val="center"/>
              <w:rPr>
                <w:rFonts w:ascii="Arial" w:hAnsi="Arial" w:cs="Arial"/>
                <w:sz w:val="16"/>
                <w:szCs w:val="16"/>
              </w:rPr>
            </w:pPr>
            <w:r w:rsidRPr="00DC4C78">
              <w:rPr>
                <w:rFonts w:ascii="Arial" w:hAnsi="Arial" w:cs="Arial"/>
                <w:sz w:val="16"/>
                <w:szCs w:val="16"/>
              </w:rPr>
              <w:t>100%</w:t>
            </w:r>
          </w:p>
        </w:tc>
        <w:tc>
          <w:tcPr>
            <w:tcW w:w="692" w:type="dxa"/>
            <w:tcBorders>
              <w:left w:val="single" w:sz="4" w:space="0" w:color="BFBFBF" w:themeColor="background1" w:themeShade="BF"/>
              <w:right w:val="single" w:sz="4" w:space="0" w:color="BFBFBF" w:themeColor="background1" w:themeShade="BF"/>
            </w:tcBorders>
            <w:shd w:val="clear" w:color="auto" w:fill="F2F2F2"/>
            <w:vAlign w:val="center"/>
          </w:tcPr>
          <w:p w:rsidR="00C30B65" w:rsidRPr="00DC4C78" w:rsidRDefault="00C30B65" w:rsidP="00C30B65">
            <w:pPr>
              <w:jc w:val="center"/>
              <w:rPr>
                <w:rFonts w:ascii="Arial" w:hAnsi="Arial" w:cs="Arial"/>
                <w:sz w:val="16"/>
                <w:szCs w:val="16"/>
              </w:rPr>
            </w:pPr>
            <w:r w:rsidRPr="00DC4C78">
              <w:rPr>
                <w:rFonts w:ascii="Arial" w:hAnsi="Arial" w:cs="Arial"/>
                <w:sz w:val="16"/>
                <w:szCs w:val="16"/>
              </w:rPr>
              <w:t>100%</w:t>
            </w:r>
          </w:p>
        </w:tc>
        <w:tc>
          <w:tcPr>
            <w:tcW w:w="692" w:type="dxa"/>
            <w:tcBorders>
              <w:left w:val="single" w:sz="4" w:space="0" w:color="BFBFBF" w:themeColor="background1" w:themeShade="BF"/>
              <w:right w:val="single" w:sz="4" w:space="0" w:color="BFBFBF" w:themeColor="background1" w:themeShade="BF"/>
            </w:tcBorders>
            <w:shd w:val="clear" w:color="auto" w:fill="F2F2F2"/>
            <w:vAlign w:val="center"/>
          </w:tcPr>
          <w:p w:rsidR="00C30B65" w:rsidRPr="00DC4C78" w:rsidRDefault="00C30B65" w:rsidP="00C30B65">
            <w:pPr>
              <w:jc w:val="center"/>
              <w:rPr>
                <w:rFonts w:ascii="Arial" w:hAnsi="Arial" w:cs="Arial"/>
                <w:sz w:val="16"/>
                <w:szCs w:val="16"/>
              </w:rPr>
            </w:pPr>
            <w:r w:rsidRPr="00DC4C78">
              <w:rPr>
                <w:rFonts w:ascii="Arial" w:hAnsi="Arial" w:cs="Arial"/>
                <w:sz w:val="16"/>
                <w:szCs w:val="16"/>
              </w:rPr>
              <w:t>100%</w:t>
            </w:r>
          </w:p>
        </w:tc>
        <w:tc>
          <w:tcPr>
            <w:tcW w:w="692" w:type="dxa"/>
            <w:tcBorders>
              <w:left w:val="single" w:sz="4" w:space="0" w:color="BFBFBF" w:themeColor="background1" w:themeShade="BF"/>
              <w:right w:val="single" w:sz="4" w:space="0" w:color="auto"/>
            </w:tcBorders>
            <w:shd w:val="clear" w:color="auto" w:fill="F2F2F2"/>
            <w:vAlign w:val="center"/>
          </w:tcPr>
          <w:p w:rsidR="00C30B65" w:rsidRPr="00DC4C78" w:rsidRDefault="00C30B65" w:rsidP="00C30B65">
            <w:pPr>
              <w:jc w:val="center"/>
              <w:rPr>
                <w:rFonts w:ascii="Arial" w:hAnsi="Arial" w:cs="Arial"/>
                <w:sz w:val="16"/>
                <w:szCs w:val="16"/>
              </w:rPr>
            </w:pPr>
            <w:r w:rsidRPr="00DC4C78">
              <w:rPr>
                <w:rFonts w:ascii="Arial" w:hAnsi="Arial" w:cs="Arial"/>
                <w:sz w:val="16"/>
                <w:szCs w:val="16"/>
              </w:rPr>
              <w:t>100%</w:t>
            </w:r>
          </w:p>
        </w:tc>
      </w:tr>
      <w:tr w:rsidR="00C30B65" w:rsidRPr="00DC4C78" w:rsidTr="00C30B65">
        <w:trPr>
          <w:cantSplit/>
        </w:trPr>
        <w:tc>
          <w:tcPr>
            <w:tcW w:w="3821" w:type="dxa"/>
            <w:tcBorders>
              <w:right w:val="single" w:sz="8" w:space="0" w:color="000000" w:themeColor="text1"/>
            </w:tcBorders>
            <w:shd w:val="clear" w:color="auto" w:fill="auto"/>
          </w:tcPr>
          <w:p w:rsidR="00C30B65" w:rsidRPr="00DC4C78" w:rsidRDefault="00C30B65" w:rsidP="00C30B65">
            <w:pPr>
              <w:pStyle w:val="TableText"/>
              <w:spacing w:before="40" w:after="40"/>
              <w:ind w:left="284" w:hanging="284"/>
              <w:rPr>
                <w:rFonts w:cs="Arial"/>
                <w:color w:val="000000"/>
                <w:spacing w:val="-4"/>
                <w:sz w:val="16"/>
                <w:szCs w:val="16"/>
                <w:lang w:eastAsia="en-NZ"/>
              </w:rPr>
            </w:pPr>
            <w:r w:rsidRPr="00DC4C78">
              <w:rPr>
                <w:rFonts w:cs="Arial"/>
                <w:color w:val="000000"/>
                <w:spacing w:val="-4"/>
                <w:sz w:val="16"/>
                <w:szCs w:val="16"/>
                <w:lang w:eastAsia="en-NZ"/>
              </w:rPr>
              <w:t>26.</w:t>
            </w:r>
            <w:r w:rsidRPr="00DC4C78">
              <w:rPr>
                <w:rFonts w:cs="Arial"/>
                <w:color w:val="000000"/>
                <w:spacing w:val="-4"/>
                <w:sz w:val="16"/>
                <w:szCs w:val="16"/>
                <w:lang w:eastAsia="en-NZ"/>
              </w:rPr>
              <w:tab/>
              <w:t>Children with an untreated hearing problem are referred</w:t>
            </w:r>
          </w:p>
        </w:tc>
        <w:tc>
          <w:tcPr>
            <w:tcW w:w="691" w:type="dxa"/>
            <w:tcBorders>
              <w:left w:val="single" w:sz="8" w:space="0" w:color="000000" w:themeColor="text1"/>
            </w:tcBorders>
            <w:noWrap/>
            <w:vAlign w:val="center"/>
          </w:tcPr>
          <w:p w:rsidR="00C30B65" w:rsidRPr="00DC4C78" w:rsidRDefault="00C30B65" w:rsidP="00C30B65">
            <w:pPr>
              <w:pStyle w:val="TableText"/>
              <w:jc w:val="center"/>
              <w:rPr>
                <w:sz w:val="16"/>
              </w:rPr>
            </w:pPr>
            <w:r w:rsidRPr="00DC4C78">
              <w:rPr>
                <w:sz w:val="16"/>
              </w:rPr>
              <w:t>100%</w:t>
            </w:r>
          </w:p>
        </w:tc>
        <w:tc>
          <w:tcPr>
            <w:tcW w:w="692" w:type="dxa"/>
            <w:tcBorders>
              <w:left w:val="single" w:sz="4" w:space="0" w:color="A6A6A6"/>
            </w:tcBorders>
            <w:noWrap/>
            <w:vAlign w:val="center"/>
          </w:tcPr>
          <w:p w:rsidR="00C30B65" w:rsidRPr="00DC4C78" w:rsidRDefault="00C30B65" w:rsidP="00C30B65">
            <w:pPr>
              <w:pStyle w:val="TableText"/>
              <w:jc w:val="center"/>
              <w:rPr>
                <w:sz w:val="16"/>
              </w:rPr>
            </w:pPr>
            <w:r w:rsidRPr="00DC4C78">
              <w:rPr>
                <w:sz w:val="16"/>
              </w:rPr>
              <w:t>100%</w:t>
            </w:r>
          </w:p>
        </w:tc>
        <w:tc>
          <w:tcPr>
            <w:tcW w:w="692" w:type="dxa"/>
            <w:tcBorders>
              <w:left w:val="single" w:sz="4" w:space="0" w:color="A6A6A6"/>
            </w:tcBorders>
            <w:noWrap/>
            <w:vAlign w:val="center"/>
          </w:tcPr>
          <w:p w:rsidR="00C30B65" w:rsidRPr="00DC4C78" w:rsidRDefault="00C30B65" w:rsidP="00C30B65">
            <w:pPr>
              <w:pStyle w:val="TableText"/>
              <w:jc w:val="center"/>
              <w:rPr>
                <w:sz w:val="16"/>
              </w:rPr>
            </w:pPr>
            <w:r w:rsidRPr="00DC4C78">
              <w:rPr>
                <w:sz w:val="16"/>
              </w:rPr>
              <w:t>100%</w:t>
            </w:r>
          </w:p>
        </w:tc>
        <w:tc>
          <w:tcPr>
            <w:tcW w:w="692" w:type="dxa"/>
            <w:tcBorders>
              <w:left w:val="single" w:sz="4" w:space="0" w:color="A6A6A6"/>
              <w:right w:val="single" w:sz="8" w:space="0" w:color="000000" w:themeColor="text1"/>
            </w:tcBorders>
            <w:noWrap/>
            <w:vAlign w:val="center"/>
          </w:tcPr>
          <w:p w:rsidR="00C30B65" w:rsidRPr="00DC4C78" w:rsidRDefault="00C30B65" w:rsidP="00C30B65">
            <w:pPr>
              <w:pStyle w:val="TableText"/>
              <w:jc w:val="center"/>
              <w:rPr>
                <w:sz w:val="16"/>
              </w:rPr>
            </w:pPr>
            <w:r w:rsidRPr="00DC4C78">
              <w:rPr>
                <w:sz w:val="16"/>
              </w:rPr>
              <w:t>100%</w:t>
            </w:r>
          </w:p>
        </w:tc>
        <w:tc>
          <w:tcPr>
            <w:tcW w:w="692" w:type="dxa"/>
            <w:tcBorders>
              <w:left w:val="single" w:sz="8" w:space="0" w:color="000000" w:themeColor="text1"/>
              <w:right w:val="single" w:sz="4" w:space="0" w:color="BFBFBF" w:themeColor="background1" w:themeShade="BF"/>
            </w:tcBorders>
            <w:vAlign w:val="center"/>
          </w:tcPr>
          <w:p w:rsidR="00C30B65" w:rsidRPr="00DC4C78" w:rsidRDefault="00C30B65" w:rsidP="00C30B65">
            <w:pPr>
              <w:jc w:val="center"/>
              <w:rPr>
                <w:rFonts w:ascii="Arial" w:hAnsi="Arial" w:cs="Arial"/>
                <w:sz w:val="16"/>
                <w:szCs w:val="16"/>
              </w:rPr>
            </w:pPr>
            <w:r w:rsidRPr="00DC4C78">
              <w:rPr>
                <w:rFonts w:ascii="Arial" w:hAnsi="Arial" w:cs="Arial"/>
                <w:sz w:val="16"/>
                <w:szCs w:val="16"/>
              </w:rPr>
              <w:t>100%</w:t>
            </w:r>
          </w:p>
        </w:tc>
        <w:tc>
          <w:tcPr>
            <w:tcW w:w="692" w:type="dxa"/>
            <w:tcBorders>
              <w:left w:val="single" w:sz="4" w:space="0" w:color="BFBFBF" w:themeColor="background1" w:themeShade="BF"/>
              <w:right w:val="single" w:sz="4" w:space="0" w:color="BFBFBF" w:themeColor="background1" w:themeShade="BF"/>
            </w:tcBorders>
            <w:vAlign w:val="center"/>
          </w:tcPr>
          <w:p w:rsidR="00C30B65" w:rsidRPr="00DC4C78" w:rsidRDefault="00C30B65" w:rsidP="00C30B65">
            <w:pPr>
              <w:jc w:val="center"/>
              <w:rPr>
                <w:rFonts w:ascii="Arial" w:hAnsi="Arial" w:cs="Arial"/>
                <w:sz w:val="16"/>
                <w:szCs w:val="16"/>
              </w:rPr>
            </w:pPr>
            <w:r w:rsidRPr="00DC4C78">
              <w:rPr>
                <w:rFonts w:ascii="Arial" w:hAnsi="Arial" w:cs="Arial"/>
                <w:sz w:val="16"/>
                <w:szCs w:val="16"/>
              </w:rPr>
              <w:t>100%</w:t>
            </w:r>
          </w:p>
        </w:tc>
        <w:tc>
          <w:tcPr>
            <w:tcW w:w="692" w:type="dxa"/>
            <w:tcBorders>
              <w:left w:val="single" w:sz="4" w:space="0" w:color="BFBFBF" w:themeColor="background1" w:themeShade="BF"/>
              <w:right w:val="single" w:sz="4" w:space="0" w:color="BFBFBF" w:themeColor="background1" w:themeShade="BF"/>
            </w:tcBorders>
            <w:vAlign w:val="center"/>
          </w:tcPr>
          <w:p w:rsidR="00C30B65" w:rsidRPr="00DC4C78" w:rsidRDefault="00C30B65" w:rsidP="00C30B65">
            <w:pPr>
              <w:jc w:val="center"/>
              <w:rPr>
                <w:rFonts w:ascii="Arial" w:hAnsi="Arial" w:cs="Arial"/>
                <w:sz w:val="16"/>
                <w:szCs w:val="16"/>
              </w:rPr>
            </w:pPr>
            <w:r w:rsidRPr="00DC4C78">
              <w:rPr>
                <w:rFonts w:ascii="Arial" w:hAnsi="Arial" w:cs="Arial"/>
                <w:sz w:val="16"/>
                <w:szCs w:val="16"/>
              </w:rPr>
              <w:t>100%</w:t>
            </w:r>
          </w:p>
        </w:tc>
        <w:tc>
          <w:tcPr>
            <w:tcW w:w="692" w:type="dxa"/>
            <w:tcBorders>
              <w:left w:val="single" w:sz="4" w:space="0" w:color="BFBFBF" w:themeColor="background1" w:themeShade="BF"/>
              <w:right w:val="single" w:sz="4" w:space="0" w:color="auto"/>
            </w:tcBorders>
            <w:vAlign w:val="center"/>
          </w:tcPr>
          <w:p w:rsidR="00C30B65" w:rsidRPr="00DC4C78" w:rsidRDefault="00C30B65" w:rsidP="00C30B65">
            <w:pPr>
              <w:jc w:val="center"/>
              <w:rPr>
                <w:rFonts w:ascii="Arial" w:hAnsi="Arial" w:cs="Arial"/>
                <w:sz w:val="16"/>
                <w:szCs w:val="16"/>
              </w:rPr>
            </w:pPr>
            <w:r w:rsidRPr="00DC4C78">
              <w:rPr>
                <w:rFonts w:ascii="Arial" w:hAnsi="Arial" w:cs="Arial"/>
                <w:sz w:val="16"/>
                <w:szCs w:val="16"/>
              </w:rPr>
              <w:t>100%</w:t>
            </w:r>
          </w:p>
        </w:tc>
      </w:tr>
      <w:tr w:rsidR="00C30B65" w:rsidRPr="00DC4C78" w:rsidTr="00C30B65">
        <w:trPr>
          <w:cantSplit/>
        </w:trPr>
        <w:tc>
          <w:tcPr>
            <w:tcW w:w="3821" w:type="dxa"/>
            <w:tcBorders>
              <w:top w:val="nil"/>
              <w:bottom w:val="single" w:sz="4" w:space="0" w:color="auto"/>
              <w:right w:val="single" w:sz="8" w:space="0" w:color="000000" w:themeColor="text1"/>
            </w:tcBorders>
            <w:shd w:val="clear" w:color="auto" w:fill="F2F2F2"/>
          </w:tcPr>
          <w:p w:rsidR="00C30B65" w:rsidRPr="00DC4C78" w:rsidRDefault="00C30B65" w:rsidP="00C30B65">
            <w:pPr>
              <w:pStyle w:val="TableText"/>
              <w:spacing w:before="40" w:after="40"/>
              <w:ind w:left="284" w:hanging="284"/>
              <w:rPr>
                <w:rFonts w:cs="Arial"/>
                <w:color w:val="000000"/>
                <w:sz w:val="16"/>
                <w:szCs w:val="16"/>
                <w:lang w:eastAsia="en-NZ"/>
              </w:rPr>
            </w:pPr>
            <w:r w:rsidRPr="00DC4C78">
              <w:rPr>
                <w:rFonts w:cs="Arial"/>
                <w:color w:val="000000"/>
                <w:sz w:val="16"/>
                <w:szCs w:val="16"/>
                <w:lang w:eastAsia="en-NZ"/>
              </w:rPr>
              <w:t>27.</w:t>
            </w:r>
            <w:r w:rsidRPr="00DC4C78">
              <w:rPr>
                <w:rFonts w:cs="Arial"/>
                <w:color w:val="000000"/>
                <w:sz w:val="16"/>
                <w:szCs w:val="16"/>
                <w:lang w:eastAsia="en-NZ"/>
              </w:rPr>
              <w:tab/>
              <w:t xml:space="preserve">Children with a </w:t>
            </w:r>
            <w:r>
              <w:rPr>
                <w:rFonts w:cs="Arial"/>
                <w:color w:val="000000"/>
                <w:sz w:val="16"/>
                <w:szCs w:val="16"/>
                <w:lang w:eastAsia="en-NZ"/>
              </w:rPr>
              <w:t>BMI</w:t>
            </w:r>
            <w:r w:rsidRPr="00DC4C78">
              <w:rPr>
                <w:rFonts w:cs="Arial"/>
                <w:color w:val="000000"/>
                <w:sz w:val="16"/>
                <w:szCs w:val="16"/>
                <w:lang w:eastAsia="en-NZ"/>
              </w:rPr>
              <w:t xml:space="preserve"> &gt; 99.4th percentile are referred</w:t>
            </w:r>
          </w:p>
        </w:tc>
        <w:tc>
          <w:tcPr>
            <w:tcW w:w="691" w:type="dxa"/>
            <w:tcBorders>
              <w:top w:val="nil"/>
              <w:left w:val="single" w:sz="8" w:space="0" w:color="000000" w:themeColor="text1"/>
              <w:bottom w:val="single" w:sz="4" w:space="0" w:color="auto"/>
            </w:tcBorders>
            <w:shd w:val="clear" w:color="auto" w:fill="F2F2F2"/>
            <w:noWrap/>
            <w:vAlign w:val="center"/>
          </w:tcPr>
          <w:p w:rsidR="00C30B65" w:rsidRPr="00DC4C78" w:rsidRDefault="00C30B65" w:rsidP="00C30B65">
            <w:pPr>
              <w:pStyle w:val="TableText"/>
              <w:jc w:val="center"/>
              <w:rPr>
                <w:sz w:val="16"/>
              </w:rPr>
            </w:pPr>
            <w:r w:rsidRPr="00DC4C78">
              <w:rPr>
                <w:sz w:val="16"/>
              </w:rPr>
              <w:t>86%</w:t>
            </w:r>
          </w:p>
        </w:tc>
        <w:tc>
          <w:tcPr>
            <w:tcW w:w="692" w:type="dxa"/>
            <w:tcBorders>
              <w:top w:val="nil"/>
              <w:left w:val="single" w:sz="4" w:space="0" w:color="A6A6A6"/>
              <w:bottom w:val="single" w:sz="4" w:space="0" w:color="auto"/>
            </w:tcBorders>
            <w:shd w:val="clear" w:color="auto" w:fill="F2F2F2"/>
            <w:noWrap/>
            <w:vAlign w:val="center"/>
          </w:tcPr>
          <w:p w:rsidR="00C30B65" w:rsidRPr="00DC4C78" w:rsidRDefault="00C30B65" w:rsidP="00C30B65">
            <w:pPr>
              <w:pStyle w:val="TableText"/>
              <w:jc w:val="center"/>
              <w:rPr>
                <w:sz w:val="16"/>
              </w:rPr>
            </w:pPr>
            <w:r w:rsidRPr="00DC4C78">
              <w:rPr>
                <w:sz w:val="16"/>
              </w:rPr>
              <w:t>86%</w:t>
            </w:r>
          </w:p>
        </w:tc>
        <w:tc>
          <w:tcPr>
            <w:tcW w:w="692" w:type="dxa"/>
            <w:tcBorders>
              <w:top w:val="nil"/>
              <w:left w:val="single" w:sz="4" w:space="0" w:color="A6A6A6"/>
              <w:bottom w:val="single" w:sz="4" w:space="0" w:color="auto"/>
            </w:tcBorders>
            <w:shd w:val="clear" w:color="auto" w:fill="F2F2F2"/>
            <w:noWrap/>
            <w:vAlign w:val="center"/>
          </w:tcPr>
          <w:p w:rsidR="00C30B65" w:rsidRPr="00DC4C78" w:rsidRDefault="00C30B65" w:rsidP="00C30B65">
            <w:pPr>
              <w:pStyle w:val="TableText"/>
              <w:jc w:val="center"/>
              <w:rPr>
                <w:sz w:val="16"/>
              </w:rPr>
            </w:pPr>
            <w:r w:rsidRPr="00DC4C78">
              <w:rPr>
                <w:sz w:val="16"/>
              </w:rPr>
              <w:t>75%</w:t>
            </w:r>
          </w:p>
        </w:tc>
        <w:tc>
          <w:tcPr>
            <w:tcW w:w="692" w:type="dxa"/>
            <w:tcBorders>
              <w:top w:val="nil"/>
              <w:left w:val="single" w:sz="4" w:space="0" w:color="A6A6A6"/>
              <w:bottom w:val="single" w:sz="4" w:space="0" w:color="auto"/>
              <w:right w:val="single" w:sz="8" w:space="0" w:color="000000" w:themeColor="text1"/>
            </w:tcBorders>
            <w:shd w:val="clear" w:color="auto" w:fill="F2F2F2"/>
            <w:noWrap/>
            <w:vAlign w:val="center"/>
          </w:tcPr>
          <w:p w:rsidR="00C30B65" w:rsidRPr="00DC4C78" w:rsidRDefault="00C30B65" w:rsidP="00C30B65">
            <w:pPr>
              <w:pStyle w:val="TableText"/>
              <w:jc w:val="center"/>
              <w:rPr>
                <w:sz w:val="16"/>
              </w:rPr>
            </w:pPr>
            <w:r w:rsidRPr="00DC4C78">
              <w:rPr>
                <w:sz w:val="16"/>
              </w:rPr>
              <w:t>99%</w:t>
            </w:r>
          </w:p>
        </w:tc>
        <w:tc>
          <w:tcPr>
            <w:tcW w:w="692" w:type="dxa"/>
            <w:tcBorders>
              <w:top w:val="nil"/>
              <w:left w:val="single" w:sz="8" w:space="0" w:color="000000" w:themeColor="text1"/>
              <w:bottom w:val="single" w:sz="4" w:space="0" w:color="auto"/>
              <w:right w:val="single" w:sz="4" w:space="0" w:color="BFBFBF" w:themeColor="background1" w:themeShade="BF"/>
            </w:tcBorders>
            <w:shd w:val="clear" w:color="auto" w:fill="F2F2F2"/>
            <w:vAlign w:val="center"/>
          </w:tcPr>
          <w:p w:rsidR="00C30B65" w:rsidRPr="00DC4C78" w:rsidRDefault="00C30B65" w:rsidP="00C30B65">
            <w:pPr>
              <w:jc w:val="center"/>
              <w:rPr>
                <w:rFonts w:ascii="Arial" w:hAnsi="Arial" w:cs="Arial"/>
                <w:sz w:val="16"/>
                <w:szCs w:val="16"/>
              </w:rPr>
            </w:pPr>
            <w:r w:rsidRPr="00DC4C78">
              <w:rPr>
                <w:rFonts w:ascii="Arial" w:hAnsi="Arial" w:cs="Arial"/>
                <w:sz w:val="16"/>
                <w:szCs w:val="16"/>
              </w:rPr>
              <w:t>83%</w:t>
            </w:r>
          </w:p>
        </w:tc>
        <w:tc>
          <w:tcPr>
            <w:tcW w:w="692" w:type="dxa"/>
            <w:tcBorders>
              <w:top w:val="nil"/>
              <w:left w:val="single" w:sz="4" w:space="0" w:color="BFBFBF" w:themeColor="background1" w:themeShade="BF"/>
              <w:bottom w:val="single" w:sz="4" w:space="0" w:color="auto"/>
              <w:right w:val="single" w:sz="4" w:space="0" w:color="BFBFBF" w:themeColor="background1" w:themeShade="BF"/>
            </w:tcBorders>
            <w:shd w:val="clear" w:color="auto" w:fill="F2F2F2"/>
            <w:vAlign w:val="center"/>
          </w:tcPr>
          <w:p w:rsidR="00C30B65" w:rsidRPr="00DC4C78" w:rsidRDefault="00C30B65" w:rsidP="00C30B65">
            <w:pPr>
              <w:jc w:val="center"/>
              <w:rPr>
                <w:rFonts w:ascii="Arial" w:hAnsi="Arial" w:cs="Arial"/>
                <w:sz w:val="16"/>
                <w:szCs w:val="16"/>
              </w:rPr>
            </w:pPr>
            <w:r w:rsidRPr="00DC4C78">
              <w:rPr>
                <w:rFonts w:ascii="Arial" w:hAnsi="Arial" w:cs="Arial"/>
                <w:sz w:val="16"/>
                <w:szCs w:val="16"/>
              </w:rPr>
              <w:t>87%</w:t>
            </w:r>
          </w:p>
        </w:tc>
        <w:tc>
          <w:tcPr>
            <w:tcW w:w="692" w:type="dxa"/>
            <w:tcBorders>
              <w:top w:val="nil"/>
              <w:left w:val="single" w:sz="4" w:space="0" w:color="BFBFBF" w:themeColor="background1" w:themeShade="BF"/>
              <w:bottom w:val="single" w:sz="4" w:space="0" w:color="auto"/>
              <w:right w:val="single" w:sz="4" w:space="0" w:color="BFBFBF" w:themeColor="background1" w:themeShade="BF"/>
            </w:tcBorders>
            <w:shd w:val="clear" w:color="auto" w:fill="F2F2F2"/>
            <w:vAlign w:val="center"/>
          </w:tcPr>
          <w:p w:rsidR="00C30B65" w:rsidRPr="00DC4C78" w:rsidRDefault="00C30B65" w:rsidP="00C30B65">
            <w:pPr>
              <w:jc w:val="center"/>
              <w:rPr>
                <w:rFonts w:ascii="Arial" w:hAnsi="Arial" w:cs="Arial"/>
                <w:sz w:val="16"/>
                <w:szCs w:val="16"/>
              </w:rPr>
            </w:pPr>
            <w:r w:rsidRPr="00DC4C78">
              <w:rPr>
                <w:rFonts w:ascii="Arial" w:hAnsi="Arial" w:cs="Arial"/>
                <w:sz w:val="16"/>
                <w:szCs w:val="16"/>
              </w:rPr>
              <w:t>79%</w:t>
            </w:r>
          </w:p>
        </w:tc>
        <w:tc>
          <w:tcPr>
            <w:tcW w:w="692" w:type="dxa"/>
            <w:tcBorders>
              <w:top w:val="nil"/>
              <w:left w:val="single" w:sz="4" w:space="0" w:color="BFBFBF" w:themeColor="background1" w:themeShade="BF"/>
              <w:bottom w:val="single" w:sz="4" w:space="0" w:color="auto"/>
              <w:right w:val="single" w:sz="4" w:space="0" w:color="auto"/>
            </w:tcBorders>
            <w:shd w:val="clear" w:color="auto" w:fill="F2F2F2"/>
            <w:vAlign w:val="center"/>
          </w:tcPr>
          <w:p w:rsidR="00C30B65" w:rsidRPr="00DC4C78" w:rsidRDefault="00C30B65" w:rsidP="00C30B65">
            <w:pPr>
              <w:jc w:val="center"/>
              <w:rPr>
                <w:rFonts w:ascii="Arial" w:hAnsi="Arial" w:cs="Arial"/>
                <w:sz w:val="16"/>
                <w:szCs w:val="16"/>
              </w:rPr>
            </w:pPr>
            <w:r w:rsidRPr="00DC4C78">
              <w:rPr>
                <w:rFonts w:ascii="Arial" w:hAnsi="Arial" w:cs="Arial"/>
                <w:sz w:val="16"/>
                <w:szCs w:val="16"/>
              </w:rPr>
              <w:t>92%</w:t>
            </w:r>
          </w:p>
        </w:tc>
      </w:tr>
    </w:tbl>
    <w:p w:rsidR="00C30B65" w:rsidRPr="00DC4C78" w:rsidRDefault="00C30B65" w:rsidP="00C30B65">
      <w:pPr>
        <w:pStyle w:val="Note"/>
        <w:spacing w:before="40"/>
        <w:ind w:left="0" w:right="0" w:firstLine="0"/>
        <w:rPr>
          <w:rStyle w:val="NoteChar"/>
          <w:sz w:val="16"/>
          <w:szCs w:val="16"/>
        </w:rPr>
      </w:pPr>
      <w:r w:rsidRPr="00DC4C78">
        <w:rPr>
          <w:rStyle w:val="NoteChar"/>
          <w:sz w:val="16"/>
          <w:szCs w:val="16"/>
        </w:rPr>
        <w:t xml:space="preserve">Note: </w:t>
      </w:r>
      <w:r>
        <w:rPr>
          <w:rStyle w:val="NoteChar"/>
          <w:sz w:val="16"/>
          <w:szCs w:val="16"/>
        </w:rPr>
        <w:t xml:space="preserve">B4SC = B4 School Check; BMI = body mass index; </w:t>
      </w:r>
      <w:proofErr w:type="spellStart"/>
      <w:r>
        <w:rPr>
          <w:rStyle w:val="NoteChar"/>
          <w:sz w:val="16"/>
          <w:szCs w:val="16"/>
        </w:rPr>
        <w:t>dmft</w:t>
      </w:r>
      <w:proofErr w:type="spellEnd"/>
      <w:r w:rsidRPr="00DC4C78">
        <w:rPr>
          <w:rStyle w:val="NoteChar"/>
          <w:sz w:val="16"/>
          <w:szCs w:val="16"/>
        </w:rPr>
        <w:t xml:space="preserve"> = count of decayed, missing or filled deciduous teeth; </w:t>
      </w:r>
      <w:r>
        <w:rPr>
          <w:rStyle w:val="NoteChar"/>
          <w:sz w:val="16"/>
          <w:szCs w:val="16"/>
        </w:rPr>
        <w:t xml:space="preserve">ECE = early childhood education; </w:t>
      </w:r>
      <w:r w:rsidRPr="00DC4C78">
        <w:rPr>
          <w:rStyle w:val="NoteChar"/>
          <w:sz w:val="16"/>
          <w:szCs w:val="16"/>
        </w:rPr>
        <w:t xml:space="preserve">High </w:t>
      </w:r>
      <w:proofErr w:type="spellStart"/>
      <w:r w:rsidRPr="00DC4C78">
        <w:rPr>
          <w:rStyle w:val="NoteChar"/>
          <w:sz w:val="16"/>
          <w:szCs w:val="16"/>
        </w:rPr>
        <w:t>dep</w:t>
      </w:r>
      <w:proofErr w:type="spellEnd"/>
      <w:r w:rsidRPr="00DC4C78">
        <w:rPr>
          <w:rStyle w:val="NoteChar"/>
          <w:sz w:val="16"/>
          <w:szCs w:val="16"/>
        </w:rPr>
        <w:t xml:space="preserve"> = </w:t>
      </w:r>
      <w:r>
        <w:rPr>
          <w:rStyle w:val="NoteChar"/>
          <w:sz w:val="16"/>
          <w:szCs w:val="16"/>
        </w:rPr>
        <w:t xml:space="preserve">the population living in areas of </w:t>
      </w:r>
      <w:r w:rsidRPr="00DC4C78">
        <w:rPr>
          <w:rStyle w:val="NoteChar"/>
          <w:sz w:val="16"/>
          <w:szCs w:val="16"/>
        </w:rPr>
        <w:t xml:space="preserve">high socioeconomic deprivation; </w:t>
      </w:r>
      <w:r>
        <w:rPr>
          <w:rStyle w:val="NoteChar"/>
          <w:sz w:val="16"/>
          <w:szCs w:val="16"/>
        </w:rPr>
        <w:t>LMC = lead maternity carer;</w:t>
      </w:r>
      <w:r w:rsidRPr="00DC4C78">
        <w:rPr>
          <w:rStyle w:val="NoteChar"/>
          <w:sz w:val="16"/>
          <w:szCs w:val="16"/>
        </w:rPr>
        <w:t xml:space="preserve"> N/A = not available; PEDS = Parental Evaluation of Developmental Status; SDQ-P = Strengths and Difficulties Questionnaire (Parent); WCTO = Well Child / </w:t>
      </w:r>
      <w:proofErr w:type="spellStart"/>
      <w:r w:rsidRPr="00DC4C78">
        <w:rPr>
          <w:rStyle w:val="NoteChar"/>
          <w:sz w:val="16"/>
          <w:szCs w:val="16"/>
        </w:rPr>
        <w:t>Tamariki</w:t>
      </w:r>
      <w:proofErr w:type="spellEnd"/>
      <w:r w:rsidRPr="00DC4C78">
        <w:rPr>
          <w:rStyle w:val="NoteChar"/>
          <w:sz w:val="16"/>
          <w:szCs w:val="16"/>
        </w:rPr>
        <w:t xml:space="preserve"> </w:t>
      </w:r>
      <w:proofErr w:type="spellStart"/>
      <w:r w:rsidRPr="00DC4C78">
        <w:rPr>
          <w:rStyle w:val="NoteChar"/>
          <w:sz w:val="16"/>
          <w:szCs w:val="16"/>
        </w:rPr>
        <w:t>Ora</w:t>
      </w:r>
      <w:proofErr w:type="spellEnd"/>
      <w:r w:rsidRPr="00DC4C78">
        <w:rPr>
          <w:rStyle w:val="NoteChar"/>
          <w:sz w:val="16"/>
          <w:szCs w:val="16"/>
        </w:rPr>
        <w:t>.</w:t>
      </w:r>
    </w:p>
    <w:p w:rsidR="00C30B65" w:rsidRPr="00DC4C78" w:rsidRDefault="00C30B65" w:rsidP="00C30B65">
      <w:pPr>
        <w:pStyle w:val="Note"/>
        <w:spacing w:before="40"/>
        <w:ind w:left="198" w:right="0" w:hanging="198"/>
        <w:rPr>
          <w:spacing w:val="-2"/>
          <w:sz w:val="16"/>
          <w:szCs w:val="16"/>
        </w:rPr>
      </w:pPr>
      <w:r w:rsidRPr="00DC4C78">
        <w:rPr>
          <w:rStyle w:val="NoteChar"/>
          <w:sz w:val="16"/>
          <w:szCs w:val="16"/>
        </w:rPr>
        <w:t>*</w:t>
      </w:r>
      <w:r w:rsidRPr="00DC4C78">
        <w:rPr>
          <w:rStyle w:val="NoteChar"/>
          <w:sz w:val="16"/>
          <w:szCs w:val="16"/>
        </w:rPr>
        <w:tab/>
      </w:r>
      <w:r w:rsidRPr="00DC4C78">
        <w:rPr>
          <w:spacing w:val="-2"/>
          <w:sz w:val="16"/>
          <w:szCs w:val="16"/>
        </w:rPr>
        <w:t xml:space="preserve">Data to monitor this indicator is not yet available. </w:t>
      </w:r>
      <w:r>
        <w:rPr>
          <w:spacing w:val="-2"/>
          <w:sz w:val="16"/>
          <w:szCs w:val="16"/>
        </w:rPr>
        <w:t xml:space="preserve">Primary health organisation (PHO) </w:t>
      </w:r>
      <w:r w:rsidRPr="00DC4C78">
        <w:rPr>
          <w:spacing w:val="-2"/>
          <w:sz w:val="16"/>
          <w:szCs w:val="16"/>
        </w:rPr>
        <w:t xml:space="preserve">enrolment at three months will be used as a </w:t>
      </w:r>
      <w:r w:rsidRPr="005A3F4A">
        <w:rPr>
          <w:spacing w:val="-2"/>
          <w:sz w:val="16"/>
          <w:szCs w:val="16"/>
        </w:rPr>
        <w:t>de facto</w:t>
      </w:r>
      <w:r w:rsidRPr="00DC4C78">
        <w:rPr>
          <w:spacing w:val="-2"/>
          <w:sz w:val="16"/>
          <w:szCs w:val="16"/>
        </w:rPr>
        <w:t xml:space="preserve"> indicator in the interim.</w:t>
      </w:r>
    </w:p>
    <w:p w:rsidR="00E33238" w:rsidRDefault="00C30B65" w:rsidP="00C30B65">
      <w:pPr>
        <w:pStyle w:val="Note"/>
        <w:spacing w:before="40"/>
        <w:ind w:left="198" w:right="0" w:hanging="198"/>
      </w:pPr>
      <w:r w:rsidRPr="00DC4C78">
        <w:rPr>
          <w:rStyle w:val="NoteChar"/>
          <w:sz w:val="16"/>
          <w:szCs w:val="16"/>
        </w:rPr>
        <w:t>**</w:t>
      </w:r>
      <w:r w:rsidRPr="00DC4C78">
        <w:rPr>
          <w:rStyle w:val="NoteChar"/>
          <w:sz w:val="16"/>
          <w:szCs w:val="16"/>
        </w:rPr>
        <w:tab/>
        <w:t xml:space="preserve">Includes </w:t>
      </w:r>
      <w:r w:rsidR="00700141">
        <w:rPr>
          <w:rStyle w:val="NoteChar"/>
          <w:sz w:val="16"/>
          <w:szCs w:val="16"/>
        </w:rPr>
        <w:t>‘</w:t>
      </w:r>
      <w:r w:rsidRPr="00DC4C78">
        <w:rPr>
          <w:rStyle w:val="NoteChar"/>
          <w:sz w:val="16"/>
          <w:szCs w:val="16"/>
        </w:rPr>
        <w:t>advice given</w:t>
      </w:r>
      <w:r w:rsidR="00700141">
        <w:rPr>
          <w:rStyle w:val="NoteChar"/>
          <w:sz w:val="16"/>
          <w:szCs w:val="16"/>
        </w:rPr>
        <w:t>’</w:t>
      </w:r>
      <w:r w:rsidRPr="00DC4C78">
        <w:rPr>
          <w:rStyle w:val="NoteChar"/>
          <w:sz w:val="16"/>
          <w:szCs w:val="16"/>
        </w:rPr>
        <w:t xml:space="preserve">; all other referrals exclude </w:t>
      </w:r>
      <w:r w:rsidR="00700141">
        <w:rPr>
          <w:rStyle w:val="NoteChar"/>
          <w:sz w:val="16"/>
          <w:szCs w:val="16"/>
        </w:rPr>
        <w:t>‘</w:t>
      </w:r>
      <w:r w:rsidRPr="00DC4C78">
        <w:rPr>
          <w:rStyle w:val="NoteChar"/>
          <w:sz w:val="16"/>
          <w:szCs w:val="16"/>
        </w:rPr>
        <w:t>advice given</w:t>
      </w:r>
      <w:r w:rsidR="00700141">
        <w:rPr>
          <w:rStyle w:val="NoteChar"/>
          <w:sz w:val="16"/>
          <w:szCs w:val="16"/>
        </w:rPr>
        <w:t>’</w:t>
      </w:r>
      <w:r w:rsidRPr="00DC4C78">
        <w:rPr>
          <w:rStyle w:val="NoteChar"/>
          <w:sz w:val="16"/>
          <w:szCs w:val="16"/>
        </w:rPr>
        <w:t>. See full analysis for more information.</w:t>
      </w:r>
    </w:p>
    <w:p w:rsidR="00C86248" w:rsidRDefault="00C86248">
      <w:pPr>
        <w:pStyle w:val="IntroHead"/>
      </w:pPr>
      <w:r>
        <w:lastRenderedPageBreak/>
        <w:t>Contents</w:t>
      </w:r>
      <w:bookmarkEnd w:id="3"/>
      <w:bookmarkEnd w:id="4"/>
    </w:p>
    <w:p w:rsidR="00B3668D" w:rsidRDefault="00C86248">
      <w:pPr>
        <w:pStyle w:val="TOC1"/>
        <w:rPr>
          <w:rFonts w:asciiTheme="minorHAnsi" w:eastAsiaTheme="minorEastAsia" w:hAnsiTheme="minorHAnsi" w:cstheme="minorBidi"/>
          <w:b w:val="0"/>
          <w:noProof/>
          <w:szCs w:val="22"/>
          <w:lang w:eastAsia="en-NZ"/>
        </w:rPr>
      </w:pPr>
      <w:r>
        <w:rPr>
          <w:b w:val="0"/>
        </w:rPr>
        <w:fldChar w:fldCharType="begin"/>
      </w:r>
      <w:r>
        <w:instrText xml:space="preserve"> TOC \o "1-2" </w:instrText>
      </w:r>
      <w:r>
        <w:rPr>
          <w:b w:val="0"/>
        </w:rPr>
        <w:fldChar w:fldCharType="separate"/>
      </w:r>
      <w:r w:rsidR="00B3668D">
        <w:rPr>
          <w:noProof/>
        </w:rPr>
        <w:t>Foreword from the Expert Advisory Group</w:t>
      </w:r>
      <w:r w:rsidR="00B3668D">
        <w:rPr>
          <w:noProof/>
        </w:rPr>
        <w:tab/>
      </w:r>
      <w:r w:rsidR="00B3668D">
        <w:rPr>
          <w:noProof/>
        </w:rPr>
        <w:fldChar w:fldCharType="begin"/>
      </w:r>
      <w:r w:rsidR="00B3668D">
        <w:rPr>
          <w:noProof/>
        </w:rPr>
        <w:instrText xml:space="preserve"> PAGEREF _Toc440387779 \h </w:instrText>
      </w:r>
      <w:r w:rsidR="00B3668D">
        <w:rPr>
          <w:noProof/>
        </w:rPr>
      </w:r>
      <w:r w:rsidR="00B3668D">
        <w:rPr>
          <w:noProof/>
        </w:rPr>
        <w:fldChar w:fldCharType="separate"/>
      </w:r>
      <w:r w:rsidR="009A345E">
        <w:rPr>
          <w:noProof/>
        </w:rPr>
        <w:t>iii</w:t>
      </w:r>
      <w:r w:rsidR="00B3668D">
        <w:rPr>
          <w:noProof/>
        </w:rPr>
        <w:fldChar w:fldCharType="end"/>
      </w:r>
    </w:p>
    <w:p w:rsidR="00B3668D" w:rsidRDefault="00B3668D">
      <w:pPr>
        <w:pStyle w:val="TOC1"/>
        <w:rPr>
          <w:rFonts w:asciiTheme="minorHAnsi" w:eastAsiaTheme="minorEastAsia" w:hAnsiTheme="minorHAnsi" w:cstheme="minorBidi"/>
          <w:b w:val="0"/>
          <w:noProof/>
          <w:szCs w:val="22"/>
          <w:lang w:eastAsia="en-NZ"/>
        </w:rPr>
      </w:pPr>
      <w:r>
        <w:rPr>
          <w:noProof/>
        </w:rPr>
        <w:t>Summary of national results</w:t>
      </w:r>
      <w:r>
        <w:rPr>
          <w:noProof/>
        </w:rPr>
        <w:tab/>
      </w:r>
      <w:r>
        <w:rPr>
          <w:noProof/>
        </w:rPr>
        <w:fldChar w:fldCharType="begin"/>
      </w:r>
      <w:r>
        <w:rPr>
          <w:noProof/>
        </w:rPr>
        <w:instrText xml:space="preserve"> PAGEREF _Toc440387780 \h </w:instrText>
      </w:r>
      <w:r>
        <w:rPr>
          <w:noProof/>
        </w:rPr>
      </w:r>
      <w:r>
        <w:rPr>
          <w:noProof/>
        </w:rPr>
        <w:fldChar w:fldCharType="separate"/>
      </w:r>
      <w:r w:rsidR="009A345E">
        <w:rPr>
          <w:noProof/>
        </w:rPr>
        <w:t>iv</w:t>
      </w:r>
      <w:r>
        <w:rPr>
          <w:noProof/>
        </w:rPr>
        <w:fldChar w:fldCharType="end"/>
      </w:r>
    </w:p>
    <w:p w:rsidR="00B3668D" w:rsidRDefault="00B3668D">
      <w:pPr>
        <w:pStyle w:val="TOC1"/>
        <w:rPr>
          <w:rFonts w:asciiTheme="minorHAnsi" w:eastAsiaTheme="minorEastAsia" w:hAnsiTheme="minorHAnsi" w:cstheme="minorBidi"/>
          <w:b w:val="0"/>
          <w:noProof/>
          <w:szCs w:val="22"/>
          <w:lang w:eastAsia="en-NZ"/>
        </w:rPr>
      </w:pPr>
      <w:r>
        <w:rPr>
          <w:noProof/>
        </w:rPr>
        <w:t>Introduction</w:t>
      </w:r>
      <w:r>
        <w:rPr>
          <w:noProof/>
        </w:rPr>
        <w:tab/>
      </w:r>
      <w:r>
        <w:rPr>
          <w:noProof/>
        </w:rPr>
        <w:fldChar w:fldCharType="begin"/>
      </w:r>
      <w:r>
        <w:rPr>
          <w:noProof/>
        </w:rPr>
        <w:instrText xml:space="preserve"> PAGEREF _Toc440387781 \h </w:instrText>
      </w:r>
      <w:r>
        <w:rPr>
          <w:noProof/>
        </w:rPr>
      </w:r>
      <w:r>
        <w:rPr>
          <w:noProof/>
        </w:rPr>
        <w:fldChar w:fldCharType="separate"/>
      </w:r>
      <w:r w:rsidR="009A345E">
        <w:rPr>
          <w:noProof/>
        </w:rPr>
        <w:t>1</w:t>
      </w:r>
      <w:r>
        <w:rPr>
          <w:noProof/>
        </w:rPr>
        <w:fldChar w:fldCharType="end"/>
      </w:r>
    </w:p>
    <w:p w:rsidR="00B3668D" w:rsidRDefault="00B3668D">
      <w:pPr>
        <w:pStyle w:val="TOC2"/>
        <w:rPr>
          <w:rFonts w:asciiTheme="minorHAnsi" w:eastAsiaTheme="minorEastAsia" w:hAnsiTheme="minorHAnsi" w:cstheme="minorBidi"/>
          <w:noProof/>
          <w:szCs w:val="22"/>
          <w:lang w:eastAsia="en-NZ"/>
        </w:rPr>
      </w:pPr>
      <w:r>
        <w:rPr>
          <w:noProof/>
        </w:rPr>
        <w:t>Background</w:t>
      </w:r>
      <w:r>
        <w:rPr>
          <w:noProof/>
        </w:rPr>
        <w:tab/>
      </w:r>
      <w:r>
        <w:rPr>
          <w:noProof/>
        </w:rPr>
        <w:fldChar w:fldCharType="begin"/>
      </w:r>
      <w:r>
        <w:rPr>
          <w:noProof/>
        </w:rPr>
        <w:instrText xml:space="preserve"> PAGEREF _Toc440387782 \h </w:instrText>
      </w:r>
      <w:r>
        <w:rPr>
          <w:noProof/>
        </w:rPr>
      </w:r>
      <w:r>
        <w:rPr>
          <w:noProof/>
        </w:rPr>
        <w:fldChar w:fldCharType="separate"/>
      </w:r>
      <w:r w:rsidR="009A345E">
        <w:rPr>
          <w:noProof/>
        </w:rPr>
        <w:t>1</w:t>
      </w:r>
      <w:r>
        <w:rPr>
          <w:noProof/>
        </w:rPr>
        <w:fldChar w:fldCharType="end"/>
      </w:r>
    </w:p>
    <w:p w:rsidR="00B3668D" w:rsidRDefault="00B3668D">
      <w:pPr>
        <w:pStyle w:val="TOC2"/>
        <w:rPr>
          <w:rFonts w:asciiTheme="minorHAnsi" w:eastAsiaTheme="minorEastAsia" w:hAnsiTheme="minorHAnsi" w:cstheme="minorBidi"/>
          <w:noProof/>
          <w:szCs w:val="22"/>
          <w:lang w:eastAsia="en-NZ"/>
        </w:rPr>
      </w:pPr>
      <w:r>
        <w:rPr>
          <w:noProof/>
        </w:rPr>
        <w:t>Development of the quality indicators</w:t>
      </w:r>
      <w:r>
        <w:rPr>
          <w:noProof/>
        </w:rPr>
        <w:tab/>
      </w:r>
      <w:r>
        <w:rPr>
          <w:noProof/>
        </w:rPr>
        <w:fldChar w:fldCharType="begin"/>
      </w:r>
      <w:r>
        <w:rPr>
          <w:noProof/>
        </w:rPr>
        <w:instrText xml:space="preserve"> PAGEREF _Toc440387783 \h </w:instrText>
      </w:r>
      <w:r>
        <w:rPr>
          <w:noProof/>
        </w:rPr>
      </w:r>
      <w:r>
        <w:rPr>
          <w:noProof/>
        </w:rPr>
        <w:fldChar w:fldCharType="separate"/>
      </w:r>
      <w:r w:rsidR="009A345E">
        <w:rPr>
          <w:noProof/>
        </w:rPr>
        <w:t>1</w:t>
      </w:r>
      <w:r>
        <w:rPr>
          <w:noProof/>
        </w:rPr>
        <w:fldChar w:fldCharType="end"/>
      </w:r>
    </w:p>
    <w:p w:rsidR="00B3668D" w:rsidRDefault="00B3668D">
      <w:pPr>
        <w:pStyle w:val="TOC2"/>
        <w:rPr>
          <w:rFonts w:asciiTheme="minorHAnsi" w:eastAsiaTheme="minorEastAsia" w:hAnsiTheme="minorHAnsi" w:cstheme="minorBidi"/>
          <w:noProof/>
          <w:szCs w:val="22"/>
          <w:lang w:eastAsia="en-NZ"/>
        </w:rPr>
      </w:pPr>
      <w:r>
        <w:rPr>
          <w:noProof/>
        </w:rPr>
        <w:t>Quality indicator targets</w:t>
      </w:r>
      <w:r>
        <w:rPr>
          <w:noProof/>
        </w:rPr>
        <w:tab/>
      </w:r>
      <w:r>
        <w:rPr>
          <w:noProof/>
        </w:rPr>
        <w:fldChar w:fldCharType="begin"/>
      </w:r>
      <w:r>
        <w:rPr>
          <w:noProof/>
        </w:rPr>
        <w:instrText xml:space="preserve"> PAGEREF _Toc440387784 \h </w:instrText>
      </w:r>
      <w:r>
        <w:rPr>
          <w:noProof/>
        </w:rPr>
      </w:r>
      <w:r>
        <w:rPr>
          <w:noProof/>
        </w:rPr>
        <w:fldChar w:fldCharType="separate"/>
      </w:r>
      <w:r w:rsidR="009A345E">
        <w:rPr>
          <w:noProof/>
        </w:rPr>
        <w:t>2</w:t>
      </w:r>
      <w:r>
        <w:rPr>
          <w:noProof/>
        </w:rPr>
        <w:fldChar w:fldCharType="end"/>
      </w:r>
    </w:p>
    <w:p w:rsidR="00B3668D" w:rsidRDefault="00B3668D">
      <w:pPr>
        <w:pStyle w:val="TOC2"/>
        <w:rPr>
          <w:rFonts w:asciiTheme="minorHAnsi" w:eastAsiaTheme="minorEastAsia" w:hAnsiTheme="minorHAnsi" w:cstheme="minorBidi"/>
          <w:noProof/>
          <w:szCs w:val="22"/>
          <w:lang w:eastAsia="en-NZ"/>
        </w:rPr>
      </w:pPr>
      <w:r>
        <w:rPr>
          <w:noProof/>
        </w:rPr>
        <w:t>How to use this document</w:t>
      </w:r>
      <w:r>
        <w:rPr>
          <w:noProof/>
        </w:rPr>
        <w:tab/>
      </w:r>
      <w:r>
        <w:rPr>
          <w:noProof/>
        </w:rPr>
        <w:fldChar w:fldCharType="begin"/>
      </w:r>
      <w:r>
        <w:rPr>
          <w:noProof/>
        </w:rPr>
        <w:instrText xml:space="preserve"> PAGEREF _Toc440387785 \h </w:instrText>
      </w:r>
      <w:r>
        <w:rPr>
          <w:noProof/>
        </w:rPr>
      </w:r>
      <w:r>
        <w:rPr>
          <w:noProof/>
        </w:rPr>
        <w:fldChar w:fldCharType="separate"/>
      </w:r>
      <w:r w:rsidR="009A345E">
        <w:rPr>
          <w:noProof/>
        </w:rPr>
        <w:t>2</w:t>
      </w:r>
      <w:r>
        <w:rPr>
          <w:noProof/>
        </w:rPr>
        <w:fldChar w:fldCharType="end"/>
      </w:r>
    </w:p>
    <w:p w:rsidR="00B3668D" w:rsidRDefault="00B3668D">
      <w:pPr>
        <w:pStyle w:val="TOC1"/>
        <w:rPr>
          <w:rFonts w:asciiTheme="minorHAnsi" w:eastAsiaTheme="minorEastAsia" w:hAnsiTheme="minorHAnsi" w:cstheme="minorBidi"/>
          <w:b w:val="0"/>
          <w:noProof/>
          <w:szCs w:val="22"/>
          <w:lang w:eastAsia="en-NZ"/>
        </w:rPr>
      </w:pPr>
      <w:r>
        <w:rPr>
          <w:noProof/>
        </w:rPr>
        <w:t>Indicators 1–10: Access</w:t>
      </w:r>
      <w:r>
        <w:rPr>
          <w:noProof/>
        </w:rPr>
        <w:tab/>
      </w:r>
      <w:r>
        <w:rPr>
          <w:noProof/>
        </w:rPr>
        <w:fldChar w:fldCharType="begin"/>
      </w:r>
      <w:r>
        <w:rPr>
          <w:noProof/>
        </w:rPr>
        <w:instrText xml:space="preserve"> PAGEREF _Toc440387786 \h </w:instrText>
      </w:r>
      <w:r>
        <w:rPr>
          <w:noProof/>
        </w:rPr>
      </w:r>
      <w:r>
        <w:rPr>
          <w:noProof/>
        </w:rPr>
        <w:fldChar w:fldCharType="separate"/>
      </w:r>
      <w:r w:rsidR="009A345E">
        <w:rPr>
          <w:noProof/>
        </w:rPr>
        <w:t>3</w:t>
      </w:r>
      <w:r>
        <w:rPr>
          <w:noProof/>
        </w:rPr>
        <w:fldChar w:fldCharType="end"/>
      </w:r>
    </w:p>
    <w:p w:rsidR="00B3668D" w:rsidRDefault="00B3668D">
      <w:pPr>
        <w:pStyle w:val="TOC2"/>
        <w:rPr>
          <w:rFonts w:asciiTheme="minorHAnsi" w:eastAsiaTheme="minorEastAsia" w:hAnsiTheme="minorHAnsi" w:cstheme="minorBidi"/>
          <w:noProof/>
          <w:szCs w:val="22"/>
          <w:lang w:eastAsia="en-NZ"/>
        </w:rPr>
      </w:pPr>
      <w:r>
        <w:rPr>
          <w:noProof/>
        </w:rPr>
        <w:t>Summary of results for this period</w:t>
      </w:r>
      <w:r>
        <w:rPr>
          <w:noProof/>
        </w:rPr>
        <w:tab/>
      </w:r>
      <w:r>
        <w:rPr>
          <w:noProof/>
        </w:rPr>
        <w:fldChar w:fldCharType="begin"/>
      </w:r>
      <w:r>
        <w:rPr>
          <w:noProof/>
        </w:rPr>
        <w:instrText xml:space="preserve"> PAGEREF _Toc440387787 \h </w:instrText>
      </w:r>
      <w:r>
        <w:rPr>
          <w:noProof/>
        </w:rPr>
      </w:r>
      <w:r>
        <w:rPr>
          <w:noProof/>
        </w:rPr>
        <w:fldChar w:fldCharType="separate"/>
      </w:r>
      <w:r w:rsidR="009A345E">
        <w:rPr>
          <w:noProof/>
        </w:rPr>
        <w:t>3</w:t>
      </w:r>
      <w:r>
        <w:rPr>
          <w:noProof/>
        </w:rPr>
        <w:fldChar w:fldCharType="end"/>
      </w:r>
    </w:p>
    <w:p w:rsidR="00B3668D" w:rsidRDefault="00B3668D">
      <w:pPr>
        <w:pStyle w:val="TOC2"/>
        <w:rPr>
          <w:rFonts w:asciiTheme="minorHAnsi" w:eastAsiaTheme="minorEastAsia" w:hAnsiTheme="minorHAnsi" w:cstheme="minorBidi"/>
          <w:noProof/>
          <w:szCs w:val="22"/>
          <w:lang w:eastAsia="en-NZ"/>
        </w:rPr>
      </w:pPr>
      <w:r>
        <w:rPr>
          <w:noProof/>
        </w:rPr>
        <w:t>WCTO Quality Improvement Framework Indicator 1</w:t>
      </w:r>
      <w:r>
        <w:rPr>
          <w:noProof/>
        </w:rPr>
        <w:tab/>
      </w:r>
      <w:r>
        <w:rPr>
          <w:noProof/>
        </w:rPr>
        <w:fldChar w:fldCharType="begin"/>
      </w:r>
      <w:r>
        <w:rPr>
          <w:noProof/>
        </w:rPr>
        <w:instrText xml:space="preserve"> PAGEREF _Toc440387788 \h </w:instrText>
      </w:r>
      <w:r>
        <w:rPr>
          <w:noProof/>
        </w:rPr>
      </w:r>
      <w:r>
        <w:rPr>
          <w:noProof/>
        </w:rPr>
        <w:fldChar w:fldCharType="separate"/>
      </w:r>
      <w:r w:rsidR="009A345E">
        <w:rPr>
          <w:noProof/>
        </w:rPr>
        <w:t>5</w:t>
      </w:r>
      <w:r>
        <w:rPr>
          <w:noProof/>
        </w:rPr>
        <w:fldChar w:fldCharType="end"/>
      </w:r>
    </w:p>
    <w:p w:rsidR="00B3668D" w:rsidRDefault="00B3668D">
      <w:pPr>
        <w:pStyle w:val="TOC2"/>
        <w:rPr>
          <w:rFonts w:asciiTheme="minorHAnsi" w:eastAsiaTheme="minorEastAsia" w:hAnsiTheme="minorHAnsi" w:cstheme="minorBidi"/>
          <w:noProof/>
          <w:szCs w:val="22"/>
          <w:lang w:eastAsia="en-NZ"/>
        </w:rPr>
      </w:pPr>
      <w:r>
        <w:rPr>
          <w:noProof/>
        </w:rPr>
        <w:t>WCTO Quality Improvement Framework Indicator 2</w:t>
      </w:r>
      <w:r>
        <w:rPr>
          <w:noProof/>
        </w:rPr>
        <w:tab/>
      </w:r>
      <w:r>
        <w:rPr>
          <w:noProof/>
        </w:rPr>
        <w:fldChar w:fldCharType="begin"/>
      </w:r>
      <w:r>
        <w:rPr>
          <w:noProof/>
        </w:rPr>
        <w:instrText xml:space="preserve"> PAGEREF _Toc440387789 \h </w:instrText>
      </w:r>
      <w:r>
        <w:rPr>
          <w:noProof/>
        </w:rPr>
      </w:r>
      <w:r>
        <w:rPr>
          <w:noProof/>
        </w:rPr>
        <w:fldChar w:fldCharType="separate"/>
      </w:r>
      <w:r w:rsidR="009A345E">
        <w:rPr>
          <w:noProof/>
        </w:rPr>
        <w:t>7</w:t>
      </w:r>
      <w:r>
        <w:rPr>
          <w:noProof/>
        </w:rPr>
        <w:fldChar w:fldCharType="end"/>
      </w:r>
    </w:p>
    <w:p w:rsidR="00B3668D" w:rsidRDefault="00B3668D">
      <w:pPr>
        <w:pStyle w:val="TOC2"/>
        <w:rPr>
          <w:rFonts w:asciiTheme="minorHAnsi" w:eastAsiaTheme="minorEastAsia" w:hAnsiTheme="minorHAnsi" w:cstheme="minorBidi"/>
          <w:noProof/>
          <w:szCs w:val="22"/>
          <w:lang w:eastAsia="en-NZ"/>
        </w:rPr>
      </w:pPr>
      <w:r>
        <w:rPr>
          <w:noProof/>
        </w:rPr>
        <w:t>WCTO Quality Improvement Framework Indicator 3</w:t>
      </w:r>
      <w:r>
        <w:rPr>
          <w:noProof/>
        </w:rPr>
        <w:tab/>
      </w:r>
      <w:r>
        <w:rPr>
          <w:noProof/>
        </w:rPr>
        <w:fldChar w:fldCharType="begin"/>
      </w:r>
      <w:r>
        <w:rPr>
          <w:noProof/>
        </w:rPr>
        <w:instrText xml:space="preserve"> PAGEREF _Toc440387790 \h </w:instrText>
      </w:r>
      <w:r>
        <w:rPr>
          <w:noProof/>
        </w:rPr>
      </w:r>
      <w:r>
        <w:rPr>
          <w:noProof/>
        </w:rPr>
        <w:fldChar w:fldCharType="separate"/>
      </w:r>
      <w:r w:rsidR="009A345E">
        <w:rPr>
          <w:noProof/>
        </w:rPr>
        <w:t>9</w:t>
      </w:r>
      <w:r>
        <w:rPr>
          <w:noProof/>
        </w:rPr>
        <w:fldChar w:fldCharType="end"/>
      </w:r>
    </w:p>
    <w:p w:rsidR="00B3668D" w:rsidRDefault="00B3668D">
      <w:pPr>
        <w:pStyle w:val="TOC2"/>
        <w:rPr>
          <w:rFonts w:asciiTheme="minorHAnsi" w:eastAsiaTheme="minorEastAsia" w:hAnsiTheme="minorHAnsi" w:cstheme="minorBidi"/>
          <w:noProof/>
          <w:szCs w:val="22"/>
          <w:lang w:eastAsia="en-NZ"/>
        </w:rPr>
      </w:pPr>
      <w:r>
        <w:rPr>
          <w:noProof/>
        </w:rPr>
        <w:t>WCTO Quality Improvement Framework Indicator 4</w:t>
      </w:r>
      <w:r>
        <w:rPr>
          <w:noProof/>
        </w:rPr>
        <w:tab/>
      </w:r>
      <w:r>
        <w:rPr>
          <w:noProof/>
        </w:rPr>
        <w:fldChar w:fldCharType="begin"/>
      </w:r>
      <w:r>
        <w:rPr>
          <w:noProof/>
        </w:rPr>
        <w:instrText xml:space="preserve"> PAGEREF _Toc440387791 \h </w:instrText>
      </w:r>
      <w:r>
        <w:rPr>
          <w:noProof/>
        </w:rPr>
      </w:r>
      <w:r>
        <w:rPr>
          <w:noProof/>
        </w:rPr>
        <w:fldChar w:fldCharType="separate"/>
      </w:r>
      <w:r w:rsidR="009A345E">
        <w:rPr>
          <w:noProof/>
        </w:rPr>
        <w:t>11</w:t>
      </w:r>
      <w:r>
        <w:rPr>
          <w:noProof/>
        </w:rPr>
        <w:fldChar w:fldCharType="end"/>
      </w:r>
    </w:p>
    <w:p w:rsidR="00B3668D" w:rsidRDefault="00B3668D">
      <w:pPr>
        <w:pStyle w:val="TOC2"/>
        <w:rPr>
          <w:rFonts w:asciiTheme="minorHAnsi" w:eastAsiaTheme="minorEastAsia" w:hAnsiTheme="minorHAnsi" w:cstheme="minorBidi"/>
          <w:noProof/>
          <w:szCs w:val="22"/>
          <w:lang w:eastAsia="en-NZ"/>
        </w:rPr>
      </w:pPr>
      <w:r>
        <w:rPr>
          <w:noProof/>
        </w:rPr>
        <w:t>WCTO Quality Improvement Framework Indicator 5</w:t>
      </w:r>
      <w:r>
        <w:rPr>
          <w:noProof/>
        </w:rPr>
        <w:tab/>
      </w:r>
      <w:r>
        <w:rPr>
          <w:noProof/>
        </w:rPr>
        <w:fldChar w:fldCharType="begin"/>
      </w:r>
      <w:r>
        <w:rPr>
          <w:noProof/>
        </w:rPr>
        <w:instrText xml:space="preserve"> PAGEREF _Toc440387792 \h </w:instrText>
      </w:r>
      <w:r>
        <w:rPr>
          <w:noProof/>
        </w:rPr>
      </w:r>
      <w:r>
        <w:rPr>
          <w:noProof/>
        </w:rPr>
        <w:fldChar w:fldCharType="separate"/>
      </w:r>
      <w:r w:rsidR="009A345E">
        <w:rPr>
          <w:noProof/>
        </w:rPr>
        <w:t>13</w:t>
      </w:r>
      <w:r>
        <w:rPr>
          <w:noProof/>
        </w:rPr>
        <w:fldChar w:fldCharType="end"/>
      </w:r>
    </w:p>
    <w:p w:rsidR="00B3668D" w:rsidRDefault="00B3668D">
      <w:pPr>
        <w:pStyle w:val="TOC2"/>
        <w:rPr>
          <w:rFonts w:asciiTheme="minorHAnsi" w:eastAsiaTheme="minorEastAsia" w:hAnsiTheme="minorHAnsi" w:cstheme="minorBidi"/>
          <w:noProof/>
          <w:szCs w:val="22"/>
          <w:lang w:eastAsia="en-NZ"/>
        </w:rPr>
      </w:pPr>
      <w:r>
        <w:rPr>
          <w:noProof/>
        </w:rPr>
        <w:t>WCTO Quality Improvement Framework Indicator 6</w:t>
      </w:r>
      <w:r>
        <w:rPr>
          <w:noProof/>
        </w:rPr>
        <w:tab/>
      </w:r>
      <w:r>
        <w:rPr>
          <w:noProof/>
        </w:rPr>
        <w:fldChar w:fldCharType="begin"/>
      </w:r>
      <w:r>
        <w:rPr>
          <w:noProof/>
        </w:rPr>
        <w:instrText xml:space="preserve"> PAGEREF _Toc440387793 \h </w:instrText>
      </w:r>
      <w:r>
        <w:rPr>
          <w:noProof/>
        </w:rPr>
      </w:r>
      <w:r>
        <w:rPr>
          <w:noProof/>
        </w:rPr>
        <w:fldChar w:fldCharType="separate"/>
      </w:r>
      <w:r w:rsidR="009A345E">
        <w:rPr>
          <w:noProof/>
        </w:rPr>
        <w:t>15</w:t>
      </w:r>
      <w:r>
        <w:rPr>
          <w:noProof/>
        </w:rPr>
        <w:fldChar w:fldCharType="end"/>
      </w:r>
    </w:p>
    <w:p w:rsidR="00B3668D" w:rsidRDefault="00B3668D">
      <w:pPr>
        <w:pStyle w:val="TOC2"/>
        <w:rPr>
          <w:rFonts w:asciiTheme="minorHAnsi" w:eastAsiaTheme="minorEastAsia" w:hAnsiTheme="minorHAnsi" w:cstheme="minorBidi"/>
          <w:noProof/>
          <w:szCs w:val="22"/>
          <w:lang w:eastAsia="en-NZ"/>
        </w:rPr>
      </w:pPr>
      <w:r>
        <w:rPr>
          <w:noProof/>
        </w:rPr>
        <w:t>WCTO Quality Improvement Framework Indicator 7</w:t>
      </w:r>
      <w:r>
        <w:rPr>
          <w:noProof/>
        </w:rPr>
        <w:tab/>
      </w:r>
      <w:r>
        <w:rPr>
          <w:noProof/>
        </w:rPr>
        <w:fldChar w:fldCharType="begin"/>
      </w:r>
      <w:r>
        <w:rPr>
          <w:noProof/>
        </w:rPr>
        <w:instrText xml:space="preserve"> PAGEREF _Toc440387794 \h </w:instrText>
      </w:r>
      <w:r>
        <w:rPr>
          <w:noProof/>
        </w:rPr>
      </w:r>
      <w:r>
        <w:rPr>
          <w:noProof/>
        </w:rPr>
        <w:fldChar w:fldCharType="separate"/>
      </w:r>
      <w:r w:rsidR="009A345E">
        <w:rPr>
          <w:noProof/>
        </w:rPr>
        <w:t>17</w:t>
      </w:r>
      <w:r>
        <w:rPr>
          <w:noProof/>
        </w:rPr>
        <w:fldChar w:fldCharType="end"/>
      </w:r>
    </w:p>
    <w:p w:rsidR="00B3668D" w:rsidRDefault="00B3668D">
      <w:pPr>
        <w:pStyle w:val="TOC2"/>
        <w:rPr>
          <w:rFonts w:asciiTheme="minorHAnsi" w:eastAsiaTheme="minorEastAsia" w:hAnsiTheme="minorHAnsi" w:cstheme="minorBidi"/>
          <w:noProof/>
          <w:szCs w:val="22"/>
          <w:lang w:eastAsia="en-NZ"/>
        </w:rPr>
      </w:pPr>
      <w:r>
        <w:rPr>
          <w:noProof/>
        </w:rPr>
        <w:t>WCTO Quality Improvement Framework Indicator 8</w:t>
      </w:r>
      <w:r>
        <w:rPr>
          <w:noProof/>
        </w:rPr>
        <w:tab/>
      </w:r>
      <w:r>
        <w:rPr>
          <w:noProof/>
        </w:rPr>
        <w:fldChar w:fldCharType="begin"/>
      </w:r>
      <w:r>
        <w:rPr>
          <w:noProof/>
        </w:rPr>
        <w:instrText xml:space="preserve"> PAGEREF _Toc440387795 \h </w:instrText>
      </w:r>
      <w:r>
        <w:rPr>
          <w:noProof/>
        </w:rPr>
      </w:r>
      <w:r>
        <w:rPr>
          <w:noProof/>
        </w:rPr>
        <w:fldChar w:fldCharType="separate"/>
      </w:r>
      <w:r w:rsidR="009A345E">
        <w:rPr>
          <w:noProof/>
        </w:rPr>
        <w:t>19</w:t>
      </w:r>
      <w:r>
        <w:rPr>
          <w:noProof/>
        </w:rPr>
        <w:fldChar w:fldCharType="end"/>
      </w:r>
    </w:p>
    <w:p w:rsidR="00B3668D" w:rsidRDefault="00B3668D">
      <w:pPr>
        <w:pStyle w:val="TOC2"/>
        <w:rPr>
          <w:rFonts w:asciiTheme="minorHAnsi" w:eastAsiaTheme="minorEastAsia" w:hAnsiTheme="minorHAnsi" w:cstheme="minorBidi"/>
          <w:noProof/>
          <w:szCs w:val="22"/>
          <w:lang w:eastAsia="en-NZ"/>
        </w:rPr>
      </w:pPr>
      <w:r>
        <w:rPr>
          <w:noProof/>
        </w:rPr>
        <w:t>WCTO Quality Improvement Framework Indicator 9</w:t>
      </w:r>
      <w:r>
        <w:rPr>
          <w:noProof/>
        </w:rPr>
        <w:tab/>
      </w:r>
      <w:r>
        <w:rPr>
          <w:noProof/>
        </w:rPr>
        <w:fldChar w:fldCharType="begin"/>
      </w:r>
      <w:r>
        <w:rPr>
          <w:noProof/>
        </w:rPr>
        <w:instrText xml:space="preserve"> PAGEREF _Toc440387796 \h </w:instrText>
      </w:r>
      <w:r>
        <w:rPr>
          <w:noProof/>
        </w:rPr>
      </w:r>
      <w:r>
        <w:rPr>
          <w:noProof/>
        </w:rPr>
        <w:fldChar w:fldCharType="separate"/>
      </w:r>
      <w:r w:rsidR="009A345E">
        <w:rPr>
          <w:noProof/>
        </w:rPr>
        <w:t>21</w:t>
      </w:r>
      <w:r>
        <w:rPr>
          <w:noProof/>
        </w:rPr>
        <w:fldChar w:fldCharType="end"/>
      </w:r>
    </w:p>
    <w:p w:rsidR="00B3668D" w:rsidRDefault="00B3668D">
      <w:pPr>
        <w:pStyle w:val="TOC2"/>
        <w:rPr>
          <w:rFonts w:asciiTheme="minorHAnsi" w:eastAsiaTheme="minorEastAsia" w:hAnsiTheme="minorHAnsi" w:cstheme="minorBidi"/>
          <w:noProof/>
          <w:szCs w:val="22"/>
          <w:lang w:eastAsia="en-NZ"/>
        </w:rPr>
      </w:pPr>
      <w:r>
        <w:rPr>
          <w:noProof/>
        </w:rPr>
        <w:t>WCTO Quality Improvement Framework Indicator 10</w:t>
      </w:r>
      <w:r>
        <w:rPr>
          <w:noProof/>
        </w:rPr>
        <w:tab/>
      </w:r>
      <w:r>
        <w:rPr>
          <w:noProof/>
        </w:rPr>
        <w:fldChar w:fldCharType="begin"/>
      </w:r>
      <w:r>
        <w:rPr>
          <w:noProof/>
        </w:rPr>
        <w:instrText xml:space="preserve"> PAGEREF _Toc440387797 \h </w:instrText>
      </w:r>
      <w:r>
        <w:rPr>
          <w:noProof/>
        </w:rPr>
      </w:r>
      <w:r>
        <w:rPr>
          <w:noProof/>
        </w:rPr>
        <w:fldChar w:fldCharType="separate"/>
      </w:r>
      <w:r w:rsidR="009A345E">
        <w:rPr>
          <w:noProof/>
        </w:rPr>
        <w:t>22</w:t>
      </w:r>
      <w:r>
        <w:rPr>
          <w:noProof/>
        </w:rPr>
        <w:fldChar w:fldCharType="end"/>
      </w:r>
    </w:p>
    <w:p w:rsidR="00B3668D" w:rsidRDefault="00B3668D">
      <w:pPr>
        <w:pStyle w:val="TOC1"/>
        <w:rPr>
          <w:rFonts w:asciiTheme="minorHAnsi" w:eastAsiaTheme="minorEastAsia" w:hAnsiTheme="minorHAnsi" w:cstheme="minorBidi"/>
          <w:b w:val="0"/>
          <w:noProof/>
          <w:szCs w:val="22"/>
          <w:lang w:eastAsia="en-NZ"/>
        </w:rPr>
      </w:pPr>
      <w:r>
        <w:rPr>
          <w:noProof/>
        </w:rPr>
        <w:t>Indicators 11–20: Outcomes</w:t>
      </w:r>
      <w:r>
        <w:rPr>
          <w:noProof/>
        </w:rPr>
        <w:tab/>
      </w:r>
      <w:r>
        <w:rPr>
          <w:noProof/>
        </w:rPr>
        <w:fldChar w:fldCharType="begin"/>
      </w:r>
      <w:r>
        <w:rPr>
          <w:noProof/>
        </w:rPr>
        <w:instrText xml:space="preserve"> PAGEREF _Toc440387798 \h </w:instrText>
      </w:r>
      <w:r>
        <w:rPr>
          <w:noProof/>
        </w:rPr>
      </w:r>
      <w:r>
        <w:rPr>
          <w:noProof/>
        </w:rPr>
        <w:fldChar w:fldCharType="separate"/>
      </w:r>
      <w:r w:rsidR="009A345E">
        <w:rPr>
          <w:noProof/>
        </w:rPr>
        <w:t>23</w:t>
      </w:r>
      <w:r>
        <w:rPr>
          <w:noProof/>
        </w:rPr>
        <w:fldChar w:fldCharType="end"/>
      </w:r>
    </w:p>
    <w:p w:rsidR="00B3668D" w:rsidRDefault="00B3668D">
      <w:pPr>
        <w:pStyle w:val="TOC2"/>
        <w:rPr>
          <w:rFonts w:asciiTheme="minorHAnsi" w:eastAsiaTheme="minorEastAsia" w:hAnsiTheme="minorHAnsi" w:cstheme="minorBidi"/>
          <w:noProof/>
          <w:szCs w:val="22"/>
          <w:lang w:eastAsia="en-NZ"/>
        </w:rPr>
      </w:pPr>
      <w:r>
        <w:rPr>
          <w:noProof/>
        </w:rPr>
        <w:t>Summary of results for this period</w:t>
      </w:r>
      <w:r>
        <w:rPr>
          <w:noProof/>
        </w:rPr>
        <w:tab/>
      </w:r>
      <w:r>
        <w:rPr>
          <w:noProof/>
        </w:rPr>
        <w:fldChar w:fldCharType="begin"/>
      </w:r>
      <w:r>
        <w:rPr>
          <w:noProof/>
        </w:rPr>
        <w:instrText xml:space="preserve"> PAGEREF _Toc440387799 \h </w:instrText>
      </w:r>
      <w:r>
        <w:rPr>
          <w:noProof/>
        </w:rPr>
      </w:r>
      <w:r>
        <w:rPr>
          <w:noProof/>
        </w:rPr>
        <w:fldChar w:fldCharType="separate"/>
      </w:r>
      <w:r w:rsidR="009A345E">
        <w:rPr>
          <w:noProof/>
        </w:rPr>
        <w:t>23</w:t>
      </w:r>
      <w:r>
        <w:rPr>
          <w:noProof/>
        </w:rPr>
        <w:fldChar w:fldCharType="end"/>
      </w:r>
    </w:p>
    <w:p w:rsidR="00B3668D" w:rsidRDefault="00B3668D">
      <w:pPr>
        <w:pStyle w:val="TOC2"/>
        <w:rPr>
          <w:rFonts w:asciiTheme="minorHAnsi" w:eastAsiaTheme="minorEastAsia" w:hAnsiTheme="minorHAnsi" w:cstheme="minorBidi"/>
          <w:noProof/>
          <w:szCs w:val="22"/>
          <w:lang w:eastAsia="en-NZ"/>
        </w:rPr>
      </w:pPr>
      <w:r>
        <w:rPr>
          <w:noProof/>
        </w:rPr>
        <w:t>WCTO Quality Improvement Framework Indicator 11</w:t>
      </w:r>
      <w:r>
        <w:rPr>
          <w:noProof/>
        </w:rPr>
        <w:tab/>
      </w:r>
      <w:r>
        <w:rPr>
          <w:noProof/>
        </w:rPr>
        <w:fldChar w:fldCharType="begin"/>
      </w:r>
      <w:r>
        <w:rPr>
          <w:noProof/>
        </w:rPr>
        <w:instrText xml:space="preserve"> PAGEREF _Toc440387800 \h </w:instrText>
      </w:r>
      <w:r>
        <w:rPr>
          <w:noProof/>
        </w:rPr>
      </w:r>
      <w:r>
        <w:rPr>
          <w:noProof/>
        </w:rPr>
        <w:fldChar w:fldCharType="separate"/>
      </w:r>
      <w:r w:rsidR="009A345E">
        <w:rPr>
          <w:noProof/>
        </w:rPr>
        <w:t>26</w:t>
      </w:r>
      <w:r>
        <w:rPr>
          <w:noProof/>
        </w:rPr>
        <w:fldChar w:fldCharType="end"/>
      </w:r>
    </w:p>
    <w:p w:rsidR="00B3668D" w:rsidRDefault="00B3668D">
      <w:pPr>
        <w:pStyle w:val="TOC2"/>
        <w:rPr>
          <w:rFonts w:asciiTheme="minorHAnsi" w:eastAsiaTheme="minorEastAsia" w:hAnsiTheme="minorHAnsi" w:cstheme="minorBidi"/>
          <w:noProof/>
          <w:szCs w:val="22"/>
          <w:lang w:eastAsia="en-NZ"/>
        </w:rPr>
      </w:pPr>
      <w:r>
        <w:rPr>
          <w:noProof/>
        </w:rPr>
        <w:t>WCTO Quality Improvement Framework Indicator 12</w:t>
      </w:r>
      <w:r>
        <w:rPr>
          <w:noProof/>
        </w:rPr>
        <w:tab/>
      </w:r>
      <w:r>
        <w:rPr>
          <w:noProof/>
        </w:rPr>
        <w:fldChar w:fldCharType="begin"/>
      </w:r>
      <w:r>
        <w:rPr>
          <w:noProof/>
        </w:rPr>
        <w:instrText xml:space="preserve"> PAGEREF _Toc440387801 \h </w:instrText>
      </w:r>
      <w:r>
        <w:rPr>
          <w:noProof/>
        </w:rPr>
      </w:r>
      <w:r>
        <w:rPr>
          <w:noProof/>
        </w:rPr>
        <w:fldChar w:fldCharType="separate"/>
      </w:r>
      <w:r w:rsidR="009A345E">
        <w:rPr>
          <w:noProof/>
        </w:rPr>
        <w:t>28</w:t>
      </w:r>
      <w:r>
        <w:rPr>
          <w:noProof/>
        </w:rPr>
        <w:fldChar w:fldCharType="end"/>
      </w:r>
    </w:p>
    <w:p w:rsidR="00B3668D" w:rsidRDefault="00B3668D">
      <w:pPr>
        <w:pStyle w:val="TOC2"/>
        <w:rPr>
          <w:rFonts w:asciiTheme="minorHAnsi" w:eastAsiaTheme="minorEastAsia" w:hAnsiTheme="minorHAnsi" w:cstheme="minorBidi"/>
          <w:noProof/>
          <w:szCs w:val="22"/>
          <w:lang w:eastAsia="en-NZ"/>
        </w:rPr>
      </w:pPr>
      <w:r>
        <w:rPr>
          <w:noProof/>
        </w:rPr>
        <w:t>WCTO Quality Improvement Framework Indicator 13</w:t>
      </w:r>
      <w:r>
        <w:rPr>
          <w:noProof/>
        </w:rPr>
        <w:tab/>
      </w:r>
      <w:r>
        <w:rPr>
          <w:noProof/>
        </w:rPr>
        <w:fldChar w:fldCharType="begin"/>
      </w:r>
      <w:r>
        <w:rPr>
          <w:noProof/>
        </w:rPr>
        <w:instrText xml:space="preserve"> PAGEREF _Toc440387802 \h </w:instrText>
      </w:r>
      <w:r>
        <w:rPr>
          <w:noProof/>
        </w:rPr>
      </w:r>
      <w:r>
        <w:rPr>
          <w:noProof/>
        </w:rPr>
        <w:fldChar w:fldCharType="separate"/>
      </w:r>
      <w:r w:rsidR="009A345E">
        <w:rPr>
          <w:noProof/>
        </w:rPr>
        <w:t>30</w:t>
      </w:r>
      <w:r>
        <w:rPr>
          <w:noProof/>
        </w:rPr>
        <w:fldChar w:fldCharType="end"/>
      </w:r>
    </w:p>
    <w:p w:rsidR="00B3668D" w:rsidRDefault="00B3668D">
      <w:pPr>
        <w:pStyle w:val="TOC2"/>
        <w:rPr>
          <w:rFonts w:asciiTheme="minorHAnsi" w:eastAsiaTheme="minorEastAsia" w:hAnsiTheme="minorHAnsi" w:cstheme="minorBidi"/>
          <w:noProof/>
          <w:szCs w:val="22"/>
          <w:lang w:eastAsia="en-NZ"/>
        </w:rPr>
      </w:pPr>
      <w:r>
        <w:rPr>
          <w:noProof/>
        </w:rPr>
        <w:t>WCTO Quality Improvement Framework Indicator 14</w:t>
      </w:r>
      <w:r>
        <w:rPr>
          <w:noProof/>
        </w:rPr>
        <w:tab/>
      </w:r>
      <w:r>
        <w:rPr>
          <w:noProof/>
        </w:rPr>
        <w:fldChar w:fldCharType="begin"/>
      </w:r>
      <w:r>
        <w:rPr>
          <w:noProof/>
        </w:rPr>
        <w:instrText xml:space="preserve"> PAGEREF _Toc440387803 \h </w:instrText>
      </w:r>
      <w:r>
        <w:rPr>
          <w:noProof/>
        </w:rPr>
      </w:r>
      <w:r>
        <w:rPr>
          <w:noProof/>
        </w:rPr>
        <w:fldChar w:fldCharType="separate"/>
      </w:r>
      <w:r w:rsidR="009A345E">
        <w:rPr>
          <w:noProof/>
        </w:rPr>
        <w:t>32</w:t>
      </w:r>
      <w:r>
        <w:rPr>
          <w:noProof/>
        </w:rPr>
        <w:fldChar w:fldCharType="end"/>
      </w:r>
    </w:p>
    <w:p w:rsidR="00B3668D" w:rsidRDefault="00B3668D">
      <w:pPr>
        <w:pStyle w:val="TOC2"/>
        <w:rPr>
          <w:rFonts w:asciiTheme="minorHAnsi" w:eastAsiaTheme="minorEastAsia" w:hAnsiTheme="minorHAnsi" w:cstheme="minorBidi"/>
          <w:noProof/>
          <w:szCs w:val="22"/>
          <w:lang w:eastAsia="en-NZ"/>
        </w:rPr>
      </w:pPr>
      <w:r>
        <w:rPr>
          <w:noProof/>
        </w:rPr>
        <w:t>WCTO Quality Improvement Framework Indicator 15</w:t>
      </w:r>
      <w:r>
        <w:rPr>
          <w:noProof/>
        </w:rPr>
        <w:tab/>
      </w:r>
      <w:r>
        <w:rPr>
          <w:noProof/>
        </w:rPr>
        <w:fldChar w:fldCharType="begin"/>
      </w:r>
      <w:r>
        <w:rPr>
          <w:noProof/>
        </w:rPr>
        <w:instrText xml:space="preserve"> PAGEREF _Toc440387804 \h </w:instrText>
      </w:r>
      <w:r>
        <w:rPr>
          <w:noProof/>
        </w:rPr>
      </w:r>
      <w:r>
        <w:rPr>
          <w:noProof/>
        </w:rPr>
        <w:fldChar w:fldCharType="separate"/>
      </w:r>
      <w:r w:rsidR="009A345E">
        <w:rPr>
          <w:noProof/>
        </w:rPr>
        <w:t>34</w:t>
      </w:r>
      <w:r>
        <w:rPr>
          <w:noProof/>
        </w:rPr>
        <w:fldChar w:fldCharType="end"/>
      </w:r>
    </w:p>
    <w:p w:rsidR="00B3668D" w:rsidRDefault="00B3668D">
      <w:pPr>
        <w:pStyle w:val="TOC2"/>
        <w:rPr>
          <w:rFonts w:asciiTheme="minorHAnsi" w:eastAsiaTheme="minorEastAsia" w:hAnsiTheme="minorHAnsi" w:cstheme="minorBidi"/>
          <w:noProof/>
          <w:szCs w:val="22"/>
          <w:lang w:eastAsia="en-NZ"/>
        </w:rPr>
      </w:pPr>
      <w:r>
        <w:rPr>
          <w:noProof/>
        </w:rPr>
        <w:t>WCTO Quality Improvement Framework Indicator 16</w:t>
      </w:r>
      <w:r>
        <w:rPr>
          <w:noProof/>
        </w:rPr>
        <w:tab/>
      </w:r>
      <w:r>
        <w:rPr>
          <w:noProof/>
        </w:rPr>
        <w:fldChar w:fldCharType="begin"/>
      </w:r>
      <w:r>
        <w:rPr>
          <w:noProof/>
        </w:rPr>
        <w:instrText xml:space="preserve"> PAGEREF _Toc440387805 \h </w:instrText>
      </w:r>
      <w:r>
        <w:rPr>
          <w:noProof/>
        </w:rPr>
      </w:r>
      <w:r>
        <w:rPr>
          <w:noProof/>
        </w:rPr>
        <w:fldChar w:fldCharType="separate"/>
      </w:r>
      <w:r w:rsidR="009A345E">
        <w:rPr>
          <w:noProof/>
        </w:rPr>
        <w:t>36</w:t>
      </w:r>
      <w:r>
        <w:rPr>
          <w:noProof/>
        </w:rPr>
        <w:fldChar w:fldCharType="end"/>
      </w:r>
    </w:p>
    <w:p w:rsidR="00B3668D" w:rsidRDefault="00B3668D">
      <w:pPr>
        <w:pStyle w:val="TOC2"/>
        <w:rPr>
          <w:rFonts w:asciiTheme="minorHAnsi" w:eastAsiaTheme="minorEastAsia" w:hAnsiTheme="minorHAnsi" w:cstheme="minorBidi"/>
          <w:noProof/>
          <w:szCs w:val="22"/>
          <w:lang w:eastAsia="en-NZ"/>
        </w:rPr>
      </w:pPr>
      <w:r>
        <w:rPr>
          <w:noProof/>
        </w:rPr>
        <w:t>WCTO Quality Improvement Framework Indicator 17</w:t>
      </w:r>
      <w:r>
        <w:rPr>
          <w:noProof/>
        </w:rPr>
        <w:tab/>
      </w:r>
      <w:r>
        <w:rPr>
          <w:noProof/>
        </w:rPr>
        <w:fldChar w:fldCharType="begin"/>
      </w:r>
      <w:r>
        <w:rPr>
          <w:noProof/>
        </w:rPr>
        <w:instrText xml:space="preserve"> PAGEREF _Toc440387806 \h </w:instrText>
      </w:r>
      <w:r>
        <w:rPr>
          <w:noProof/>
        </w:rPr>
      </w:r>
      <w:r>
        <w:rPr>
          <w:noProof/>
        </w:rPr>
        <w:fldChar w:fldCharType="separate"/>
      </w:r>
      <w:r w:rsidR="009A345E">
        <w:rPr>
          <w:noProof/>
        </w:rPr>
        <w:t>38</w:t>
      </w:r>
      <w:r>
        <w:rPr>
          <w:noProof/>
        </w:rPr>
        <w:fldChar w:fldCharType="end"/>
      </w:r>
    </w:p>
    <w:p w:rsidR="00B3668D" w:rsidRDefault="00B3668D">
      <w:pPr>
        <w:pStyle w:val="TOC2"/>
        <w:rPr>
          <w:rFonts w:asciiTheme="minorHAnsi" w:eastAsiaTheme="minorEastAsia" w:hAnsiTheme="minorHAnsi" w:cstheme="minorBidi"/>
          <w:noProof/>
          <w:szCs w:val="22"/>
          <w:lang w:eastAsia="en-NZ"/>
        </w:rPr>
      </w:pPr>
      <w:r>
        <w:rPr>
          <w:noProof/>
        </w:rPr>
        <w:t>WCTO Quality Improvement Framework Indicator 18</w:t>
      </w:r>
      <w:r>
        <w:rPr>
          <w:noProof/>
        </w:rPr>
        <w:tab/>
      </w:r>
      <w:r>
        <w:rPr>
          <w:noProof/>
        </w:rPr>
        <w:fldChar w:fldCharType="begin"/>
      </w:r>
      <w:r>
        <w:rPr>
          <w:noProof/>
        </w:rPr>
        <w:instrText xml:space="preserve"> PAGEREF _Toc440387807 \h </w:instrText>
      </w:r>
      <w:r>
        <w:rPr>
          <w:noProof/>
        </w:rPr>
      </w:r>
      <w:r>
        <w:rPr>
          <w:noProof/>
        </w:rPr>
        <w:fldChar w:fldCharType="separate"/>
      </w:r>
      <w:r w:rsidR="009A345E">
        <w:rPr>
          <w:noProof/>
        </w:rPr>
        <w:t>40</w:t>
      </w:r>
      <w:r>
        <w:rPr>
          <w:noProof/>
        </w:rPr>
        <w:fldChar w:fldCharType="end"/>
      </w:r>
    </w:p>
    <w:p w:rsidR="00B3668D" w:rsidRDefault="00B3668D">
      <w:pPr>
        <w:pStyle w:val="TOC2"/>
        <w:rPr>
          <w:rFonts w:asciiTheme="minorHAnsi" w:eastAsiaTheme="minorEastAsia" w:hAnsiTheme="minorHAnsi" w:cstheme="minorBidi"/>
          <w:noProof/>
          <w:szCs w:val="22"/>
          <w:lang w:eastAsia="en-NZ"/>
        </w:rPr>
      </w:pPr>
      <w:r>
        <w:rPr>
          <w:noProof/>
        </w:rPr>
        <w:t>WCTO Quality Improvement Framework Indicator 19</w:t>
      </w:r>
      <w:r>
        <w:rPr>
          <w:noProof/>
        </w:rPr>
        <w:tab/>
      </w:r>
      <w:r>
        <w:rPr>
          <w:noProof/>
        </w:rPr>
        <w:fldChar w:fldCharType="begin"/>
      </w:r>
      <w:r>
        <w:rPr>
          <w:noProof/>
        </w:rPr>
        <w:instrText xml:space="preserve"> PAGEREF _Toc440387808 \h </w:instrText>
      </w:r>
      <w:r>
        <w:rPr>
          <w:noProof/>
        </w:rPr>
      </w:r>
      <w:r>
        <w:rPr>
          <w:noProof/>
        </w:rPr>
        <w:fldChar w:fldCharType="separate"/>
      </w:r>
      <w:r w:rsidR="009A345E">
        <w:rPr>
          <w:noProof/>
        </w:rPr>
        <w:t>42</w:t>
      </w:r>
      <w:r>
        <w:rPr>
          <w:noProof/>
        </w:rPr>
        <w:fldChar w:fldCharType="end"/>
      </w:r>
    </w:p>
    <w:p w:rsidR="00B3668D" w:rsidRDefault="00B3668D">
      <w:pPr>
        <w:pStyle w:val="TOC2"/>
        <w:rPr>
          <w:rFonts w:asciiTheme="minorHAnsi" w:eastAsiaTheme="minorEastAsia" w:hAnsiTheme="minorHAnsi" w:cstheme="minorBidi"/>
          <w:noProof/>
          <w:szCs w:val="22"/>
          <w:lang w:eastAsia="en-NZ"/>
        </w:rPr>
      </w:pPr>
      <w:r>
        <w:rPr>
          <w:noProof/>
        </w:rPr>
        <w:t>WCTO Quality Improvement Framework Indicator 20</w:t>
      </w:r>
      <w:r>
        <w:rPr>
          <w:noProof/>
        </w:rPr>
        <w:tab/>
      </w:r>
      <w:r>
        <w:rPr>
          <w:noProof/>
        </w:rPr>
        <w:fldChar w:fldCharType="begin"/>
      </w:r>
      <w:r>
        <w:rPr>
          <w:noProof/>
        </w:rPr>
        <w:instrText xml:space="preserve"> PAGEREF _Toc440387809 \h </w:instrText>
      </w:r>
      <w:r>
        <w:rPr>
          <w:noProof/>
        </w:rPr>
      </w:r>
      <w:r>
        <w:rPr>
          <w:noProof/>
        </w:rPr>
        <w:fldChar w:fldCharType="separate"/>
      </w:r>
      <w:r w:rsidR="009A345E">
        <w:rPr>
          <w:noProof/>
        </w:rPr>
        <w:t>44</w:t>
      </w:r>
      <w:r>
        <w:rPr>
          <w:noProof/>
        </w:rPr>
        <w:fldChar w:fldCharType="end"/>
      </w:r>
    </w:p>
    <w:p w:rsidR="00B3668D" w:rsidRDefault="00B3668D" w:rsidP="00B3668D">
      <w:pPr>
        <w:pStyle w:val="TOC1"/>
        <w:keepNext/>
        <w:rPr>
          <w:rFonts w:asciiTheme="minorHAnsi" w:eastAsiaTheme="minorEastAsia" w:hAnsiTheme="minorHAnsi" w:cstheme="minorBidi"/>
          <w:b w:val="0"/>
          <w:noProof/>
          <w:szCs w:val="22"/>
          <w:lang w:eastAsia="en-NZ"/>
        </w:rPr>
      </w:pPr>
      <w:r>
        <w:rPr>
          <w:noProof/>
          <w:lang w:eastAsia="en-NZ"/>
        </w:rPr>
        <w:lastRenderedPageBreak/>
        <w:t>Indicators 21–27: Quality</w:t>
      </w:r>
      <w:r>
        <w:rPr>
          <w:noProof/>
        </w:rPr>
        <w:tab/>
      </w:r>
      <w:r>
        <w:rPr>
          <w:noProof/>
        </w:rPr>
        <w:fldChar w:fldCharType="begin"/>
      </w:r>
      <w:r>
        <w:rPr>
          <w:noProof/>
        </w:rPr>
        <w:instrText xml:space="preserve"> PAGEREF _Toc440387810 \h </w:instrText>
      </w:r>
      <w:r>
        <w:rPr>
          <w:noProof/>
        </w:rPr>
      </w:r>
      <w:r>
        <w:rPr>
          <w:noProof/>
        </w:rPr>
        <w:fldChar w:fldCharType="separate"/>
      </w:r>
      <w:r w:rsidR="009A345E">
        <w:rPr>
          <w:noProof/>
        </w:rPr>
        <w:t>46</w:t>
      </w:r>
      <w:r>
        <w:rPr>
          <w:noProof/>
        </w:rPr>
        <w:fldChar w:fldCharType="end"/>
      </w:r>
    </w:p>
    <w:p w:rsidR="00B3668D" w:rsidRDefault="00B3668D" w:rsidP="00B3668D">
      <w:pPr>
        <w:pStyle w:val="TOC2"/>
        <w:keepNext/>
        <w:rPr>
          <w:rFonts w:asciiTheme="minorHAnsi" w:eastAsiaTheme="minorEastAsia" w:hAnsiTheme="minorHAnsi" w:cstheme="minorBidi"/>
          <w:noProof/>
          <w:szCs w:val="22"/>
          <w:lang w:eastAsia="en-NZ"/>
        </w:rPr>
      </w:pPr>
      <w:r>
        <w:rPr>
          <w:noProof/>
        </w:rPr>
        <w:t>Summary of results for this period</w:t>
      </w:r>
      <w:r>
        <w:rPr>
          <w:noProof/>
        </w:rPr>
        <w:tab/>
      </w:r>
      <w:r>
        <w:rPr>
          <w:noProof/>
        </w:rPr>
        <w:fldChar w:fldCharType="begin"/>
      </w:r>
      <w:r>
        <w:rPr>
          <w:noProof/>
        </w:rPr>
        <w:instrText xml:space="preserve"> PAGEREF _Toc440387811 \h </w:instrText>
      </w:r>
      <w:r>
        <w:rPr>
          <w:noProof/>
        </w:rPr>
      </w:r>
      <w:r>
        <w:rPr>
          <w:noProof/>
        </w:rPr>
        <w:fldChar w:fldCharType="separate"/>
      </w:r>
      <w:r w:rsidR="009A345E">
        <w:rPr>
          <w:noProof/>
        </w:rPr>
        <w:t>46</w:t>
      </w:r>
      <w:r>
        <w:rPr>
          <w:noProof/>
        </w:rPr>
        <w:fldChar w:fldCharType="end"/>
      </w:r>
    </w:p>
    <w:p w:rsidR="00B3668D" w:rsidRDefault="00B3668D" w:rsidP="00B3668D">
      <w:pPr>
        <w:pStyle w:val="TOC2"/>
        <w:keepNext/>
        <w:rPr>
          <w:rFonts w:asciiTheme="minorHAnsi" w:eastAsiaTheme="minorEastAsia" w:hAnsiTheme="minorHAnsi" w:cstheme="minorBidi"/>
          <w:noProof/>
          <w:szCs w:val="22"/>
          <w:lang w:eastAsia="en-NZ"/>
        </w:rPr>
      </w:pPr>
      <w:r>
        <w:rPr>
          <w:noProof/>
        </w:rPr>
        <w:t>WCTO Quality Improvement Framework Indicator 21</w:t>
      </w:r>
      <w:r>
        <w:rPr>
          <w:noProof/>
        </w:rPr>
        <w:tab/>
      </w:r>
      <w:r>
        <w:rPr>
          <w:noProof/>
        </w:rPr>
        <w:fldChar w:fldCharType="begin"/>
      </w:r>
      <w:r>
        <w:rPr>
          <w:noProof/>
        </w:rPr>
        <w:instrText xml:space="preserve"> PAGEREF _Toc440387812 \h </w:instrText>
      </w:r>
      <w:r>
        <w:rPr>
          <w:noProof/>
        </w:rPr>
      </w:r>
      <w:r>
        <w:rPr>
          <w:noProof/>
        </w:rPr>
        <w:fldChar w:fldCharType="separate"/>
      </w:r>
      <w:r w:rsidR="009A345E">
        <w:rPr>
          <w:noProof/>
        </w:rPr>
        <w:t>48</w:t>
      </w:r>
      <w:r>
        <w:rPr>
          <w:noProof/>
        </w:rPr>
        <w:fldChar w:fldCharType="end"/>
      </w:r>
    </w:p>
    <w:p w:rsidR="00B3668D" w:rsidRDefault="00B3668D" w:rsidP="00B3668D">
      <w:pPr>
        <w:pStyle w:val="TOC2"/>
        <w:keepNext/>
        <w:rPr>
          <w:rFonts w:asciiTheme="minorHAnsi" w:eastAsiaTheme="minorEastAsia" w:hAnsiTheme="minorHAnsi" w:cstheme="minorBidi"/>
          <w:noProof/>
          <w:szCs w:val="22"/>
          <w:lang w:eastAsia="en-NZ"/>
        </w:rPr>
      </w:pPr>
      <w:r>
        <w:rPr>
          <w:noProof/>
        </w:rPr>
        <w:t>WCTO Quality Improvement Framework Indicator 22</w:t>
      </w:r>
      <w:r>
        <w:rPr>
          <w:noProof/>
        </w:rPr>
        <w:tab/>
      </w:r>
      <w:r>
        <w:rPr>
          <w:noProof/>
        </w:rPr>
        <w:fldChar w:fldCharType="begin"/>
      </w:r>
      <w:r>
        <w:rPr>
          <w:noProof/>
        </w:rPr>
        <w:instrText xml:space="preserve"> PAGEREF _Toc440387813 \h </w:instrText>
      </w:r>
      <w:r>
        <w:rPr>
          <w:noProof/>
        </w:rPr>
      </w:r>
      <w:r>
        <w:rPr>
          <w:noProof/>
        </w:rPr>
        <w:fldChar w:fldCharType="separate"/>
      </w:r>
      <w:r w:rsidR="009A345E">
        <w:rPr>
          <w:noProof/>
        </w:rPr>
        <w:t>50</w:t>
      </w:r>
      <w:r>
        <w:rPr>
          <w:noProof/>
        </w:rPr>
        <w:fldChar w:fldCharType="end"/>
      </w:r>
    </w:p>
    <w:p w:rsidR="00B3668D" w:rsidRDefault="00B3668D" w:rsidP="00B3668D">
      <w:pPr>
        <w:pStyle w:val="TOC2"/>
        <w:keepNext/>
        <w:rPr>
          <w:rFonts w:asciiTheme="minorHAnsi" w:eastAsiaTheme="minorEastAsia" w:hAnsiTheme="minorHAnsi" w:cstheme="minorBidi"/>
          <w:noProof/>
          <w:szCs w:val="22"/>
          <w:lang w:eastAsia="en-NZ"/>
        </w:rPr>
      </w:pPr>
      <w:r>
        <w:rPr>
          <w:noProof/>
        </w:rPr>
        <w:t>WCTO Quality Improvement Framework Indicator 23</w:t>
      </w:r>
      <w:r>
        <w:rPr>
          <w:noProof/>
        </w:rPr>
        <w:tab/>
      </w:r>
      <w:r>
        <w:rPr>
          <w:noProof/>
        </w:rPr>
        <w:fldChar w:fldCharType="begin"/>
      </w:r>
      <w:r>
        <w:rPr>
          <w:noProof/>
        </w:rPr>
        <w:instrText xml:space="preserve"> PAGEREF _Toc440387814 \h </w:instrText>
      </w:r>
      <w:r>
        <w:rPr>
          <w:noProof/>
        </w:rPr>
      </w:r>
      <w:r>
        <w:rPr>
          <w:noProof/>
        </w:rPr>
        <w:fldChar w:fldCharType="separate"/>
      </w:r>
      <w:r w:rsidR="009A345E">
        <w:rPr>
          <w:noProof/>
        </w:rPr>
        <w:t>52</w:t>
      </w:r>
      <w:r>
        <w:rPr>
          <w:noProof/>
        </w:rPr>
        <w:fldChar w:fldCharType="end"/>
      </w:r>
    </w:p>
    <w:p w:rsidR="00B3668D" w:rsidRDefault="00B3668D">
      <w:pPr>
        <w:pStyle w:val="TOC2"/>
        <w:rPr>
          <w:rFonts w:asciiTheme="minorHAnsi" w:eastAsiaTheme="minorEastAsia" w:hAnsiTheme="minorHAnsi" w:cstheme="minorBidi"/>
          <w:noProof/>
          <w:szCs w:val="22"/>
          <w:lang w:eastAsia="en-NZ"/>
        </w:rPr>
      </w:pPr>
      <w:r>
        <w:rPr>
          <w:noProof/>
        </w:rPr>
        <w:t>WCTO Quality Improvement Framework Indicator 24</w:t>
      </w:r>
      <w:r>
        <w:rPr>
          <w:noProof/>
        </w:rPr>
        <w:tab/>
      </w:r>
      <w:r>
        <w:rPr>
          <w:noProof/>
        </w:rPr>
        <w:fldChar w:fldCharType="begin"/>
      </w:r>
      <w:r>
        <w:rPr>
          <w:noProof/>
        </w:rPr>
        <w:instrText xml:space="preserve"> PAGEREF _Toc440387815 \h </w:instrText>
      </w:r>
      <w:r>
        <w:rPr>
          <w:noProof/>
        </w:rPr>
      </w:r>
      <w:r>
        <w:rPr>
          <w:noProof/>
        </w:rPr>
        <w:fldChar w:fldCharType="separate"/>
      </w:r>
      <w:r w:rsidR="009A345E">
        <w:rPr>
          <w:noProof/>
        </w:rPr>
        <w:t>54</w:t>
      </w:r>
      <w:r>
        <w:rPr>
          <w:noProof/>
        </w:rPr>
        <w:fldChar w:fldCharType="end"/>
      </w:r>
    </w:p>
    <w:p w:rsidR="00B3668D" w:rsidRDefault="00B3668D">
      <w:pPr>
        <w:pStyle w:val="TOC2"/>
        <w:rPr>
          <w:rFonts w:asciiTheme="minorHAnsi" w:eastAsiaTheme="minorEastAsia" w:hAnsiTheme="minorHAnsi" w:cstheme="minorBidi"/>
          <w:noProof/>
          <w:szCs w:val="22"/>
          <w:lang w:eastAsia="en-NZ"/>
        </w:rPr>
      </w:pPr>
      <w:r>
        <w:rPr>
          <w:noProof/>
        </w:rPr>
        <w:t>WCTO Quality Improvement Framework Indicator 25</w:t>
      </w:r>
      <w:r>
        <w:rPr>
          <w:noProof/>
        </w:rPr>
        <w:tab/>
      </w:r>
      <w:r>
        <w:rPr>
          <w:noProof/>
        </w:rPr>
        <w:fldChar w:fldCharType="begin"/>
      </w:r>
      <w:r>
        <w:rPr>
          <w:noProof/>
        </w:rPr>
        <w:instrText xml:space="preserve"> PAGEREF _Toc440387816 \h </w:instrText>
      </w:r>
      <w:r>
        <w:rPr>
          <w:noProof/>
        </w:rPr>
      </w:r>
      <w:r>
        <w:rPr>
          <w:noProof/>
        </w:rPr>
        <w:fldChar w:fldCharType="separate"/>
      </w:r>
      <w:r w:rsidR="009A345E">
        <w:rPr>
          <w:noProof/>
        </w:rPr>
        <w:t>56</w:t>
      </w:r>
      <w:r>
        <w:rPr>
          <w:noProof/>
        </w:rPr>
        <w:fldChar w:fldCharType="end"/>
      </w:r>
    </w:p>
    <w:p w:rsidR="00B3668D" w:rsidRDefault="00B3668D">
      <w:pPr>
        <w:pStyle w:val="TOC2"/>
        <w:rPr>
          <w:rFonts w:asciiTheme="minorHAnsi" w:eastAsiaTheme="minorEastAsia" w:hAnsiTheme="minorHAnsi" w:cstheme="minorBidi"/>
          <w:noProof/>
          <w:szCs w:val="22"/>
          <w:lang w:eastAsia="en-NZ"/>
        </w:rPr>
      </w:pPr>
      <w:r>
        <w:rPr>
          <w:noProof/>
        </w:rPr>
        <w:t>WCTO Quality Improvement Framework Indicator 26</w:t>
      </w:r>
      <w:r>
        <w:rPr>
          <w:noProof/>
        </w:rPr>
        <w:tab/>
      </w:r>
      <w:r>
        <w:rPr>
          <w:noProof/>
        </w:rPr>
        <w:fldChar w:fldCharType="begin"/>
      </w:r>
      <w:r>
        <w:rPr>
          <w:noProof/>
        </w:rPr>
        <w:instrText xml:space="preserve"> PAGEREF _Toc440387817 \h </w:instrText>
      </w:r>
      <w:r>
        <w:rPr>
          <w:noProof/>
        </w:rPr>
      </w:r>
      <w:r>
        <w:rPr>
          <w:noProof/>
        </w:rPr>
        <w:fldChar w:fldCharType="separate"/>
      </w:r>
      <w:r w:rsidR="009A345E">
        <w:rPr>
          <w:noProof/>
        </w:rPr>
        <w:t>58</w:t>
      </w:r>
      <w:r>
        <w:rPr>
          <w:noProof/>
        </w:rPr>
        <w:fldChar w:fldCharType="end"/>
      </w:r>
    </w:p>
    <w:p w:rsidR="00B3668D" w:rsidRDefault="00B3668D">
      <w:pPr>
        <w:pStyle w:val="TOC2"/>
        <w:rPr>
          <w:rFonts w:asciiTheme="minorHAnsi" w:eastAsiaTheme="minorEastAsia" w:hAnsiTheme="minorHAnsi" w:cstheme="minorBidi"/>
          <w:noProof/>
          <w:szCs w:val="22"/>
          <w:lang w:eastAsia="en-NZ"/>
        </w:rPr>
      </w:pPr>
      <w:r>
        <w:rPr>
          <w:noProof/>
        </w:rPr>
        <w:t>WCTO Quality Improvement Framework Indicator 27</w:t>
      </w:r>
      <w:r>
        <w:rPr>
          <w:noProof/>
        </w:rPr>
        <w:tab/>
      </w:r>
      <w:r>
        <w:rPr>
          <w:noProof/>
        </w:rPr>
        <w:fldChar w:fldCharType="begin"/>
      </w:r>
      <w:r>
        <w:rPr>
          <w:noProof/>
        </w:rPr>
        <w:instrText xml:space="preserve"> PAGEREF _Toc440387818 \h </w:instrText>
      </w:r>
      <w:r>
        <w:rPr>
          <w:noProof/>
        </w:rPr>
      </w:r>
      <w:r>
        <w:rPr>
          <w:noProof/>
        </w:rPr>
        <w:fldChar w:fldCharType="separate"/>
      </w:r>
      <w:r w:rsidR="009A345E">
        <w:rPr>
          <w:noProof/>
        </w:rPr>
        <w:t>60</w:t>
      </w:r>
      <w:r>
        <w:rPr>
          <w:noProof/>
        </w:rPr>
        <w:fldChar w:fldCharType="end"/>
      </w:r>
    </w:p>
    <w:p w:rsidR="00B3668D" w:rsidRDefault="00B3668D">
      <w:pPr>
        <w:pStyle w:val="TOC1"/>
        <w:rPr>
          <w:rFonts w:asciiTheme="minorHAnsi" w:eastAsiaTheme="minorEastAsia" w:hAnsiTheme="minorHAnsi" w:cstheme="minorBidi"/>
          <w:b w:val="0"/>
          <w:noProof/>
          <w:szCs w:val="22"/>
          <w:lang w:eastAsia="en-NZ"/>
        </w:rPr>
      </w:pPr>
      <w:r>
        <w:rPr>
          <w:noProof/>
          <w:lang w:eastAsia="en-NZ"/>
        </w:rPr>
        <w:t>Appendix 1: Targets for the quality indicators</w:t>
      </w:r>
      <w:r>
        <w:rPr>
          <w:noProof/>
        </w:rPr>
        <w:tab/>
      </w:r>
      <w:r>
        <w:rPr>
          <w:noProof/>
        </w:rPr>
        <w:fldChar w:fldCharType="begin"/>
      </w:r>
      <w:r>
        <w:rPr>
          <w:noProof/>
        </w:rPr>
        <w:instrText xml:space="preserve"> PAGEREF _Toc440387819 \h </w:instrText>
      </w:r>
      <w:r>
        <w:rPr>
          <w:noProof/>
        </w:rPr>
      </w:r>
      <w:r>
        <w:rPr>
          <w:noProof/>
        </w:rPr>
        <w:fldChar w:fldCharType="separate"/>
      </w:r>
      <w:r w:rsidR="009A345E">
        <w:rPr>
          <w:noProof/>
        </w:rPr>
        <w:t>62</w:t>
      </w:r>
      <w:r>
        <w:rPr>
          <w:noProof/>
        </w:rPr>
        <w:fldChar w:fldCharType="end"/>
      </w:r>
    </w:p>
    <w:p w:rsidR="00B3668D" w:rsidRDefault="00B3668D">
      <w:pPr>
        <w:pStyle w:val="TOC1"/>
        <w:rPr>
          <w:rFonts w:asciiTheme="minorHAnsi" w:eastAsiaTheme="minorEastAsia" w:hAnsiTheme="minorHAnsi" w:cstheme="minorBidi"/>
          <w:b w:val="0"/>
          <w:noProof/>
          <w:szCs w:val="22"/>
          <w:lang w:eastAsia="en-NZ"/>
        </w:rPr>
      </w:pPr>
      <w:r>
        <w:rPr>
          <w:noProof/>
          <w:lang w:eastAsia="en-NZ"/>
        </w:rPr>
        <w:t>Appendix 2: Membership of the Expert Advisory Group</w:t>
      </w:r>
      <w:r>
        <w:rPr>
          <w:noProof/>
        </w:rPr>
        <w:tab/>
      </w:r>
      <w:r>
        <w:rPr>
          <w:noProof/>
        </w:rPr>
        <w:fldChar w:fldCharType="begin"/>
      </w:r>
      <w:r>
        <w:rPr>
          <w:noProof/>
        </w:rPr>
        <w:instrText xml:space="preserve"> PAGEREF _Toc440387820 \h </w:instrText>
      </w:r>
      <w:r>
        <w:rPr>
          <w:noProof/>
        </w:rPr>
      </w:r>
      <w:r>
        <w:rPr>
          <w:noProof/>
        </w:rPr>
        <w:fldChar w:fldCharType="separate"/>
      </w:r>
      <w:r w:rsidR="009A345E">
        <w:rPr>
          <w:noProof/>
        </w:rPr>
        <w:t>63</w:t>
      </w:r>
      <w:r>
        <w:rPr>
          <w:noProof/>
        </w:rPr>
        <w:fldChar w:fldCharType="end"/>
      </w:r>
    </w:p>
    <w:p w:rsidR="00C86248" w:rsidRDefault="00C86248">
      <w:r>
        <w:rPr>
          <w:b/>
        </w:rPr>
        <w:fldChar w:fldCharType="end"/>
      </w:r>
    </w:p>
    <w:p w:rsidR="003A5FEA" w:rsidRDefault="003A5FEA" w:rsidP="0087231D">
      <w:pPr>
        <w:pStyle w:val="TOC1"/>
        <w:spacing w:before="240"/>
      </w:pPr>
      <w:r>
        <w:t>List of Figures</w:t>
      </w:r>
    </w:p>
    <w:p w:rsidR="00B3668D" w:rsidRDefault="003A5FEA">
      <w:pPr>
        <w:pStyle w:val="TOC3"/>
        <w:rPr>
          <w:rFonts w:asciiTheme="minorHAnsi" w:eastAsiaTheme="minorEastAsia" w:hAnsiTheme="minorHAnsi" w:cstheme="minorBidi"/>
          <w:noProof/>
          <w:szCs w:val="22"/>
          <w:lang w:eastAsia="en-NZ"/>
        </w:rPr>
      </w:pPr>
      <w:r>
        <w:fldChar w:fldCharType="begin"/>
      </w:r>
      <w:r>
        <w:instrText xml:space="preserve"> TOC \t "Figure,3" </w:instrText>
      </w:r>
      <w:r>
        <w:fldChar w:fldCharType="separate"/>
      </w:r>
      <w:r w:rsidR="00B3668D">
        <w:rPr>
          <w:noProof/>
        </w:rPr>
        <w:t>Figure 1:</w:t>
      </w:r>
      <w:r w:rsidR="00B3668D">
        <w:rPr>
          <w:noProof/>
        </w:rPr>
        <w:tab/>
        <w:t>Newborns enrolled with a primary health organisation by three months, total New Zealand</w:t>
      </w:r>
      <w:r w:rsidR="00B3668D">
        <w:rPr>
          <w:noProof/>
        </w:rPr>
        <w:tab/>
      </w:r>
      <w:r w:rsidR="00B3668D">
        <w:rPr>
          <w:noProof/>
        </w:rPr>
        <w:fldChar w:fldCharType="begin"/>
      </w:r>
      <w:r w:rsidR="00B3668D">
        <w:rPr>
          <w:noProof/>
        </w:rPr>
        <w:instrText xml:space="preserve"> PAGEREF _Toc440387821 \h </w:instrText>
      </w:r>
      <w:r w:rsidR="00B3668D">
        <w:rPr>
          <w:noProof/>
        </w:rPr>
      </w:r>
      <w:r w:rsidR="00B3668D">
        <w:rPr>
          <w:noProof/>
        </w:rPr>
        <w:fldChar w:fldCharType="separate"/>
      </w:r>
      <w:r w:rsidR="009A345E">
        <w:rPr>
          <w:noProof/>
        </w:rPr>
        <w:t>5</w:t>
      </w:r>
      <w:r w:rsidR="00B3668D">
        <w:rPr>
          <w:noProof/>
        </w:rPr>
        <w:fldChar w:fldCharType="end"/>
      </w:r>
    </w:p>
    <w:p w:rsidR="00B3668D" w:rsidRDefault="00B3668D">
      <w:pPr>
        <w:pStyle w:val="TOC3"/>
        <w:rPr>
          <w:rFonts w:asciiTheme="minorHAnsi" w:eastAsiaTheme="minorEastAsia" w:hAnsiTheme="minorHAnsi" w:cstheme="minorBidi"/>
          <w:noProof/>
          <w:szCs w:val="22"/>
          <w:lang w:eastAsia="en-NZ"/>
        </w:rPr>
      </w:pPr>
      <w:r>
        <w:rPr>
          <w:noProof/>
        </w:rPr>
        <w:t>Figure 2:</w:t>
      </w:r>
      <w:r>
        <w:rPr>
          <w:noProof/>
        </w:rPr>
        <w:tab/>
        <w:t>Newborns enrolled with a primary health organisation by three months, Māori</w:t>
      </w:r>
      <w:r>
        <w:rPr>
          <w:noProof/>
        </w:rPr>
        <w:tab/>
      </w:r>
      <w:r>
        <w:rPr>
          <w:noProof/>
        </w:rPr>
        <w:fldChar w:fldCharType="begin"/>
      </w:r>
      <w:r>
        <w:rPr>
          <w:noProof/>
        </w:rPr>
        <w:instrText xml:space="preserve"> PAGEREF _Toc440387822 \h </w:instrText>
      </w:r>
      <w:r>
        <w:rPr>
          <w:noProof/>
        </w:rPr>
      </w:r>
      <w:r>
        <w:rPr>
          <w:noProof/>
        </w:rPr>
        <w:fldChar w:fldCharType="separate"/>
      </w:r>
      <w:r w:rsidR="009A345E">
        <w:rPr>
          <w:noProof/>
        </w:rPr>
        <w:t>6</w:t>
      </w:r>
      <w:r>
        <w:rPr>
          <w:noProof/>
        </w:rPr>
        <w:fldChar w:fldCharType="end"/>
      </w:r>
    </w:p>
    <w:p w:rsidR="00B3668D" w:rsidRDefault="00B3668D">
      <w:pPr>
        <w:pStyle w:val="TOC3"/>
        <w:rPr>
          <w:rFonts w:asciiTheme="minorHAnsi" w:eastAsiaTheme="minorEastAsia" w:hAnsiTheme="minorHAnsi" w:cstheme="minorBidi"/>
          <w:noProof/>
          <w:szCs w:val="22"/>
          <w:lang w:eastAsia="en-NZ"/>
        </w:rPr>
      </w:pPr>
      <w:r>
        <w:rPr>
          <w:noProof/>
        </w:rPr>
        <w:t>Figure 3:</w:t>
      </w:r>
      <w:r>
        <w:rPr>
          <w:noProof/>
        </w:rPr>
        <w:tab/>
        <w:t>Newborns enrolled with a primary health organisation by three months, Pacific peoples</w:t>
      </w:r>
      <w:r>
        <w:rPr>
          <w:noProof/>
        </w:rPr>
        <w:tab/>
      </w:r>
      <w:r>
        <w:rPr>
          <w:noProof/>
        </w:rPr>
        <w:fldChar w:fldCharType="begin"/>
      </w:r>
      <w:r>
        <w:rPr>
          <w:noProof/>
        </w:rPr>
        <w:instrText xml:space="preserve"> PAGEREF _Toc440387823 \h </w:instrText>
      </w:r>
      <w:r>
        <w:rPr>
          <w:noProof/>
        </w:rPr>
      </w:r>
      <w:r>
        <w:rPr>
          <w:noProof/>
        </w:rPr>
        <w:fldChar w:fldCharType="separate"/>
      </w:r>
      <w:r w:rsidR="009A345E">
        <w:rPr>
          <w:noProof/>
        </w:rPr>
        <w:t>6</w:t>
      </w:r>
      <w:r>
        <w:rPr>
          <w:noProof/>
        </w:rPr>
        <w:fldChar w:fldCharType="end"/>
      </w:r>
    </w:p>
    <w:p w:rsidR="00B3668D" w:rsidRDefault="00B3668D">
      <w:pPr>
        <w:pStyle w:val="TOC3"/>
        <w:rPr>
          <w:rFonts w:asciiTheme="minorHAnsi" w:eastAsiaTheme="minorEastAsia" w:hAnsiTheme="minorHAnsi" w:cstheme="minorBidi"/>
          <w:noProof/>
          <w:szCs w:val="22"/>
          <w:lang w:eastAsia="en-NZ"/>
        </w:rPr>
      </w:pPr>
      <w:r>
        <w:rPr>
          <w:noProof/>
        </w:rPr>
        <w:t>Figure 4:</w:t>
      </w:r>
      <w:r>
        <w:rPr>
          <w:noProof/>
        </w:rPr>
        <w:tab/>
        <w:t>Referral from lead maternity carer to Well Child / Tamariki Ora, total New Zealand</w:t>
      </w:r>
      <w:r>
        <w:rPr>
          <w:noProof/>
        </w:rPr>
        <w:tab/>
      </w:r>
      <w:r>
        <w:rPr>
          <w:noProof/>
        </w:rPr>
        <w:fldChar w:fldCharType="begin"/>
      </w:r>
      <w:r>
        <w:rPr>
          <w:noProof/>
        </w:rPr>
        <w:instrText xml:space="preserve"> PAGEREF _Toc440387824 \h </w:instrText>
      </w:r>
      <w:r>
        <w:rPr>
          <w:noProof/>
        </w:rPr>
      </w:r>
      <w:r>
        <w:rPr>
          <w:noProof/>
        </w:rPr>
        <w:fldChar w:fldCharType="separate"/>
      </w:r>
      <w:r w:rsidR="009A345E">
        <w:rPr>
          <w:noProof/>
        </w:rPr>
        <w:t>7</w:t>
      </w:r>
      <w:r>
        <w:rPr>
          <w:noProof/>
        </w:rPr>
        <w:fldChar w:fldCharType="end"/>
      </w:r>
    </w:p>
    <w:p w:rsidR="00B3668D" w:rsidRDefault="00B3668D">
      <w:pPr>
        <w:pStyle w:val="TOC3"/>
        <w:rPr>
          <w:rFonts w:asciiTheme="minorHAnsi" w:eastAsiaTheme="minorEastAsia" w:hAnsiTheme="minorHAnsi" w:cstheme="minorBidi"/>
          <w:noProof/>
          <w:szCs w:val="22"/>
          <w:lang w:eastAsia="en-NZ"/>
        </w:rPr>
      </w:pPr>
      <w:r>
        <w:rPr>
          <w:noProof/>
        </w:rPr>
        <w:t>Figure 5:</w:t>
      </w:r>
      <w:r>
        <w:rPr>
          <w:noProof/>
        </w:rPr>
        <w:tab/>
        <w:t>Referral from lead maternity carer to Well Child / Tamariki Ora, high deprivation population</w:t>
      </w:r>
      <w:r>
        <w:rPr>
          <w:noProof/>
        </w:rPr>
        <w:tab/>
      </w:r>
      <w:r>
        <w:rPr>
          <w:noProof/>
        </w:rPr>
        <w:fldChar w:fldCharType="begin"/>
      </w:r>
      <w:r>
        <w:rPr>
          <w:noProof/>
        </w:rPr>
        <w:instrText xml:space="preserve"> PAGEREF _Toc440387825 \h </w:instrText>
      </w:r>
      <w:r>
        <w:rPr>
          <w:noProof/>
        </w:rPr>
      </w:r>
      <w:r>
        <w:rPr>
          <w:noProof/>
        </w:rPr>
        <w:fldChar w:fldCharType="separate"/>
      </w:r>
      <w:r w:rsidR="009A345E">
        <w:rPr>
          <w:noProof/>
        </w:rPr>
        <w:t>7</w:t>
      </w:r>
      <w:r>
        <w:rPr>
          <w:noProof/>
        </w:rPr>
        <w:fldChar w:fldCharType="end"/>
      </w:r>
    </w:p>
    <w:p w:rsidR="00B3668D" w:rsidRDefault="00B3668D">
      <w:pPr>
        <w:pStyle w:val="TOC3"/>
        <w:rPr>
          <w:rFonts w:asciiTheme="minorHAnsi" w:eastAsiaTheme="minorEastAsia" w:hAnsiTheme="minorHAnsi" w:cstheme="minorBidi"/>
          <w:noProof/>
          <w:szCs w:val="22"/>
          <w:lang w:eastAsia="en-NZ"/>
        </w:rPr>
      </w:pPr>
      <w:r>
        <w:rPr>
          <w:noProof/>
        </w:rPr>
        <w:t>Figure 6:</w:t>
      </w:r>
      <w:r>
        <w:rPr>
          <w:noProof/>
        </w:rPr>
        <w:tab/>
        <w:t>Referral from lead maternity carer to Well Child / Tamariki Ora, Māori</w:t>
      </w:r>
      <w:r>
        <w:rPr>
          <w:noProof/>
        </w:rPr>
        <w:tab/>
      </w:r>
      <w:r>
        <w:rPr>
          <w:noProof/>
        </w:rPr>
        <w:fldChar w:fldCharType="begin"/>
      </w:r>
      <w:r>
        <w:rPr>
          <w:noProof/>
        </w:rPr>
        <w:instrText xml:space="preserve"> PAGEREF _Toc440387826 \h </w:instrText>
      </w:r>
      <w:r>
        <w:rPr>
          <w:noProof/>
        </w:rPr>
      </w:r>
      <w:r>
        <w:rPr>
          <w:noProof/>
        </w:rPr>
        <w:fldChar w:fldCharType="separate"/>
      </w:r>
      <w:r w:rsidR="009A345E">
        <w:rPr>
          <w:noProof/>
        </w:rPr>
        <w:t>8</w:t>
      </w:r>
      <w:r>
        <w:rPr>
          <w:noProof/>
        </w:rPr>
        <w:fldChar w:fldCharType="end"/>
      </w:r>
    </w:p>
    <w:p w:rsidR="00B3668D" w:rsidRDefault="00B3668D">
      <w:pPr>
        <w:pStyle w:val="TOC3"/>
        <w:rPr>
          <w:rFonts w:asciiTheme="minorHAnsi" w:eastAsiaTheme="minorEastAsia" w:hAnsiTheme="minorHAnsi" w:cstheme="minorBidi"/>
          <w:noProof/>
          <w:szCs w:val="22"/>
          <w:lang w:eastAsia="en-NZ"/>
        </w:rPr>
      </w:pPr>
      <w:r>
        <w:rPr>
          <w:noProof/>
        </w:rPr>
        <w:t>Figure 7:</w:t>
      </w:r>
      <w:r>
        <w:rPr>
          <w:noProof/>
        </w:rPr>
        <w:tab/>
        <w:t>Referral from lead maternity carer to Well Child / Tamariki Ora, Pacific peoples</w:t>
      </w:r>
      <w:r>
        <w:rPr>
          <w:noProof/>
        </w:rPr>
        <w:tab/>
      </w:r>
      <w:r>
        <w:rPr>
          <w:noProof/>
        </w:rPr>
        <w:fldChar w:fldCharType="begin"/>
      </w:r>
      <w:r>
        <w:rPr>
          <w:noProof/>
        </w:rPr>
        <w:instrText xml:space="preserve"> PAGEREF _Toc440387827 \h </w:instrText>
      </w:r>
      <w:r>
        <w:rPr>
          <w:noProof/>
        </w:rPr>
      </w:r>
      <w:r>
        <w:rPr>
          <w:noProof/>
        </w:rPr>
        <w:fldChar w:fldCharType="separate"/>
      </w:r>
      <w:r w:rsidR="009A345E">
        <w:rPr>
          <w:noProof/>
        </w:rPr>
        <w:t>8</w:t>
      </w:r>
      <w:r>
        <w:rPr>
          <w:noProof/>
        </w:rPr>
        <w:fldChar w:fldCharType="end"/>
      </w:r>
    </w:p>
    <w:p w:rsidR="00B3668D" w:rsidRDefault="00B3668D">
      <w:pPr>
        <w:pStyle w:val="TOC3"/>
        <w:rPr>
          <w:rFonts w:asciiTheme="minorHAnsi" w:eastAsiaTheme="minorEastAsia" w:hAnsiTheme="minorHAnsi" w:cstheme="minorBidi"/>
          <w:noProof/>
          <w:szCs w:val="22"/>
          <w:lang w:eastAsia="en-NZ"/>
        </w:rPr>
      </w:pPr>
      <w:r>
        <w:rPr>
          <w:noProof/>
        </w:rPr>
        <w:t>Figure 8:</w:t>
      </w:r>
      <w:r>
        <w:rPr>
          <w:noProof/>
        </w:rPr>
        <w:tab/>
        <w:t>Core Well Child / Tamariki Ora contacts 1–5 received, total New Zealand</w:t>
      </w:r>
      <w:r>
        <w:rPr>
          <w:noProof/>
        </w:rPr>
        <w:tab/>
      </w:r>
      <w:r>
        <w:rPr>
          <w:noProof/>
        </w:rPr>
        <w:fldChar w:fldCharType="begin"/>
      </w:r>
      <w:r>
        <w:rPr>
          <w:noProof/>
        </w:rPr>
        <w:instrText xml:space="preserve"> PAGEREF _Toc440387828 \h </w:instrText>
      </w:r>
      <w:r>
        <w:rPr>
          <w:noProof/>
        </w:rPr>
      </w:r>
      <w:r>
        <w:rPr>
          <w:noProof/>
        </w:rPr>
        <w:fldChar w:fldCharType="separate"/>
      </w:r>
      <w:r w:rsidR="009A345E">
        <w:rPr>
          <w:noProof/>
        </w:rPr>
        <w:t>9</w:t>
      </w:r>
      <w:r>
        <w:rPr>
          <w:noProof/>
        </w:rPr>
        <w:fldChar w:fldCharType="end"/>
      </w:r>
    </w:p>
    <w:p w:rsidR="00B3668D" w:rsidRDefault="00B3668D">
      <w:pPr>
        <w:pStyle w:val="TOC3"/>
        <w:rPr>
          <w:rFonts w:asciiTheme="minorHAnsi" w:eastAsiaTheme="minorEastAsia" w:hAnsiTheme="minorHAnsi" w:cstheme="minorBidi"/>
          <w:noProof/>
          <w:szCs w:val="22"/>
          <w:lang w:eastAsia="en-NZ"/>
        </w:rPr>
      </w:pPr>
      <w:r>
        <w:rPr>
          <w:noProof/>
          <w:lang w:eastAsia="en-NZ"/>
        </w:rPr>
        <w:t>Figure 9:</w:t>
      </w:r>
      <w:r>
        <w:rPr>
          <w:noProof/>
          <w:lang w:eastAsia="en-NZ"/>
        </w:rPr>
        <w:tab/>
      </w:r>
      <w:r>
        <w:rPr>
          <w:noProof/>
        </w:rPr>
        <w:t>Core Well Child / Tamariki Ora contacts 1–5 received, high deprivation population</w:t>
      </w:r>
      <w:r>
        <w:rPr>
          <w:noProof/>
        </w:rPr>
        <w:tab/>
      </w:r>
      <w:r>
        <w:rPr>
          <w:noProof/>
        </w:rPr>
        <w:fldChar w:fldCharType="begin"/>
      </w:r>
      <w:r>
        <w:rPr>
          <w:noProof/>
        </w:rPr>
        <w:instrText xml:space="preserve"> PAGEREF _Toc440387829 \h </w:instrText>
      </w:r>
      <w:r>
        <w:rPr>
          <w:noProof/>
        </w:rPr>
      </w:r>
      <w:r>
        <w:rPr>
          <w:noProof/>
        </w:rPr>
        <w:fldChar w:fldCharType="separate"/>
      </w:r>
      <w:r w:rsidR="009A345E">
        <w:rPr>
          <w:noProof/>
        </w:rPr>
        <w:t>9</w:t>
      </w:r>
      <w:r>
        <w:rPr>
          <w:noProof/>
        </w:rPr>
        <w:fldChar w:fldCharType="end"/>
      </w:r>
    </w:p>
    <w:p w:rsidR="00B3668D" w:rsidRDefault="00B3668D">
      <w:pPr>
        <w:pStyle w:val="TOC3"/>
        <w:rPr>
          <w:rFonts w:asciiTheme="minorHAnsi" w:eastAsiaTheme="minorEastAsia" w:hAnsiTheme="minorHAnsi" w:cstheme="minorBidi"/>
          <w:noProof/>
          <w:szCs w:val="22"/>
          <w:lang w:eastAsia="en-NZ"/>
        </w:rPr>
      </w:pPr>
      <w:r>
        <w:rPr>
          <w:noProof/>
        </w:rPr>
        <w:t>Figure 10:</w:t>
      </w:r>
      <w:r>
        <w:rPr>
          <w:noProof/>
        </w:rPr>
        <w:tab/>
        <w:t>Core Well Child / Tamariki Ora contacts 1–5 received, Māori</w:t>
      </w:r>
      <w:r>
        <w:rPr>
          <w:noProof/>
        </w:rPr>
        <w:tab/>
      </w:r>
      <w:r>
        <w:rPr>
          <w:noProof/>
        </w:rPr>
        <w:fldChar w:fldCharType="begin"/>
      </w:r>
      <w:r>
        <w:rPr>
          <w:noProof/>
        </w:rPr>
        <w:instrText xml:space="preserve"> PAGEREF _Toc440387830 \h </w:instrText>
      </w:r>
      <w:r>
        <w:rPr>
          <w:noProof/>
        </w:rPr>
      </w:r>
      <w:r>
        <w:rPr>
          <w:noProof/>
        </w:rPr>
        <w:fldChar w:fldCharType="separate"/>
      </w:r>
      <w:r w:rsidR="009A345E">
        <w:rPr>
          <w:noProof/>
        </w:rPr>
        <w:t>10</w:t>
      </w:r>
      <w:r>
        <w:rPr>
          <w:noProof/>
        </w:rPr>
        <w:fldChar w:fldCharType="end"/>
      </w:r>
    </w:p>
    <w:p w:rsidR="00B3668D" w:rsidRDefault="00B3668D">
      <w:pPr>
        <w:pStyle w:val="TOC3"/>
        <w:rPr>
          <w:rFonts w:asciiTheme="minorHAnsi" w:eastAsiaTheme="minorEastAsia" w:hAnsiTheme="minorHAnsi" w:cstheme="minorBidi"/>
          <w:noProof/>
          <w:szCs w:val="22"/>
          <w:lang w:eastAsia="en-NZ"/>
        </w:rPr>
      </w:pPr>
      <w:r>
        <w:rPr>
          <w:noProof/>
        </w:rPr>
        <w:t>Figure 11:</w:t>
      </w:r>
      <w:r>
        <w:rPr>
          <w:noProof/>
        </w:rPr>
        <w:tab/>
        <w:t>Core Well Child / Tamariki Ora contacts 1–5 received, Pacific peoples</w:t>
      </w:r>
      <w:r>
        <w:rPr>
          <w:noProof/>
        </w:rPr>
        <w:tab/>
      </w:r>
      <w:r>
        <w:rPr>
          <w:noProof/>
        </w:rPr>
        <w:fldChar w:fldCharType="begin"/>
      </w:r>
      <w:r>
        <w:rPr>
          <w:noProof/>
        </w:rPr>
        <w:instrText xml:space="preserve"> PAGEREF _Toc440387831 \h </w:instrText>
      </w:r>
      <w:r>
        <w:rPr>
          <w:noProof/>
        </w:rPr>
      </w:r>
      <w:r>
        <w:rPr>
          <w:noProof/>
        </w:rPr>
        <w:fldChar w:fldCharType="separate"/>
      </w:r>
      <w:r w:rsidR="009A345E">
        <w:rPr>
          <w:noProof/>
        </w:rPr>
        <w:t>10</w:t>
      </w:r>
      <w:r>
        <w:rPr>
          <w:noProof/>
        </w:rPr>
        <w:fldChar w:fldCharType="end"/>
      </w:r>
    </w:p>
    <w:p w:rsidR="00B3668D" w:rsidRDefault="00B3668D">
      <w:pPr>
        <w:pStyle w:val="TOC3"/>
        <w:rPr>
          <w:rFonts w:asciiTheme="minorHAnsi" w:eastAsiaTheme="minorEastAsia" w:hAnsiTheme="minorHAnsi" w:cstheme="minorBidi"/>
          <w:noProof/>
          <w:szCs w:val="22"/>
          <w:lang w:eastAsia="en-NZ"/>
        </w:rPr>
      </w:pPr>
      <w:r>
        <w:rPr>
          <w:noProof/>
        </w:rPr>
        <w:t>Figure 12:</w:t>
      </w:r>
      <w:r>
        <w:rPr>
          <w:noProof/>
        </w:rPr>
        <w:tab/>
        <w:t>B4 School Check received, total New Zealand</w:t>
      </w:r>
      <w:r>
        <w:rPr>
          <w:noProof/>
        </w:rPr>
        <w:tab/>
      </w:r>
      <w:r>
        <w:rPr>
          <w:noProof/>
        </w:rPr>
        <w:fldChar w:fldCharType="begin"/>
      </w:r>
      <w:r>
        <w:rPr>
          <w:noProof/>
        </w:rPr>
        <w:instrText xml:space="preserve"> PAGEREF _Toc440387832 \h </w:instrText>
      </w:r>
      <w:r>
        <w:rPr>
          <w:noProof/>
        </w:rPr>
      </w:r>
      <w:r>
        <w:rPr>
          <w:noProof/>
        </w:rPr>
        <w:fldChar w:fldCharType="separate"/>
      </w:r>
      <w:r w:rsidR="009A345E">
        <w:rPr>
          <w:noProof/>
        </w:rPr>
        <w:t>11</w:t>
      </w:r>
      <w:r>
        <w:rPr>
          <w:noProof/>
        </w:rPr>
        <w:fldChar w:fldCharType="end"/>
      </w:r>
    </w:p>
    <w:p w:rsidR="00B3668D" w:rsidRDefault="00B3668D">
      <w:pPr>
        <w:pStyle w:val="TOC3"/>
        <w:rPr>
          <w:rFonts w:asciiTheme="minorHAnsi" w:eastAsiaTheme="minorEastAsia" w:hAnsiTheme="minorHAnsi" w:cstheme="minorBidi"/>
          <w:noProof/>
          <w:szCs w:val="22"/>
          <w:lang w:eastAsia="en-NZ"/>
        </w:rPr>
      </w:pPr>
      <w:r>
        <w:rPr>
          <w:noProof/>
        </w:rPr>
        <w:t>Figure 13:</w:t>
      </w:r>
      <w:r>
        <w:rPr>
          <w:noProof/>
        </w:rPr>
        <w:tab/>
        <w:t>B4 School Check received, high deprivation population</w:t>
      </w:r>
      <w:r>
        <w:rPr>
          <w:noProof/>
        </w:rPr>
        <w:tab/>
      </w:r>
      <w:r>
        <w:rPr>
          <w:noProof/>
        </w:rPr>
        <w:fldChar w:fldCharType="begin"/>
      </w:r>
      <w:r>
        <w:rPr>
          <w:noProof/>
        </w:rPr>
        <w:instrText xml:space="preserve"> PAGEREF _Toc440387833 \h </w:instrText>
      </w:r>
      <w:r>
        <w:rPr>
          <w:noProof/>
        </w:rPr>
      </w:r>
      <w:r>
        <w:rPr>
          <w:noProof/>
        </w:rPr>
        <w:fldChar w:fldCharType="separate"/>
      </w:r>
      <w:r w:rsidR="009A345E">
        <w:rPr>
          <w:noProof/>
        </w:rPr>
        <w:t>11</w:t>
      </w:r>
      <w:r>
        <w:rPr>
          <w:noProof/>
        </w:rPr>
        <w:fldChar w:fldCharType="end"/>
      </w:r>
    </w:p>
    <w:p w:rsidR="00B3668D" w:rsidRDefault="00B3668D">
      <w:pPr>
        <w:pStyle w:val="TOC3"/>
        <w:rPr>
          <w:rFonts w:asciiTheme="minorHAnsi" w:eastAsiaTheme="minorEastAsia" w:hAnsiTheme="minorHAnsi" w:cstheme="minorBidi"/>
          <w:noProof/>
          <w:szCs w:val="22"/>
          <w:lang w:eastAsia="en-NZ"/>
        </w:rPr>
      </w:pPr>
      <w:r>
        <w:rPr>
          <w:noProof/>
        </w:rPr>
        <w:t>Figure 14:</w:t>
      </w:r>
      <w:r>
        <w:rPr>
          <w:noProof/>
        </w:rPr>
        <w:tab/>
        <w:t>B4 School Check received, Māori</w:t>
      </w:r>
      <w:r>
        <w:rPr>
          <w:noProof/>
        </w:rPr>
        <w:tab/>
      </w:r>
      <w:r>
        <w:rPr>
          <w:noProof/>
        </w:rPr>
        <w:fldChar w:fldCharType="begin"/>
      </w:r>
      <w:r>
        <w:rPr>
          <w:noProof/>
        </w:rPr>
        <w:instrText xml:space="preserve"> PAGEREF _Toc440387834 \h </w:instrText>
      </w:r>
      <w:r>
        <w:rPr>
          <w:noProof/>
        </w:rPr>
      </w:r>
      <w:r>
        <w:rPr>
          <w:noProof/>
        </w:rPr>
        <w:fldChar w:fldCharType="separate"/>
      </w:r>
      <w:r w:rsidR="009A345E">
        <w:rPr>
          <w:noProof/>
        </w:rPr>
        <w:t>12</w:t>
      </w:r>
      <w:r>
        <w:rPr>
          <w:noProof/>
        </w:rPr>
        <w:fldChar w:fldCharType="end"/>
      </w:r>
    </w:p>
    <w:p w:rsidR="00B3668D" w:rsidRDefault="00B3668D">
      <w:pPr>
        <w:pStyle w:val="TOC3"/>
        <w:rPr>
          <w:rFonts w:asciiTheme="minorHAnsi" w:eastAsiaTheme="minorEastAsia" w:hAnsiTheme="minorHAnsi" w:cstheme="minorBidi"/>
          <w:noProof/>
          <w:szCs w:val="22"/>
          <w:lang w:eastAsia="en-NZ"/>
        </w:rPr>
      </w:pPr>
      <w:r>
        <w:rPr>
          <w:noProof/>
        </w:rPr>
        <w:t>Figure 15:</w:t>
      </w:r>
      <w:r>
        <w:rPr>
          <w:noProof/>
        </w:rPr>
        <w:tab/>
        <w:t>B4 School Check received, Pacific peoples</w:t>
      </w:r>
      <w:r>
        <w:rPr>
          <w:noProof/>
        </w:rPr>
        <w:tab/>
      </w:r>
      <w:r>
        <w:rPr>
          <w:noProof/>
        </w:rPr>
        <w:fldChar w:fldCharType="begin"/>
      </w:r>
      <w:r>
        <w:rPr>
          <w:noProof/>
        </w:rPr>
        <w:instrText xml:space="preserve"> PAGEREF _Toc440387835 \h </w:instrText>
      </w:r>
      <w:r>
        <w:rPr>
          <w:noProof/>
        </w:rPr>
      </w:r>
      <w:r>
        <w:rPr>
          <w:noProof/>
        </w:rPr>
        <w:fldChar w:fldCharType="separate"/>
      </w:r>
      <w:r w:rsidR="009A345E">
        <w:rPr>
          <w:noProof/>
        </w:rPr>
        <w:t>12</w:t>
      </w:r>
      <w:r>
        <w:rPr>
          <w:noProof/>
        </w:rPr>
        <w:fldChar w:fldCharType="end"/>
      </w:r>
    </w:p>
    <w:p w:rsidR="00B3668D" w:rsidRDefault="00B3668D">
      <w:pPr>
        <w:pStyle w:val="TOC3"/>
        <w:rPr>
          <w:rFonts w:asciiTheme="minorHAnsi" w:eastAsiaTheme="minorEastAsia" w:hAnsiTheme="minorHAnsi" w:cstheme="minorBidi"/>
          <w:noProof/>
          <w:szCs w:val="22"/>
          <w:lang w:eastAsia="en-NZ"/>
        </w:rPr>
      </w:pPr>
      <w:r>
        <w:rPr>
          <w:noProof/>
        </w:rPr>
        <w:t>Figure 16:</w:t>
      </w:r>
      <w:r>
        <w:rPr>
          <w:noProof/>
        </w:rPr>
        <w:tab/>
        <w:t>Preschool children enrolled with child oral health services, total New Zealand</w:t>
      </w:r>
      <w:r>
        <w:rPr>
          <w:noProof/>
        </w:rPr>
        <w:tab/>
      </w:r>
      <w:r>
        <w:rPr>
          <w:noProof/>
        </w:rPr>
        <w:fldChar w:fldCharType="begin"/>
      </w:r>
      <w:r>
        <w:rPr>
          <w:noProof/>
        </w:rPr>
        <w:instrText xml:space="preserve"> PAGEREF _Toc440387836 \h </w:instrText>
      </w:r>
      <w:r>
        <w:rPr>
          <w:noProof/>
        </w:rPr>
      </w:r>
      <w:r>
        <w:rPr>
          <w:noProof/>
        </w:rPr>
        <w:fldChar w:fldCharType="separate"/>
      </w:r>
      <w:r w:rsidR="009A345E">
        <w:rPr>
          <w:noProof/>
        </w:rPr>
        <w:t>13</w:t>
      </w:r>
      <w:r>
        <w:rPr>
          <w:noProof/>
        </w:rPr>
        <w:fldChar w:fldCharType="end"/>
      </w:r>
    </w:p>
    <w:p w:rsidR="00B3668D" w:rsidRDefault="00B3668D">
      <w:pPr>
        <w:pStyle w:val="TOC3"/>
        <w:rPr>
          <w:rFonts w:asciiTheme="minorHAnsi" w:eastAsiaTheme="minorEastAsia" w:hAnsiTheme="minorHAnsi" w:cstheme="minorBidi"/>
          <w:noProof/>
          <w:szCs w:val="22"/>
          <w:lang w:eastAsia="en-NZ"/>
        </w:rPr>
      </w:pPr>
      <w:r>
        <w:rPr>
          <w:noProof/>
        </w:rPr>
        <w:t>Figure 17:</w:t>
      </w:r>
      <w:r>
        <w:rPr>
          <w:noProof/>
        </w:rPr>
        <w:tab/>
        <w:t>Preschool children enrolled with child oral health services, Māori</w:t>
      </w:r>
      <w:r>
        <w:rPr>
          <w:noProof/>
        </w:rPr>
        <w:tab/>
      </w:r>
      <w:r>
        <w:rPr>
          <w:noProof/>
        </w:rPr>
        <w:fldChar w:fldCharType="begin"/>
      </w:r>
      <w:r>
        <w:rPr>
          <w:noProof/>
        </w:rPr>
        <w:instrText xml:space="preserve"> PAGEREF _Toc440387837 \h </w:instrText>
      </w:r>
      <w:r>
        <w:rPr>
          <w:noProof/>
        </w:rPr>
      </w:r>
      <w:r>
        <w:rPr>
          <w:noProof/>
        </w:rPr>
        <w:fldChar w:fldCharType="separate"/>
      </w:r>
      <w:r w:rsidR="009A345E">
        <w:rPr>
          <w:noProof/>
        </w:rPr>
        <w:t>13</w:t>
      </w:r>
      <w:r>
        <w:rPr>
          <w:noProof/>
        </w:rPr>
        <w:fldChar w:fldCharType="end"/>
      </w:r>
    </w:p>
    <w:p w:rsidR="00B3668D" w:rsidRDefault="00B3668D">
      <w:pPr>
        <w:pStyle w:val="TOC3"/>
        <w:rPr>
          <w:rFonts w:asciiTheme="minorHAnsi" w:eastAsiaTheme="minorEastAsia" w:hAnsiTheme="minorHAnsi" w:cstheme="minorBidi"/>
          <w:noProof/>
          <w:szCs w:val="22"/>
          <w:lang w:eastAsia="en-NZ"/>
        </w:rPr>
      </w:pPr>
      <w:r>
        <w:rPr>
          <w:noProof/>
        </w:rPr>
        <w:t>Figure 18:</w:t>
      </w:r>
      <w:r>
        <w:rPr>
          <w:noProof/>
        </w:rPr>
        <w:tab/>
        <w:t>Preschool children enrolled with child oral health services, Pacific peoples</w:t>
      </w:r>
      <w:r>
        <w:rPr>
          <w:noProof/>
        </w:rPr>
        <w:tab/>
      </w:r>
      <w:r>
        <w:rPr>
          <w:noProof/>
        </w:rPr>
        <w:fldChar w:fldCharType="begin"/>
      </w:r>
      <w:r>
        <w:rPr>
          <w:noProof/>
        </w:rPr>
        <w:instrText xml:space="preserve"> PAGEREF _Toc440387838 \h </w:instrText>
      </w:r>
      <w:r>
        <w:rPr>
          <w:noProof/>
        </w:rPr>
      </w:r>
      <w:r>
        <w:rPr>
          <w:noProof/>
        </w:rPr>
        <w:fldChar w:fldCharType="separate"/>
      </w:r>
      <w:r w:rsidR="009A345E">
        <w:rPr>
          <w:noProof/>
        </w:rPr>
        <w:t>14</w:t>
      </w:r>
      <w:r>
        <w:rPr>
          <w:noProof/>
        </w:rPr>
        <w:fldChar w:fldCharType="end"/>
      </w:r>
    </w:p>
    <w:p w:rsidR="00B3668D" w:rsidRDefault="00B3668D">
      <w:pPr>
        <w:pStyle w:val="TOC3"/>
        <w:rPr>
          <w:rFonts w:asciiTheme="minorHAnsi" w:eastAsiaTheme="minorEastAsia" w:hAnsiTheme="minorHAnsi" w:cstheme="minorBidi"/>
          <w:noProof/>
          <w:szCs w:val="22"/>
          <w:lang w:eastAsia="en-NZ"/>
        </w:rPr>
      </w:pPr>
      <w:r>
        <w:rPr>
          <w:noProof/>
        </w:rPr>
        <w:t>Figure 19:</w:t>
      </w:r>
      <w:r>
        <w:rPr>
          <w:noProof/>
        </w:rPr>
        <w:tab/>
        <w:t>Infants fully immunised by eight months, total New Zealand</w:t>
      </w:r>
      <w:r>
        <w:rPr>
          <w:noProof/>
        </w:rPr>
        <w:tab/>
      </w:r>
      <w:r>
        <w:rPr>
          <w:noProof/>
        </w:rPr>
        <w:fldChar w:fldCharType="begin"/>
      </w:r>
      <w:r>
        <w:rPr>
          <w:noProof/>
        </w:rPr>
        <w:instrText xml:space="preserve"> PAGEREF _Toc440387839 \h </w:instrText>
      </w:r>
      <w:r>
        <w:rPr>
          <w:noProof/>
        </w:rPr>
      </w:r>
      <w:r>
        <w:rPr>
          <w:noProof/>
        </w:rPr>
        <w:fldChar w:fldCharType="separate"/>
      </w:r>
      <w:r w:rsidR="009A345E">
        <w:rPr>
          <w:noProof/>
        </w:rPr>
        <w:t>15</w:t>
      </w:r>
      <w:r>
        <w:rPr>
          <w:noProof/>
        </w:rPr>
        <w:fldChar w:fldCharType="end"/>
      </w:r>
    </w:p>
    <w:p w:rsidR="00B3668D" w:rsidRDefault="00B3668D">
      <w:pPr>
        <w:pStyle w:val="TOC3"/>
        <w:rPr>
          <w:rFonts w:asciiTheme="minorHAnsi" w:eastAsiaTheme="minorEastAsia" w:hAnsiTheme="minorHAnsi" w:cstheme="minorBidi"/>
          <w:noProof/>
          <w:szCs w:val="22"/>
          <w:lang w:eastAsia="en-NZ"/>
        </w:rPr>
      </w:pPr>
      <w:r>
        <w:rPr>
          <w:noProof/>
        </w:rPr>
        <w:t>Figure 20:</w:t>
      </w:r>
      <w:r>
        <w:rPr>
          <w:noProof/>
        </w:rPr>
        <w:tab/>
        <w:t>Infants fully immunised by eight months, high deprivation population</w:t>
      </w:r>
      <w:r>
        <w:rPr>
          <w:noProof/>
        </w:rPr>
        <w:tab/>
      </w:r>
      <w:r>
        <w:rPr>
          <w:noProof/>
        </w:rPr>
        <w:fldChar w:fldCharType="begin"/>
      </w:r>
      <w:r>
        <w:rPr>
          <w:noProof/>
        </w:rPr>
        <w:instrText xml:space="preserve"> PAGEREF _Toc440387840 \h </w:instrText>
      </w:r>
      <w:r>
        <w:rPr>
          <w:noProof/>
        </w:rPr>
      </w:r>
      <w:r>
        <w:rPr>
          <w:noProof/>
        </w:rPr>
        <w:fldChar w:fldCharType="separate"/>
      </w:r>
      <w:r w:rsidR="009A345E">
        <w:rPr>
          <w:noProof/>
        </w:rPr>
        <w:t>15</w:t>
      </w:r>
      <w:r>
        <w:rPr>
          <w:noProof/>
        </w:rPr>
        <w:fldChar w:fldCharType="end"/>
      </w:r>
    </w:p>
    <w:p w:rsidR="00B3668D" w:rsidRDefault="00B3668D">
      <w:pPr>
        <w:pStyle w:val="TOC3"/>
        <w:rPr>
          <w:rFonts w:asciiTheme="minorHAnsi" w:eastAsiaTheme="minorEastAsia" w:hAnsiTheme="minorHAnsi" w:cstheme="minorBidi"/>
          <w:noProof/>
          <w:szCs w:val="22"/>
          <w:lang w:eastAsia="en-NZ"/>
        </w:rPr>
      </w:pPr>
      <w:r>
        <w:rPr>
          <w:noProof/>
        </w:rPr>
        <w:t>Figure 21:</w:t>
      </w:r>
      <w:r>
        <w:rPr>
          <w:noProof/>
        </w:rPr>
        <w:tab/>
        <w:t>Infants fully immunised by eight months, Māori</w:t>
      </w:r>
      <w:r>
        <w:rPr>
          <w:noProof/>
        </w:rPr>
        <w:tab/>
      </w:r>
      <w:r>
        <w:rPr>
          <w:noProof/>
        </w:rPr>
        <w:fldChar w:fldCharType="begin"/>
      </w:r>
      <w:r>
        <w:rPr>
          <w:noProof/>
        </w:rPr>
        <w:instrText xml:space="preserve"> PAGEREF _Toc440387841 \h </w:instrText>
      </w:r>
      <w:r>
        <w:rPr>
          <w:noProof/>
        </w:rPr>
      </w:r>
      <w:r>
        <w:rPr>
          <w:noProof/>
        </w:rPr>
        <w:fldChar w:fldCharType="separate"/>
      </w:r>
      <w:r w:rsidR="009A345E">
        <w:rPr>
          <w:noProof/>
        </w:rPr>
        <w:t>16</w:t>
      </w:r>
      <w:r>
        <w:rPr>
          <w:noProof/>
        </w:rPr>
        <w:fldChar w:fldCharType="end"/>
      </w:r>
    </w:p>
    <w:p w:rsidR="00B3668D" w:rsidRDefault="00B3668D">
      <w:pPr>
        <w:pStyle w:val="TOC3"/>
        <w:rPr>
          <w:rFonts w:asciiTheme="minorHAnsi" w:eastAsiaTheme="minorEastAsia" w:hAnsiTheme="minorHAnsi" w:cstheme="minorBidi"/>
          <w:noProof/>
          <w:szCs w:val="22"/>
          <w:lang w:eastAsia="en-NZ"/>
        </w:rPr>
      </w:pPr>
      <w:r>
        <w:rPr>
          <w:noProof/>
        </w:rPr>
        <w:t>Figure 22:</w:t>
      </w:r>
      <w:r>
        <w:rPr>
          <w:noProof/>
        </w:rPr>
        <w:tab/>
        <w:t>Infants fully immunised by eight months, Pacific peoples</w:t>
      </w:r>
      <w:r>
        <w:rPr>
          <w:noProof/>
        </w:rPr>
        <w:tab/>
      </w:r>
      <w:r>
        <w:rPr>
          <w:noProof/>
        </w:rPr>
        <w:fldChar w:fldCharType="begin"/>
      </w:r>
      <w:r>
        <w:rPr>
          <w:noProof/>
        </w:rPr>
        <w:instrText xml:space="preserve"> PAGEREF _Toc440387842 \h </w:instrText>
      </w:r>
      <w:r>
        <w:rPr>
          <w:noProof/>
        </w:rPr>
      </w:r>
      <w:r>
        <w:rPr>
          <w:noProof/>
        </w:rPr>
        <w:fldChar w:fldCharType="separate"/>
      </w:r>
      <w:r w:rsidR="009A345E">
        <w:rPr>
          <w:noProof/>
        </w:rPr>
        <w:t>16</w:t>
      </w:r>
      <w:r>
        <w:rPr>
          <w:noProof/>
        </w:rPr>
        <w:fldChar w:fldCharType="end"/>
      </w:r>
    </w:p>
    <w:p w:rsidR="00B3668D" w:rsidRDefault="00B3668D">
      <w:pPr>
        <w:pStyle w:val="TOC3"/>
        <w:rPr>
          <w:rFonts w:asciiTheme="minorHAnsi" w:eastAsiaTheme="minorEastAsia" w:hAnsiTheme="minorHAnsi" w:cstheme="minorBidi"/>
          <w:noProof/>
          <w:szCs w:val="22"/>
          <w:lang w:eastAsia="en-NZ"/>
        </w:rPr>
      </w:pPr>
      <w:r>
        <w:rPr>
          <w:noProof/>
        </w:rPr>
        <w:t>Figure 23:</w:t>
      </w:r>
      <w:r>
        <w:rPr>
          <w:noProof/>
        </w:rPr>
        <w:tab/>
        <w:t>Participation in early childhood education, total New Zealand</w:t>
      </w:r>
      <w:r>
        <w:rPr>
          <w:noProof/>
        </w:rPr>
        <w:tab/>
      </w:r>
      <w:r>
        <w:rPr>
          <w:noProof/>
        </w:rPr>
        <w:fldChar w:fldCharType="begin"/>
      </w:r>
      <w:r>
        <w:rPr>
          <w:noProof/>
        </w:rPr>
        <w:instrText xml:space="preserve"> PAGEREF _Toc440387843 \h </w:instrText>
      </w:r>
      <w:r>
        <w:rPr>
          <w:noProof/>
        </w:rPr>
      </w:r>
      <w:r>
        <w:rPr>
          <w:noProof/>
        </w:rPr>
        <w:fldChar w:fldCharType="separate"/>
      </w:r>
      <w:r w:rsidR="009A345E">
        <w:rPr>
          <w:noProof/>
        </w:rPr>
        <w:t>17</w:t>
      </w:r>
      <w:r>
        <w:rPr>
          <w:noProof/>
        </w:rPr>
        <w:fldChar w:fldCharType="end"/>
      </w:r>
    </w:p>
    <w:p w:rsidR="00B3668D" w:rsidRDefault="00B3668D">
      <w:pPr>
        <w:pStyle w:val="TOC3"/>
        <w:rPr>
          <w:rFonts w:asciiTheme="minorHAnsi" w:eastAsiaTheme="minorEastAsia" w:hAnsiTheme="minorHAnsi" w:cstheme="minorBidi"/>
          <w:noProof/>
          <w:szCs w:val="22"/>
          <w:lang w:eastAsia="en-NZ"/>
        </w:rPr>
      </w:pPr>
      <w:r>
        <w:rPr>
          <w:noProof/>
        </w:rPr>
        <w:lastRenderedPageBreak/>
        <w:t>Figure 24:</w:t>
      </w:r>
      <w:r>
        <w:rPr>
          <w:noProof/>
        </w:rPr>
        <w:tab/>
        <w:t>Participation in early childhood education, high deprivation population</w:t>
      </w:r>
      <w:r>
        <w:rPr>
          <w:noProof/>
        </w:rPr>
        <w:tab/>
      </w:r>
      <w:r>
        <w:rPr>
          <w:noProof/>
        </w:rPr>
        <w:fldChar w:fldCharType="begin"/>
      </w:r>
      <w:r>
        <w:rPr>
          <w:noProof/>
        </w:rPr>
        <w:instrText xml:space="preserve"> PAGEREF _Toc440387844 \h </w:instrText>
      </w:r>
      <w:r>
        <w:rPr>
          <w:noProof/>
        </w:rPr>
      </w:r>
      <w:r>
        <w:rPr>
          <w:noProof/>
        </w:rPr>
        <w:fldChar w:fldCharType="separate"/>
      </w:r>
      <w:r w:rsidR="009A345E">
        <w:rPr>
          <w:noProof/>
        </w:rPr>
        <w:t>17</w:t>
      </w:r>
      <w:r>
        <w:rPr>
          <w:noProof/>
        </w:rPr>
        <w:fldChar w:fldCharType="end"/>
      </w:r>
    </w:p>
    <w:p w:rsidR="00B3668D" w:rsidRDefault="00B3668D">
      <w:pPr>
        <w:pStyle w:val="TOC3"/>
        <w:rPr>
          <w:rFonts w:asciiTheme="minorHAnsi" w:eastAsiaTheme="minorEastAsia" w:hAnsiTheme="minorHAnsi" w:cstheme="minorBidi"/>
          <w:noProof/>
          <w:szCs w:val="22"/>
          <w:lang w:eastAsia="en-NZ"/>
        </w:rPr>
      </w:pPr>
      <w:r>
        <w:rPr>
          <w:noProof/>
        </w:rPr>
        <w:t>Figure 25:</w:t>
      </w:r>
      <w:r>
        <w:rPr>
          <w:noProof/>
        </w:rPr>
        <w:tab/>
        <w:t>Participation in early childhood education, Māori</w:t>
      </w:r>
      <w:r>
        <w:rPr>
          <w:noProof/>
        </w:rPr>
        <w:tab/>
      </w:r>
      <w:r>
        <w:rPr>
          <w:noProof/>
        </w:rPr>
        <w:fldChar w:fldCharType="begin"/>
      </w:r>
      <w:r>
        <w:rPr>
          <w:noProof/>
        </w:rPr>
        <w:instrText xml:space="preserve"> PAGEREF _Toc440387845 \h </w:instrText>
      </w:r>
      <w:r>
        <w:rPr>
          <w:noProof/>
        </w:rPr>
      </w:r>
      <w:r>
        <w:rPr>
          <w:noProof/>
        </w:rPr>
        <w:fldChar w:fldCharType="separate"/>
      </w:r>
      <w:r w:rsidR="009A345E">
        <w:rPr>
          <w:noProof/>
        </w:rPr>
        <w:t>18</w:t>
      </w:r>
      <w:r>
        <w:rPr>
          <w:noProof/>
        </w:rPr>
        <w:fldChar w:fldCharType="end"/>
      </w:r>
    </w:p>
    <w:p w:rsidR="00B3668D" w:rsidRDefault="00B3668D">
      <w:pPr>
        <w:pStyle w:val="TOC3"/>
        <w:rPr>
          <w:rFonts w:asciiTheme="minorHAnsi" w:eastAsiaTheme="minorEastAsia" w:hAnsiTheme="minorHAnsi" w:cstheme="minorBidi"/>
          <w:noProof/>
          <w:szCs w:val="22"/>
          <w:lang w:eastAsia="en-NZ"/>
        </w:rPr>
      </w:pPr>
      <w:r>
        <w:rPr>
          <w:noProof/>
        </w:rPr>
        <w:t>Figure 26:</w:t>
      </w:r>
      <w:r>
        <w:rPr>
          <w:noProof/>
        </w:rPr>
        <w:tab/>
        <w:t>Participation in early childhood education, Pacific peoples</w:t>
      </w:r>
      <w:r>
        <w:rPr>
          <w:noProof/>
        </w:rPr>
        <w:tab/>
      </w:r>
      <w:r>
        <w:rPr>
          <w:noProof/>
        </w:rPr>
        <w:fldChar w:fldCharType="begin"/>
      </w:r>
      <w:r>
        <w:rPr>
          <w:noProof/>
        </w:rPr>
        <w:instrText xml:space="preserve"> PAGEREF _Toc440387846 \h </w:instrText>
      </w:r>
      <w:r>
        <w:rPr>
          <w:noProof/>
        </w:rPr>
      </w:r>
      <w:r>
        <w:rPr>
          <w:noProof/>
        </w:rPr>
        <w:fldChar w:fldCharType="separate"/>
      </w:r>
      <w:r w:rsidR="009A345E">
        <w:rPr>
          <w:noProof/>
        </w:rPr>
        <w:t>18</w:t>
      </w:r>
      <w:r>
        <w:rPr>
          <w:noProof/>
        </w:rPr>
        <w:fldChar w:fldCharType="end"/>
      </w:r>
    </w:p>
    <w:p w:rsidR="00B3668D" w:rsidRDefault="00B3668D">
      <w:pPr>
        <w:pStyle w:val="TOC3"/>
        <w:rPr>
          <w:rFonts w:asciiTheme="minorHAnsi" w:eastAsiaTheme="minorEastAsia" w:hAnsiTheme="minorHAnsi" w:cstheme="minorBidi"/>
          <w:noProof/>
          <w:szCs w:val="22"/>
          <w:lang w:eastAsia="en-NZ"/>
        </w:rPr>
      </w:pPr>
      <w:r>
        <w:rPr>
          <w:noProof/>
        </w:rPr>
        <w:t>Figure 27:</w:t>
      </w:r>
      <w:r>
        <w:rPr>
          <w:noProof/>
        </w:rPr>
        <w:tab/>
        <w:t>Under-six access to free primary care, total New Zealand</w:t>
      </w:r>
      <w:r>
        <w:rPr>
          <w:noProof/>
        </w:rPr>
        <w:tab/>
      </w:r>
      <w:r>
        <w:rPr>
          <w:noProof/>
        </w:rPr>
        <w:fldChar w:fldCharType="begin"/>
      </w:r>
      <w:r>
        <w:rPr>
          <w:noProof/>
        </w:rPr>
        <w:instrText xml:space="preserve"> PAGEREF _Toc440387847 \h </w:instrText>
      </w:r>
      <w:r>
        <w:rPr>
          <w:noProof/>
        </w:rPr>
      </w:r>
      <w:r>
        <w:rPr>
          <w:noProof/>
        </w:rPr>
        <w:fldChar w:fldCharType="separate"/>
      </w:r>
      <w:r w:rsidR="009A345E">
        <w:rPr>
          <w:noProof/>
        </w:rPr>
        <w:t>19</w:t>
      </w:r>
      <w:r>
        <w:rPr>
          <w:noProof/>
        </w:rPr>
        <w:fldChar w:fldCharType="end"/>
      </w:r>
    </w:p>
    <w:p w:rsidR="00B3668D" w:rsidRDefault="00B3668D">
      <w:pPr>
        <w:pStyle w:val="TOC3"/>
        <w:rPr>
          <w:rFonts w:asciiTheme="minorHAnsi" w:eastAsiaTheme="minorEastAsia" w:hAnsiTheme="minorHAnsi" w:cstheme="minorBidi"/>
          <w:noProof/>
          <w:szCs w:val="22"/>
          <w:lang w:eastAsia="en-NZ"/>
        </w:rPr>
      </w:pPr>
      <w:r>
        <w:rPr>
          <w:noProof/>
        </w:rPr>
        <w:t>Figure 28:</w:t>
      </w:r>
      <w:r>
        <w:rPr>
          <w:noProof/>
        </w:rPr>
        <w:tab/>
        <w:t>Under-six access to free primary care, high deprivation population</w:t>
      </w:r>
      <w:r>
        <w:rPr>
          <w:noProof/>
        </w:rPr>
        <w:tab/>
      </w:r>
      <w:r>
        <w:rPr>
          <w:noProof/>
        </w:rPr>
        <w:fldChar w:fldCharType="begin"/>
      </w:r>
      <w:r>
        <w:rPr>
          <w:noProof/>
        </w:rPr>
        <w:instrText xml:space="preserve"> PAGEREF _Toc440387848 \h </w:instrText>
      </w:r>
      <w:r>
        <w:rPr>
          <w:noProof/>
        </w:rPr>
      </w:r>
      <w:r>
        <w:rPr>
          <w:noProof/>
        </w:rPr>
        <w:fldChar w:fldCharType="separate"/>
      </w:r>
      <w:r w:rsidR="009A345E">
        <w:rPr>
          <w:noProof/>
        </w:rPr>
        <w:t>19</w:t>
      </w:r>
      <w:r>
        <w:rPr>
          <w:noProof/>
        </w:rPr>
        <w:fldChar w:fldCharType="end"/>
      </w:r>
    </w:p>
    <w:p w:rsidR="00B3668D" w:rsidRDefault="00B3668D">
      <w:pPr>
        <w:pStyle w:val="TOC3"/>
        <w:rPr>
          <w:rFonts w:asciiTheme="minorHAnsi" w:eastAsiaTheme="minorEastAsia" w:hAnsiTheme="minorHAnsi" w:cstheme="minorBidi"/>
          <w:noProof/>
          <w:szCs w:val="22"/>
          <w:lang w:eastAsia="en-NZ"/>
        </w:rPr>
      </w:pPr>
      <w:r>
        <w:rPr>
          <w:noProof/>
        </w:rPr>
        <w:t>Figure 29:</w:t>
      </w:r>
      <w:r>
        <w:rPr>
          <w:noProof/>
        </w:rPr>
        <w:tab/>
        <w:t>Under-six access to free primary care, Māori</w:t>
      </w:r>
      <w:r>
        <w:rPr>
          <w:noProof/>
        </w:rPr>
        <w:tab/>
      </w:r>
      <w:r>
        <w:rPr>
          <w:noProof/>
        </w:rPr>
        <w:fldChar w:fldCharType="begin"/>
      </w:r>
      <w:r>
        <w:rPr>
          <w:noProof/>
        </w:rPr>
        <w:instrText xml:space="preserve"> PAGEREF _Toc440387849 \h </w:instrText>
      </w:r>
      <w:r>
        <w:rPr>
          <w:noProof/>
        </w:rPr>
      </w:r>
      <w:r>
        <w:rPr>
          <w:noProof/>
        </w:rPr>
        <w:fldChar w:fldCharType="separate"/>
      </w:r>
      <w:r w:rsidR="009A345E">
        <w:rPr>
          <w:noProof/>
        </w:rPr>
        <w:t>20</w:t>
      </w:r>
      <w:r>
        <w:rPr>
          <w:noProof/>
        </w:rPr>
        <w:fldChar w:fldCharType="end"/>
      </w:r>
    </w:p>
    <w:p w:rsidR="00B3668D" w:rsidRDefault="00B3668D">
      <w:pPr>
        <w:pStyle w:val="TOC3"/>
        <w:rPr>
          <w:rFonts w:asciiTheme="minorHAnsi" w:eastAsiaTheme="minorEastAsia" w:hAnsiTheme="minorHAnsi" w:cstheme="minorBidi"/>
          <w:noProof/>
          <w:szCs w:val="22"/>
          <w:lang w:eastAsia="en-NZ"/>
        </w:rPr>
      </w:pPr>
      <w:r>
        <w:rPr>
          <w:noProof/>
        </w:rPr>
        <w:t>Figure 30:</w:t>
      </w:r>
      <w:r>
        <w:rPr>
          <w:noProof/>
        </w:rPr>
        <w:tab/>
        <w:t>Under-six access to free primary care, Pacific peoples</w:t>
      </w:r>
      <w:r>
        <w:rPr>
          <w:noProof/>
        </w:rPr>
        <w:tab/>
      </w:r>
      <w:r>
        <w:rPr>
          <w:noProof/>
        </w:rPr>
        <w:fldChar w:fldCharType="begin"/>
      </w:r>
      <w:r>
        <w:rPr>
          <w:noProof/>
        </w:rPr>
        <w:instrText xml:space="preserve"> PAGEREF _Toc440387850 \h </w:instrText>
      </w:r>
      <w:r>
        <w:rPr>
          <w:noProof/>
        </w:rPr>
      </w:r>
      <w:r>
        <w:rPr>
          <w:noProof/>
        </w:rPr>
        <w:fldChar w:fldCharType="separate"/>
      </w:r>
      <w:r w:rsidR="009A345E">
        <w:rPr>
          <w:noProof/>
        </w:rPr>
        <w:t>20</w:t>
      </w:r>
      <w:r>
        <w:rPr>
          <w:noProof/>
        </w:rPr>
        <w:fldChar w:fldCharType="end"/>
      </w:r>
    </w:p>
    <w:p w:rsidR="00B3668D" w:rsidRDefault="00B3668D">
      <w:pPr>
        <w:pStyle w:val="TOC3"/>
        <w:rPr>
          <w:rFonts w:asciiTheme="minorHAnsi" w:eastAsiaTheme="minorEastAsia" w:hAnsiTheme="minorHAnsi" w:cstheme="minorBidi"/>
          <w:noProof/>
          <w:szCs w:val="22"/>
          <w:lang w:eastAsia="en-NZ"/>
        </w:rPr>
      </w:pPr>
      <w:r>
        <w:rPr>
          <w:noProof/>
        </w:rPr>
        <w:t>Figure 31:</w:t>
      </w:r>
      <w:r>
        <w:rPr>
          <w:noProof/>
        </w:rPr>
        <w:tab/>
        <w:t>Under-six access to free after-hours primary care, total New Zealand</w:t>
      </w:r>
      <w:r>
        <w:rPr>
          <w:noProof/>
        </w:rPr>
        <w:tab/>
      </w:r>
      <w:r>
        <w:rPr>
          <w:noProof/>
        </w:rPr>
        <w:fldChar w:fldCharType="begin"/>
      </w:r>
      <w:r>
        <w:rPr>
          <w:noProof/>
        </w:rPr>
        <w:instrText xml:space="preserve"> PAGEREF _Toc440387851 \h </w:instrText>
      </w:r>
      <w:r>
        <w:rPr>
          <w:noProof/>
        </w:rPr>
      </w:r>
      <w:r>
        <w:rPr>
          <w:noProof/>
        </w:rPr>
        <w:fldChar w:fldCharType="separate"/>
      </w:r>
      <w:r w:rsidR="009A345E">
        <w:rPr>
          <w:noProof/>
        </w:rPr>
        <w:t>21</w:t>
      </w:r>
      <w:r>
        <w:rPr>
          <w:noProof/>
        </w:rPr>
        <w:fldChar w:fldCharType="end"/>
      </w:r>
    </w:p>
    <w:p w:rsidR="00B3668D" w:rsidRDefault="00B3668D">
      <w:pPr>
        <w:pStyle w:val="TOC3"/>
        <w:rPr>
          <w:rFonts w:asciiTheme="minorHAnsi" w:eastAsiaTheme="minorEastAsia" w:hAnsiTheme="minorHAnsi" w:cstheme="minorBidi"/>
          <w:noProof/>
          <w:szCs w:val="22"/>
          <w:lang w:eastAsia="en-NZ"/>
        </w:rPr>
      </w:pPr>
      <w:r>
        <w:rPr>
          <w:noProof/>
        </w:rPr>
        <w:t>Figure 32:</w:t>
      </w:r>
      <w:r>
        <w:rPr>
          <w:noProof/>
        </w:rPr>
        <w:tab/>
        <w:t>First specialist appointment for paediatric medicine received within four months, total New Zealand</w:t>
      </w:r>
      <w:r>
        <w:rPr>
          <w:noProof/>
        </w:rPr>
        <w:tab/>
      </w:r>
      <w:r>
        <w:rPr>
          <w:noProof/>
        </w:rPr>
        <w:fldChar w:fldCharType="begin"/>
      </w:r>
      <w:r>
        <w:rPr>
          <w:noProof/>
        </w:rPr>
        <w:instrText xml:space="preserve"> PAGEREF _Toc440387852 \h </w:instrText>
      </w:r>
      <w:r>
        <w:rPr>
          <w:noProof/>
        </w:rPr>
      </w:r>
      <w:r>
        <w:rPr>
          <w:noProof/>
        </w:rPr>
        <w:fldChar w:fldCharType="separate"/>
      </w:r>
      <w:r w:rsidR="009A345E">
        <w:rPr>
          <w:noProof/>
        </w:rPr>
        <w:t>22</w:t>
      </w:r>
      <w:r>
        <w:rPr>
          <w:noProof/>
        </w:rPr>
        <w:fldChar w:fldCharType="end"/>
      </w:r>
    </w:p>
    <w:p w:rsidR="00B3668D" w:rsidRDefault="00B3668D">
      <w:pPr>
        <w:pStyle w:val="TOC3"/>
        <w:rPr>
          <w:rFonts w:asciiTheme="minorHAnsi" w:eastAsiaTheme="minorEastAsia" w:hAnsiTheme="minorHAnsi" w:cstheme="minorBidi"/>
          <w:noProof/>
          <w:szCs w:val="22"/>
          <w:lang w:eastAsia="en-NZ"/>
        </w:rPr>
      </w:pPr>
      <w:r>
        <w:rPr>
          <w:noProof/>
        </w:rPr>
        <w:t>Figure 33:</w:t>
      </w:r>
      <w:r>
        <w:rPr>
          <w:noProof/>
        </w:rPr>
        <w:tab/>
        <w:t>Infants exclusively or fully breastfed at two weeks, total New Zealand</w:t>
      </w:r>
      <w:r>
        <w:rPr>
          <w:noProof/>
        </w:rPr>
        <w:tab/>
      </w:r>
      <w:r>
        <w:rPr>
          <w:noProof/>
        </w:rPr>
        <w:fldChar w:fldCharType="begin"/>
      </w:r>
      <w:r>
        <w:rPr>
          <w:noProof/>
        </w:rPr>
        <w:instrText xml:space="preserve"> PAGEREF _Toc440387853 \h </w:instrText>
      </w:r>
      <w:r>
        <w:rPr>
          <w:noProof/>
        </w:rPr>
      </w:r>
      <w:r>
        <w:rPr>
          <w:noProof/>
        </w:rPr>
        <w:fldChar w:fldCharType="separate"/>
      </w:r>
      <w:r w:rsidR="009A345E">
        <w:rPr>
          <w:noProof/>
        </w:rPr>
        <w:t>26</w:t>
      </w:r>
      <w:r>
        <w:rPr>
          <w:noProof/>
        </w:rPr>
        <w:fldChar w:fldCharType="end"/>
      </w:r>
    </w:p>
    <w:p w:rsidR="00B3668D" w:rsidRDefault="00B3668D">
      <w:pPr>
        <w:pStyle w:val="TOC3"/>
        <w:rPr>
          <w:rFonts w:asciiTheme="minorHAnsi" w:eastAsiaTheme="minorEastAsia" w:hAnsiTheme="minorHAnsi" w:cstheme="minorBidi"/>
          <w:noProof/>
          <w:szCs w:val="22"/>
          <w:lang w:eastAsia="en-NZ"/>
        </w:rPr>
      </w:pPr>
      <w:r>
        <w:rPr>
          <w:noProof/>
        </w:rPr>
        <w:t>Figure 34:</w:t>
      </w:r>
      <w:r>
        <w:rPr>
          <w:noProof/>
        </w:rPr>
        <w:tab/>
        <w:t>Infants exclusively or fully breastfed at two weeks, high deprivation population</w:t>
      </w:r>
      <w:r>
        <w:rPr>
          <w:noProof/>
        </w:rPr>
        <w:tab/>
      </w:r>
      <w:r>
        <w:rPr>
          <w:noProof/>
        </w:rPr>
        <w:fldChar w:fldCharType="begin"/>
      </w:r>
      <w:r>
        <w:rPr>
          <w:noProof/>
        </w:rPr>
        <w:instrText xml:space="preserve"> PAGEREF _Toc440387854 \h </w:instrText>
      </w:r>
      <w:r>
        <w:rPr>
          <w:noProof/>
        </w:rPr>
      </w:r>
      <w:r>
        <w:rPr>
          <w:noProof/>
        </w:rPr>
        <w:fldChar w:fldCharType="separate"/>
      </w:r>
      <w:r w:rsidR="009A345E">
        <w:rPr>
          <w:noProof/>
        </w:rPr>
        <w:t>26</w:t>
      </w:r>
      <w:r>
        <w:rPr>
          <w:noProof/>
        </w:rPr>
        <w:fldChar w:fldCharType="end"/>
      </w:r>
    </w:p>
    <w:p w:rsidR="00B3668D" w:rsidRDefault="00B3668D">
      <w:pPr>
        <w:pStyle w:val="TOC3"/>
        <w:rPr>
          <w:rFonts w:asciiTheme="minorHAnsi" w:eastAsiaTheme="minorEastAsia" w:hAnsiTheme="minorHAnsi" w:cstheme="minorBidi"/>
          <w:noProof/>
          <w:szCs w:val="22"/>
          <w:lang w:eastAsia="en-NZ"/>
        </w:rPr>
      </w:pPr>
      <w:r>
        <w:rPr>
          <w:noProof/>
        </w:rPr>
        <w:t>Figure 35:</w:t>
      </w:r>
      <w:r>
        <w:rPr>
          <w:noProof/>
        </w:rPr>
        <w:tab/>
        <w:t>Infants exclusively or fully breastfed at two weeks, Māori</w:t>
      </w:r>
      <w:r>
        <w:rPr>
          <w:noProof/>
        </w:rPr>
        <w:tab/>
      </w:r>
      <w:r>
        <w:rPr>
          <w:noProof/>
        </w:rPr>
        <w:fldChar w:fldCharType="begin"/>
      </w:r>
      <w:r>
        <w:rPr>
          <w:noProof/>
        </w:rPr>
        <w:instrText xml:space="preserve"> PAGEREF _Toc440387855 \h </w:instrText>
      </w:r>
      <w:r>
        <w:rPr>
          <w:noProof/>
        </w:rPr>
      </w:r>
      <w:r>
        <w:rPr>
          <w:noProof/>
        </w:rPr>
        <w:fldChar w:fldCharType="separate"/>
      </w:r>
      <w:r w:rsidR="009A345E">
        <w:rPr>
          <w:noProof/>
        </w:rPr>
        <w:t>27</w:t>
      </w:r>
      <w:r>
        <w:rPr>
          <w:noProof/>
        </w:rPr>
        <w:fldChar w:fldCharType="end"/>
      </w:r>
    </w:p>
    <w:p w:rsidR="00B3668D" w:rsidRDefault="00B3668D">
      <w:pPr>
        <w:pStyle w:val="TOC3"/>
        <w:rPr>
          <w:rFonts w:asciiTheme="minorHAnsi" w:eastAsiaTheme="minorEastAsia" w:hAnsiTheme="minorHAnsi" w:cstheme="minorBidi"/>
          <w:noProof/>
          <w:szCs w:val="22"/>
          <w:lang w:eastAsia="en-NZ"/>
        </w:rPr>
      </w:pPr>
      <w:r>
        <w:rPr>
          <w:noProof/>
        </w:rPr>
        <w:t>Figure 36:</w:t>
      </w:r>
      <w:r>
        <w:rPr>
          <w:noProof/>
        </w:rPr>
        <w:tab/>
        <w:t>Infants exclusively or fully breastfed at two weeks, Pacific peoples</w:t>
      </w:r>
      <w:r>
        <w:rPr>
          <w:noProof/>
        </w:rPr>
        <w:tab/>
      </w:r>
      <w:r>
        <w:rPr>
          <w:noProof/>
        </w:rPr>
        <w:fldChar w:fldCharType="begin"/>
      </w:r>
      <w:r>
        <w:rPr>
          <w:noProof/>
        </w:rPr>
        <w:instrText xml:space="preserve"> PAGEREF _Toc440387856 \h </w:instrText>
      </w:r>
      <w:r>
        <w:rPr>
          <w:noProof/>
        </w:rPr>
      </w:r>
      <w:r>
        <w:rPr>
          <w:noProof/>
        </w:rPr>
        <w:fldChar w:fldCharType="separate"/>
      </w:r>
      <w:r w:rsidR="009A345E">
        <w:rPr>
          <w:noProof/>
        </w:rPr>
        <w:t>27</w:t>
      </w:r>
      <w:r>
        <w:rPr>
          <w:noProof/>
        </w:rPr>
        <w:fldChar w:fldCharType="end"/>
      </w:r>
    </w:p>
    <w:p w:rsidR="00B3668D" w:rsidRDefault="00B3668D">
      <w:pPr>
        <w:pStyle w:val="TOC3"/>
        <w:rPr>
          <w:rFonts w:asciiTheme="minorHAnsi" w:eastAsiaTheme="minorEastAsia" w:hAnsiTheme="minorHAnsi" w:cstheme="minorBidi"/>
          <w:noProof/>
          <w:szCs w:val="22"/>
          <w:lang w:eastAsia="en-NZ"/>
        </w:rPr>
      </w:pPr>
      <w:r>
        <w:rPr>
          <w:noProof/>
        </w:rPr>
        <w:t>Figure 37:</w:t>
      </w:r>
      <w:r>
        <w:rPr>
          <w:noProof/>
        </w:rPr>
        <w:tab/>
        <w:t>Infants exclusively or fully breastfed at LMC discharge, total New Zealand</w:t>
      </w:r>
      <w:r>
        <w:rPr>
          <w:noProof/>
        </w:rPr>
        <w:tab/>
      </w:r>
      <w:r>
        <w:rPr>
          <w:noProof/>
        </w:rPr>
        <w:fldChar w:fldCharType="begin"/>
      </w:r>
      <w:r>
        <w:rPr>
          <w:noProof/>
        </w:rPr>
        <w:instrText xml:space="preserve"> PAGEREF _Toc440387857 \h </w:instrText>
      </w:r>
      <w:r>
        <w:rPr>
          <w:noProof/>
        </w:rPr>
      </w:r>
      <w:r>
        <w:rPr>
          <w:noProof/>
        </w:rPr>
        <w:fldChar w:fldCharType="separate"/>
      </w:r>
      <w:r w:rsidR="009A345E">
        <w:rPr>
          <w:noProof/>
        </w:rPr>
        <w:t>28</w:t>
      </w:r>
      <w:r>
        <w:rPr>
          <w:noProof/>
        </w:rPr>
        <w:fldChar w:fldCharType="end"/>
      </w:r>
    </w:p>
    <w:p w:rsidR="00B3668D" w:rsidRDefault="00B3668D">
      <w:pPr>
        <w:pStyle w:val="TOC3"/>
        <w:rPr>
          <w:rFonts w:asciiTheme="minorHAnsi" w:eastAsiaTheme="minorEastAsia" w:hAnsiTheme="minorHAnsi" w:cstheme="minorBidi"/>
          <w:noProof/>
          <w:szCs w:val="22"/>
          <w:lang w:eastAsia="en-NZ"/>
        </w:rPr>
      </w:pPr>
      <w:r>
        <w:rPr>
          <w:noProof/>
        </w:rPr>
        <w:t>Figure 38:</w:t>
      </w:r>
      <w:r>
        <w:rPr>
          <w:noProof/>
        </w:rPr>
        <w:tab/>
        <w:t>Infants exclusively or fully breastfed at LMC discharge, high deprivation population</w:t>
      </w:r>
      <w:r>
        <w:rPr>
          <w:noProof/>
        </w:rPr>
        <w:tab/>
      </w:r>
      <w:r>
        <w:rPr>
          <w:noProof/>
        </w:rPr>
        <w:fldChar w:fldCharType="begin"/>
      </w:r>
      <w:r>
        <w:rPr>
          <w:noProof/>
        </w:rPr>
        <w:instrText xml:space="preserve"> PAGEREF _Toc440387858 \h </w:instrText>
      </w:r>
      <w:r>
        <w:rPr>
          <w:noProof/>
        </w:rPr>
      </w:r>
      <w:r>
        <w:rPr>
          <w:noProof/>
        </w:rPr>
        <w:fldChar w:fldCharType="separate"/>
      </w:r>
      <w:r w:rsidR="009A345E">
        <w:rPr>
          <w:noProof/>
        </w:rPr>
        <w:t>28</w:t>
      </w:r>
      <w:r>
        <w:rPr>
          <w:noProof/>
        </w:rPr>
        <w:fldChar w:fldCharType="end"/>
      </w:r>
    </w:p>
    <w:p w:rsidR="00B3668D" w:rsidRDefault="00B3668D">
      <w:pPr>
        <w:pStyle w:val="TOC3"/>
        <w:rPr>
          <w:rFonts w:asciiTheme="minorHAnsi" w:eastAsiaTheme="minorEastAsia" w:hAnsiTheme="minorHAnsi" w:cstheme="minorBidi"/>
          <w:noProof/>
          <w:szCs w:val="22"/>
          <w:lang w:eastAsia="en-NZ"/>
        </w:rPr>
      </w:pPr>
      <w:r>
        <w:rPr>
          <w:noProof/>
        </w:rPr>
        <w:t>Figure 39:</w:t>
      </w:r>
      <w:r>
        <w:rPr>
          <w:noProof/>
        </w:rPr>
        <w:tab/>
        <w:t>Infants exclusively or fully breastfed at LMC discharge, Māori</w:t>
      </w:r>
      <w:r>
        <w:rPr>
          <w:noProof/>
        </w:rPr>
        <w:tab/>
      </w:r>
      <w:r>
        <w:rPr>
          <w:noProof/>
        </w:rPr>
        <w:fldChar w:fldCharType="begin"/>
      </w:r>
      <w:r>
        <w:rPr>
          <w:noProof/>
        </w:rPr>
        <w:instrText xml:space="preserve"> PAGEREF _Toc440387859 \h </w:instrText>
      </w:r>
      <w:r>
        <w:rPr>
          <w:noProof/>
        </w:rPr>
      </w:r>
      <w:r>
        <w:rPr>
          <w:noProof/>
        </w:rPr>
        <w:fldChar w:fldCharType="separate"/>
      </w:r>
      <w:r w:rsidR="009A345E">
        <w:rPr>
          <w:noProof/>
        </w:rPr>
        <w:t>29</w:t>
      </w:r>
      <w:r>
        <w:rPr>
          <w:noProof/>
        </w:rPr>
        <w:fldChar w:fldCharType="end"/>
      </w:r>
    </w:p>
    <w:p w:rsidR="00B3668D" w:rsidRDefault="00B3668D">
      <w:pPr>
        <w:pStyle w:val="TOC3"/>
        <w:rPr>
          <w:rFonts w:asciiTheme="minorHAnsi" w:eastAsiaTheme="minorEastAsia" w:hAnsiTheme="minorHAnsi" w:cstheme="minorBidi"/>
          <w:noProof/>
          <w:szCs w:val="22"/>
          <w:lang w:eastAsia="en-NZ"/>
        </w:rPr>
      </w:pPr>
      <w:r>
        <w:rPr>
          <w:noProof/>
        </w:rPr>
        <w:t>Figure 40:</w:t>
      </w:r>
      <w:r>
        <w:rPr>
          <w:noProof/>
        </w:rPr>
        <w:tab/>
        <w:t>Infants exclusively or fully breastfed at LMC discharge, Pacific peoples</w:t>
      </w:r>
      <w:r>
        <w:rPr>
          <w:noProof/>
        </w:rPr>
        <w:tab/>
      </w:r>
      <w:r>
        <w:rPr>
          <w:noProof/>
        </w:rPr>
        <w:fldChar w:fldCharType="begin"/>
      </w:r>
      <w:r>
        <w:rPr>
          <w:noProof/>
        </w:rPr>
        <w:instrText xml:space="preserve"> PAGEREF _Toc440387860 \h </w:instrText>
      </w:r>
      <w:r>
        <w:rPr>
          <w:noProof/>
        </w:rPr>
      </w:r>
      <w:r>
        <w:rPr>
          <w:noProof/>
        </w:rPr>
        <w:fldChar w:fldCharType="separate"/>
      </w:r>
      <w:r w:rsidR="009A345E">
        <w:rPr>
          <w:noProof/>
        </w:rPr>
        <w:t>29</w:t>
      </w:r>
      <w:r>
        <w:rPr>
          <w:noProof/>
        </w:rPr>
        <w:fldChar w:fldCharType="end"/>
      </w:r>
    </w:p>
    <w:p w:rsidR="00B3668D" w:rsidRDefault="00B3668D">
      <w:pPr>
        <w:pStyle w:val="TOC3"/>
        <w:rPr>
          <w:rFonts w:asciiTheme="minorHAnsi" w:eastAsiaTheme="minorEastAsia" w:hAnsiTheme="minorHAnsi" w:cstheme="minorBidi"/>
          <w:noProof/>
          <w:szCs w:val="22"/>
          <w:lang w:eastAsia="en-NZ"/>
        </w:rPr>
      </w:pPr>
      <w:r>
        <w:rPr>
          <w:noProof/>
        </w:rPr>
        <w:t>Figure 41:</w:t>
      </w:r>
      <w:r>
        <w:rPr>
          <w:noProof/>
        </w:rPr>
        <w:tab/>
        <w:t>Infants exclusively or fully breastfed at three months, total New Zealand</w:t>
      </w:r>
      <w:r>
        <w:rPr>
          <w:noProof/>
        </w:rPr>
        <w:tab/>
      </w:r>
      <w:r>
        <w:rPr>
          <w:noProof/>
        </w:rPr>
        <w:fldChar w:fldCharType="begin"/>
      </w:r>
      <w:r>
        <w:rPr>
          <w:noProof/>
        </w:rPr>
        <w:instrText xml:space="preserve"> PAGEREF _Toc440387861 \h </w:instrText>
      </w:r>
      <w:r>
        <w:rPr>
          <w:noProof/>
        </w:rPr>
      </w:r>
      <w:r>
        <w:rPr>
          <w:noProof/>
        </w:rPr>
        <w:fldChar w:fldCharType="separate"/>
      </w:r>
      <w:r w:rsidR="009A345E">
        <w:rPr>
          <w:noProof/>
        </w:rPr>
        <w:t>30</w:t>
      </w:r>
      <w:r>
        <w:rPr>
          <w:noProof/>
        </w:rPr>
        <w:fldChar w:fldCharType="end"/>
      </w:r>
    </w:p>
    <w:p w:rsidR="00B3668D" w:rsidRDefault="00B3668D">
      <w:pPr>
        <w:pStyle w:val="TOC3"/>
        <w:rPr>
          <w:rFonts w:asciiTheme="minorHAnsi" w:eastAsiaTheme="minorEastAsia" w:hAnsiTheme="minorHAnsi" w:cstheme="minorBidi"/>
          <w:noProof/>
          <w:szCs w:val="22"/>
          <w:lang w:eastAsia="en-NZ"/>
        </w:rPr>
      </w:pPr>
      <w:r>
        <w:rPr>
          <w:noProof/>
        </w:rPr>
        <w:t>Figure 42:</w:t>
      </w:r>
      <w:r>
        <w:rPr>
          <w:noProof/>
        </w:rPr>
        <w:tab/>
        <w:t>Infants exclusively or fully breastfed at three months, high deprivation population</w:t>
      </w:r>
      <w:r>
        <w:rPr>
          <w:noProof/>
        </w:rPr>
        <w:tab/>
      </w:r>
      <w:r>
        <w:rPr>
          <w:noProof/>
        </w:rPr>
        <w:fldChar w:fldCharType="begin"/>
      </w:r>
      <w:r>
        <w:rPr>
          <w:noProof/>
        </w:rPr>
        <w:instrText xml:space="preserve"> PAGEREF _Toc440387862 \h </w:instrText>
      </w:r>
      <w:r>
        <w:rPr>
          <w:noProof/>
        </w:rPr>
      </w:r>
      <w:r>
        <w:rPr>
          <w:noProof/>
        </w:rPr>
        <w:fldChar w:fldCharType="separate"/>
      </w:r>
      <w:r w:rsidR="009A345E">
        <w:rPr>
          <w:noProof/>
        </w:rPr>
        <w:t>30</w:t>
      </w:r>
      <w:r>
        <w:rPr>
          <w:noProof/>
        </w:rPr>
        <w:fldChar w:fldCharType="end"/>
      </w:r>
    </w:p>
    <w:p w:rsidR="00B3668D" w:rsidRDefault="00B3668D">
      <w:pPr>
        <w:pStyle w:val="TOC3"/>
        <w:rPr>
          <w:rFonts w:asciiTheme="minorHAnsi" w:eastAsiaTheme="minorEastAsia" w:hAnsiTheme="minorHAnsi" w:cstheme="minorBidi"/>
          <w:noProof/>
          <w:szCs w:val="22"/>
          <w:lang w:eastAsia="en-NZ"/>
        </w:rPr>
      </w:pPr>
      <w:r>
        <w:rPr>
          <w:noProof/>
        </w:rPr>
        <w:t>Figure 43:</w:t>
      </w:r>
      <w:r>
        <w:rPr>
          <w:noProof/>
        </w:rPr>
        <w:tab/>
        <w:t>Infants exclusively or fully breastfed at three months, Māori</w:t>
      </w:r>
      <w:r>
        <w:rPr>
          <w:noProof/>
        </w:rPr>
        <w:tab/>
      </w:r>
      <w:r>
        <w:rPr>
          <w:noProof/>
        </w:rPr>
        <w:fldChar w:fldCharType="begin"/>
      </w:r>
      <w:r>
        <w:rPr>
          <w:noProof/>
        </w:rPr>
        <w:instrText xml:space="preserve"> PAGEREF _Toc440387863 \h </w:instrText>
      </w:r>
      <w:r>
        <w:rPr>
          <w:noProof/>
        </w:rPr>
      </w:r>
      <w:r>
        <w:rPr>
          <w:noProof/>
        </w:rPr>
        <w:fldChar w:fldCharType="separate"/>
      </w:r>
      <w:r w:rsidR="009A345E">
        <w:rPr>
          <w:noProof/>
        </w:rPr>
        <w:t>31</w:t>
      </w:r>
      <w:r>
        <w:rPr>
          <w:noProof/>
        </w:rPr>
        <w:fldChar w:fldCharType="end"/>
      </w:r>
    </w:p>
    <w:p w:rsidR="00B3668D" w:rsidRDefault="00B3668D">
      <w:pPr>
        <w:pStyle w:val="TOC3"/>
        <w:rPr>
          <w:rFonts w:asciiTheme="minorHAnsi" w:eastAsiaTheme="minorEastAsia" w:hAnsiTheme="minorHAnsi" w:cstheme="minorBidi"/>
          <w:noProof/>
          <w:szCs w:val="22"/>
          <w:lang w:eastAsia="en-NZ"/>
        </w:rPr>
      </w:pPr>
      <w:r>
        <w:rPr>
          <w:noProof/>
        </w:rPr>
        <w:t>Figure 44:</w:t>
      </w:r>
      <w:r>
        <w:rPr>
          <w:noProof/>
        </w:rPr>
        <w:tab/>
        <w:t>Infants exclusively or fully breastfed at three months, Pacific peoples</w:t>
      </w:r>
      <w:r>
        <w:rPr>
          <w:noProof/>
        </w:rPr>
        <w:tab/>
      </w:r>
      <w:r>
        <w:rPr>
          <w:noProof/>
        </w:rPr>
        <w:fldChar w:fldCharType="begin"/>
      </w:r>
      <w:r>
        <w:rPr>
          <w:noProof/>
        </w:rPr>
        <w:instrText xml:space="preserve"> PAGEREF _Toc440387864 \h </w:instrText>
      </w:r>
      <w:r>
        <w:rPr>
          <w:noProof/>
        </w:rPr>
      </w:r>
      <w:r>
        <w:rPr>
          <w:noProof/>
        </w:rPr>
        <w:fldChar w:fldCharType="separate"/>
      </w:r>
      <w:r w:rsidR="009A345E">
        <w:rPr>
          <w:noProof/>
        </w:rPr>
        <w:t>31</w:t>
      </w:r>
      <w:r>
        <w:rPr>
          <w:noProof/>
        </w:rPr>
        <w:fldChar w:fldCharType="end"/>
      </w:r>
    </w:p>
    <w:p w:rsidR="00B3668D" w:rsidRDefault="00B3668D">
      <w:pPr>
        <w:pStyle w:val="TOC3"/>
        <w:rPr>
          <w:rFonts w:asciiTheme="minorHAnsi" w:eastAsiaTheme="minorEastAsia" w:hAnsiTheme="minorHAnsi" w:cstheme="minorBidi"/>
          <w:noProof/>
          <w:szCs w:val="22"/>
          <w:lang w:eastAsia="en-NZ"/>
        </w:rPr>
      </w:pPr>
      <w:r>
        <w:rPr>
          <w:noProof/>
        </w:rPr>
        <w:t>Figure 45:</w:t>
      </w:r>
      <w:r>
        <w:rPr>
          <w:noProof/>
        </w:rPr>
        <w:tab/>
        <w:t>Infants receiving breast milk at six months, total New Zealand</w:t>
      </w:r>
      <w:r>
        <w:rPr>
          <w:noProof/>
        </w:rPr>
        <w:tab/>
      </w:r>
      <w:r>
        <w:rPr>
          <w:noProof/>
        </w:rPr>
        <w:fldChar w:fldCharType="begin"/>
      </w:r>
      <w:r>
        <w:rPr>
          <w:noProof/>
        </w:rPr>
        <w:instrText xml:space="preserve"> PAGEREF _Toc440387865 \h </w:instrText>
      </w:r>
      <w:r>
        <w:rPr>
          <w:noProof/>
        </w:rPr>
      </w:r>
      <w:r>
        <w:rPr>
          <w:noProof/>
        </w:rPr>
        <w:fldChar w:fldCharType="separate"/>
      </w:r>
      <w:r w:rsidR="009A345E">
        <w:rPr>
          <w:noProof/>
        </w:rPr>
        <w:t>32</w:t>
      </w:r>
      <w:r>
        <w:rPr>
          <w:noProof/>
        </w:rPr>
        <w:fldChar w:fldCharType="end"/>
      </w:r>
    </w:p>
    <w:p w:rsidR="00B3668D" w:rsidRDefault="00B3668D">
      <w:pPr>
        <w:pStyle w:val="TOC3"/>
        <w:rPr>
          <w:rFonts w:asciiTheme="minorHAnsi" w:eastAsiaTheme="minorEastAsia" w:hAnsiTheme="minorHAnsi" w:cstheme="minorBidi"/>
          <w:noProof/>
          <w:szCs w:val="22"/>
          <w:lang w:eastAsia="en-NZ"/>
        </w:rPr>
      </w:pPr>
      <w:r>
        <w:rPr>
          <w:noProof/>
        </w:rPr>
        <w:t>Figure 46:</w:t>
      </w:r>
      <w:r>
        <w:rPr>
          <w:noProof/>
        </w:rPr>
        <w:tab/>
        <w:t>Infants receiving breast milk at six months, high deprivation population</w:t>
      </w:r>
      <w:r>
        <w:rPr>
          <w:noProof/>
        </w:rPr>
        <w:tab/>
      </w:r>
      <w:r>
        <w:rPr>
          <w:noProof/>
        </w:rPr>
        <w:fldChar w:fldCharType="begin"/>
      </w:r>
      <w:r>
        <w:rPr>
          <w:noProof/>
        </w:rPr>
        <w:instrText xml:space="preserve"> PAGEREF _Toc440387866 \h </w:instrText>
      </w:r>
      <w:r>
        <w:rPr>
          <w:noProof/>
        </w:rPr>
      </w:r>
      <w:r>
        <w:rPr>
          <w:noProof/>
        </w:rPr>
        <w:fldChar w:fldCharType="separate"/>
      </w:r>
      <w:r w:rsidR="009A345E">
        <w:rPr>
          <w:noProof/>
        </w:rPr>
        <w:t>32</w:t>
      </w:r>
      <w:r>
        <w:rPr>
          <w:noProof/>
        </w:rPr>
        <w:fldChar w:fldCharType="end"/>
      </w:r>
    </w:p>
    <w:p w:rsidR="00B3668D" w:rsidRDefault="00B3668D">
      <w:pPr>
        <w:pStyle w:val="TOC3"/>
        <w:rPr>
          <w:rFonts w:asciiTheme="minorHAnsi" w:eastAsiaTheme="minorEastAsia" w:hAnsiTheme="minorHAnsi" w:cstheme="minorBidi"/>
          <w:noProof/>
          <w:szCs w:val="22"/>
          <w:lang w:eastAsia="en-NZ"/>
        </w:rPr>
      </w:pPr>
      <w:r>
        <w:rPr>
          <w:noProof/>
        </w:rPr>
        <w:t>Figure 47:</w:t>
      </w:r>
      <w:r>
        <w:rPr>
          <w:noProof/>
        </w:rPr>
        <w:tab/>
        <w:t>Infants receiving breast milk at six months, Māori</w:t>
      </w:r>
      <w:r>
        <w:rPr>
          <w:noProof/>
        </w:rPr>
        <w:tab/>
      </w:r>
      <w:r>
        <w:rPr>
          <w:noProof/>
        </w:rPr>
        <w:fldChar w:fldCharType="begin"/>
      </w:r>
      <w:r>
        <w:rPr>
          <w:noProof/>
        </w:rPr>
        <w:instrText xml:space="preserve"> PAGEREF _Toc440387867 \h </w:instrText>
      </w:r>
      <w:r>
        <w:rPr>
          <w:noProof/>
        </w:rPr>
      </w:r>
      <w:r>
        <w:rPr>
          <w:noProof/>
        </w:rPr>
        <w:fldChar w:fldCharType="separate"/>
      </w:r>
      <w:r w:rsidR="009A345E">
        <w:rPr>
          <w:noProof/>
        </w:rPr>
        <w:t>33</w:t>
      </w:r>
      <w:r>
        <w:rPr>
          <w:noProof/>
        </w:rPr>
        <w:fldChar w:fldCharType="end"/>
      </w:r>
    </w:p>
    <w:p w:rsidR="00B3668D" w:rsidRDefault="00B3668D">
      <w:pPr>
        <w:pStyle w:val="TOC3"/>
        <w:rPr>
          <w:rFonts w:asciiTheme="minorHAnsi" w:eastAsiaTheme="minorEastAsia" w:hAnsiTheme="minorHAnsi" w:cstheme="minorBidi"/>
          <w:noProof/>
          <w:szCs w:val="22"/>
          <w:lang w:eastAsia="en-NZ"/>
        </w:rPr>
      </w:pPr>
      <w:r>
        <w:rPr>
          <w:noProof/>
          <w:lang w:eastAsia="en-NZ"/>
        </w:rPr>
        <w:t>Figure 48:</w:t>
      </w:r>
      <w:r>
        <w:rPr>
          <w:noProof/>
          <w:lang w:eastAsia="en-NZ"/>
        </w:rPr>
        <w:tab/>
      </w:r>
      <w:r>
        <w:rPr>
          <w:noProof/>
        </w:rPr>
        <w:t>Infants receiving breast milk at six months, Pacific peoples</w:t>
      </w:r>
      <w:r>
        <w:rPr>
          <w:noProof/>
        </w:rPr>
        <w:tab/>
      </w:r>
      <w:r>
        <w:rPr>
          <w:noProof/>
        </w:rPr>
        <w:fldChar w:fldCharType="begin"/>
      </w:r>
      <w:r>
        <w:rPr>
          <w:noProof/>
        </w:rPr>
        <w:instrText xml:space="preserve"> PAGEREF _Toc440387868 \h </w:instrText>
      </w:r>
      <w:r>
        <w:rPr>
          <w:noProof/>
        </w:rPr>
      </w:r>
      <w:r>
        <w:rPr>
          <w:noProof/>
        </w:rPr>
        <w:fldChar w:fldCharType="separate"/>
      </w:r>
      <w:r w:rsidR="009A345E">
        <w:rPr>
          <w:noProof/>
        </w:rPr>
        <w:t>33</w:t>
      </w:r>
      <w:r>
        <w:rPr>
          <w:noProof/>
        </w:rPr>
        <w:fldChar w:fldCharType="end"/>
      </w:r>
    </w:p>
    <w:p w:rsidR="00B3668D" w:rsidRDefault="00B3668D">
      <w:pPr>
        <w:pStyle w:val="TOC3"/>
        <w:rPr>
          <w:rFonts w:asciiTheme="minorHAnsi" w:eastAsiaTheme="minorEastAsia" w:hAnsiTheme="minorHAnsi" w:cstheme="minorBidi"/>
          <w:noProof/>
          <w:szCs w:val="22"/>
          <w:lang w:eastAsia="en-NZ"/>
        </w:rPr>
      </w:pPr>
      <w:r>
        <w:rPr>
          <w:noProof/>
        </w:rPr>
        <w:t>Figure 49:</w:t>
      </w:r>
      <w:r>
        <w:rPr>
          <w:noProof/>
        </w:rPr>
        <w:tab/>
        <w:t>Children are a healthy weight at age four years, total New Zealand</w:t>
      </w:r>
      <w:r>
        <w:rPr>
          <w:noProof/>
        </w:rPr>
        <w:tab/>
      </w:r>
      <w:r>
        <w:rPr>
          <w:noProof/>
        </w:rPr>
        <w:fldChar w:fldCharType="begin"/>
      </w:r>
      <w:r>
        <w:rPr>
          <w:noProof/>
        </w:rPr>
        <w:instrText xml:space="preserve"> PAGEREF _Toc440387869 \h </w:instrText>
      </w:r>
      <w:r>
        <w:rPr>
          <w:noProof/>
        </w:rPr>
      </w:r>
      <w:r>
        <w:rPr>
          <w:noProof/>
        </w:rPr>
        <w:fldChar w:fldCharType="separate"/>
      </w:r>
      <w:r w:rsidR="009A345E">
        <w:rPr>
          <w:noProof/>
        </w:rPr>
        <w:t>34</w:t>
      </w:r>
      <w:r>
        <w:rPr>
          <w:noProof/>
        </w:rPr>
        <w:fldChar w:fldCharType="end"/>
      </w:r>
    </w:p>
    <w:p w:rsidR="00B3668D" w:rsidRDefault="00B3668D">
      <w:pPr>
        <w:pStyle w:val="TOC3"/>
        <w:rPr>
          <w:rFonts w:asciiTheme="minorHAnsi" w:eastAsiaTheme="minorEastAsia" w:hAnsiTheme="minorHAnsi" w:cstheme="minorBidi"/>
          <w:noProof/>
          <w:szCs w:val="22"/>
          <w:lang w:eastAsia="en-NZ"/>
        </w:rPr>
      </w:pPr>
      <w:r>
        <w:rPr>
          <w:noProof/>
        </w:rPr>
        <w:t>Figure 50:</w:t>
      </w:r>
      <w:r>
        <w:rPr>
          <w:noProof/>
        </w:rPr>
        <w:tab/>
        <w:t>Children are a healthy weight at age four years, high deprivation population</w:t>
      </w:r>
      <w:r>
        <w:rPr>
          <w:noProof/>
        </w:rPr>
        <w:tab/>
      </w:r>
      <w:r>
        <w:rPr>
          <w:noProof/>
        </w:rPr>
        <w:fldChar w:fldCharType="begin"/>
      </w:r>
      <w:r>
        <w:rPr>
          <w:noProof/>
        </w:rPr>
        <w:instrText xml:space="preserve"> PAGEREF _Toc440387870 \h </w:instrText>
      </w:r>
      <w:r>
        <w:rPr>
          <w:noProof/>
        </w:rPr>
      </w:r>
      <w:r>
        <w:rPr>
          <w:noProof/>
        </w:rPr>
        <w:fldChar w:fldCharType="separate"/>
      </w:r>
      <w:r w:rsidR="009A345E">
        <w:rPr>
          <w:noProof/>
        </w:rPr>
        <w:t>34</w:t>
      </w:r>
      <w:r>
        <w:rPr>
          <w:noProof/>
        </w:rPr>
        <w:fldChar w:fldCharType="end"/>
      </w:r>
    </w:p>
    <w:p w:rsidR="00B3668D" w:rsidRDefault="00B3668D">
      <w:pPr>
        <w:pStyle w:val="TOC3"/>
        <w:rPr>
          <w:rFonts w:asciiTheme="minorHAnsi" w:eastAsiaTheme="minorEastAsia" w:hAnsiTheme="minorHAnsi" w:cstheme="minorBidi"/>
          <w:noProof/>
          <w:szCs w:val="22"/>
          <w:lang w:eastAsia="en-NZ"/>
        </w:rPr>
      </w:pPr>
      <w:r>
        <w:rPr>
          <w:noProof/>
        </w:rPr>
        <w:t>Figure 51:</w:t>
      </w:r>
      <w:r>
        <w:rPr>
          <w:noProof/>
        </w:rPr>
        <w:tab/>
        <w:t>Children are a healthy weight at age four years, Māori</w:t>
      </w:r>
      <w:r>
        <w:rPr>
          <w:noProof/>
        </w:rPr>
        <w:tab/>
      </w:r>
      <w:r>
        <w:rPr>
          <w:noProof/>
        </w:rPr>
        <w:fldChar w:fldCharType="begin"/>
      </w:r>
      <w:r>
        <w:rPr>
          <w:noProof/>
        </w:rPr>
        <w:instrText xml:space="preserve"> PAGEREF _Toc440387871 \h </w:instrText>
      </w:r>
      <w:r>
        <w:rPr>
          <w:noProof/>
        </w:rPr>
      </w:r>
      <w:r>
        <w:rPr>
          <w:noProof/>
        </w:rPr>
        <w:fldChar w:fldCharType="separate"/>
      </w:r>
      <w:r w:rsidR="009A345E">
        <w:rPr>
          <w:noProof/>
        </w:rPr>
        <w:t>35</w:t>
      </w:r>
      <w:r>
        <w:rPr>
          <w:noProof/>
        </w:rPr>
        <w:fldChar w:fldCharType="end"/>
      </w:r>
    </w:p>
    <w:p w:rsidR="00B3668D" w:rsidRDefault="00B3668D">
      <w:pPr>
        <w:pStyle w:val="TOC3"/>
        <w:rPr>
          <w:rFonts w:asciiTheme="minorHAnsi" w:eastAsiaTheme="minorEastAsia" w:hAnsiTheme="minorHAnsi" w:cstheme="minorBidi"/>
          <w:noProof/>
          <w:szCs w:val="22"/>
          <w:lang w:eastAsia="en-NZ"/>
        </w:rPr>
      </w:pPr>
      <w:r>
        <w:rPr>
          <w:noProof/>
        </w:rPr>
        <w:t>Figure 52:</w:t>
      </w:r>
      <w:r>
        <w:rPr>
          <w:noProof/>
        </w:rPr>
        <w:tab/>
        <w:t>Children are a healthy weight at age four years, Pacific peoples</w:t>
      </w:r>
      <w:r>
        <w:rPr>
          <w:noProof/>
        </w:rPr>
        <w:tab/>
      </w:r>
      <w:r>
        <w:rPr>
          <w:noProof/>
        </w:rPr>
        <w:fldChar w:fldCharType="begin"/>
      </w:r>
      <w:r>
        <w:rPr>
          <w:noProof/>
        </w:rPr>
        <w:instrText xml:space="preserve"> PAGEREF _Toc440387872 \h </w:instrText>
      </w:r>
      <w:r>
        <w:rPr>
          <w:noProof/>
        </w:rPr>
      </w:r>
      <w:r>
        <w:rPr>
          <w:noProof/>
        </w:rPr>
        <w:fldChar w:fldCharType="separate"/>
      </w:r>
      <w:r w:rsidR="009A345E">
        <w:rPr>
          <w:noProof/>
        </w:rPr>
        <w:t>35</w:t>
      </w:r>
      <w:r>
        <w:rPr>
          <w:noProof/>
        </w:rPr>
        <w:fldChar w:fldCharType="end"/>
      </w:r>
    </w:p>
    <w:p w:rsidR="00B3668D" w:rsidRDefault="00B3668D">
      <w:pPr>
        <w:pStyle w:val="TOC3"/>
        <w:rPr>
          <w:rFonts w:asciiTheme="minorHAnsi" w:eastAsiaTheme="minorEastAsia" w:hAnsiTheme="minorHAnsi" w:cstheme="minorBidi"/>
          <w:noProof/>
          <w:szCs w:val="22"/>
          <w:lang w:eastAsia="en-NZ"/>
        </w:rPr>
      </w:pPr>
      <w:r>
        <w:rPr>
          <w:noProof/>
        </w:rPr>
        <w:t>Figure 53:</w:t>
      </w:r>
      <w:r>
        <w:rPr>
          <w:noProof/>
        </w:rPr>
        <w:tab/>
        <w:t>Children are caries free at five years, total New Zealand</w:t>
      </w:r>
      <w:r>
        <w:rPr>
          <w:noProof/>
        </w:rPr>
        <w:tab/>
      </w:r>
      <w:r>
        <w:rPr>
          <w:noProof/>
        </w:rPr>
        <w:fldChar w:fldCharType="begin"/>
      </w:r>
      <w:r>
        <w:rPr>
          <w:noProof/>
        </w:rPr>
        <w:instrText xml:space="preserve"> PAGEREF _Toc440387873 \h </w:instrText>
      </w:r>
      <w:r>
        <w:rPr>
          <w:noProof/>
        </w:rPr>
      </w:r>
      <w:r>
        <w:rPr>
          <w:noProof/>
        </w:rPr>
        <w:fldChar w:fldCharType="separate"/>
      </w:r>
      <w:r w:rsidR="009A345E">
        <w:rPr>
          <w:noProof/>
        </w:rPr>
        <w:t>36</w:t>
      </w:r>
      <w:r>
        <w:rPr>
          <w:noProof/>
        </w:rPr>
        <w:fldChar w:fldCharType="end"/>
      </w:r>
    </w:p>
    <w:p w:rsidR="00B3668D" w:rsidRDefault="00B3668D">
      <w:pPr>
        <w:pStyle w:val="TOC3"/>
        <w:rPr>
          <w:rFonts w:asciiTheme="minorHAnsi" w:eastAsiaTheme="minorEastAsia" w:hAnsiTheme="minorHAnsi" w:cstheme="minorBidi"/>
          <w:noProof/>
          <w:szCs w:val="22"/>
          <w:lang w:eastAsia="en-NZ"/>
        </w:rPr>
      </w:pPr>
      <w:r>
        <w:rPr>
          <w:noProof/>
        </w:rPr>
        <w:t>Figure 54:</w:t>
      </w:r>
      <w:r>
        <w:rPr>
          <w:noProof/>
        </w:rPr>
        <w:tab/>
        <w:t>Children are caries free at five years, Māori</w:t>
      </w:r>
      <w:r>
        <w:rPr>
          <w:noProof/>
        </w:rPr>
        <w:tab/>
      </w:r>
      <w:r>
        <w:rPr>
          <w:noProof/>
        </w:rPr>
        <w:fldChar w:fldCharType="begin"/>
      </w:r>
      <w:r>
        <w:rPr>
          <w:noProof/>
        </w:rPr>
        <w:instrText xml:space="preserve"> PAGEREF _Toc440387874 \h </w:instrText>
      </w:r>
      <w:r>
        <w:rPr>
          <w:noProof/>
        </w:rPr>
      </w:r>
      <w:r>
        <w:rPr>
          <w:noProof/>
        </w:rPr>
        <w:fldChar w:fldCharType="separate"/>
      </w:r>
      <w:r w:rsidR="009A345E">
        <w:rPr>
          <w:noProof/>
        </w:rPr>
        <w:t>36</w:t>
      </w:r>
      <w:r>
        <w:rPr>
          <w:noProof/>
        </w:rPr>
        <w:fldChar w:fldCharType="end"/>
      </w:r>
    </w:p>
    <w:p w:rsidR="00B3668D" w:rsidRDefault="00B3668D">
      <w:pPr>
        <w:pStyle w:val="TOC3"/>
        <w:rPr>
          <w:rFonts w:asciiTheme="minorHAnsi" w:eastAsiaTheme="minorEastAsia" w:hAnsiTheme="minorHAnsi" w:cstheme="minorBidi"/>
          <w:noProof/>
          <w:szCs w:val="22"/>
          <w:lang w:eastAsia="en-NZ"/>
        </w:rPr>
      </w:pPr>
      <w:r>
        <w:rPr>
          <w:noProof/>
        </w:rPr>
        <w:t>Figure 55:</w:t>
      </w:r>
      <w:r>
        <w:rPr>
          <w:noProof/>
        </w:rPr>
        <w:tab/>
        <w:t>Children are caries free at five years, Pacific peoples</w:t>
      </w:r>
      <w:r>
        <w:rPr>
          <w:noProof/>
        </w:rPr>
        <w:tab/>
      </w:r>
      <w:r>
        <w:rPr>
          <w:noProof/>
        </w:rPr>
        <w:fldChar w:fldCharType="begin"/>
      </w:r>
      <w:r>
        <w:rPr>
          <w:noProof/>
        </w:rPr>
        <w:instrText xml:space="preserve"> PAGEREF _Toc440387875 \h </w:instrText>
      </w:r>
      <w:r>
        <w:rPr>
          <w:noProof/>
        </w:rPr>
      </w:r>
      <w:r>
        <w:rPr>
          <w:noProof/>
        </w:rPr>
        <w:fldChar w:fldCharType="separate"/>
      </w:r>
      <w:r w:rsidR="009A345E">
        <w:rPr>
          <w:noProof/>
        </w:rPr>
        <w:t>37</w:t>
      </w:r>
      <w:r>
        <w:rPr>
          <w:noProof/>
        </w:rPr>
        <w:fldChar w:fldCharType="end"/>
      </w:r>
    </w:p>
    <w:p w:rsidR="00B3668D" w:rsidRDefault="00B3668D">
      <w:pPr>
        <w:pStyle w:val="TOC3"/>
        <w:rPr>
          <w:rFonts w:asciiTheme="minorHAnsi" w:eastAsiaTheme="minorEastAsia" w:hAnsiTheme="minorHAnsi" w:cstheme="minorBidi"/>
          <w:noProof/>
          <w:szCs w:val="22"/>
          <w:lang w:eastAsia="en-NZ"/>
        </w:rPr>
      </w:pPr>
      <w:r>
        <w:rPr>
          <w:noProof/>
        </w:rPr>
        <w:t>Figure 56:</w:t>
      </w:r>
      <w:r>
        <w:rPr>
          <w:noProof/>
        </w:rPr>
        <w:tab/>
        <w:t>Burden of dental decay among children, total New Zealand</w:t>
      </w:r>
      <w:r>
        <w:rPr>
          <w:noProof/>
        </w:rPr>
        <w:tab/>
      </w:r>
      <w:r>
        <w:rPr>
          <w:noProof/>
        </w:rPr>
        <w:fldChar w:fldCharType="begin"/>
      </w:r>
      <w:r>
        <w:rPr>
          <w:noProof/>
        </w:rPr>
        <w:instrText xml:space="preserve"> PAGEREF _Toc440387876 \h </w:instrText>
      </w:r>
      <w:r>
        <w:rPr>
          <w:noProof/>
        </w:rPr>
      </w:r>
      <w:r>
        <w:rPr>
          <w:noProof/>
        </w:rPr>
        <w:fldChar w:fldCharType="separate"/>
      </w:r>
      <w:r w:rsidR="009A345E">
        <w:rPr>
          <w:noProof/>
        </w:rPr>
        <w:t>38</w:t>
      </w:r>
      <w:r>
        <w:rPr>
          <w:noProof/>
        </w:rPr>
        <w:fldChar w:fldCharType="end"/>
      </w:r>
    </w:p>
    <w:p w:rsidR="00B3668D" w:rsidRDefault="00B3668D">
      <w:pPr>
        <w:pStyle w:val="TOC3"/>
        <w:rPr>
          <w:rFonts w:asciiTheme="minorHAnsi" w:eastAsiaTheme="minorEastAsia" w:hAnsiTheme="minorHAnsi" w:cstheme="minorBidi"/>
          <w:noProof/>
          <w:szCs w:val="22"/>
          <w:lang w:eastAsia="en-NZ"/>
        </w:rPr>
      </w:pPr>
      <w:r>
        <w:rPr>
          <w:noProof/>
        </w:rPr>
        <w:t>Figure 57:</w:t>
      </w:r>
      <w:r>
        <w:rPr>
          <w:noProof/>
        </w:rPr>
        <w:tab/>
        <w:t>Burden of dental decay among children, total New Zealand, Māori</w:t>
      </w:r>
      <w:r>
        <w:rPr>
          <w:noProof/>
        </w:rPr>
        <w:tab/>
      </w:r>
      <w:r>
        <w:rPr>
          <w:noProof/>
        </w:rPr>
        <w:fldChar w:fldCharType="begin"/>
      </w:r>
      <w:r>
        <w:rPr>
          <w:noProof/>
        </w:rPr>
        <w:instrText xml:space="preserve"> PAGEREF _Toc440387877 \h </w:instrText>
      </w:r>
      <w:r>
        <w:rPr>
          <w:noProof/>
        </w:rPr>
      </w:r>
      <w:r>
        <w:rPr>
          <w:noProof/>
        </w:rPr>
        <w:fldChar w:fldCharType="separate"/>
      </w:r>
      <w:r w:rsidR="009A345E">
        <w:rPr>
          <w:noProof/>
        </w:rPr>
        <w:t>38</w:t>
      </w:r>
      <w:r>
        <w:rPr>
          <w:noProof/>
        </w:rPr>
        <w:fldChar w:fldCharType="end"/>
      </w:r>
    </w:p>
    <w:p w:rsidR="00B3668D" w:rsidRDefault="00B3668D">
      <w:pPr>
        <w:pStyle w:val="TOC3"/>
        <w:rPr>
          <w:rFonts w:asciiTheme="minorHAnsi" w:eastAsiaTheme="minorEastAsia" w:hAnsiTheme="minorHAnsi" w:cstheme="minorBidi"/>
          <w:noProof/>
          <w:szCs w:val="22"/>
          <w:lang w:eastAsia="en-NZ"/>
        </w:rPr>
      </w:pPr>
      <w:r>
        <w:rPr>
          <w:noProof/>
        </w:rPr>
        <w:t>Figure 58:</w:t>
      </w:r>
      <w:r>
        <w:rPr>
          <w:noProof/>
        </w:rPr>
        <w:tab/>
        <w:t>Burden of dental decay among children, total New Zealand, Pacific peoples</w:t>
      </w:r>
      <w:r>
        <w:rPr>
          <w:noProof/>
        </w:rPr>
        <w:tab/>
      </w:r>
      <w:r>
        <w:rPr>
          <w:noProof/>
        </w:rPr>
        <w:fldChar w:fldCharType="begin"/>
      </w:r>
      <w:r>
        <w:rPr>
          <w:noProof/>
        </w:rPr>
        <w:instrText xml:space="preserve"> PAGEREF _Toc440387878 \h </w:instrText>
      </w:r>
      <w:r>
        <w:rPr>
          <w:noProof/>
        </w:rPr>
      </w:r>
      <w:r>
        <w:rPr>
          <w:noProof/>
        </w:rPr>
        <w:fldChar w:fldCharType="separate"/>
      </w:r>
      <w:r w:rsidR="009A345E">
        <w:rPr>
          <w:noProof/>
        </w:rPr>
        <w:t>39</w:t>
      </w:r>
      <w:r>
        <w:rPr>
          <w:noProof/>
        </w:rPr>
        <w:fldChar w:fldCharType="end"/>
      </w:r>
    </w:p>
    <w:p w:rsidR="00B3668D" w:rsidRDefault="00B3668D">
      <w:pPr>
        <w:pStyle w:val="TOC3"/>
        <w:rPr>
          <w:rFonts w:asciiTheme="minorHAnsi" w:eastAsiaTheme="minorEastAsia" w:hAnsiTheme="minorHAnsi" w:cstheme="minorBidi"/>
          <w:noProof/>
          <w:szCs w:val="22"/>
          <w:lang w:eastAsia="en-NZ"/>
        </w:rPr>
      </w:pPr>
      <w:r>
        <w:rPr>
          <w:noProof/>
        </w:rPr>
        <w:t>Figure 59:</w:t>
      </w:r>
      <w:r>
        <w:rPr>
          <w:noProof/>
        </w:rPr>
        <w:tab/>
        <w:t>Children with a normal SDQ-P score at four years, total New Zealand</w:t>
      </w:r>
      <w:r>
        <w:rPr>
          <w:noProof/>
        </w:rPr>
        <w:tab/>
      </w:r>
      <w:r>
        <w:rPr>
          <w:noProof/>
        </w:rPr>
        <w:fldChar w:fldCharType="begin"/>
      </w:r>
      <w:r>
        <w:rPr>
          <w:noProof/>
        </w:rPr>
        <w:instrText xml:space="preserve"> PAGEREF _Toc440387879 \h </w:instrText>
      </w:r>
      <w:r>
        <w:rPr>
          <w:noProof/>
        </w:rPr>
      </w:r>
      <w:r>
        <w:rPr>
          <w:noProof/>
        </w:rPr>
        <w:fldChar w:fldCharType="separate"/>
      </w:r>
      <w:r w:rsidR="009A345E">
        <w:rPr>
          <w:noProof/>
        </w:rPr>
        <w:t>40</w:t>
      </w:r>
      <w:r>
        <w:rPr>
          <w:noProof/>
        </w:rPr>
        <w:fldChar w:fldCharType="end"/>
      </w:r>
    </w:p>
    <w:p w:rsidR="00B3668D" w:rsidRDefault="00B3668D">
      <w:pPr>
        <w:pStyle w:val="TOC3"/>
        <w:rPr>
          <w:rFonts w:asciiTheme="minorHAnsi" w:eastAsiaTheme="minorEastAsia" w:hAnsiTheme="minorHAnsi" w:cstheme="minorBidi"/>
          <w:noProof/>
          <w:szCs w:val="22"/>
          <w:lang w:eastAsia="en-NZ"/>
        </w:rPr>
      </w:pPr>
      <w:r>
        <w:rPr>
          <w:noProof/>
        </w:rPr>
        <w:t>Figure 60:</w:t>
      </w:r>
      <w:r>
        <w:rPr>
          <w:noProof/>
        </w:rPr>
        <w:tab/>
        <w:t>Children with a normal SDQ-P score at four years, high deprivation population</w:t>
      </w:r>
      <w:r>
        <w:rPr>
          <w:noProof/>
        </w:rPr>
        <w:tab/>
      </w:r>
      <w:r>
        <w:rPr>
          <w:noProof/>
        </w:rPr>
        <w:fldChar w:fldCharType="begin"/>
      </w:r>
      <w:r>
        <w:rPr>
          <w:noProof/>
        </w:rPr>
        <w:instrText xml:space="preserve"> PAGEREF _Toc440387880 \h </w:instrText>
      </w:r>
      <w:r>
        <w:rPr>
          <w:noProof/>
        </w:rPr>
      </w:r>
      <w:r>
        <w:rPr>
          <w:noProof/>
        </w:rPr>
        <w:fldChar w:fldCharType="separate"/>
      </w:r>
      <w:r w:rsidR="009A345E">
        <w:rPr>
          <w:noProof/>
        </w:rPr>
        <w:t>40</w:t>
      </w:r>
      <w:r>
        <w:rPr>
          <w:noProof/>
        </w:rPr>
        <w:fldChar w:fldCharType="end"/>
      </w:r>
    </w:p>
    <w:p w:rsidR="00B3668D" w:rsidRDefault="00B3668D">
      <w:pPr>
        <w:pStyle w:val="TOC3"/>
        <w:rPr>
          <w:rFonts w:asciiTheme="minorHAnsi" w:eastAsiaTheme="minorEastAsia" w:hAnsiTheme="minorHAnsi" w:cstheme="minorBidi"/>
          <w:noProof/>
          <w:szCs w:val="22"/>
          <w:lang w:eastAsia="en-NZ"/>
        </w:rPr>
      </w:pPr>
      <w:r>
        <w:rPr>
          <w:noProof/>
        </w:rPr>
        <w:t>Figure 61:</w:t>
      </w:r>
      <w:r>
        <w:rPr>
          <w:noProof/>
        </w:rPr>
        <w:tab/>
        <w:t>Children with a normal SDQ-P score at four years, Māori</w:t>
      </w:r>
      <w:r>
        <w:rPr>
          <w:noProof/>
        </w:rPr>
        <w:tab/>
      </w:r>
      <w:r>
        <w:rPr>
          <w:noProof/>
        </w:rPr>
        <w:fldChar w:fldCharType="begin"/>
      </w:r>
      <w:r>
        <w:rPr>
          <w:noProof/>
        </w:rPr>
        <w:instrText xml:space="preserve"> PAGEREF _Toc440387881 \h </w:instrText>
      </w:r>
      <w:r>
        <w:rPr>
          <w:noProof/>
        </w:rPr>
      </w:r>
      <w:r>
        <w:rPr>
          <w:noProof/>
        </w:rPr>
        <w:fldChar w:fldCharType="separate"/>
      </w:r>
      <w:r w:rsidR="009A345E">
        <w:rPr>
          <w:noProof/>
        </w:rPr>
        <w:t>41</w:t>
      </w:r>
      <w:r>
        <w:rPr>
          <w:noProof/>
        </w:rPr>
        <w:fldChar w:fldCharType="end"/>
      </w:r>
    </w:p>
    <w:p w:rsidR="00B3668D" w:rsidRDefault="00B3668D">
      <w:pPr>
        <w:pStyle w:val="TOC3"/>
        <w:rPr>
          <w:rFonts w:asciiTheme="minorHAnsi" w:eastAsiaTheme="minorEastAsia" w:hAnsiTheme="minorHAnsi" w:cstheme="minorBidi"/>
          <w:noProof/>
          <w:szCs w:val="22"/>
          <w:lang w:eastAsia="en-NZ"/>
        </w:rPr>
      </w:pPr>
      <w:r>
        <w:rPr>
          <w:noProof/>
        </w:rPr>
        <w:t>Figure 62:</w:t>
      </w:r>
      <w:r>
        <w:rPr>
          <w:noProof/>
        </w:rPr>
        <w:tab/>
        <w:t>Children with a normal SDQ-P score at four years, Pacific peoples</w:t>
      </w:r>
      <w:r>
        <w:rPr>
          <w:noProof/>
        </w:rPr>
        <w:tab/>
      </w:r>
      <w:r>
        <w:rPr>
          <w:noProof/>
        </w:rPr>
        <w:fldChar w:fldCharType="begin"/>
      </w:r>
      <w:r>
        <w:rPr>
          <w:noProof/>
        </w:rPr>
        <w:instrText xml:space="preserve"> PAGEREF _Toc440387882 \h </w:instrText>
      </w:r>
      <w:r>
        <w:rPr>
          <w:noProof/>
        </w:rPr>
      </w:r>
      <w:r>
        <w:rPr>
          <w:noProof/>
        </w:rPr>
        <w:fldChar w:fldCharType="separate"/>
      </w:r>
      <w:r w:rsidR="009A345E">
        <w:rPr>
          <w:noProof/>
        </w:rPr>
        <w:t>41</w:t>
      </w:r>
      <w:r>
        <w:rPr>
          <w:noProof/>
        </w:rPr>
        <w:fldChar w:fldCharType="end"/>
      </w:r>
    </w:p>
    <w:p w:rsidR="00B3668D" w:rsidRDefault="00B3668D">
      <w:pPr>
        <w:pStyle w:val="TOC3"/>
        <w:rPr>
          <w:rFonts w:asciiTheme="minorHAnsi" w:eastAsiaTheme="minorEastAsia" w:hAnsiTheme="minorHAnsi" w:cstheme="minorBidi"/>
          <w:noProof/>
          <w:szCs w:val="22"/>
          <w:lang w:eastAsia="en-NZ"/>
        </w:rPr>
      </w:pPr>
      <w:r>
        <w:rPr>
          <w:noProof/>
        </w:rPr>
        <w:lastRenderedPageBreak/>
        <w:t>Figure 63:</w:t>
      </w:r>
      <w:r>
        <w:rPr>
          <w:noProof/>
        </w:rPr>
        <w:tab/>
        <w:t>Mothers smokefree at two weeks postnatal, total New Zealand</w:t>
      </w:r>
      <w:r>
        <w:rPr>
          <w:noProof/>
        </w:rPr>
        <w:tab/>
      </w:r>
      <w:r>
        <w:rPr>
          <w:noProof/>
        </w:rPr>
        <w:fldChar w:fldCharType="begin"/>
      </w:r>
      <w:r>
        <w:rPr>
          <w:noProof/>
        </w:rPr>
        <w:instrText xml:space="preserve"> PAGEREF _Toc440387883 \h </w:instrText>
      </w:r>
      <w:r>
        <w:rPr>
          <w:noProof/>
        </w:rPr>
      </w:r>
      <w:r>
        <w:rPr>
          <w:noProof/>
        </w:rPr>
        <w:fldChar w:fldCharType="separate"/>
      </w:r>
      <w:r w:rsidR="009A345E">
        <w:rPr>
          <w:noProof/>
        </w:rPr>
        <w:t>42</w:t>
      </w:r>
      <w:r>
        <w:rPr>
          <w:noProof/>
        </w:rPr>
        <w:fldChar w:fldCharType="end"/>
      </w:r>
    </w:p>
    <w:p w:rsidR="00B3668D" w:rsidRDefault="00B3668D">
      <w:pPr>
        <w:pStyle w:val="TOC3"/>
        <w:rPr>
          <w:rFonts w:asciiTheme="minorHAnsi" w:eastAsiaTheme="minorEastAsia" w:hAnsiTheme="minorHAnsi" w:cstheme="minorBidi"/>
          <w:noProof/>
          <w:szCs w:val="22"/>
          <w:lang w:eastAsia="en-NZ"/>
        </w:rPr>
      </w:pPr>
      <w:r>
        <w:rPr>
          <w:noProof/>
        </w:rPr>
        <w:t>Figure 64:</w:t>
      </w:r>
      <w:r>
        <w:rPr>
          <w:noProof/>
        </w:rPr>
        <w:tab/>
        <w:t>Mothers smokefree at two weeks postnatal, high deprivation population</w:t>
      </w:r>
      <w:r>
        <w:rPr>
          <w:noProof/>
        </w:rPr>
        <w:tab/>
      </w:r>
      <w:r>
        <w:rPr>
          <w:noProof/>
        </w:rPr>
        <w:fldChar w:fldCharType="begin"/>
      </w:r>
      <w:r>
        <w:rPr>
          <w:noProof/>
        </w:rPr>
        <w:instrText xml:space="preserve"> PAGEREF _Toc440387884 \h </w:instrText>
      </w:r>
      <w:r>
        <w:rPr>
          <w:noProof/>
        </w:rPr>
      </w:r>
      <w:r>
        <w:rPr>
          <w:noProof/>
        </w:rPr>
        <w:fldChar w:fldCharType="separate"/>
      </w:r>
      <w:r w:rsidR="009A345E">
        <w:rPr>
          <w:noProof/>
        </w:rPr>
        <w:t>42</w:t>
      </w:r>
      <w:r>
        <w:rPr>
          <w:noProof/>
        </w:rPr>
        <w:fldChar w:fldCharType="end"/>
      </w:r>
    </w:p>
    <w:p w:rsidR="00B3668D" w:rsidRDefault="00B3668D">
      <w:pPr>
        <w:pStyle w:val="TOC3"/>
        <w:rPr>
          <w:rFonts w:asciiTheme="minorHAnsi" w:eastAsiaTheme="minorEastAsia" w:hAnsiTheme="minorHAnsi" w:cstheme="minorBidi"/>
          <w:noProof/>
          <w:szCs w:val="22"/>
          <w:lang w:eastAsia="en-NZ"/>
        </w:rPr>
      </w:pPr>
      <w:r>
        <w:rPr>
          <w:noProof/>
        </w:rPr>
        <w:t>Figure 65:</w:t>
      </w:r>
      <w:r>
        <w:rPr>
          <w:noProof/>
        </w:rPr>
        <w:tab/>
        <w:t>Mothers smokefree at two weeks postnatal, Māori</w:t>
      </w:r>
      <w:r>
        <w:rPr>
          <w:noProof/>
        </w:rPr>
        <w:tab/>
      </w:r>
      <w:r>
        <w:rPr>
          <w:noProof/>
        </w:rPr>
        <w:fldChar w:fldCharType="begin"/>
      </w:r>
      <w:r>
        <w:rPr>
          <w:noProof/>
        </w:rPr>
        <w:instrText xml:space="preserve"> PAGEREF _Toc440387885 \h </w:instrText>
      </w:r>
      <w:r>
        <w:rPr>
          <w:noProof/>
        </w:rPr>
      </w:r>
      <w:r>
        <w:rPr>
          <w:noProof/>
        </w:rPr>
        <w:fldChar w:fldCharType="separate"/>
      </w:r>
      <w:r w:rsidR="009A345E">
        <w:rPr>
          <w:noProof/>
        </w:rPr>
        <w:t>43</w:t>
      </w:r>
      <w:r>
        <w:rPr>
          <w:noProof/>
        </w:rPr>
        <w:fldChar w:fldCharType="end"/>
      </w:r>
    </w:p>
    <w:p w:rsidR="00B3668D" w:rsidRDefault="00B3668D">
      <w:pPr>
        <w:pStyle w:val="TOC3"/>
        <w:rPr>
          <w:rFonts w:asciiTheme="minorHAnsi" w:eastAsiaTheme="minorEastAsia" w:hAnsiTheme="minorHAnsi" w:cstheme="minorBidi"/>
          <w:noProof/>
          <w:szCs w:val="22"/>
          <w:lang w:eastAsia="en-NZ"/>
        </w:rPr>
      </w:pPr>
      <w:r>
        <w:rPr>
          <w:noProof/>
        </w:rPr>
        <w:t>Figure 66:</w:t>
      </w:r>
      <w:r>
        <w:rPr>
          <w:noProof/>
        </w:rPr>
        <w:tab/>
        <w:t>Mothers smokefree at two weeks postnatal, Pacific peoples</w:t>
      </w:r>
      <w:r>
        <w:rPr>
          <w:noProof/>
        </w:rPr>
        <w:tab/>
      </w:r>
      <w:r>
        <w:rPr>
          <w:noProof/>
        </w:rPr>
        <w:fldChar w:fldCharType="begin"/>
      </w:r>
      <w:r>
        <w:rPr>
          <w:noProof/>
        </w:rPr>
        <w:instrText xml:space="preserve"> PAGEREF _Toc440387886 \h </w:instrText>
      </w:r>
      <w:r>
        <w:rPr>
          <w:noProof/>
        </w:rPr>
      </w:r>
      <w:r>
        <w:rPr>
          <w:noProof/>
        </w:rPr>
        <w:fldChar w:fldCharType="separate"/>
      </w:r>
      <w:r w:rsidR="009A345E">
        <w:rPr>
          <w:noProof/>
        </w:rPr>
        <w:t>43</w:t>
      </w:r>
      <w:r>
        <w:rPr>
          <w:noProof/>
        </w:rPr>
        <w:fldChar w:fldCharType="end"/>
      </w:r>
    </w:p>
    <w:p w:rsidR="00B3668D" w:rsidRDefault="00B3668D">
      <w:pPr>
        <w:pStyle w:val="TOC3"/>
        <w:rPr>
          <w:rFonts w:asciiTheme="minorHAnsi" w:eastAsiaTheme="minorEastAsia" w:hAnsiTheme="minorHAnsi" w:cstheme="minorBidi"/>
          <w:noProof/>
          <w:szCs w:val="22"/>
          <w:lang w:eastAsia="en-NZ"/>
        </w:rPr>
      </w:pPr>
      <w:r>
        <w:rPr>
          <w:noProof/>
        </w:rPr>
        <w:t>Figure 67:</w:t>
      </w:r>
      <w:r>
        <w:rPr>
          <w:noProof/>
        </w:rPr>
        <w:tab/>
        <w:t>Children living in a smokefree home (age four years), total New Zealand</w:t>
      </w:r>
      <w:r>
        <w:rPr>
          <w:noProof/>
        </w:rPr>
        <w:tab/>
      </w:r>
      <w:r>
        <w:rPr>
          <w:noProof/>
        </w:rPr>
        <w:fldChar w:fldCharType="begin"/>
      </w:r>
      <w:r>
        <w:rPr>
          <w:noProof/>
        </w:rPr>
        <w:instrText xml:space="preserve"> PAGEREF _Toc440387887 \h </w:instrText>
      </w:r>
      <w:r>
        <w:rPr>
          <w:noProof/>
        </w:rPr>
      </w:r>
      <w:r>
        <w:rPr>
          <w:noProof/>
        </w:rPr>
        <w:fldChar w:fldCharType="separate"/>
      </w:r>
      <w:r w:rsidR="009A345E">
        <w:rPr>
          <w:noProof/>
        </w:rPr>
        <w:t>44</w:t>
      </w:r>
      <w:r>
        <w:rPr>
          <w:noProof/>
        </w:rPr>
        <w:fldChar w:fldCharType="end"/>
      </w:r>
    </w:p>
    <w:p w:rsidR="00B3668D" w:rsidRDefault="00B3668D">
      <w:pPr>
        <w:pStyle w:val="TOC3"/>
        <w:rPr>
          <w:rFonts w:asciiTheme="minorHAnsi" w:eastAsiaTheme="minorEastAsia" w:hAnsiTheme="minorHAnsi" w:cstheme="minorBidi"/>
          <w:noProof/>
          <w:szCs w:val="22"/>
          <w:lang w:eastAsia="en-NZ"/>
        </w:rPr>
      </w:pPr>
      <w:r>
        <w:rPr>
          <w:noProof/>
        </w:rPr>
        <w:t>Figure 68:</w:t>
      </w:r>
      <w:r>
        <w:rPr>
          <w:noProof/>
        </w:rPr>
        <w:tab/>
        <w:t>Children living in a smokefree home (age four years), high deprivation population</w:t>
      </w:r>
      <w:r>
        <w:rPr>
          <w:noProof/>
        </w:rPr>
        <w:tab/>
      </w:r>
      <w:r>
        <w:rPr>
          <w:noProof/>
        </w:rPr>
        <w:fldChar w:fldCharType="begin"/>
      </w:r>
      <w:r>
        <w:rPr>
          <w:noProof/>
        </w:rPr>
        <w:instrText xml:space="preserve"> PAGEREF _Toc440387888 \h </w:instrText>
      </w:r>
      <w:r>
        <w:rPr>
          <w:noProof/>
        </w:rPr>
      </w:r>
      <w:r>
        <w:rPr>
          <w:noProof/>
        </w:rPr>
        <w:fldChar w:fldCharType="separate"/>
      </w:r>
      <w:r w:rsidR="009A345E">
        <w:rPr>
          <w:noProof/>
        </w:rPr>
        <w:t>44</w:t>
      </w:r>
      <w:r>
        <w:rPr>
          <w:noProof/>
        </w:rPr>
        <w:fldChar w:fldCharType="end"/>
      </w:r>
    </w:p>
    <w:p w:rsidR="00B3668D" w:rsidRDefault="00B3668D">
      <w:pPr>
        <w:pStyle w:val="TOC3"/>
        <w:rPr>
          <w:rFonts w:asciiTheme="minorHAnsi" w:eastAsiaTheme="minorEastAsia" w:hAnsiTheme="minorHAnsi" w:cstheme="minorBidi"/>
          <w:noProof/>
          <w:szCs w:val="22"/>
          <w:lang w:eastAsia="en-NZ"/>
        </w:rPr>
      </w:pPr>
      <w:r>
        <w:rPr>
          <w:noProof/>
        </w:rPr>
        <w:t>Figure 69:</w:t>
      </w:r>
      <w:r>
        <w:rPr>
          <w:noProof/>
        </w:rPr>
        <w:tab/>
        <w:t>Children living in a smokefree home (age four years), Māori</w:t>
      </w:r>
      <w:r>
        <w:rPr>
          <w:noProof/>
        </w:rPr>
        <w:tab/>
      </w:r>
      <w:r>
        <w:rPr>
          <w:noProof/>
        </w:rPr>
        <w:fldChar w:fldCharType="begin"/>
      </w:r>
      <w:r>
        <w:rPr>
          <w:noProof/>
        </w:rPr>
        <w:instrText xml:space="preserve"> PAGEREF _Toc440387889 \h </w:instrText>
      </w:r>
      <w:r>
        <w:rPr>
          <w:noProof/>
        </w:rPr>
      </w:r>
      <w:r>
        <w:rPr>
          <w:noProof/>
        </w:rPr>
        <w:fldChar w:fldCharType="separate"/>
      </w:r>
      <w:r w:rsidR="009A345E">
        <w:rPr>
          <w:noProof/>
        </w:rPr>
        <w:t>45</w:t>
      </w:r>
      <w:r>
        <w:rPr>
          <w:noProof/>
        </w:rPr>
        <w:fldChar w:fldCharType="end"/>
      </w:r>
    </w:p>
    <w:p w:rsidR="00B3668D" w:rsidRDefault="00B3668D">
      <w:pPr>
        <w:pStyle w:val="TOC3"/>
        <w:rPr>
          <w:rFonts w:asciiTheme="minorHAnsi" w:eastAsiaTheme="minorEastAsia" w:hAnsiTheme="minorHAnsi" w:cstheme="minorBidi"/>
          <w:noProof/>
          <w:szCs w:val="22"/>
          <w:lang w:eastAsia="en-NZ"/>
        </w:rPr>
      </w:pPr>
      <w:r>
        <w:rPr>
          <w:noProof/>
        </w:rPr>
        <w:t>Figure 70:</w:t>
      </w:r>
      <w:r>
        <w:rPr>
          <w:noProof/>
        </w:rPr>
        <w:tab/>
        <w:t>Children living in a smokefree home (age four years), Pacific peoples</w:t>
      </w:r>
      <w:r>
        <w:rPr>
          <w:noProof/>
        </w:rPr>
        <w:tab/>
      </w:r>
      <w:r>
        <w:rPr>
          <w:noProof/>
        </w:rPr>
        <w:fldChar w:fldCharType="begin"/>
      </w:r>
      <w:r>
        <w:rPr>
          <w:noProof/>
        </w:rPr>
        <w:instrText xml:space="preserve"> PAGEREF _Toc440387890 \h </w:instrText>
      </w:r>
      <w:r>
        <w:rPr>
          <w:noProof/>
        </w:rPr>
      </w:r>
      <w:r>
        <w:rPr>
          <w:noProof/>
        </w:rPr>
        <w:fldChar w:fldCharType="separate"/>
      </w:r>
      <w:r w:rsidR="009A345E">
        <w:rPr>
          <w:noProof/>
        </w:rPr>
        <w:t>45</w:t>
      </w:r>
      <w:r>
        <w:rPr>
          <w:noProof/>
        </w:rPr>
        <w:fldChar w:fldCharType="end"/>
      </w:r>
    </w:p>
    <w:p w:rsidR="00B3668D" w:rsidRDefault="00B3668D">
      <w:pPr>
        <w:pStyle w:val="TOC3"/>
        <w:rPr>
          <w:rFonts w:asciiTheme="minorHAnsi" w:eastAsiaTheme="minorEastAsia" w:hAnsiTheme="minorHAnsi" w:cstheme="minorBidi"/>
          <w:noProof/>
          <w:szCs w:val="22"/>
          <w:lang w:eastAsia="en-NZ"/>
        </w:rPr>
      </w:pPr>
      <w:r>
        <w:rPr>
          <w:noProof/>
        </w:rPr>
        <w:t>Figure 71:</w:t>
      </w:r>
      <w:r>
        <w:rPr>
          <w:noProof/>
        </w:rPr>
        <w:tab/>
        <w:t>B4 School Checks started before age 4½ years, total New Zealand</w:t>
      </w:r>
      <w:r>
        <w:rPr>
          <w:noProof/>
        </w:rPr>
        <w:tab/>
      </w:r>
      <w:r>
        <w:rPr>
          <w:noProof/>
        </w:rPr>
        <w:fldChar w:fldCharType="begin"/>
      </w:r>
      <w:r>
        <w:rPr>
          <w:noProof/>
        </w:rPr>
        <w:instrText xml:space="preserve"> PAGEREF _Toc440387891 \h </w:instrText>
      </w:r>
      <w:r>
        <w:rPr>
          <w:noProof/>
        </w:rPr>
      </w:r>
      <w:r>
        <w:rPr>
          <w:noProof/>
        </w:rPr>
        <w:fldChar w:fldCharType="separate"/>
      </w:r>
      <w:r w:rsidR="009A345E">
        <w:rPr>
          <w:noProof/>
        </w:rPr>
        <w:t>48</w:t>
      </w:r>
      <w:r>
        <w:rPr>
          <w:noProof/>
        </w:rPr>
        <w:fldChar w:fldCharType="end"/>
      </w:r>
    </w:p>
    <w:p w:rsidR="00B3668D" w:rsidRDefault="00B3668D">
      <w:pPr>
        <w:pStyle w:val="TOC3"/>
        <w:rPr>
          <w:rFonts w:asciiTheme="minorHAnsi" w:eastAsiaTheme="minorEastAsia" w:hAnsiTheme="minorHAnsi" w:cstheme="minorBidi"/>
          <w:noProof/>
          <w:szCs w:val="22"/>
          <w:lang w:eastAsia="en-NZ"/>
        </w:rPr>
      </w:pPr>
      <w:r>
        <w:rPr>
          <w:noProof/>
        </w:rPr>
        <w:t>Figure 72:</w:t>
      </w:r>
      <w:r>
        <w:rPr>
          <w:noProof/>
        </w:rPr>
        <w:tab/>
        <w:t>B4 School Checks started before age 4½ years, high deprivation population</w:t>
      </w:r>
      <w:r>
        <w:rPr>
          <w:noProof/>
        </w:rPr>
        <w:tab/>
      </w:r>
      <w:r>
        <w:rPr>
          <w:noProof/>
        </w:rPr>
        <w:fldChar w:fldCharType="begin"/>
      </w:r>
      <w:r>
        <w:rPr>
          <w:noProof/>
        </w:rPr>
        <w:instrText xml:space="preserve"> PAGEREF _Toc440387892 \h </w:instrText>
      </w:r>
      <w:r>
        <w:rPr>
          <w:noProof/>
        </w:rPr>
      </w:r>
      <w:r>
        <w:rPr>
          <w:noProof/>
        </w:rPr>
        <w:fldChar w:fldCharType="separate"/>
      </w:r>
      <w:r w:rsidR="009A345E">
        <w:rPr>
          <w:noProof/>
        </w:rPr>
        <w:t>48</w:t>
      </w:r>
      <w:r>
        <w:rPr>
          <w:noProof/>
        </w:rPr>
        <w:fldChar w:fldCharType="end"/>
      </w:r>
    </w:p>
    <w:p w:rsidR="00B3668D" w:rsidRDefault="00B3668D">
      <w:pPr>
        <w:pStyle w:val="TOC3"/>
        <w:rPr>
          <w:rFonts w:asciiTheme="minorHAnsi" w:eastAsiaTheme="minorEastAsia" w:hAnsiTheme="minorHAnsi" w:cstheme="minorBidi"/>
          <w:noProof/>
          <w:szCs w:val="22"/>
          <w:lang w:eastAsia="en-NZ"/>
        </w:rPr>
      </w:pPr>
      <w:r>
        <w:rPr>
          <w:noProof/>
        </w:rPr>
        <w:t>Figure 73:</w:t>
      </w:r>
      <w:r>
        <w:rPr>
          <w:noProof/>
        </w:rPr>
        <w:tab/>
        <w:t>B4 School Checks started before age 4½ years, Māori</w:t>
      </w:r>
      <w:r>
        <w:rPr>
          <w:noProof/>
        </w:rPr>
        <w:tab/>
      </w:r>
      <w:r>
        <w:rPr>
          <w:noProof/>
        </w:rPr>
        <w:fldChar w:fldCharType="begin"/>
      </w:r>
      <w:r>
        <w:rPr>
          <w:noProof/>
        </w:rPr>
        <w:instrText xml:space="preserve"> PAGEREF _Toc440387893 \h </w:instrText>
      </w:r>
      <w:r>
        <w:rPr>
          <w:noProof/>
        </w:rPr>
      </w:r>
      <w:r>
        <w:rPr>
          <w:noProof/>
        </w:rPr>
        <w:fldChar w:fldCharType="separate"/>
      </w:r>
      <w:r w:rsidR="009A345E">
        <w:rPr>
          <w:noProof/>
        </w:rPr>
        <w:t>49</w:t>
      </w:r>
      <w:r>
        <w:rPr>
          <w:noProof/>
        </w:rPr>
        <w:fldChar w:fldCharType="end"/>
      </w:r>
    </w:p>
    <w:p w:rsidR="00B3668D" w:rsidRDefault="00B3668D">
      <w:pPr>
        <w:pStyle w:val="TOC3"/>
        <w:rPr>
          <w:rFonts w:asciiTheme="minorHAnsi" w:eastAsiaTheme="minorEastAsia" w:hAnsiTheme="minorHAnsi" w:cstheme="minorBidi"/>
          <w:noProof/>
          <w:szCs w:val="22"/>
          <w:lang w:eastAsia="en-NZ"/>
        </w:rPr>
      </w:pPr>
      <w:r>
        <w:rPr>
          <w:noProof/>
        </w:rPr>
        <w:t>Figure 74:</w:t>
      </w:r>
      <w:r>
        <w:rPr>
          <w:noProof/>
        </w:rPr>
        <w:tab/>
        <w:t>B4 School Checks started before age 4½ years, Pacific peoples</w:t>
      </w:r>
      <w:r>
        <w:rPr>
          <w:noProof/>
        </w:rPr>
        <w:tab/>
      </w:r>
      <w:r>
        <w:rPr>
          <w:noProof/>
        </w:rPr>
        <w:fldChar w:fldCharType="begin"/>
      </w:r>
      <w:r>
        <w:rPr>
          <w:noProof/>
        </w:rPr>
        <w:instrText xml:space="preserve"> PAGEREF _Toc440387894 \h </w:instrText>
      </w:r>
      <w:r>
        <w:rPr>
          <w:noProof/>
        </w:rPr>
      </w:r>
      <w:r>
        <w:rPr>
          <w:noProof/>
        </w:rPr>
        <w:fldChar w:fldCharType="separate"/>
      </w:r>
      <w:r w:rsidR="009A345E">
        <w:rPr>
          <w:noProof/>
        </w:rPr>
        <w:t>49</w:t>
      </w:r>
      <w:r>
        <w:rPr>
          <w:noProof/>
        </w:rPr>
        <w:fldChar w:fldCharType="end"/>
      </w:r>
    </w:p>
    <w:p w:rsidR="00B3668D" w:rsidRDefault="00B3668D">
      <w:pPr>
        <w:pStyle w:val="TOC3"/>
        <w:rPr>
          <w:rFonts w:asciiTheme="minorHAnsi" w:eastAsiaTheme="minorEastAsia" w:hAnsiTheme="minorHAnsi" w:cstheme="minorBidi"/>
          <w:noProof/>
          <w:szCs w:val="22"/>
          <w:lang w:eastAsia="en-NZ"/>
        </w:rPr>
      </w:pPr>
      <w:r>
        <w:rPr>
          <w:noProof/>
        </w:rPr>
        <w:t>Figure 75:</w:t>
      </w:r>
      <w:r>
        <w:rPr>
          <w:noProof/>
        </w:rPr>
        <w:tab/>
        <w:t>Children with abnormal SDQ-P referred, total New Zealand</w:t>
      </w:r>
      <w:r>
        <w:rPr>
          <w:noProof/>
        </w:rPr>
        <w:tab/>
      </w:r>
      <w:r>
        <w:rPr>
          <w:noProof/>
        </w:rPr>
        <w:fldChar w:fldCharType="begin"/>
      </w:r>
      <w:r>
        <w:rPr>
          <w:noProof/>
        </w:rPr>
        <w:instrText xml:space="preserve"> PAGEREF _Toc440387895 \h </w:instrText>
      </w:r>
      <w:r>
        <w:rPr>
          <w:noProof/>
        </w:rPr>
      </w:r>
      <w:r>
        <w:rPr>
          <w:noProof/>
        </w:rPr>
        <w:fldChar w:fldCharType="separate"/>
      </w:r>
      <w:r w:rsidR="009A345E">
        <w:rPr>
          <w:noProof/>
        </w:rPr>
        <w:t>50</w:t>
      </w:r>
      <w:r>
        <w:rPr>
          <w:noProof/>
        </w:rPr>
        <w:fldChar w:fldCharType="end"/>
      </w:r>
    </w:p>
    <w:p w:rsidR="00B3668D" w:rsidRDefault="00B3668D">
      <w:pPr>
        <w:pStyle w:val="TOC3"/>
        <w:rPr>
          <w:rFonts w:asciiTheme="minorHAnsi" w:eastAsiaTheme="minorEastAsia" w:hAnsiTheme="minorHAnsi" w:cstheme="minorBidi"/>
          <w:noProof/>
          <w:szCs w:val="22"/>
          <w:lang w:eastAsia="en-NZ"/>
        </w:rPr>
      </w:pPr>
      <w:r>
        <w:rPr>
          <w:noProof/>
        </w:rPr>
        <w:t>Figure 76:</w:t>
      </w:r>
      <w:r>
        <w:rPr>
          <w:noProof/>
        </w:rPr>
        <w:tab/>
        <w:t>Children with abnormal SDQ-P referred, high deprivation population</w:t>
      </w:r>
      <w:r>
        <w:rPr>
          <w:noProof/>
        </w:rPr>
        <w:tab/>
      </w:r>
      <w:r>
        <w:rPr>
          <w:noProof/>
        </w:rPr>
        <w:fldChar w:fldCharType="begin"/>
      </w:r>
      <w:r>
        <w:rPr>
          <w:noProof/>
        </w:rPr>
        <w:instrText xml:space="preserve"> PAGEREF _Toc440387896 \h </w:instrText>
      </w:r>
      <w:r>
        <w:rPr>
          <w:noProof/>
        </w:rPr>
      </w:r>
      <w:r>
        <w:rPr>
          <w:noProof/>
        </w:rPr>
        <w:fldChar w:fldCharType="separate"/>
      </w:r>
      <w:r w:rsidR="009A345E">
        <w:rPr>
          <w:noProof/>
        </w:rPr>
        <w:t>50</w:t>
      </w:r>
      <w:r>
        <w:rPr>
          <w:noProof/>
        </w:rPr>
        <w:fldChar w:fldCharType="end"/>
      </w:r>
    </w:p>
    <w:p w:rsidR="00B3668D" w:rsidRDefault="00B3668D">
      <w:pPr>
        <w:pStyle w:val="TOC3"/>
        <w:rPr>
          <w:rFonts w:asciiTheme="minorHAnsi" w:eastAsiaTheme="minorEastAsia" w:hAnsiTheme="minorHAnsi" w:cstheme="minorBidi"/>
          <w:noProof/>
          <w:szCs w:val="22"/>
          <w:lang w:eastAsia="en-NZ"/>
        </w:rPr>
      </w:pPr>
      <w:r>
        <w:rPr>
          <w:noProof/>
        </w:rPr>
        <w:t>Figure 77:</w:t>
      </w:r>
      <w:r>
        <w:rPr>
          <w:noProof/>
        </w:rPr>
        <w:tab/>
        <w:t>Children with abnormal SDQ-P referred, Māori</w:t>
      </w:r>
      <w:r>
        <w:rPr>
          <w:noProof/>
        </w:rPr>
        <w:tab/>
      </w:r>
      <w:r>
        <w:rPr>
          <w:noProof/>
        </w:rPr>
        <w:fldChar w:fldCharType="begin"/>
      </w:r>
      <w:r>
        <w:rPr>
          <w:noProof/>
        </w:rPr>
        <w:instrText xml:space="preserve"> PAGEREF _Toc440387897 \h </w:instrText>
      </w:r>
      <w:r>
        <w:rPr>
          <w:noProof/>
        </w:rPr>
      </w:r>
      <w:r>
        <w:rPr>
          <w:noProof/>
        </w:rPr>
        <w:fldChar w:fldCharType="separate"/>
      </w:r>
      <w:r w:rsidR="009A345E">
        <w:rPr>
          <w:noProof/>
        </w:rPr>
        <w:t>51</w:t>
      </w:r>
      <w:r>
        <w:rPr>
          <w:noProof/>
        </w:rPr>
        <w:fldChar w:fldCharType="end"/>
      </w:r>
    </w:p>
    <w:p w:rsidR="00B3668D" w:rsidRDefault="00B3668D">
      <w:pPr>
        <w:pStyle w:val="TOC3"/>
        <w:rPr>
          <w:rFonts w:asciiTheme="minorHAnsi" w:eastAsiaTheme="minorEastAsia" w:hAnsiTheme="minorHAnsi" w:cstheme="minorBidi"/>
          <w:noProof/>
          <w:szCs w:val="22"/>
          <w:lang w:eastAsia="en-NZ"/>
        </w:rPr>
      </w:pPr>
      <w:r>
        <w:rPr>
          <w:noProof/>
        </w:rPr>
        <w:t>Figure 78:</w:t>
      </w:r>
      <w:r>
        <w:rPr>
          <w:noProof/>
        </w:rPr>
        <w:tab/>
        <w:t>Children with abnormal SDQ-P referred, Pacific peoples</w:t>
      </w:r>
      <w:r>
        <w:rPr>
          <w:noProof/>
        </w:rPr>
        <w:tab/>
      </w:r>
      <w:r>
        <w:rPr>
          <w:noProof/>
        </w:rPr>
        <w:fldChar w:fldCharType="begin"/>
      </w:r>
      <w:r>
        <w:rPr>
          <w:noProof/>
        </w:rPr>
        <w:instrText xml:space="preserve"> PAGEREF _Toc440387898 \h </w:instrText>
      </w:r>
      <w:r>
        <w:rPr>
          <w:noProof/>
        </w:rPr>
      </w:r>
      <w:r>
        <w:rPr>
          <w:noProof/>
        </w:rPr>
        <w:fldChar w:fldCharType="separate"/>
      </w:r>
      <w:r w:rsidR="009A345E">
        <w:rPr>
          <w:noProof/>
        </w:rPr>
        <w:t>51</w:t>
      </w:r>
      <w:r>
        <w:rPr>
          <w:noProof/>
        </w:rPr>
        <w:fldChar w:fldCharType="end"/>
      </w:r>
    </w:p>
    <w:p w:rsidR="00B3668D" w:rsidRDefault="00B3668D">
      <w:pPr>
        <w:pStyle w:val="TOC3"/>
        <w:rPr>
          <w:rFonts w:asciiTheme="minorHAnsi" w:eastAsiaTheme="minorEastAsia" w:hAnsiTheme="minorHAnsi" w:cstheme="minorBidi"/>
          <w:noProof/>
          <w:szCs w:val="22"/>
          <w:lang w:eastAsia="en-NZ"/>
        </w:rPr>
      </w:pPr>
      <w:r>
        <w:rPr>
          <w:noProof/>
        </w:rPr>
        <w:t>Figure 79:</w:t>
      </w:r>
      <w:r>
        <w:rPr>
          <w:noProof/>
        </w:rPr>
        <w:tab/>
        <w:t>Children with PEDS Pathway A referred, total New Zealand</w:t>
      </w:r>
      <w:r>
        <w:rPr>
          <w:noProof/>
        </w:rPr>
        <w:tab/>
      </w:r>
      <w:r>
        <w:rPr>
          <w:noProof/>
        </w:rPr>
        <w:fldChar w:fldCharType="begin"/>
      </w:r>
      <w:r>
        <w:rPr>
          <w:noProof/>
        </w:rPr>
        <w:instrText xml:space="preserve"> PAGEREF _Toc440387899 \h </w:instrText>
      </w:r>
      <w:r>
        <w:rPr>
          <w:noProof/>
        </w:rPr>
      </w:r>
      <w:r>
        <w:rPr>
          <w:noProof/>
        </w:rPr>
        <w:fldChar w:fldCharType="separate"/>
      </w:r>
      <w:r w:rsidR="009A345E">
        <w:rPr>
          <w:noProof/>
        </w:rPr>
        <w:t>52</w:t>
      </w:r>
      <w:r>
        <w:rPr>
          <w:noProof/>
        </w:rPr>
        <w:fldChar w:fldCharType="end"/>
      </w:r>
    </w:p>
    <w:p w:rsidR="00B3668D" w:rsidRDefault="00B3668D">
      <w:pPr>
        <w:pStyle w:val="TOC3"/>
        <w:rPr>
          <w:rFonts w:asciiTheme="minorHAnsi" w:eastAsiaTheme="minorEastAsia" w:hAnsiTheme="minorHAnsi" w:cstheme="minorBidi"/>
          <w:noProof/>
          <w:szCs w:val="22"/>
          <w:lang w:eastAsia="en-NZ"/>
        </w:rPr>
      </w:pPr>
      <w:r>
        <w:rPr>
          <w:noProof/>
        </w:rPr>
        <w:t>Figure 80:</w:t>
      </w:r>
      <w:r>
        <w:rPr>
          <w:noProof/>
        </w:rPr>
        <w:tab/>
        <w:t>Children with PEDS Pathway A referred, high deprivation population</w:t>
      </w:r>
      <w:r>
        <w:rPr>
          <w:noProof/>
        </w:rPr>
        <w:tab/>
      </w:r>
      <w:r>
        <w:rPr>
          <w:noProof/>
        </w:rPr>
        <w:fldChar w:fldCharType="begin"/>
      </w:r>
      <w:r>
        <w:rPr>
          <w:noProof/>
        </w:rPr>
        <w:instrText xml:space="preserve"> PAGEREF _Toc440387900 \h </w:instrText>
      </w:r>
      <w:r>
        <w:rPr>
          <w:noProof/>
        </w:rPr>
      </w:r>
      <w:r>
        <w:rPr>
          <w:noProof/>
        </w:rPr>
        <w:fldChar w:fldCharType="separate"/>
      </w:r>
      <w:r w:rsidR="009A345E">
        <w:rPr>
          <w:noProof/>
        </w:rPr>
        <w:t>52</w:t>
      </w:r>
      <w:r>
        <w:rPr>
          <w:noProof/>
        </w:rPr>
        <w:fldChar w:fldCharType="end"/>
      </w:r>
    </w:p>
    <w:p w:rsidR="00B3668D" w:rsidRDefault="00B3668D">
      <w:pPr>
        <w:pStyle w:val="TOC3"/>
        <w:rPr>
          <w:rFonts w:asciiTheme="minorHAnsi" w:eastAsiaTheme="minorEastAsia" w:hAnsiTheme="minorHAnsi" w:cstheme="minorBidi"/>
          <w:noProof/>
          <w:szCs w:val="22"/>
          <w:lang w:eastAsia="en-NZ"/>
        </w:rPr>
      </w:pPr>
      <w:r>
        <w:rPr>
          <w:noProof/>
        </w:rPr>
        <w:t>Figure 81:</w:t>
      </w:r>
      <w:r>
        <w:rPr>
          <w:noProof/>
        </w:rPr>
        <w:tab/>
        <w:t>Children with PEDS Pathway A referred, Māori</w:t>
      </w:r>
      <w:r>
        <w:rPr>
          <w:noProof/>
        </w:rPr>
        <w:tab/>
      </w:r>
      <w:r>
        <w:rPr>
          <w:noProof/>
        </w:rPr>
        <w:fldChar w:fldCharType="begin"/>
      </w:r>
      <w:r>
        <w:rPr>
          <w:noProof/>
        </w:rPr>
        <w:instrText xml:space="preserve"> PAGEREF _Toc440387901 \h </w:instrText>
      </w:r>
      <w:r>
        <w:rPr>
          <w:noProof/>
        </w:rPr>
      </w:r>
      <w:r>
        <w:rPr>
          <w:noProof/>
        </w:rPr>
        <w:fldChar w:fldCharType="separate"/>
      </w:r>
      <w:r w:rsidR="009A345E">
        <w:rPr>
          <w:noProof/>
        </w:rPr>
        <w:t>53</w:t>
      </w:r>
      <w:r>
        <w:rPr>
          <w:noProof/>
        </w:rPr>
        <w:fldChar w:fldCharType="end"/>
      </w:r>
    </w:p>
    <w:p w:rsidR="00B3668D" w:rsidRDefault="00B3668D">
      <w:pPr>
        <w:pStyle w:val="TOC3"/>
        <w:rPr>
          <w:rFonts w:asciiTheme="minorHAnsi" w:eastAsiaTheme="minorEastAsia" w:hAnsiTheme="minorHAnsi" w:cstheme="minorBidi"/>
          <w:noProof/>
          <w:szCs w:val="22"/>
          <w:lang w:eastAsia="en-NZ"/>
        </w:rPr>
      </w:pPr>
      <w:r>
        <w:rPr>
          <w:noProof/>
        </w:rPr>
        <w:t>Figure 82:</w:t>
      </w:r>
      <w:r>
        <w:rPr>
          <w:noProof/>
        </w:rPr>
        <w:tab/>
        <w:t>Children with PEDS Pathway A referred, Pacific peoples</w:t>
      </w:r>
      <w:r>
        <w:rPr>
          <w:noProof/>
        </w:rPr>
        <w:tab/>
      </w:r>
      <w:r>
        <w:rPr>
          <w:noProof/>
        </w:rPr>
        <w:fldChar w:fldCharType="begin"/>
      </w:r>
      <w:r>
        <w:rPr>
          <w:noProof/>
        </w:rPr>
        <w:instrText xml:space="preserve"> PAGEREF _Toc440387902 \h </w:instrText>
      </w:r>
      <w:r>
        <w:rPr>
          <w:noProof/>
        </w:rPr>
      </w:r>
      <w:r>
        <w:rPr>
          <w:noProof/>
        </w:rPr>
        <w:fldChar w:fldCharType="separate"/>
      </w:r>
      <w:r w:rsidR="009A345E">
        <w:rPr>
          <w:noProof/>
        </w:rPr>
        <w:t>53</w:t>
      </w:r>
      <w:r>
        <w:rPr>
          <w:noProof/>
        </w:rPr>
        <w:fldChar w:fldCharType="end"/>
      </w:r>
    </w:p>
    <w:p w:rsidR="00B3668D" w:rsidRDefault="00B3668D">
      <w:pPr>
        <w:pStyle w:val="TOC3"/>
        <w:rPr>
          <w:rFonts w:asciiTheme="minorHAnsi" w:eastAsiaTheme="minorEastAsia" w:hAnsiTheme="minorHAnsi" w:cstheme="minorBidi"/>
          <w:noProof/>
          <w:szCs w:val="22"/>
          <w:lang w:eastAsia="en-NZ"/>
        </w:rPr>
      </w:pPr>
      <w:r>
        <w:rPr>
          <w:noProof/>
        </w:rPr>
        <w:t>Figure 83:</w:t>
      </w:r>
      <w:r>
        <w:rPr>
          <w:noProof/>
        </w:rPr>
        <w:tab/>
        <w:t>Children with Lift the Lip score of 2–6 referred, total New Zealand</w:t>
      </w:r>
      <w:r>
        <w:rPr>
          <w:noProof/>
        </w:rPr>
        <w:tab/>
      </w:r>
      <w:r>
        <w:rPr>
          <w:noProof/>
        </w:rPr>
        <w:fldChar w:fldCharType="begin"/>
      </w:r>
      <w:r>
        <w:rPr>
          <w:noProof/>
        </w:rPr>
        <w:instrText xml:space="preserve"> PAGEREF _Toc440387903 \h </w:instrText>
      </w:r>
      <w:r>
        <w:rPr>
          <w:noProof/>
        </w:rPr>
      </w:r>
      <w:r>
        <w:rPr>
          <w:noProof/>
        </w:rPr>
        <w:fldChar w:fldCharType="separate"/>
      </w:r>
      <w:r w:rsidR="009A345E">
        <w:rPr>
          <w:noProof/>
        </w:rPr>
        <w:t>54</w:t>
      </w:r>
      <w:r>
        <w:rPr>
          <w:noProof/>
        </w:rPr>
        <w:fldChar w:fldCharType="end"/>
      </w:r>
    </w:p>
    <w:p w:rsidR="00B3668D" w:rsidRDefault="00B3668D">
      <w:pPr>
        <w:pStyle w:val="TOC3"/>
        <w:rPr>
          <w:rFonts w:asciiTheme="minorHAnsi" w:eastAsiaTheme="minorEastAsia" w:hAnsiTheme="minorHAnsi" w:cstheme="minorBidi"/>
          <w:noProof/>
          <w:szCs w:val="22"/>
          <w:lang w:eastAsia="en-NZ"/>
        </w:rPr>
      </w:pPr>
      <w:r>
        <w:rPr>
          <w:noProof/>
        </w:rPr>
        <w:t>Figure 84:</w:t>
      </w:r>
      <w:r>
        <w:rPr>
          <w:noProof/>
        </w:rPr>
        <w:tab/>
        <w:t>Children with Lift the Lip score of 2–6 referred, high deprivation population</w:t>
      </w:r>
      <w:r>
        <w:rPr>
          <w:noProof/>
        </w:rPr>
        <w:tab/>
      </w:r>
      <w:r>
        <w:rPr>
          <w:noProof/>
        </w:rPr>
        <w:fldChar w:fldCharType="begin"/>
      </w:r>
      <w:r>
        <w:rPr>
          <w:noProof/>
        </w:rPr>
        <w:instrText xml:space="preserve"> PAGEREF _Toc440387904 \h </w:instrText>
      </w:r>
      <w:r>
        <w:rPr>
          <w:noProof/>
        </w:rPr>
      </w:r>
      <w:r>
        <w:rPr>
          <w:noProof/>
        </w:rPr>
        <w:fldChar w:fldCharType="separate"/>
      </w:r>
      <w:r w:rsidR="009A345E">
        <w:rPr>
          <w:noProof/>
        </w:rPr>
        <w:t>54</w:t>
      </w:r>
      <w:r>
        <w:rPr>
          <w:noProof/>
        </w:rPr>
        <w:fldChar w:fldCharType="end"/>
      </w:r>
    </w:p>
    <w:p w:rsidR="00B3668D" w:rsidRDefault="00B3668D">
      <w:pPr>
        <w:pStyle w:val="TOC3"/>
        <w:rPr>
          <w:rFonts w:asciiTheme="minorHAnsi" w:eastAsiaTheme="minorEastAsia" w:hAnsiTheme="minorHAnsi" w:cstheme="minorBidi"/>
          <w:noProof/>
          <w:szCs w:val="22"/>
          <w:lang w:eastAsia="en-NZ"/>
        </w:rPr>
      </w:pPr>
      <w:r>
        <w:rPr>
          <w:noProof/>
        </w:rPr>
        <w:t>Figure 85:</w:t>
      </w:r>
      <w:r>
        <w:rPr>
          <w:noProof/>
        </w:rPr>
        <w:tab/>
        <w:t>Children with Lift the Lip score of 2–6 referred, Māori</w:t>
      </w:r>
      <w:r>
        <w:rPr>
          <w:noProof/>
        </w:rPr>
        <w:tab/>
      </w:r>
      <w:r>
        <w:rPr>
          <w:noProof/>
        </w:rPr>
        <w:fldChar w:fldCharType="begin"/>
      </w:r>
      <w:r>
        <w:rPr>
          <w:noProof/>
        </w:rPr>
        <w:instrText xml:space="preserve"> PAGEREF _Toc440387905 \h </w:instrText>
      </w:r>
      <w:r>
        <w:rPr>
          <w:noProof/>
        </w:rPr>
      </w:r>
      <w:r>
        <w:rPr>
          <w:noProof/>
        </w:rPr>
        <w:fldChar w:fldCharType="separate"/>
      </w:r>
      <w:r w:rsidR="009A345E">
        <w:rPr>
          <w:noProof/>
        </w:rPr>
        <w:t>55</w:t>
      </w:r>
      <w:r>
        <w:rPr>
          <w:noProof/>
        </w:rPr>
        <w:fldChar w:fldCharType="end"/>
      </w:r>
    </w:p>
    <w:p w:rsidR="00B3668D" w:rsidRDefault="00B3668D">
      <w:pPr>
        <w:pStyle w:val="TOC3"/>
        <w:rPr>
          <w:rFonts w:asciiTheme="minorHAnsi" w:eastAsiaTheme="minorEastAsia" w:hAnsiTheme="minorHAnsi" w:cstheme="minorBidi"/>
          <w:noProof/>
          <w:szCs w:val="22"/>
          <w:lang w:eastAsia="en-NZ"/>
        </w:rPr>
      </w:pPr>
      <w:r>
        <w:rPr>
          <w:noProof/>
        </w:rPr>
        <w:t>Figure 86:</w:t>
      </w:r>
      <w:r>
        <w:rPr>
          <w:noProof/>
        </w:rPr>
        <w:tab/>
        <w:t>Children with Lift the Lip score of 2–6 referred, Pacific peoples</w:t>
      </w:r>
      <w:r>
        <w:rPr>
          <w:noProof/>
        </w:rPr>
        <w:tab/>
      </w:r>
      <w:r>
        <w:rPr>
          <w:noProof/>
        </w:rPr>
        <w:fldChar w:fldCharType="begin"/>
      </w:r>
      <w:r>
        <w:rPr>
          <w:noProof/>
        </w:rPr>
        <w:instrText xml:space="preserve"> PAGEREF _Toc440387906 \h </w:instrText>
      </w:r>
      <w:r>
        <w:rPr>
          <w:noProof/>
        </w:rPr>
      </w:r>
      <w:r>
        <w:rPr>
          <w:noProof/>
        </w:rPr>
        <w:fldChar w:fldCharType="separate"/>
      </w:r>
      <w:r w:rsidR="009A345E">
        <w:rPr>
          <w:noProof/>
        </w:rPr>
        <w:t>55</w:t>
      </w:r>
      <w:r>
        <w:rPr>
          <w:noProof/>
        </w:rPr>
        <w:fldChar w:fldCharType="end"/>
      </w:r>
    </w:p>
    <w:p w:rsidR="00B3668D" w:rsidRDefault="00B3668D">
      <w:pPr>
        <w:pStyle w:val="TOC3"/>
        <w:rPr>
          <w:rFonts w:asciiTheme="minorHAnsi" w:eastAsiaTheme="minorEastAsia" w:hAnsiTheme="minorHAnsi" w:cstheme="minorBidi"/>
          <w:noProof/>
          <w:szCs w:val="22"/>
          <w:lang w:eastAsia="en-NZ"/>
        </w:rPr>
      </w:pPr>
      <w:r>
        <w:rPr>
          <w:noProof/>
        </w:rPr>
        <w:t>Figure 87:</w:t>
      </w:r>
      <w:r>
        <w:rPr>
          <w:noProof/>
        </w:rPr>
        <w:tab/>
        <w:t>Children with an untreated vision problem referred, total New Zealand</w:t>
      </w:r>
      <w:r>
        <w:rPr>
          <w:noProof/>
        </w:rPr>
        <w:tab/>
      </w:r>
      <w:r>
        <w:rPr>
          <w:noProof/>
        </w:rPr>
        <w:fldChar w:fldCharType="begin"/>
      </w:r>
      <w:r>
        <w:rPr>
          <w:noProof/>
        </w:rPr>
        <w:instrText xml:space="preserve"> PAGEREF _Toc440387907 \h </w:instrText>
      </w:r>
      <w:r>
        <w:rPr>
          <w:noProof/>
        </w:rPr>
      </w:r>
      <w:r>
        <w:rPr>
          <w:noProof/>
        </w:rPr>
        <w:fldChar w:fldCharType="separate"/>
      </w:r>
      <w:r w:rsidR="009A345E">
        <w:rPr>
          <w:noProof/>
        </w:rPr>
        <w:t>56</w:t>
      </w:r>
      <w:r>
        <w:rPr>
          <w:noProof/>
        </w:rPr>
        <w:fldChar w:fldCharType="end"/>
      </w:r>
    </w:p>
    <w:p w:rsidR="00B3668D" w:rsidRDefault="00B3668D">
      <w:pPr>
        <w:pStyle w:val="TOC3"/>
        <w:rPr>
          <w:rFonts w:asciiTheme="minorHAnsi" w:eastAsiaTheme="minorEastAsia" w:hAnsiTheme="minorHAnsi" w:cstheme="minorBidi"/>
          <w:noProof/>
          <w:szCs w:val="22"/>
          <w:lang w:eastAsia="en-NZ"/>
        </w:rPr>
      </w:pPr>
      <w:r>
        <w:rPr>
          <w:noProof/>
        </w:rPr>
        <w:t>Figure 88:</w:t>
      </w:r>
      <w:r>
        <w:rPr>
          <w:noProof/>
        </w:rPr>
        <w:tab/>
        <w:t>Children with an untreated vision problem referred, high deprivation population</w:t>
      </w:r>
      <w:r>
        <w:rPr>
          <w:noProof/>
        </w:rPr>
        <w:tab/>
      </w:r>
      <w:r>
        <w:rPr>
          <w:noProof/>
        </w:rPr>
        <w:fldChar w:fldCharType="begin"/>
      </w:r>
      <w:r>
        <w:rPr>
          <w:noProof/>
        </w:rPr>
        <w:instrText xml:space="preserve"> PAGEREF _Toc440387908 \h </w:instrText>
      </w:r>
      <w:r>
        <w:rPr>
          <w:noProof/>
        </w:rPr>
      </w:r>
      <w:r>
        <w:rPr>
          <w:noProof/>
        </w:rPr>
        <w:fldChar w:fldCharType="separate"/>
      </w:r>
      <w:r w:rsidR="009A345E">
        <w:rPr>
          <w:noProof/>
        </w:rPr>
        <w:t>56</w:t>
      </w:r>
      <w:r>
        <w:rPr>
          <w:noProof/>
        </w:rPr>
        <w:fldChar w:fldCharType="end"/>
      </w:r>
    </w:p>
    <w:p w:rsidR="00B3668D" w:rsidRDefault="00B3668D">
      <w:pPr>
        <w:pStyle w:val="TOC3"/>
        <w:rPr>
          <w:rFonts w:asciiTheme="minorHAnsi" w:eastAsiaTheme="minorEastAsia" w:hAnsiTheme="minorHAnsi" w:cstheme="minorBidi"/>
          <w:noProof/>
          <w:szCs w:val="22"/>
          <w:lang w:eastAsia="en-NZ"/>
        </w:rPr>
      </w:pPr>
      <w:r>
        <w:rPr>
          <w:noProof/>
        </w:rPr>
        <w:t>Figure 89:</w:t>
      </w:r>
      <w:r>
        <w:rPr>
          <w:noProof/>
        </w:rPr>
        <w:tab/>
        <w:t>Children with an untreated vision problem referred, Māori</w:t>
      </w:r>
      <w:r>
        <w:rPr>
          <w:noProof/>
        </w:rPr>
        <w:tab/>
      </w:r>
      <w:r>
        <w:rPr>
          <w:noProof/>
        </w:rPr>
        <w:fldChar w:fldCharType="begin"/>
      </w:r>
      <w:r>
        <w:rPr>
          <w:noProof/>
        </w:rPr>
        <w:instrText xml:space="preserve"> PAGEREF _Toc440387909 \h </w:instrText>
      </w:r>
      <w:r>
        <w:rPr>
          <w:noProof/>
        </w:rPr>
      </w:r>
      <w:r>
        <w:rPr>
          <w:noProof/>
        </w:rPr>
        <w:fldChar w:fldCharType="separate"/>
      </w:r>
      <w:r w:rsidR="009A345E">
        <w:rPr>
          <w:noProof/>
        </w:rPr>
        <w:t>57</w:t>
      </w:r>
      <w:r>
        <w:rPr>
          <w:noProof/>
        </w:rPr>
        <w:fldChar w:fldCharType="end"/>
      </w:r>
    </w:p>
    <w:p w:rsidR="00B3668D" w:rsidRDefault="00B3668D">
      <w:pPr>
        <w:pStyle w:val="TOC3"/>
        <w:rPr>
          <w:rFonts w:asciiTheme="minorHAnsi" w:eastAsiaTheme="minorEastAsia" w:hAnsiTheme="minorHAnsi" w:cstheme="minorBidi"/>
          <w:noProof/>
          <w:szCs w:val="22"/>
          <w:lang w:eastAsia="en-NZ"/>
        </w:rPr>
      </w:pPr>
      <w:r>
        <w:rPr>
          <w:noProof/>
        </w:rPr>
        <w:t>Figure 90:</w:t>
      </w:r>
      <w:r>
        <w:rPr>
          <w:noProof/>
        </w:rPr>
        <w:tab/>
        <w:t>Children with an untreated vision problem referred, Pacific peoples</w:t>
      </w:r>
      <w:r>
        <w:rPr>
          <w:noProof/>
        </w:rPr>
        <w:tab/>
      </w:r>
      <w:r>
        <w:rPr>
          <w:noProof/>
        </w:rPr>
        <w:fldChar w:fldCharType="begin"/>
      </w:r>
      <w:r>
        <w:rPr>
          <w:noProof/>
        </w:rPr>
        <w:instrText xml:space="preserve"> PAGEREF _Toc440387910 \h </w:instrText>
      </w:r>
      <w:r>
        <w:rPr>
          <w:noProof/>
        </w:rPr>
      </w:r>
      <w:r>
        <w:rPr>
          <w:noProof/>
        </w:rPr>
        <w:fldChar w:fldCharType="separate"/>
      </w:r>
      <w:r w:rsidR="009A345E">
        <w:rPr>
          <w:noProof/>
        </w:rPr>
        <w:t>57</w:t>
      </w:r>
      <w:r>
        <w:rPr>
          <w:noProof/>
        </w:rPr>
        <w:fldChar w:fldCharType="end"/>
      </w:r>
    </w:p>
    <w:p w:rsidR="00B3668D" w:rsidRDefault="00B3668D">
      <w:pPr>
        <w:pStyle w:val="TOC3"/>
        <w:rPr>
          <w:rFonts w:asciiTheme="minorHAnsi" w:eastAsiaTheme="minorEastAsia" w:hAnsiTheme="minorHAnsi" w:cstheme="minorBidi"/>
          <w:noProof/>
          <w:szCs w:val="22"/>
          <w:lang w:eastAsia="en-NZ"/>
        </w:rPr>
      </w:pPr>
      <w:r>
        <w:rPr>
          <w:noProof/>
        </w:rPr>
        <w:t>Figure 91:</w:t>
      </w:r>
      <w:r>
        <w:rPr>
          <w:noProof/>
        </w:rPr>
        <w:tab/>
        <w:t>Children with an untreated hearing problem referred, total New Zealand</w:t>
      </w:r>
      <w:r>
        <w:rPr>
          <w:noProof/>
        </w:rPr>
        <w:tab/>
      </w:r>
      <w:r>
        <w:rPr>
          <w:noProof/>
        </w:rPr>
        <w:fldChar w:fldCharType="begin"/>
      </w:r>
      <w:r>
        <w:rPr>
          <w:noProof/>
        </w:rPr>
        <w:instrText xml:space="preserve"> PAGEREF _Toc440387911 \h </w:instrText>
      </w:r>
      <w:r>
        <w:rPr>
          <w:noProof/>
        </w:rPr>
      </w:r>
      <w:r>
        <w:rPr>
          <w:noProof/>
        </w:rPr>
        <w:fldChar w:fldCharType="separate"/>
      </w:r>
      <w:r w:rsidR="009A345E">
        <w:rPr>
          <w:noProof/>
        </w:rPr>
        <w:t>58</w:t>
      </w:r>
      <w:r>
        <w:rPr>
          <w:noProof/>
        </w:rPr>
        <w:fldChar w:fldCharType="end"/>
      </w:r>
    </w:p>
    <w:p w:rsidR="00B3668D" w:rsidRDefault="00B3668D">
      <w:pPr>
        <w:pStyle w:val="TOC3"/>
        <w:rPr>
          <w:rFonts w:asciiTheme="minorHAnsi" w:eastAsiaTheme="minorEastAsia" w:hAnsiTheme="minorHAnsi" w:cstheme="minorBidi"/>
          <w:noProof/>
          <w:szCs w:val="22"/>
          <w:lang w:eastAsia="en-NZ"/>
        </w:rPr>
      </w:pPr>
      <w:r>
        <w:rPr>
          <w:noProof/>
        </w:rPr>
        <w:t>Figure 92:</w:t>
      </w:r>
      <w:r>
        <w:rPr>
          <w:noProof/>
        </w:rPr>
        <w:tab/>
        <w:t>Children with an untreated hearing problem referred, high deprivation population</w:t>
      </w:r>
      <w:r>
        <w:rPr>
          <w:noProof/>
        </w:rPr>
        <w:tab/>
      </w:r>
      <w:r>
        <w:rPr>
          <w:noProof/>
        </w:rPr>
        <w:fldChar w:fldCharType="begin"/>
      </w:r>
      <w:r>
        <w:rPr>
          <w:noProof/>
        </w:rPr>
        <w:instrText xml:space="preserve"> PAGEREF _Toc440387912 \h </w:instrText>
      </w:r>
      <w:r>
        <w:rPr>
          <w:noProof/>
        </w:rPr>
      </w:r>
      <w:r>
        <w:rPr>
          <w:noProof/>
        </w:rPr>
        <w:fldChar w:fldCharType="separate"/>
      </w:r>
      <w:r w:rsidR="009A345E">
        <w:rPr>
          <w:noProof/>
        </w:rPr>
        <w:t>58</w:t>
      </w:r>
      <w:r>
        <w:rPr>
          <w:noProof/>
        </w:rPr>
        <w:fldChar w:fldCharType="end"/>
      </w:r>
    </w:p>
    <w:p w:rsidR="00B3668D" w:rsidRDefault="00B3668D">
      <w:pPr>
        <w:pStyle w:val="TOC3"/>
        <w:rPr>
          <w:rFonts w:asciiTheme="minorHAnsi" w:eastAsiaTheme="minorEastAsia" w:hAnsiTheme="minorHAnsi" w:cstheme="minorBidi"/>
          <w:noProof/>
          <w:szCs w:val="22"/>
          <w:lang w:eastAsia="en-NZ"/>
        </w:rPr>
      </w:pPr>
      <w:r>
        <w:rPr>
          <w:noProof/>
        </w:rPr>
        <w:t>Figure 93:</w:t>
      </w:r>
      <w:r>
        <w:rPr>
          <w:noProof/>
        </w:rPr>
        <w:tab/>
        <w:t>Children with an untreated hearing problem referred, Māori</w:t>
      </w:r>
      <w:r>
        <w:rPr>
          <w:noProof/>
        </w:rPr>
        <w:tab/>
      </w:r>
      <w:r>
        <w:rPr>
          <w:noProof/>
        </w:rPr>
        <w:fldChar w:fldCharType="begin"/>
      </w:r>
      <w:r>
        <w:rPr>
          <w:noProof/>
        </w:rPr>
        <w:instrText xml:space="preserve"> PAGEREF _Toc440387913 \h </w:instrText>
      </w:r>
      <w:r>
        <w:rPr>
          <w:noProof/>
        </w:rPr>
      </w:r>
      <w:r>
        <w:rPr>
          <w:noProof/>
        </w:rPr>
        <w:fldChar w:fldCharType="separate"/>
      </w:r>
      <w:r w:rsidR="009A345E">
        <w:rPr>
          <w:noProof/>
        </w:rPr>
        <w:t>59</w:t>
      </w:r>
      <w:r>
        <w:rPr>
          <w:noProof/>
        </w:rPr>
        <w:fldChar w:fldCharType="end"/>
      </w:r>
    </w:p>
    <w:p w:rsidR="00B3668D" w:rsidRDefault="00B3668D">
      <w:pPr>
        <w:pStyle w:val="TOC3"/>
        <w:rPr>
          <w:rFonts w:asciiTheme="minorHAnsi" w:eastAsiaTheme="minorEastAsia" w:hAnsiTheme="minorHAnsi" w:cstheme="minorBidi"/>
          <w:noProof/>
          <w:szCs w:val="22"/>
          <w:lang w:eastAsia="en-NZ"/>
        </w:rPr>
      </w:pPr>
      <w:r>
        <w:rPr>
          <w:noProof/>
        </w:rPr>
        <w:t>Figure 94:</w:t>
      </w:r>
      <w:r>
        <w:rPr>
          <w:noProof/>
        </w:rPr>
        <w:tab/>
        <w:t>Children with an untreated hearing problem referred, Pacific peoples</w:t>
      </w:r>
      <w:r>
        <w:rPr>
          <w:noProof/>
        </w:rPr>
        <w:tab/>
      </w:r>
      <w:r>
        <w:rPr>
          <w:noProof/>
        </w:rPr>
        <w:fldChar w:fldCharType="begin"/>
      </w:r>
      <w:r>
        <w:rPr>
          <w:noProof/>
        </w:rPr>
        <w:instrText xml:space="preserve"> PAGEREF _Toc440387914 \h </w:instrText>
      </w:r>
      <w:r>
        <w:rPr>
          <w:noProof/>
        </w:rPr>
      </w:r>
      <w:r>
        <w:rPr>
          <w:noProof/>
        </w:rPr>
        <w:fldChar w:fldCharType="separate"/>
      </w:r>
      <w:r w:rsidR="009A345E">
        <w:rPr>
          <w:noProof/>
        </w:rPr>
        <w:t>59</w:t>
      </w:r>
      <w:r>
        <w:rPr>
          <w:noProof/>
        </w:rPr>
        <w:fldChar w:fldCharType="end"/>
      </w:r>
    </w:p>
    <w:p w:rsidR="00B3668D" w:rsidRDefault="00B3668D">
      <w:pPr>
        <w:pStyle w:val="TOC3"/>
        <w:rPr>
          <w:rFonts w:asciiTheme="minorHAnsi" w:eastAsiaTheme="minorEastAsia" w:hAnsiTheme="minorHAnsi" w:cstheme="minorBidi"/>
          <w:noProof/>
          <w:szCs w:val="22"/>
          <w:lang w:eastAsia="en-NZ"/>
        </w:rPr>
      </w:pPr>
      <w:r>
        <w:rPr>
          <w:noProof/>
        </w:rPr>
        <w:t>Figure 95:</w:t>
      </w:r>
      <w:r>
        <w:rPr>
          <w:noProof/>
        </w:rPr>
        <w:tab/>
        <w:t>Children with body mass index &gt; 99.4th percentile referred, total New Zealand</w:t>
      </w:r>
      <w:r>
        <w:rPr>
          <w:noProof/>
        </w:rPr>
        <w:tab/>
      </w:r>
      <w:r>
        <w:rPr>
          <w:noProof/>
        </w:rPr>
        <w:fldChar w:fldCharType="begin"/>
      </w:r>
      <w:r>
        <w:rPr>
          <w:noProof/>
        </w:rPr>
        <w:instrText xml:space="preserve"> PAGEREF _Toc440387915 \h </w:instrText>
      </w:r>
      <w:r>
        <w:rPr>
          <w:noProof/>
        </w:rPr>
      </w:r>
      <w:r>
        <w:rPr>
          <w:noProof/>
        </w:rPr>
        <w:fldChar w:fldCharType="separate"/>
      </w:r>
      <w:r w:rsidR="009A345E">
        <w:rPr>
          <w:noProof/>
        </w:rPr>
        <w:t>60</w:t>
      </w:r>
      <w:r>
        <w:rPr>
          <w:noProof/>
        </w:rPr>
        <w:fldChar w:fldCharType="end"/>
      </w:r>
    </w:p>
    <w:p w:rsidR="00B3668D" w:rsidRDefault="00B3668D">
      <w:pPr>
        <w:pStyle w:val="TOC3"/>
        <w:rPr>
          <w:rFonts w:asciiTheme="minorHAnsi" w:eastAsiaTheme="minorEastAsia" w:hAnsiTheme="minorHAnsi" w:cstheme="minorBidi"/>
          <w:noProof/>
          <w:szCs w:val="22"/>
          <w:lang w:eastAsia="en-NZ"/>
        </w:rPr>
      </w:pPr>
      <w:r>
        <w:rPr>
          <w:noProof/>
        </w:rPr>
        <w:t>Figure 96:</w:t>
      </w:r>
      <w:r>
        <w:rPr>
          <w:noProof/>
        </w:rPr>
        <w:tab/>
        <w:t>Children with body mass index &gt; 99.4th percentile referred, high deprivation population</w:t>
      </w:r>
      <w:r>
        <w:rPr>
          <w:noProof/>
        </w:rPr>
        <w:tab/>
      </w:r>
      <w:r>
        <w:rPr>
          <w:noProof/>
        </w:rPr>
        <w:fldChar w:fldCharType="begin"/>
      </w:r>
      <w:r>
        <w:rPr>
          <w:noProof/>
        </w:rPr>
        <w:instrText xml:space="preserve"> PAGEREF _Toc440387916 \h </w:instrText>
      </w:r>
      <w:r>
        <w:rPr>
          <w:noProof/>
        </w:rPr>
      </w:r>
      <w:r>
        <w:rPr>
          <w:noProof/>
        </w:rPr>
        <w:fldChar w:fldCharType="separate"/>
      </w:r>
      <w:r w:rsidR="009A345E">
        <w:rPr>
          <w:noProof/>
        </w:rPr>
        <w:t>60</w:t>
      </w:r>
      <w:r>
        <w:rPr>
          <w:noProof/>
        </w:rPr>
        <w:fldChar w:fldCharType="end"/>
      </w:r>
    </w:p>
    <w:p w:rsidR="00B3668D" w:rsidRDefault="00B3668D">
      <w:pPr>
        <w:pStyle w:val="TOC3"/>
        <w:rPr>
          <w:rFonts w:asciiTheme="minorHAnsi" w:eastAsiaTheme="minorEastAsia" w:hAnsiTheme="minorHAnsi" w:cstheme="minorBidi"/>
          <w:noProof/>
          <w:szCs w:val="22"/>
          <w:lang w:eastAsia="en-NZ"/>
        </w:rPr>
      </w:pPr>
      <w:r>
        <w:rPr>
          <w:noProof/>
        </w:rPr>
        <w:t>Figure 97:</w:t>
      </w:r>
      <w:r>
        <w:rPr>
          <w:noProof/>
        </w:rPr>
        <w:tab/>
        <w:t>Children with body mass index &gt; 99.4th percentile referred, Māori</w:t>
      </w:r>
      <w:r>
        <w:rPr>
          <w:noProof/>
        </w:rPr>
        <w:tab/>
      </w:r>
      <w:r>
        <w:rPr>
          <w:noProof/>
        </w:rPr>
        <w:fldChar w:fldCharType="begin"/>
      </w:r>
      <w:r>
        <w:rPr>
          <w:noProof/>
        </w:rPr>
        <w:instrText xml:space="preserve"> PAGEREF _Toc440387917 \h </w:instrText>
      </w:r>
      <w:r>
        <w:rPr>
          <w:noProof/>
        </w:rPr>
      </w:r>
      <w:r>
        <w:rPr>
          <w:noProof/>
        </w:rPr>
        <w:fldChar w:fldCharType="separate"/>
      </w:r>
      <w:r w:rsidR="009A345E">
        <w:rPr>
          <w:noProof/>
        </w:rPr>
        <w:t>61</w:t>
      </w:r>
      <w:r>
        <w:rPr>
          <w:noProof/>
        </w:rPr>
        <w:fldChar w:fldCharType="end"/>
      </w:r>
    </w:p>
    <w:p w:rsidR="00B3668D" w:rsidRDefault="00B3668D">
      <w:pPr>
        <w:pStyle w:val="TOC3"/>
        <w:rPr>
          <w:rFonts w:asciiTheme="minorHAnsi" w:eastAsiaTheme="minorEastAsia" w:hAnsiTheme="minorHAnsi" w:cstheme="minorBidi"/>
          <w:noProof/>
          <w:szCs w:val="22"/>
          <w:lang w:eastAsia="en-NZ"/>
        </w:rPr>
      </w:pPr>
      <w:r>
        <w:rPr>
          <w:noProof/>
        </w:rPr>
        <w:t>Figure 98:</w:t>
      </w:r>
      <w:r>
        <w:rPr>
          <w:noProof/>
        </w:rPr>
        <w:tab/>
        <w:t>Children with body mass index &gt; 99.4th percentile referred, Pacific peoples</w:t>
      </w:r>
      <w:r>
        <w:rPr>
          <w:noProof/>
        </w:rPr>
        <w:tab/>
      </w:r>
      <w:r>
        <w:rPr>
          <w:noProof/>
        </w:rPr>
        <w:fldChar w:fldCharType="begin"/>
      </w:r>
      <w:r>
        <w:rPr>
          <w:noProof/>
        </w:rPr>
        <w:instrText xml:space="preserve"> PAGEREF _Toc440387918 \h </w:instrText>
      </w:r>
      <w:r>
        <w:rPr>
          <w:noProof/>
        </w:rPr>
      </w:r>
      <w:r>
        <w:rPr>
          <w:noProof/>
        </w:rPr>
        <w:fldChar w:fldCharType="separate"/>
      </w:r>
      <w:r w:rsidR="009A345E">
        <w:rPr>
          <w:noProof/>
        </w:rPr>
        <w:t>61</w:t>
      </w:r>
      <w:r>
        <w:rPr>
          <w:noProof/>
        </w:rPr>
        <w:fldChar w:fldCharType="end"/>
      </w:r>
    </w:p>
    <w:p w:rsidR="00B3668D" w:rsidRPr="0087231D" w:rsidRDefault="003A5FEA" w:rsidP="0087231D">
      <w:pPr>
        <w:rPr>
          <w:szCs w:val="22"/>
        </w:rPr>
      </w:pPr>
      <w:r>
        <w:fldChar w:fldCharType="end"/>
      </w:r>
    </w:p>
    <w:p w:rsidR="00C86248" w:rsidRDefault="00C86248">
      <w:pPr>
        <w:sectPr w:rsidR="00C86248" w:rsidSect="009D5125">
          <w:headerReference w:type="even" r:id="rId17"/>
          <w:headerReference w:type="default" r:id="rId18"/>
          <w:footerReference w:type="even" r:id="rId19"/>
          <w:footerReference w:type="default" r:id="rId20"/>
          <w:pgSz w:w="11907" w:h="16840" w:code="9"/>
          <w:pgMar w:top="851" w:right="1134" w:bottom="1134" w:left="1134" w:header="284" w:footer="567" w:gutter="284"/>
          <w:pgNumType w:fmt="lowerRoman"/>
          <w:cols w:space="720"/>
        </w:sectPr>
      </w:pPr>
    </w:p>
    <w:p w:rsidR="008C2973" w:rsidRDefault="0086388B" w:rsidP="0086388B">
      <w:pPr>
        <w:pStyle w:val="Heading1"/>
      </w:pPr>
      <w:bookmarkStart w:id="7" w:name="_Toc440387781"/>
      <w:r>
        <w:lastRenderedPageBreak/>
        <w:t>Introduction</w:t>
      </w:r>
      <w:bookmarkEnd w:id="7"/>
    </w:p>
    <w:p w:rsidR="00C30B65" w:rsidRPr="00DC4C78" w:rsidRDefault="00C30B65" w:rsidP="00C30B65">
      <w:pPr>
        <w:pStyle w:val="Heading2"/>
      </w:pPr>
      <w:bookmarkStart w:id="8" w:name="_Toc405453758"/>
      <w:bookmarkStart w:id="9" w:name="_Toc418322768"/>
      <w:bookmarkStart w:id="10" w:name="_Toc419099436"/>
      <w:bookmarkStart w:id="11" w:name="_Toc440387782"/>
      <w:r w:rsidRPr="00DC4C78">
        <w:t>Background</w:t>
      </w:r>
      <w:bookmarkEnd w:id="8"/>
      <w:bookmarkEnd w:id="9"/>
      <w:bookmarkEnd w:id="10"/>
      <w:bookmarkEnd w:id="11"/>
    </w:p>
    <w:p w:rsidR="00C30B65" w:rsidRPr="00DC4C78" w:rsidRDefault="00C30B65" w:rsidP="00C30B65">
      <w:r w:rsidRPr="00DC4C78">
        <w:t xml:space="preserve">Well Child / </w:t>
      </w:r>
      <w:proofErr w:type="spellStart"/>
      <w:r w:rsidRPr="00DC4C78">
        <w:t>Tamariki</w:t>
      </w:r>
      <w:proofErr w:type="spellEnd"/>
      <w:r w:rsidRPr="00DC4C78">
        <w:t xml:space="preserve"> </w:t>
      </w:r>
      <w:proofErr w:type="spellStart"/>
      <w:r w:rsidRPr="00DC4C78">
        <w:t>Ora</w:t>
      </w:r>
      <w:proofErr w:type="spellEnd"/>
      <w:r w:rsidRPr="00DC4C78">
        <w:t xml:space="preserve"> (WCTO) </w:t>
      </w:r>
      <w:proofErr w:type="gramStart"/>
      <w:r w:rsidRPr="00DC4C78">
        <w:t>is</w:t>
      </w:r>
      <w:proofErr w:type="gramEnd"/>
      <w:r w:rsidRPr="00DC4C78">
        <w:t xml:space="preserve"> a free health service offered to all New Zealand children from birth to five years. Its aim is to support families and </w:t>
      </w:r>
      <w:proofErr w:type="spellStart"/>
      <w:r w:rsidRPr="00DC4C78">
        <w:t>whānau</w:t>
      </w:r>
      <w:proofErr w:type="spellEnd"/>
      <w:r w:rsidRPr="00DC4C78">
        <w:t xml:space="preserve"> to maximise their child</w:t>
      </w:r>
      <w:r w:rsidR="00700141">
        <w:t>’</w:t>
      </w:r>
      <w:r w:rsidRPr="00DC4C78">
        <w:t>s developmental potential and health status, thereby establishing a strong foundation for ongoing healthy development.</w:t>
      </w:r>
    </w:p>
    <w:p w:rsidR="00C30B65" w:rsidRPr="00DC4C78" w:rsidRDefault="00C30B65" w:rsidP="00C30B65"/>
    <w:p w:rsidR="00C30B65" w:rsidRPr="00DC4C78" w:rsidRDefault="00C30B65" w:rsidP="00C30B65">
      <w:r w:rsidRPr="00DC4C78">
        <w:t>The 2007/08 review and the 2012 quality reviews of the WCTO programme identified variable clinical practice, service quality and health outcomes. They all recommended that an evidence-based quality framework be developed to ensure the programme consistently achieves its aims.</w:t>
      </w:r>
    </w:p>
    <w:p w:rsidR="00C30B65" w:rsidRPr="00DC4C78" w:rsidRDefault="00C30B65" w:rsidP="00C30B65"/>
    <w:p w:rsidR="00C30B65" w:rsidRPr="00DC4C78" w:rsidRDefault="00C30B65" w:rsidP="00C30B65">
      <w:r w:rsidRPr="00DC4C78">
        <w:t xml:space="preserve">In response, the Ministry of Health, in partnership with sector expert advisors, developed the WCTO Quality Improvement Framework, drawing on New Zealand and international research. The Framework has three high-level aims, which focus on the WCTO experience of families and </w:t>
      </w:r>
      <w:proofErr w:type="spellStart"/>
      <w:r w:rsidRPr="00DC4C78">
        <w:t>whānau</w:t>
      </w:r>
      <w:proofErr w:type="spellEnd"/>
      <w:r w:rsidRPr="00DC4C78">
        <w:t>, population health, and best value for the health system</w:t>
      </w:r>
      <w:r w:rsidR="00700141">
        <w:t>’</w:t>
      </w:r>
      <w:r w:rsidRPr="00DC4C78">
        <w:t>s resources. The Framework also sets quality indicators to monitor health system performance.</w:t>
      </w:r>
    </w:p>
    <w:p w:rsidR="00C30B65" w:rsidRPr="00DC4C78" w:rsidRDefault="00C30B65" w:rsidP="00C30B65"/>
    <w:p w:rsidR="00C30B65" w:rsidRPr="00DC4C78" w:rsidRDefault="00C30B65" w:rsidP="00C30B65">
      <w:r w:rsidRPr="00DC4C78">
        <w:t xml:space="preserve">The Framework and quality indicators provide a mechanism to drive improvement in the delivery of WCTO services. Ultimately, they aim to support the WCTO programme to ensure all children and their families and </w:t>
      </w:r>
      <w:proofErr w:type="spellStart"/>
      <w:r w:rsidRPr="00DC4C78">
        <w:t>whānau</w:t>
      </w:r>
      <w:proofErr w:type="spellEnd"/>
      <w:r w:rsidRPr="00DC4C78">
        <w:t xml:space="preserve"> achieve their health and wellbeing potential.</w:t>
      </w:r>
    </w:p>
    <w:p w:rsidR="00C30B65" w:rsidRPr="00DC4C78" w:rsidRDefault="00C30B65" w:rsidP="00C30B65"/>
    <w:p w:rsidR="00C30B65" w:rsidRPr="00DC4C78" w:rsidRDefault="00C30B65" w:rsidP="00C30B65">
      <w:r w:rsidRPr="00DC4C78">
        <w:t>The data used in this report for Indicator 3 on WCTO core contacts, and the breastfeeding indicators (11</w:t>
      </w:r>
      <w:r>
        <w:t>–</w:t>
      </w:r>
      <w:r w:rsidRPr="00DC4C78">
        <w:t xml:space="preserve">14) now includes data from the whole WCTO sector. Previous reports used Plunket data only. This </w:t>
      </w:r>
      <w:r>
        <w:t xml:space="preserve">represents </w:t>
      </w:r>
      <w:r w:rsidRPr="00DC4C78">
        <w:t>a seminal step</w:t>
      </w:r>
      <w:r>
        <w:t xml:space="preserve"> for the sector and the report.</w:t>
      </w:r>
    </w:p>
    <w:p w:rsidR="00C30B65" w:rsidRPr="00DC4C78" w:rsidRDefault="00C30B65" w:rsidP="00C30B65"/>
    <w:p w:rsidR="00C30B65" w:rsidRPr="00DC4C78" w:rsidRDefault="00C30B65" w:rsidP="00C30B65">
      <w:pPr>
        <w:pStyle w:val="Heading2"/>
      </w:pPr>
      <w:bookmarkStart w:id="12" w:name="_Toc365618436"/>
      <w:bookmarkStart w:id="13" w:name="_Toc405453759"/>
      <w:bookmarkStart w:id="14" w:name="_Toc418322769"/>
      <w:bookmarkStart w:id="15" w:name="_Toc419099437"/>
      <w:bookmarkStart w:id="16" w:name="_Toc440387783"/>
      <w:r w:rsidRPr="00DC4C78">
        <w:t>Development of the quality indicators</w:t>
      </w:r>
      <w:bookmarkEnd w:id="12"/>
      <w:bookmarkEnd w:id="13"/>
      <w:bookmarkEnd w:id="14"/>
      <w:bookmarkEnd w:id="15"/>
      <w:bookmarkEnd w:id="16"/>
    </w:p>
    <w:p w:rsidR="00C30B65" w:rsidRPr="00DC4C78" w:rsidRDefault="00C30B65" w:rsidP="00C30B65">
      <w:pPr>
        <w:rPr>
          <w:lang w:eastAsia="en-NZ"/>
        </w:rPr>
      </w:pPr>
      <w:r w:rsidRPr="00DC4C78">
        <w:rPr>
          <w:lang w:eastAsia="en-NZ"/>
        </w:rPr>
        <w:t xml:space="preserve">The aim of the quality indicators is to monitor and promote quality improvement across WCTO providers without creating an additional reporting burden. </w:t>
      </w:r>
      <w:r>
        <w:rPr>
          <w:lang w:eastAsia="en-NZ"/>
        </w:rPr>
        <w:t xml:space="preserve">They comprise </w:t>
      </w:r>
      <w:r w:rsidRPr="00DC4C78">
        <w:rPr>
          <w:lang w:eastAsia="en-NZ"/>
        </w:rPr>
        <w:t>a subset of potential measures drawn from existing data collections and reporting mechanisms.</w:t>
      </w:r>
    </w:p>
    <w:p w:rsidR="00C30B65" w:rsidRPr="00DC4C78" w:rsidRDefault="00C30B65" w:rsidP="00C30B65">
      <w:pPr>
        <w:rPr>
          <w:lang w:eastAsia="en-NZ"/>
        </w:rPr>
      </w:pPr>
    </w:p>
    <w:p w:rsidR="00C30B65" w:rsidRPr="00DC4C78" w:rsidRDefault="00C30B65" w:rsidP="00C30B65">
      <w:pPr>
        <w:rPr>
          <w:lang w:eastAsia="en-NZ"/>
        </w:rPr>
      </w:pPr>
      <w:r w:rsidRPr="00DC4C78">
        <w:rPr>
          <w:lang w:eastAsia="en-NZ"/>
        </w:rPr>
        <w:t>The quality indicators are broadly grouped under the categories of:</w:t>
      </w:r>
    </w:p>
    <w:p w:rsidR="00C30B65" w:rsidRPr="00DC4C78" w:rsidRDefault="00C30B65" w:rsidP="00C30B65">
      <w:pPr>
        <w:pStyle w:val="Bullet"/>
        <w:rPr>
          <w:lang w:eastAsia="en-NZ"/>
        </w:rPr>
      </w:pPr>
      <w:r w:rsidRPr="00DC4C78">
        <w:rPr>
          <w:lang w:eastAsia="en-NZ"/>
        </w:rPr>
        <w:t>universal access (access)</w:t>
      </w:r>
    </w:p>
    <w:p w:rsidR="00C30B65" w:rsidRPr="00DC4C78" w:rsidRDefault="00C30B65" w:rsidP="00C30B65">
      <w:pPr>
        <w:pStyle w:val="Bullet"/>
        <w:rPr>
          <w:lang w:eastAsia="en-NZ"/>
        </w:rPr>
      </w:pPr>
      <w:r w:rsidRPr="00DC4C78">
        <w:rPr>
          <w:lang w:eastAsia="en-NZ"/>
        </w:rPr>
        <w:t>equitable outcomes (outcomes)</w:t>
      </w:r>
    </w:p>
    <w:p w:rsidR="00C30B65" w:rsidRPr="00DC4C78" w:rsidRDefault="00C30B65" w:rsidP="00C30B65">
      <w:pPr>
        <w:pStyle w:val="Bullet"/>
        <w:rPr>
          <w:lang w:eastAsia="en-NZ"/>
        </w:rPr>
      </w:pPr>
      <w:proofErr w:type="gramStart"/>
      <w:r w:rsidRPr="00DC4C78">
        <w:rPr>
          <w:lang w:eastAsia="en-NZ"/>
        </w:rPr>
        <w:t>continuous</w:t>
      </w:r>
      <w:proofErr w:type="gramEnd"/>
      <w:r w:rsidRPr="00DC4C78">
        <w:rPr>
          <w:lang w:eastAsia="en-NZ"/>
        </w:rPr>
        <w:t xml:space="preserve"> quality improvement (quality).</w:t>
      </w:r>
    </w:p>
    <w:p w:rsidR="00C30B65" w:rsidRPr="00DC4C78" w:rsidRDefault="00C30B65" w:rsidP="00C30B65">
      <w:pPr>
        <w:rPr>
          <w:lang w:eastAsia="en-NZ"/>
        </w:rPr>
      </w:pPr>
    </w:p>
    <w:p w:rsidR="00C30B65" w:rsidRPr="00DC4C78" w:rsidRDefault="00C30B65" w:rsidP="00C30B65">
      <w:pPr>
        <w:rPr>
          <w:lang w:eastAsia="en-NZ"/>
        </w:rPr>
      </w:pPr>
      <w:r>
        <w:rPr>
          <w:lang w:eastAsia="en-NZ"/>
        </w:rPr>
        <w:t>The Ministry of Health reports on a</w:t>
      </w:r>
      <w:r w:rsidRPr="00DC4C78">
        <w:rPr>
          <w:lang w:eastAsia="en-NZ"/>
        </w:rPr>
        <w:t xml:space="preserve">ll quality indicators by region, ethnicity and deprivation quintile, where possible, and the results </w:t>
      </w:r>
      <w:r>
        <w:rPr>
          <w:lang w:eastAsia="en-NZ"/>
        </w:rPr>
        <w:t xml:space="preserve">are published </w:t>
      </w:r>
      <w:r w:rsidRPr="00DC4C78">
        <w:rPr>
          <w:lang w:eastAsia="en-NZ"/>
        </w:rPr>
        <w:t>six-monthly. This is the fifth report.</w:t>
      </w:r>
    </w:p>
    <w:p w:rsidR="00C30B65" w:rsidRPr="00DC4C78" w:rsidRDefault="00C30B65" w:rsidP="00C30B65">
      <w:pPr>
        <w:rPr>
          <w:lang w:eastAsia="en-NZ"/>
        </w:rPr>
      </w:pPr>
    </w:p>
    <w:p w:rsidR="00C30B65" w:rsidRPr="00DC4C78" w:rsidRDefault="00C30B65" w:rsidP="00C30B65">
      <w:pPr>
        <w:rPr>
          <w:lang w:eastAsia="en-NZ"/>
        </w:rPr>
      </w:pPr>
      <w:r w:rsidRPr="00DC4C78">
        <w:rPr>
          <w:lang w:eastAsia="en-NZ"/>
        </w:rPr>
        <w:t>As information collection improves and the WCTO programme evolves, indicators may be added or changed. The Ministry of Health will review the quality indicators at least every three years.</w:t>
      </w:r>
    </w:p>
    <w:p w:rsidR="00C30B65" w:rsidRPr="00DC4C78" w:rsidRDefault="00C30B65" w:rsidP="00C30B65">
      <w:pPr>
        <w:rPr>
          <w:lang w:eastAsia="en-NZ"/>
        </w:rPr>
      </w:pPr>
    </w:p>
    <w:p w:rsidR="00C30B65" w:rsidRPr="00DC4C78" w:rsidRDefault="00C30B65" w:rsidP="00C30B65">
      <w:pPr>
        <w:pStyle w:val="Heading2"/>
      </w:pPr>
      <w:bookmarkStart w:id="17" w:name="_Toc365618437"/>
      <w:bookmarkStart w:id="18" w:name="_Toc405453760"/>
      <w:bookmarkStart w:id="19" w:name="_Toc418322770"/>
      <w:bookmarkStart w:id="20" w:name="_Toc419099438"/>
      <w:bookmarkStart w:id="21" w:name="_Toc440387784"/>
      <w:r w:rsidRPr="00DC4C78">
        <w:lastRenderedPageBreak/>
        <w:t>Quality indicator targets</w:t>
      </w:r>
      <w:bookmarkEnd w:id="17"/>
      <w:bookmarkEnd w:id="18"/>
      <w:bookmarkEnd w:id="19"/>
      <w:bookmarkEnd w:id="20"/>
      <w:bookmarkEnd w:id="21"/>
    </w:p>
    <w:p w:rsidR="00C30B65" w:rsidRPr="00DC4C78" w:rsidRDefault="00C30B65" w:rsidP="00C30B65">
      <w:pPr>
        <w:keepNext/>
      </w:pPr>
      <w:r w:rsidRPr="00DC4C78">
        <w:t xml:space="preserve">Targets for the quality indicators reflect national targets set by other monitoring frameworks and processes, including health targets, district health board (DHB) non-financial performance monitoring and </w:t>
      </w:r>
      <w:r>
        <w:t>the Government</w:t>
      </w:r>
      <w:r w:rsidR="00700141">
        <w:t>’</w:t>
      </w:r>
      <w:r>
        <w:t xml:space="preserve">s </w:t>
      </w:r>
      <w:r w:rsidR="00700141">
        <w:t>‘</w:t>
      </w:r>
      <w:r w:rsidRPr="00DC4C78">
        <w:t>Better Public Service</w:t>
      </w:r>
      <w:r w:rsidR="00700141">
        <w:t>’</w:t>
      </w:r>
      <w:r w:rsidRPr="00DC4C78">
        <w:t xml:space="preserve"> key result areas.</w:t>
      </w:r>
    </w:p>
    <w:p w:rsidR="00C30B65" w:rsidRPr="00DC4C78" w:rsidRDefault="00C30B65" w:rsidP="00C30B65">
      <w:pPr>
        <w:keepNext/>
      </w:pPr>
    </w:p>
    <w:p w:rsidR="00C30B65" w:rsidRPr="00DC4C78" w:rsidRDefault="00C30B65" w:rsidP="00C30B65">
      <w:r w:rsidRPr="00DC4C78">
        <w:t xml:space="preserve">Where there is no existing target, the </w:t>
      </w:r>
      <w:r>
        <w:t xml:space="preserve">EAG </w:t>
      </w:r>
      <w:r w:rsidRPr="00DC4C78">
        <w:t xml:space="preserve">has agreed on new three-year targets to best reflect the objectives of the Framework. </w:t>
      </w:r>
      <w:r>
        <w:t>It has staged n</w:t>
      </w:r>
      <w:r w:rsidRPr="00DC4C78">
        <w:t xml:space="preserve">ew targets in recognition that </w:t>
      </w:r>
      <w:r>
        <w:t xml:space="preserve">the sector will achieve </w:t>
      </w:r>
      <w:r w:rsidRPr="00DC4C78">
        <w:t xml:space="preserve">improvements over time. Interim targets to be achieved by December 2014 </w:t>
      </w:r>
      <w:r>
        <w:t>were</w:t>
      </w:r>
      <w:r w:rsidRPr="00DC4C78">
        <w:t xml:space="preserve"> </w:t>
      </w:r>
      <w:r>
        <w:t xml:space="preserve">largely </w:t>
      </w:r>
      <w:r w:rsidRPr="00DC4C78">
        <w:t>set at 90 percent of the three-year targets.</w:t>
      </w:r>
    </w:p>
    <w:p w:rsidR="00C30B65" w:rsidRPr="00DC4C78" w:rsidRDefault="00C30B65" w:rsidP="00C30B65"/>
    <w:p w:rsidR="00C30B65" w:rsidRPr="00DC4C78" w:rsidRDefault="00C30B65" w:rsidP="00C30B65">
      <w:pPr>
        <w:rPr>
          <w:lang w:eastAsia="en-NZ"/>
        </w:rPr>
      </w:pPr>
      <w:r w:rsidRPr="00DC4C78">
        <w:t>To promote equity, the target for each quality indicator is the same across all ethnic groups, deprivation quintiles and DHB regions.</w:t>
      </w:r>
    </w:p>
    <w:p w:rsidR="00C30B65" w:rsidRPr="00DC4C78" w:rsidRDefault="00C30B65" w:rsidP="00C30B65"/>
    <w:p w:rsidR="00C30B65" w:rsidRPr="00DC4C78" w:rsidRDefault="00C30B65" w:rsidP="00C30B65">
      <w:pPr>
        <w:pStyle w:val="Heading2"/>
      </w:pPr>
      <w:bookmarkStart w:id="22" w:name="_Toc365618438"/>
      <w:bookmarkStart w:id="23" w:name="_Toc405453761"/>
      <w:bookmarkStart w:id="24" w:name="_Toc418322771"/>
      <w:bookmarkStart w:id="25" w:name="_Toc419099439"/>
      <w:bookmarkStart w:id="26" w:name="_Toc440387785"/>
      <w:r w:rsidRPr="00DC4C78">
        <w:t>How to use this document</w:t>
      </w:r>
      <w:bookmarkEnd w:id="22"/>
      <w:bookmarkEnd w:id="23"/>
      <w:bookmarkEnd w:id="24"/>
      <w:bookmarkEnd w:id="25"/>
      <w:bookmarkEnd w:id="26"/>
    </w:p>
    <w:p w:rsidR="00C30B65" w:rsidRPr="00DC4C78" w:rsidRDefault="00C30B65" w:rsidP="00C30B65">
      <w:pPr>
        <w:rPr>
          <w:lang w:eastAsia="en-NZ"/>
        </w:rPr>
      </w:pPr>
      <w:r w:rsidRPr="00DC4C78">
        <w:rPr>
          <w:lang w:eastAsia="en-NZ"/>
        </w:rPr>
        <w:t>Regular monitoring is an essential part of quality improvement. The quality indicators presented here enable WCTO providers, DHBs and other stakeholders to review local performance, identify quality improvement priorities, and monitor progress in improving the uptake, timeliness and quality of WCTO and related child health services over time.</w:t>
      </w:r>
      <w:r>
        <w:rPr>
          <w:lang w:eastAsia="en-NZ"/>
        </w:rPr>
        <w:t xml:space="preserve"> To assist, i</w:t>
      </w:r>
      <w:r>
        <w:t>nformation from the previous report (March 2015) is presented for each indicator for comparative purposes.</w:t>
      </w:r>
    </w:p>
    <w:p w:rsidR="00C30B65" w:rsidRPr="00DC4C78" w:rsidRDefault="00C30B65" w:rsidP="00C30B65">
      <w:pPr>
        <w:rPr>
          <w:lang w:eastAsia="en-NZ"/>
        </w:rPr>
      </w:pPr>
    </w:p>
    <w:p w:rsidR="00C30B65" w:rsidRPr="00DC4C78" w:rsidRDefault="00C30B65" w:rsidP="00C30B65">
      <w:pPr>
        <w:rPr>
          <w:lang w:eastAsia="en-NZ"/>
        </w:rPr>
      </w:pPr>
      <w:r w:rsidRPr="00DC4C78">
        <w:rPr>
          <w:lang w:eastAsia="en-NZ"/>
        </w:rPr>
        <w:t>The quality indicators do not stand alone. They are part of a whole-system approach to quality improvement that includes:</w:t>
      </w:r>
    </w:p>
    <w:p w:rsidR="00C30B65" w:rsidRPr="00DC4C78" w:rsidRDefault="00C30B65" w:rsidP="00C30B65">
      <w:pPr>
        <w:pStyle w:val="Bullet"/>
        <w:rPr>
          <w:lang w:eastAsia="en-NZ"/>
        </w:rPr>
      </w:pPr>
      <w:r w:rsidRPr="00DC4C78">
        <w:rPr>
          <w:lang w:eastAsia="en-NZ"/>
        </w:rPr>
        <w:t>standards (the WCTO Quality Improvement Framework)</w:t>
      </w:r>
    </w:p>
    <w:p w:rsidR="00C30B65" w:rsidRPr="00DC4C78" w:rsidRDefault="00C30B65" w:rsidP="00C30B65">
      <w:pPr>
        <w:pStyle w:val="Bullet"/>
        <w:rPr>
          <w:lang w:eastAsia="en-NZ"/>
        </w:rPr>
      </w:pPr>
      <w:r w:rsidRPr="00DC4C78">
        <w:rPr>
          <w:lang w:eastAsia="en-NZ"/>
        </w:rPr>
        <w:t>monitoring (quality indicator reports)</w:t>
      </w:r>
    </w:p>
    <w:p w:rsidR="00C30B65" w:rsidRPr="00DC4C78" w:rsidRDefault="00C30B65" w:rsidP="00C30B65">
      <w:pPr>
        <w:pStyle w:val="Bullet"/>
        <w:rPr>
          <w:lang w:eastAsia="en-NZ"/>
        </w:rPr>
      </w:pPr>
      <w:r w:rsidRPr="00DC4C78">
        <w:rPr>
          <w:lang w:eastAsia="en-NZ"/>
        </w:rPr>
        <w:t xml:space="preserve">support for collaboration and planning quality improvement priorities (local WCTO quality improvement programmes </w:t>
      </w:r>
      <w:r>
        <w:rPr>
          <w:lang w:eastAsia="en-NZ"/>
        </w:rPr>
        <w:t xml:space="preserve">led by DHBs </w:t>
      </w:r>
      <w:r w:rsidRPr="00DC4C78">
        <w:rPr>
          <w:lang w:eastAsia="en-NZ"/>
        </w:rPr>
        <w:t xml:space="preserve">and regional </w:t>
      </w:r>
      <w:r>
        <w:rPr>
          <w:lang w:eastAsia="en-NZ"/>
        </w:rPr>
        <w:t xml:space="preserve">programmes led by </w:t>
      </w:r>
      <w:r w:rsidRPr="00DC4C78">
        <w:rPr>
          <w:lang w:eastAsia="en-NZ"/>
        </w:rPr>
        <w:t xml:space="preserve">WCTO Quality Improvement Project </w:t>
      </w:r>
      <w:r>
        <w:rPr>
          <w:lang w:eastAsia="en-NZ"/>
        </w:rPr>
        <w:t>M</w:t>
      </w:r>
      <w:r w:rsidRPr="00DC4C78">
        <w:rPr>
          <w:lang w:eastAsia="en-NZ"/>
        </w:rPr>
        <w:t>anagers)</w:t>
      </w:r>
    </w:p>
    <w:p w:rsidR="00C30B65" w:rsidRDefault="00C30B65" w:rsidP="00C30B65">
      <w:pPr>
        <w:pStyle w:val="Bullet"/>
        <w:rPr>
          <w:lang w:eastAsia="en-NZ"/>
        </w:rPr>
      </w:pPr>
      <w:proofErr w:type="gramStart"/>
      <w:r w:rsidRPr="00DC4C78">
        <w:rPr>
          <w:lang w:eastAsia="en-NZ"/>
        </w:rPr>
        <w:t>support</w:t>
      </w:r>
      <w:proofErr w:type="gramEnd"/>
      <w:r w:rsidRPr="00DC4C78">
        <w:rPr>
          <w:lang w:eastAsia="en-NZ"/>
        </w:rPr>
        <w:t xml:space="preserve"> for learning and sharing best practice (via the Child and Youth Compass and other tools and resources, including regional WCTO Quality Improvement Project </w:t>
      </w:r>
      <w:r>
        <w:rPr>
          <w:lang w:eastAsia="en-NZ"/>
        </w:rPr>
        <w:t>M</w:t>
      </w:r>
      <w:r w:rsidRPr="00DC4C78">
        <w:rPr>
          <w:lang w:eastAsia="en-NZ"/>
        </w:rPr>
        <w:t>anagers).</w:t>
      </w:r>
    </w:p>
    <w:p w:rsidR="00C30B65" w:rsidRPr="00DC4C78" w:rsidRDefault="00C30B65" w:rsidP="00C30B65">
      <w:pPr>
        <w:rPr>
          <w:lang w:eastAsia="en-NZ"/>
        </w:rPr>
      </w:pPr>
    </w:p>
    <w:p w:rsidR="00C30B65" w:rsidRPr="00DC4C78" w:rsidRDefault="00C30B65" w:rsidP="00C30B65">
      <w:pPr>
        <w:pStyle w:val="Heading1"/>
      </w:pPr>
      <w:bookmarkStart w:id="27" w:name="_Toc365618439"/>
      <w:r w:rsidRPr="00DC4C78">
        <w:br w:type="page"/>
      </w:r>
      <w:bookmarkStart w:id="28" w:name="_Toc384620262"/>
      <w:bookmarkStart w:id="29" w:name="_Toc418322772"/>
      <w:bookmarkStart w:id="30" w:name="_Toc419099440"/>
      <w:bookmarkStart w:id="31" w:name="_Toc440387786"/>
      <w:r w:rsidRPr="00DC4C78">
        <w:lastRenderedPageBreak/>
        <w:t>Indicators 1–10: Access</w:t>
      </w:r>
      <w:bookmarkEnd w:id="27"/>
      <w:bookmarkEnd w:id="28"/>
      <w:bookmarkEnd w:id="29"/>
      <w:bookmarkEnd w:id="30"/>
      <w:bookmarkEnd w:id="31"/>
    </w:p>
    <w:p w:rsidR="00C30B65" w:rsidRPr="00DC4C78" w:rsidRDefault="00C30B65" w:rsidP="00C30B65">
      <w:pPr>
        <w:rPr>
          <w:lang w:eastAsia="en-NZ"/>
        </w:rPr>
      </w:pPr>
      <w:r w:rsidRPr="00DC4C78">
        <w:rPr>
          <w:lang w:eastAsia="en-NZ"/>
        </w:rPr>
        <w:t>Aim 1 of the WCTO Quality Improvement Framework is</w:t>
      </w:r>
      <w:r w:rsidRPr="00DC4C78">
        <w:t xml:space="preserve"> </w:t>
      </w:r>
      <w:r>
        <w:t xml:space="preserve">the </w:t>
      </w:r>
      <w:r w:rsidRPr="00DC4C78">
        <w:rPr>
          <w:b/>
          <w:lang w:eastAsia="en-NZ"/>
        </w:rPr>
        <w:t xml:space="preserve">improved safety and quality of WCTO experience for the child and their family and </w:t>
      </w:r>
      <w:proofErr w:type="spellStart"/>
      <w:r w:rsidRPr="00DC4C78">
        <w:rPr>
          <w:b/>
        </w:rPr>
        <w:t>whānau</w:t>
      </w:r>
      <w:proofErr w:type="spellEnd"/>
      <w:r w:rsidRPr="00DC4C78">
        <w:rPr>
          <w:lang w:eastAsia="en-NZ"/>
        </w:rPr>
        <w:t xml:space="preserve">. </w:t>
      </w:r>
      <w:r>
        <w:rPr>
          <w:lang w:eastAsia="en-NZ"/>
        </w:rPr>
        <w:t>We can measure t</w:t>
      </w:r>
      <w:r w:rsidRPr="00DC4C78">
        <w:rPr>
          <w:lang w:eastAsia="en-NZ"/>
        </w:rPr>
        <w:t>his, to some degree, by families</w:t>
      </w:r>
      <w:r w:rsidR="00700141">
        <w:rPr>
          <w:lang w:eastAsia="en-NZ"/>
        </w:rPr>
        <w:t>’</w:t>
      </w:r>
      <w:r w:rsidRPr="00DC4C78">
        <w:rPr>
          <w:lang w:eastAsia="en-NZ"/>
        </w:rPr>
        <w:t xml:space="preserve"> and </w:t>
      </w:r>
      <w:proofErr w:type="spellStart"/>
      <w:r w:rsidRPr="00DC4C78">
        <w:rPr>
          <w:lang w:eastAsia="en-NZ"/>
        </w:rPr>
        <w:t>whānau</w:t>
      </w:r>
      <w:r w:rsidR="00700141">
        <w:rPr>
          <w:lang w:eastAsia="en-NZ"/>
        </w:rPr>
        <w:t>’</w:t>
      </w:r>
      <w:r>
        <w:rPr>
          <w:lang w:eastAsia="en-NZ"/>
        </w:rPr>
        <w:t>s</w:t>
      </w:r>
      <w:proofErr w:type="spellEnd"/>
      <w:r w:rsidRPr="00DC4C78">
        <w:rPr>
          <w:lang w:eastAsia="en-NZ"/>
        </w:rPr>
        <w:t xml:space="preserve"> uptake of and continued engagement with services</w:t>
      </w:r>
      <w:r>
        <w:rPr>
          <w:lang w:eastAsia="en-NZ"/>
        </w:rPr>
        <w:t xml:space="preserve">: they </w:t>
      </w:r>
      <w:r w:rsidRPr="00DC4C78">
        <w:rPr>
          <w:lang w:eastAsia="en-NZ"/>
        </w:rPr>
        <w:t xml:space="preserve">will be more likely to access and remain involved with acceptable, high-quality services that </w:t>
      </w:r>
      <w:r>
        <w:rPr>
          <w:lang w:eastAsia="en-NZ"/>
        </w:rPr>
        <w:t xml:space="preserve">are simple </w:t>
      </w:r>
      <w:r w:rsidRPr="00DC4C78">
        <w:rPr>
          <w:lang w:eastAsia="en-NZ"/>
        </w:rPr>
        <w:t xml:space="preserve">to access. </w:t>
      </w:r>
      <w:r>
        <w:rPr>
          <w:lang w:eastAsia="en-NZ"/>
        </w:rPr>
        <w:t xml:space="preserve">The Ministry of Health </w:t>
      </w:r>
      <w:r w:rsidRPr="00DC4C78">
        <w:rPr>
          <w:lang w:eastAsia="en-NZ"/>
        </w:rPr>
        <w:t>expect</w:t>
      </w:r>
      <w:r>
        <w:rPr>
          <w:lang w:eastAsia="en-NZ"/>
        </w:rPr>
        <w:t>s</w:t>
      </w:r>
      <w:r w:rsidRPr="00DC4C78">
        <w:rPr>
          <w:lang w:eastAsia="en-NZ"/>
        </w:rPr>
        <w:t xml:space="preserve"> that, in addition to these indicators, DHBs and WCTO providers will consider other ways to monitor quality of experience, such as through the use of consumer surveys or parent focus groups.</w:t>
      </w:r>
    </w:p>
    <w:p w:rsidR="00C30B65" w:rsidRPr="00DC4C78" w:rsidRDefault="00C30B65" w:rsidP="00C30B65">
      <w:pPr>
        <w:rPr>
          <w:lang w:eastAsia="en-NZ"/>
        </w:rPr>
      </w:pPr>
    </w:p>
    <w:p w:rsidR="00C30B65" w:rsidRPr="00DC4C78" w:rsidRDefault="00C30B65" w:rsidP="00C30B65">
      <w:pPr>
        <w:rPr>
          <w:lang w:eastAsia="en-NZ"/>
        </w:rPr>
      </w:pPr>
      <w:r w:rsidRPr="00DC4C78">
        <w:rPr>
          <w:lang w:eastAsia="en-NZ"/>
        </w:rPr>
        <w:t>Indicators 1–10 measure access rates, with or without consideration of timeliness, across a range of universal and specialist services that contribute to improved outcomes for children. The inclusion of this broad range of services as indicators reflects the role of WCTO in assessing and supporting the health and developmental needs of a growing family. The core roles of the access indicators are to:</w:t>
      </w:r>
    </w:p>
    <w:p w:rsidR="00C30B65" w:rsidRPr="00DC4C78" w:rsidRDefault="00C30B65" w:rsidP="00C30B65">
      <w:pPr>
        <w:pStyle w:val="Bullet"/>
        <w:rPr>
          <w:rFonts w:cs="Calibri"/>
        </w:rPr>
      </w:pPr>
      <w:r w:rsidRPr="00DC4C78">
        <w:rPr>
          <w:lang w:eastAsia="en-NZ"/>
        </w:rPr>
        <w:t>facilitate and support a family</w:t>
      </w:r>
      <w:r>
        <w:rPr>
          <w:lang w:eastAsia="en-NZ"/>
        </w:rPr>
        <w:t>/</w:t>
      </w:r>
      <w:proofErr w:type="spellStart"/>
      <w:r w:rsidRPr="00DC4C78">
        <w:rPr>
          <w:lang w:eastAsia="en-NZ"/>
        </w:rPr>
        <w:t>whānau</w:t>
      </w:r>
      <w:r w:rsidR="00700141">
        <w:rPr>
          <w:lang w:eastAsia="en-NZ"/>
        </w:rPr>
        <w:t>’</w:t>
      </w:r>
      <w:r w:rsidRPr="00DC4C78">
        <w:rPr>
          <w:lang w:eastAsia="en-NZ"/>
        </w:rPr>
        <w:t>s</w:t>
      </w:r>
      <w:proofErr w:type="spellEnd"/>
      <w:r w:rsidRPr="00DC4C78">
        <w:rPr>
          <w:lang w:eastAsia="en-NZ"/>
        </w:rPr>
        <w:t xml:space="preserve"> timely engagement with health services such as primary care, immunisation and oral health</w:t>
      </w:r>
    </w:p>
    <w:p w:rsidR="00C30B65" w:rsidRPr="00DC4C78" w:rsidRDefault="00C30B65" w:rsidP="00C30B65">
      <w:pPr>
        <w:pStyle w:val="Bullet"/>
        <w:rPr>
          <w:lang w:eastAsia="en-NZ"/>
        </w:rPr>
      </w:pPr>
      <w:r w:rsidRPr="00DC4C78">
        <w:rPr>
          <w:lang w:eastAsia="en-NZ"/>
        </w:rPr>
        <w:t>support referral to specialist services</w:t>
      </w:r>
    </w:p>
    <w:p w:rsidR="00C30B65" w:rsidRPr="00DC4C78" w:rsidRDefault="00C30B65" w:rsidP="00C30B65">
      <w:pPr>
        <w:pStyle w:val="Bullet"/>
        <w:rPr>
          <w:rFonts w:cs="Calibri"/>
        </w:rPr>
      </w:pPr>
      <w:proofErr w:type="gramStart"/>
      <w:r w:rsidRPr="00DC4C78">
        <w:rPr>
          <w:lang w:eastAsia="en-NZ"/>
        </w:rPr>
        <w:t>support</w:t>
      </w:r>
      <w:proofErr w:type="gramEnd"/>
      <w:r w:rsidRPr="00DC4C78">
        <w:rPr>
          <w:lang w:eastAsia="en-NZ"/>
        </w:rPr>
        <w:t xml:space="preserve"> child development </w:t>
      </w:r>
      <w:r>
        <w:rPr>
          <w:lang w:eastAsia="en-NZ"/>
        </w:rPr>
        <w:t>through participation</w:t>
      </w:r>
      <w:r w:rsidRPr="00DC4C78">
        <w:rPr>
          <w:lang w:eastAsia="en-NZ"/>
        </w:rPr>
        <w:t xml:space="preserve"> in high-quality </w:t>
      </w:r>
      <w:r>
        <w:rPr>
          <w:lang w:eastAsia="en-NZ"/>
        </w:rPr>
        <w:t>ECE</w:t>
      </w:r>
      <w:r w:rsidRPr="00DC4C78">
        <w:rPr>
          <w:lang w:eastAsia="en-NZ"/>
        </w:rPr>
        <w:t>.</w:t>
      </w:r>
    </w:p>
    <w:p w:rsidR="00C30B65" w:rsidRPr="00DC4C78" w:rsidRDefault="00C30B65" w:rsidP="00C30B65"/>
    <w:p w:rsidR="00C30B65" w:rsidRPr="00DC4C78" w:rsidRDefault="00C30B65" w:rsidP="00C30B65">
      <w:pPr>
        <w:pStyle w:val="Heading2"/>
      </w:pPr>
      <w:bookmarkStart w:id="32" w:name="_Toc365618440"/>
      <w:bookmarkStart w:id="33" w:name="_Toc405453763"/>
      <w:bookmarkStart w:id="34" w:name="_Toc418322773"/>
      <w:bookmarkStart w:id="35" w:name="_Toc419099441"/>
      <w:bookmarkStart w:id="36" w:name="_Toc440387787"/>
      <w:r w:rsidRPr="00DC4C78">
        <w:t>Summary of results for this period</w:t>
      </w:r>
      <w:bookmarkEnd w:id="32"/>
      <w:bookmarkEnd w:id="33"/>
      <w:bookmarkEnd w:id="34"/>
      <w:bookmarkEnd w:id="35"/>
      <w:bookmarkEnd w:id="36"/>
    </w:p>
    <w:p w:rsidR="00C30B65" w:rsidRPr="00DC4C78" w:rsidRDefault="00C30B65" w:rsidP="00C30B65">
      <w:pPr>
        <w:pStyle w:val="Heading3"/>
      </w:pPr>
      <w:r w:rsidRPr="00DC4C78">
        <w:t>National</w:t>
      </w:r>
    </w:p>
    <w:p w:rsidR="00C30B65" w:rsidRPr="00DC4C78" w:rsidRDefault="00C30B65" w:rsidP="00C30B65">
      <w:r>
        <w:t xml:space="preserve">The March 2015 report on the indicators recorded </w:t>
      </w:r>
      <w:r w:rsidRPr="00DC4C78">
        <w:t xml:space="preserve">the highest </w:t>
      </w:r>
      <w:r>
        <w:t xml:space="preserve">ever </w:t>
      </w:r>
      <w:r w:rsidRPr="00DC4C78">
        <w:t xml:space="preserve">rates of completed </w:t>
      </w:r>
      <w:r>
        <w:t xml:space="preserve">B4SCs. These rates </w:t>
      </w:r>
      <w:r w:rsidRPr="00DC4C78">
        <w:t xml:space="preserve">remained steady. Coverage </w:t>
      </w:r>
      <w:r>
        <w:t xml:space="preserve">in September was </w:t>
      </w:r>
      <w:r w:rsidRPr="00DC4C78">
        <w:t>at 94 percent nationwide</w:t>
      </w:r>
      <w:r>
        <w:t>:</w:t>
      </w:r>
      <w:r w:rsidRPr="00DC4C78">
        <w:t xml:space="preserve"> an increase of a percentage point over the last </w:t>
      </w:r>
      <w:r>
        <w:t xml:space="preserve">six </w:t>
      </w:r>
      <w:r w:rsidRPr="00DC4C78">
        <w:t xml:space="preserve">months. </w:t>
      </w:r>
      <w:r>
        <w:t xml:space="preserve">It is </w:t>
      </w:r>
      <w:r w:rsidRPr="00DC4C78">
        <w:t xml:space="preserve">outstanding of the wider WCTO sector to </w:t>
      </w:r>
      <w:r>
        <w:t xml:space="preserve">have </w:t>
      </w:r>
      <w:r w:rsidRPr="00DC4C78">
        <w:t>continue</w:t>
      </w:r>
      <w:r>
        <w:t>d to</w:t>
      </w:r>
      <w:r w:rsidRPr="00DC4C78">
        <w:t xml:space="preserve"> achiev</w:t>
      </w:r>
      <w:r>
        <w:t>e</w:t>
      </w:r>
      <w:r w:rsidRPr="00DC4C78">
        <w:t xml:space="preserve"> this outcome despite having already reached the 90 percent target.</w:t>
      </w:r>
    </w:p>
    <w:p w:rsidR="00C30B65" w:rsidRPr="00DC4C78" w:rsidRDefault="00C30B65" w:rsidP="00C30B65"/>
    <w:p w:rsidR="00700141" w:rsidRDefault="00C30B65" w:rsidP="00C30B65">
      <w:r w:rsidRPr="00DC4C78">
        <w:t>Eight-month immunisation coverage remained steady over the six months</w:t>
      </w:r>
      <w:r>
        <w:t xml:space="preserve"> March–September,</w:t>
      </w:r>
      <w:r w:rsidRPr="00DC4C78">
        <w:t xml:space="preserve"> dropping only a single percentage point off </w:t>
      </w:r>
      <w:r>
        <w:t xml:space="preserve">the March </w:t>
      </w:r>
      <w:r w:rsidRPr="00DC4C78">
        <w:t>rate</w:t>
      </w:r>
      <w:r>
        <w:t>, which was the highest ever at 94 percent</w:t>
      </w:r>
      <w:r w:rsidRPr="00DC4C78">
        <w:t>.</w:t>
      </w:r>
    </w:p>
    <w:p w:rsidR="00C30B65" w:rsidRPr="00DC4C78" w:rsidRDefault="00C30B65" w:rsidP="00C30B65"/>
    <w:p w:rsidR="00700141" w:rsidRDefault="00C30B65" w:rsidP="00C30B65">
      <w:proofErr w:type="spellStart"/>
      <w:r w:rsidRPr="00DC4C78">
        <w:t>Newborn</w:t>
      </w:r>
      <w:proofErr w:type="spellEnd"/>
      <w:r w:rsidRPr="00DC4C78">
        <w:t xml:space="preserve"> enrolment with primary care continue</w:t>
      </w:r>
      <w:r>
        <w:t>d</w:t>
      </w:r>
      <w:r w:rsidRPr="00DC4C78">
        <w:t xml:space="preserve"> to fluctuate between the March and September reporting. </w:t>
      </w:r>
      <w:r>
        <w:t>T</w:t>
      </w:r>
      <w:r w:rsidRPr="00DC4C78">
        <w:t xml:space="preserve">he March report </w:t>
      </w:r>
      <w:r>
        <w:t xml:space="preserve">found that it had dropped significantly </w:t>
      </w:r>
      <w:r w:rsidRPr="00DC4C78">
        <w:t>(six percentage points to 65 percent)</w:t>
      </w:r>
      <w:r>
        <w:t>,</w:t>
      </w:r>
      <w:r w:rsidRPr="00DC4C78">
        <w:t xml:space="preserve"> </w:t>
      </w:r>
      <w:r>
        <w:t xml:space="preserve">but </w:t>
      </w:r>
      <w:r w:rsidRPr="00DC4C78">
        <w:t xml:space="preserve">figures </w:t>
      </w:r>
      <w:r>
        <w:t xml:space="preserve">rose </w:t>
      </w:r>
      <w:r w:rsidRPr="00DC4C78">
        <w:t xml:space="preserve">again to 74 percent in the </w:t>
      </w:r>
      <w:r>
        <w:t xml:space="preserve">subsequent </w:t>
      </w:r>
      <w:r w:rsidRPr="00DC4C78">
        <w:t>six months.</w:t>
      </w:r>
    </w:p>
    <w:p w:rsidR="00C30B65" w:rsidRPr="00DC4C78" w:rsidRDefault="00C30B65" w:rsidP="00C30B65"/>
    <w:p w:rsidR="004D5C8B" w:rsidRDefault="00C30B65" w:rsidP="00C30B65">
      <w:r w:rsidRPr="005A3F4A">
        <w:t xml:space="preserve">Indicator 3: </w:t>
      </w:r>
      <w:r w:rsidR="00700141">
        <w:t>‘</w:t>
      </w:r>
      <w:r w:rsidRPr="005A3F4A">
        <w:t>Infants receive all WCTO core contacts due in their first year</w:t>
      </w:r>
      <w:r w:rsidR="00700141">
        <w:t>’</w:t>
      </w:r>
      <w:r w:rsidRPr="00591A46">
        <w:t xml:space="preserve"> </w:t>
      </w:r>
      <w:r w:rsidRPr="006263E9">
        <w:t xml:space="preserve">now includes data from </w:t>
      </w:r>
      <w:proofErr w:type="spellStart"/>
      <w:r w:rsidRPr="006263E9">
        <w:t>Tamariki</w:t>
      </w:r>
      <w:proofErr w:type="spellEnd"/>
      <w:r w:rsidRPr="006263E9">
        <w:t xml:space="preserve"> </w:t>
      </w:r>
      <w:proofErr w:type="spellStart"/>
      <w:r w:rsidRPr="006263E9">
        <w:t>Ora</w:t>
      </w:r>
      <w:proofErr w:type="spellEnd"/>
      <w:r w:rsidRPr="006263E9">
        <w:t xml:space="preserve"> providers, where previously it only showed Plunket figures. There appears to </w:t>
      </w:r>
      <w:r>
        <w:t xml:space="preserve">have </w:t>
      </w:r>
      <w:r w:rsidRPr="006263E9">
        <w:t>be</w:t>
      </w:r>
      <w:r>
        <w:t>en</w:t>
      </w:r>
      <w:r w:rsidRPr="006263E9">
        <w:t xml:space="preserve"> a drop of 8 percentage points </w:t>
      </w:r>
      <w:r>
        <w:t xml:space="preserve">between March and September </w:t>
      </w:r>
      <w:r w:rsidRPr="006263E9">
        <w:t xml:space="preserve">across the total population. </w:t>
      </w:r>
      <w:r>
        <w:rPr>
          <w:rFonts w:cs="Arial"/>
          <w:bCs/>
          <w:color w:val="000000"/>
        </w:rPr>
        <w:t xml:space="preserve">This </w:t>
      </w:r>
      <w:r w:rsidRPr="006263E9">
        <w:rPr>
          <w:rFonts w:cs="Arial"/>
          <w:bCs/>
          <w:color w:val="000000"/>
        </w:rPr>
        <w:t>is not the result of lower performance; instead</w:t>
      </w:r>
      <w:r>
        <w:rPr>
          <w:rFonts w:cs="Arial"/>
          <w:bCs/>
          <w:color w:val="000000"/>
        </w:rPr>
        <w:t xml:space="preserve">, it reflects the </w:t>
      </w:r>
      <w:r w:rsidRPr="006263E9">
        <w:rPr>
          <w:rFonts w:cs="Arial"/>
          <w:bCs/>
          <w:color w:val="000000"/>
        </w:rPr>
        <w:t xml:space="preserve">more accurate picture of performance </w:t>
      </w:r>
      <w:r>
        <w:rPr>
          <w:rFonts w:cs="Arial"/>
          <w:bCs/>
          <w:color w:val="000000"/>
        </w:rPr>
        <w:t>the data now allows</w:t>
      </w:r>
      <w:r w:rsidRPr="006263E9">
        <w:t>.</w:t>
      </w:r>
      <w:r w:rsidR="004D5C8B">
        <w:t xml:space="preserve"> C</w:t>
      </w:r>
      <w:r w:rsidR="004D5C8B" w:rsidRPr="004D5C8B">
        <w:t xml:space="preserve">urrently we are only reaching two-thirds of all infants and only around half of our Maori, Pacific and children living in high deprivation communities. </w:t>
      </w:r>
      <w:r w:rsidR="004D5C8B">
        <w:t xml:space="preserve">DHBs and all WCTO providers are to actively collaborate to increase coverage, in particular for our higher needs populations. </w:t>
      </w:r>
    </w:p>
    <w:p w:rsidR="004D5C8B" w:rsidRPr="00DC4C78" w:rsidRDefault="004D5C8B" w:rsidP="00C30B65"/>
    <w:p w:rsidR="00700141" w:rsidRDefault="00C30B65" w:rsidP="00C30B65">
      <w:r>
        <w:t>The rate of c</w:t>
      </w:r>
      <w:r w:rsidRPr="00DC4C78">
        <w:t xml:space="preserve">hildren enrolled with an oral health service </w:t>
      </w:r>
      <w:r>
        <w:t xml:space="preserve">rose </w:t>
      </w:r>
      <w:r w:rsidRPr="00DC4C78">
        <w:t>to 77 percent</w:t>
      </w:r>
      <w:r>
        <w:t xml:space="preserve"> between March and September:</w:t>
      </w:r>
      <w:r w:rsidRPr="00DC4C78">
        <w:t xml:space="preserve"> a rise of 4 percentage points.</w:t>
      </w:r>
    </w:p>
    <w:p w:rsidR="00C30B65" w:rsidRPr="00DC4C78" w:rsidRDefault="00C30B65" w:rsidP="00C30B65"/>
    <w:p w:rsidR="00C30B65" w:rsidRPr="00DC4C78" w:rsidRDefault="00C30B65" w:rsidP="00C30B65">
      <w:pPr>
        <w:pStyle w:val="Heading3"/>
      </w:pPr>
      <w:r w:rsidRPr="00DC4C78">
        <w:lastRenderedPageBreak/>
        <w:t>By region</w:t>
      </w:r>
    </w:p>
    <w:p w:rsidR="00700141" w:rsidRDefault="00C30B65" w:rsidP="00C30B65">
      <w:r w:rsidRPr="00DC4C78">
        <w:t>There continue</w:t>
      </w:r>
      <w:r>
        <w:t>d</w:t>
      </w:r>
      <w:r w:rsidRPr="00DC4C78">
        <w:t xml:space="preserve"> to be significant variation by DHB </w:t>
      </w:r>
      <w:r>
        <w:t xml:space="preserve">for </w:t>
      </w:r>
      <w:r w:rsidRPr="00DC4C78">
        <w:t>some of the</w:t>
      </w:r>
      <w:r>
        <w:t xml:space="preserve"> access</w:t>
      </w:r>
      <w:r w:rsidRPr="00DC4C78">
        <w:t xml:space="preserve"> indicators. Of particular concern are </w:t>
      </w:r>
      <w:r w:rsidRPr="005A3F4A">
        <w:t>Indicators 1, 3 and 5</w:t>
      </w:r>
      <w:r w:rsidRPr="00DC4C78">
        <w:rPr>
          <w:i/>
        </w:rPr>
        <w:t xml:space="preserve"> </w:t>
      </w:r>
      <w:r w:rsidRPr="00DC4C78">
        <w:t>(</w:t>
      </w:r>
      <w:proofErr w:type="spellStart"/>
      <w:r w:rsidRPr="00DC4C78">
        <w:t>newborn</w:t>
      </w:r>
      <w:proofErr w:type="spellEnd"/>
      <w:r w:rsidRPr="00DC4C78">
        <w:t xml:space="preserve"> enrolment, WCTO core contacts and enrolment in oral health services), where variation between DHBs </w:t>
      </w:r>
      <w:r>
        <w:t xml:space="preserve">covered </w:t>
      </w:r>
      <w:r w:rsidRPr="00DC4C78">
        <w:t xml:space="preserve">over 20 percentage points. </w:t>
      </w:r>
      <w:r>
        <w:t>Rates for s</w:t>
      </w:r>
      <w:r w:rsidRPr="00DC4C78">
        <w:t xml:space="preserve">ome indicators, such as </w:t>
      </w:r>
      <w:r w:rsidRPr="005A3F4A">
        <w:t>Indicators 7 and 8</w:t>
      </w:r>
      <w:r w:rsidRPr="00DC4C78">
        <w:t xml:space="preserve"> (participation in ECE and free access to primary care for </w:t>
      </w:r>
      <w:proofErr w:type="gramStart"/>
      <w:r w:rsidRPr="00DC4C78">
        <w:t>under</w:t>
      </w:r>
      <w:proofErr w:type="gramEnd"/>
      <w:r w:rsidRPr="00DC4C78">
        <w:t xml:space="preserve"> </w:t>
      </w:r>
      <w:r>
        <w:t>sixes</w:t>
      </w:r>
      <w:r w:rsidRPr="00DC4C78">
        <w:t xml:space="preserve">) </w:t>
      </w:r>
      <w:r>
        <w:t xml:space="preserve">were </w:t>
      </w:r>
      <w:r w:rsidRPr="00DC4C78">
        <w:t>much more evenly balanced across the DHBs.</w:t>
      </w:r>
    </w:p>
    <w:p w:rsidR="00C30B65" w:rsidRPr="00DC4C78" w:rsidRDefault="00C30B65" w:rsidP="00C30B65"/>
    <w:p w:rsidR="00700141" w:rsidRDefault="00C30B65" w:rsidP="00C30B65">
      <w:r>
        <w:t>District health boards need to f</w:t>
      </w:r>
      <w:r w:rsidRPr="00DC4C78">
        <w:t xml:space="preserve">ocus </w:t>
      </w:r>
      <w:r>
        <w:t xml:space="preserve">on areas in which </w:t>
      </w:r>
      <w:r w:rsidRPr="00DC4C78">
        <w:t>where their populations are not accessing the services offered.</w:t>
      </w:r>
    </w:p>
    <w:p w:rsidR="00C30B65" w:rsidRPr="00DC4C78" w:rsidRDefault="00C30B65" w:rsidP="00C30B65"/>
    <w:p w:rsidR="00C30B65" w:rsidRPr="00DC4C78" w:rsidRDefault="00C30B65" w:rsidP="00C30B65">
      <w:pPr>
        <w:pStyle w:val="Heading3"/>
      </w:pPr>
      <w:r w:rsidRPr="00DC4C78">
        <w:t>By deprivation</w:t>
      </w:r>
      <w:r>
        <w:t xml:space="preserve"> level</w:t>
      </w:r>
    </w:p>
    <w:p w:rsidR="00700141" w:rsidRDefault="00C30B65" w:rsidP="00C30B65">
      <w:r w:rsidRPr="00DC4C78">
        <w:t>Of the indicators currently available by New Zealand Deprivation Index (</w:t>
      </w:r>
      <w:proofErr w:type="spellStart"/>
      <w:r w:rsidRPr="00DC4C78">
        <w:t>NZDep</w:t>
      </w:r>
      <w:proofErr w:type="spellEnd"/>
      <w:r w:rsidRPr="00DC4C78">
        <w:t>) quintile</w:t>
      </w:r>
      <w:r>
        <w:t>,</w:t>
      </w:r>
      <w:r w:rsidRPr="00DC4C78">
        <w:t xml:space="preserve"> </w:t>
      </w:r>
      <w:r>
        <w:t>i</w:t>
      </w:r>
      <w:r w:rsidRPr="005E5F43">
        <w:t>ndicator 4</w:t>
      </w:r>
      <w:r w:rsidRPr="00DC4C78">
        <w:t xml:space="preserve"> (</w:t>
      </w:r>
      <w:r>
        <w:t>four</w:t>
      </w:r>
      <w:r w:rsidRPr="00DC4C78">
        <w:t xml:space="preserve">-year olds receiving </w:t>
      </w:r>
      <w:r>
        <w:t xml:space="preserve">a </w:t>
      </w:r>
      <w:r w:rsidRPr="00DC4C78">
        <w:t xml:space="preserve">B4SC) </w:t>
      </w:r>
      <w:r>
        <w:t>increased by 4 percentage points to 90 percent,</w:t>
      </w:r>
      <w:r w:rsidRPr="00DC4C78">
        <w:t xml:space="preserve"> </w:t>
      </w:r>
      <w:r>
        <w:t xml:space="preserve">coming </w:t>
      </w:r>
      <w:r w:rsidRPr="00DC4C78">
        <w:t xml:space="preserve">closer to the </w:t>
      </w:r>
      <w:r>
        <w:t xml:space="preserve">figure of 94 percent for the </w:t>
      </w:r>
      <w:r w:rsidRPr="00DC4C78">
        <w:t xml:space="preserve">total New Zealand </w:t>
      </w:r>
      <w:r>
        <w:t>population</w:t>
      </w:r>
      <w:r w:rsidRPr="00DC4C78">
        <w:t xml:space="preserve">. Some DHBs are reaching 100 percent of children in </w:t>
      </w:r>
      <w:r>
        <w:t xml:space="preserve">high-deprivation </w:t>
      </w:r>
      <w:r w:rsidRPr="00DC4C78">
        <w:t>communities</w:t>
      </w:r>
      <w:r>
        <w:t xml:space="preserve"> for this indicator</w:t>
      </w:r>
      <w:r w:rsidRPr="00DC4C78">
        <w:t>.</w:t>
      </w:r>
    </w:p>
    <w:p w:rsidR="00C30B65" w:rsidRPr="00DC4C78" w:rsidRDefault="00C30B65" w:rsidP="00C30B65"/>
    <w:p w:rsidR="00700141" w:rsidRDefault="00C30B65" w:rsidP="00C30B65">
      <w:r w:rsidRPr="00DC4C78">
        <w:t>There appear</w:t>
      </w:r>
      <w:r>
        <w:t>ed</w:t>
      </w:r>
      <w:r w:rsidRPr="00DC4C78">
        <w:t xml:space="preserve"> to be a drop in </w:t>
      </w:r>
      <w:r>
        <w:t xml:space="preserve">the September rates of </w:t>
      </w:r>
      <w:r w:rsidRPr="00DC4C78">
        <w:t xml:space="preserve">the </w:t>
      </w:r>
      <w:r>
        <w:t xml:space="preserve">number </w:t>
      </w:r>
      <w:r w:rsidRPr="00DC4C78">
        <w:t>of children receiving WCTO core contacts in high</w:t>
      </w:r>
      <w:r>
        <w:t>-</w:t>
      </w:r>
      <w:r w:rsidRPr="00DC4C78">
        <w:t xml:space="preserve">deprivation areas. Only 55 percent of children in these areas </w:t>
      </w:r>
      <w:r>
        <w:t xml:space="preserve">were </w:t>
      </w:r>
      <w:r w:rsidRPr="00DC4C78">
        <w:t xml:space="preserve">receiving </w:t>
      </w:r>
      <w:r>
        <w:t xml:space="preserve">WCTO </w:t>
      </w:r>
      <w:r w:rsidRPr="00DC4C78">
        <w:t xml:space="preserve">core contacts, compared to 68 percent of children in the </w:t>
      </w:r>
      <w:r>
        <w:t xml:space="preserve">same areas in the </w:t>
      </w:r>
      <w:r w:rsidRPr="00DC4C78">
        <w:t xml:space="preserve">last reporting period (and 68 percent of the total population). This is likely due to the inclusion of </w:t>
      </w:r>
      <w:proofErr w:type="spellStart"/>
      <w:r w:rsidRPr="00DC4C78">
        <w:t>Tamariki</w:t>
      </w:r>
      <w:proofErr w:type="spellEnd"/>
      <w:r w:rsidRPr="00DC4C78">
        <w:t xml:space="preserve"> </w:t>
      </w:r>
      <w:proofErr w:type="spellStart"/>
      <w:r w:rsidRPr="00DC4C78">
        <w:t>Ora</w:t>
      </w:r>
      <w:proofErr w:type="spellEnd"/>
      <w:r w:rsidRPr="00DC4C78">
        <w:t xml:space="preserve"> data during </w:t>
      </w:r>
      <w:r>
        <w:t xml:space="preserve">for </w:t>
      </w:r>
      <w:r w:rsidRPr="00DC4C78">
        <w:t xml:space="preserve">reporting period. </w:t>
      </w:r>
      <w:proofErr w:type="spellStart"/>
      <w:r w:rsidRPr="00DC4C78">
        <w:t>Tamariki</w:t>
      </w:r>
      <w:proofErr w:type="spellEnd"/>
      <w:r w:rsidRPr="00DC4C78">
        <w:t xml:space="preserve"> </w:t>
      </w:r>
      <w:proofErr w:type="spellStart"/>
      <w:r w:rsidRPr="00DC4C78">
        <w:t>Ora</w:t>
      </w:r>
      <w:proofErr w:type="spellEnd"/>
      <w:r w:rsidRPr="00DC4C78">
        <w:t xml:space="preserve"> providers </w:t>
      </w:r>
      <w:r>
        <w:t xml:space="preserve">report </w:t>
      </w:r>
      <w:r w:rsidRPr="00DC4C78">
        <w:t>lower rates of completion of core checks</w:t>
      </w:r>
      <w:r>
        <w:t>,</w:t>
      </w:r>
      <w:r w:rsidRPr="00DC4C78">
        <w:t xml:space="preserve"> and a higher proportion of enrolled children from high</w:t>
      </w:r>
      <w:r>
        <w:t>-</w:t>
      </w:r>
      <w:r w:rsidRPr="00DC4C78">
        <w:t xml:space="preserve">deprivation areas. </w:t>
      </w:r>
      <w:r>
        <w:t>C</w:t>
      </w:r>
      <w:r w:rsidRPr="00DC4C78">
        <w:t>omparison between the rate in this report and the next report will provide a true indication of any change.</w:t>
      </w:r>
    </w:p>
    <w:p w:rsidR="00C30B65" w:rsidRDefault="00C30B65" w:rsidP="00C30B65"/>
    <w:p w:rsidR="00C30B65" w:rsidRPr="00DC4C78" w:rsidRDefault="00C30B65" w:rsidP="00C30B65">
      <w:r w:rsidRPr="00DC4C78">
        <w:t>Among other access indicators, figures for high</w:t>
      </w:r>
      <w:r>
        <w:t>-</w:t>
      </w:r>
      <w:r w:rsidRPr="00DC4C78">
        <w:t xml:space="preserve">deprivation areas remained relatively static, meaning there is still work to be done to close equity gaps across the board. </w:t>
      </w:r>
      <w:r>
        <w:t xml:space="preserve">We need to place </w:t>
      </w:r>
      <w:r w:rsidRPr="00DC4C78">
        <w:t xml:space="preserve">urgent priority </w:t>
      </w:r>
      <w:r>
        <w:t xml:space="preserve">on </w:t>
      </w:r>
      <w:r w:rsidRPr="00DC4C78">
        <w:t>ensur</w:t>
      </w:r>
      <w:r>
        <w:t>ing</w:t>
      </w:r>
      <w:r w:rsidRPr="00DC4C78">
        <w:t xml:space="preserve"> equity of access to universal services for all families and </w:t>
      </w:r>
      <w:proofErr w:type="spellStart"/>
      <w:r w:rsidRPr="00DC4C78">
        <w:t>whānau</w:t>
      </w:r>
      <w:proofErr w:type="spellEnd"/>
      <w:r>
        <w:t>,</w:t>
      </w:r>
      <w:r w:rsidRPr="00DC4C78">
        <w:t xml:space="preserve"> to mitigate the health inequalities experienced by children due to material deprivation.</w:t>
      </w:r>
    </w:p>
    <w:p w:rsidR="00C30B65" w:rsidRPr="00DC4C78" w:rsidRDefault="00C30B65" w:rsidP="00C30B65"/>
    <w:p w:rsidR="00C30B65" w:rsidRPr="00DC4C78" w:rsidRDefault="00C30B65" w:rsidP="00C30B65">
      <w:pPr>
        <w:pStyle w:val="Heading3"/>
      </w:pPr>
      <w:r w:rsidRPr="00DC4C78">
        <w:t>By ethnicity</w:t>
      </w:r>
    </w:p>
    <w:p w:rsidR="00700141" w:rsidRDefault="00C30B65" w:rsidP="00C30B65">
      <w:r w:rsidRPr="00DC4C78">
        <w:t xml:space="preserve">The largest gain in this set was in </w:t>
      </w:r>
      <w:r>
        <w:t xml:space="preserve">rates between March and September for </w:t>
      </w:r>
      <w:r w:rsidRPr="00BB6E14">
        <w:t>Indicator 1:</w:t>
      </w:r>
      <w:r w:rsidRPr="00DC4C78">
        <w:t xml:space="preserve"> the percentage of Pacific </w:t>
      </w:r>
      <w:proofErr w:type="spellStart"/>
      <w:r w:rsidRPr="00DC4C78">
        <w:t>newborns</w:t>
      </w:r>
      <w:proofErr w:type="spellEnd"/>
      <w:r w:rsidRPr="00DC4C78">
        <w:t xml:space="preserve"> enrolled with a PHO increased by 13 percentage points</w:t>
      </w:r>
      <w:r>
        <w:t>,</w:t>
      </w:r>
      <w:r w:rsidRPr="00DC4C78">
        <w:t xml:space="preserve"> to 73</w:t>
      </w:r>
      <w:r w:rsidR="00700141">
        <w:t> </w:t>
      </w:r>
      <w:r w:rsidRPr="00DC4C78">
        <w:t xml:space="preserve">percent. That </w:t>
      </w:r>
      <w:r>
        <w:t xml:space="preserve">figure </w:t>
      </w:r>
      <w:r w:rsidRPr="00DC4C78">
        <w:t xml:space="preserve">is almost on par with the total population at 74 percent. </w:t>
      </w:r>
      <w:r>
        <w:t>Māori</w:t>
      </w:r>
      <w:r w:rsidRPr="00DC4C78">
        <w:t xml:space="preserve"> </w:t>
      </w:r>
      <w:r>
        <w:t xml:space="preserve">continued to have </w:t>
      </w:r>
      <w:r w:rsidRPr="00DC4C78">
        <w:t xml:space="preserve">the highest </w:t>
      </w:r>
      <w:r>
        <w:t xml:space="preserve">rates </w:t>
      </w:r>
      <w:r w:rsidRPr="00DC4C78">
        <w:t xml:space="preserve">for </w:t>
      </w:r>
      <w:proofErr w:type="spellStart"/>
      <w:r w:rsidRPr="00DC4C78">
        <w:t>newborn</w:t>
      </w:r>
      <w:proofErr w:type="spellEnd"/>
      <w:r w:rsidRPr="00DC4C78">
        <w:t xml:space="preserve"> enrolment</w:t>
      </w:r>
      <w:r>
        <w:t>:</w:t>
      </w:r>
      <w:r w:rsidRPr="00DC4C78">
        <w:t xml:space="preserve"> 78 percent</w:t>
      </w:r>
      <w:r>
        <w:t xml:space="preserve"> at September 2015</w:t>
      </w:r>
      <w:r w:rsidRPr="00DC4C78">
        <w:t xml:space="preserve">. </w:t>
      </w:r>
      <w:r>
        <w:t>However, a</w:t>
      </w:r>
      <w:r w:rsidRPr="00DC4C78">
        <w:t xml:space="preserve">ll </w:t>
      </w:r>
      <w:r>
        <w:t xml:space="preserve">these figures </w:t>
      </w:r>
      <w:r w:rsidRPr="00DC4C78">
        <w:t>remain</w:t>
      </w:r>
      <w:r>
        <w:t>ed</w:t>
      </w:r>
      <w:r w:rsidRPr="00DC4C78">
        <w:t xml:space="preserve"> well below the December 2014 target of 88 percent</w:t>
      </w:r>
      <w:r>
        <w:t>;</w:t>
      </w:r>
      <w:r w:rsidRPr="00DC4C78">
        <w:t xml:space="preserve"> </w:t>
      </w:r>
      <w:r>
        <w:t xml:space="preserve">we need to </w:t>
      </w:r>
      <w:r w:rsidRPr="00DC4C78">
        <w:t xml:space="preserve">increase focus </w:t>
      </w:r>
      <w:r>
        <w:t xml:space="preserve">on </w:t>
      </w:r>
      <w:r w:rsidRPr="00DC4C78">
        <w:t>rais</w:t>
      </w:r>
      <w:r>
        <w:t>ing</w:t>
      </w:r>
      <w:r w:rsidRPr="00DC4C78">
        <w:t xml:space="preserve"> enrolment rates in all communities.</w:t>
      </w:r>
    </w:p>
    <w:p w:rsidR="00C30B65" w:rsidRPr="00DC4C78" w:rsidRDefault="00C30B65" w:rsidP="00C30B65"/>
    <w:p w:rsidR="00700141" w:rsidRDefault="00C30B65" w:rsidP="00C30B65">
      <w:r>
        <w:t xml:space="preserve">Between March and September, </w:t>
      </w:r>
      <w:r w:rsidRPr="00B7062B">
        <w:t>Indicators 3 and 5</w:t>
      </w:r>
      <w:r w:rsidRPr="00DC4C78">
        <w:t xml:space="preserve"> (WCTO core contacts and enrolment in oral health services) </w:t>
      </w:r>
      <w:r>
        <w:t xml:space="preserve">continued to reveal </w:t>
      </w:r>
      <w:r w:rsidRPr="00DC4C78">
        <w:t xml:space="preserve">significant inequities. </w:t>
      </w:r>
      <w:r>
        <w:t>In September, o</w:t>
      </w:r>
      <w:r w:rsidRPr="00DC4C78">
        <w:t>nly 52 percent of M</w:t>
      </w:r>
      <w:r>
        <w:t>ā</w:t>
      </w:r>
      <w:r w:rsidRPr="00DC4C78">
        <w:t xml:space="preserve">ori and 53 percent of Pacific children </w:t>
      </w:r>
      <w:r>
        <w:t xml:space="preserve">were </w:t>
      </w:r>
      <w:r w:rsidRPr="00DC4C78">
        <w:t>receiving all their WCTO core contacts in their first year</w:t>
      </w:r>
      <w:r>
        <w:t>,</w:t>
      </w:r>
      <w:r w:rsidRPr="00DC4C78">
        <w:t xml:space="preserve"> compared with 68 percent of the total population. </w:t>
      </w:r>
      <w:r>
        <w:t>Additionally, Māori</w:t>
      </w:r>
      <w:r w:rsidRPr="00DC4C78">
        <w:t xml:space="preserve"> children were far less likely to be enrolled in oral health services compared to the total population (61 percent of </w:t>
      </w:r>
      <w:r>
        <w:t>Māori</w:t>
      </w:r>
      <w:r w:rsidRPr="00DC4C78">
        <w:t xml:space="preserve"> children compared to 76 percent of the total population). Of particular concern </w:t>
      </w:r>
      <w:r>
        <w:t xml:space="preserve">were </w:t>
      </w:r>
      <w:r w:rsidRPr="00DC4C78">
        <w:t>several low</w:t>
      </w:r>
      <w:r>
        <w:t>-</w:t>
      </w:r>
      <w:r w:rsidRPr="00DC4C78">
        <w:t xml:space="preserve">performing DHBs </w:t>
      </w:r>
      <w:r>
        <w:t xml:space="preserve">in which </w:t>
      </w:r>
      <w:r w:rsidRPr="00DC4C78">
        <w:t xml:space="preserve">less than </w:t>
      </w:r>
      <w:r>
        <w:t>one-</w:t>
      </w:r>
      <w:r w:rsidRPr="00DC4C78">
        <w:t xml:space="preserve">third of </w:t>
      </w:r>
      <w:r>
        <w:t>Māori</w:t>
      </w:r>
      <w:r w:rsidRPr="00DC4C78">
        <w:t xml:space="preserve"> children were enrolled in oral health services.</w:t>
      </w:r>
    </w:p>
    <w:p w:rsidR="00C30B65" w:rsidRPr="00DC4C78" w:rsidRDefault="00C30B65" w:rsidP="00C30B65"/>
    <w:p w:rsidR="00700141" w:rsidRDefault="00C30B65" w:rsidP="00C30B65">
      <w:r>
        <w:t xml:space="preserve">In September, </w:t>
      </w:r>
      <w:r w:rsidRPr="00DC4C78">
        <w:t>Pacific children continue</w:t>
      </w:r>
      <w:r>
        <w:t>d</w:t>
      </w:r>
      <w:r w:rsidRPr="00DC4C78">
        <w:t xml:space="preserve"> to have the highest rate for </w:t>
      </w:r>
      <w:r w:rsidRPr="00B7062B">
        <w:t>Indicator 6: Immunisations are up to date by eight months</w:t>
      </w:r>
      <w:r w:rsidRPr="00DC4C78">
        <w:t xml:space="preserve">, meaning that, nationally, they </w:t>
      </w:r>
      <w:r>
        <w:t>were</w:t>
      </w:r>
      <w:r w:rsidRPr="00DC4C78">
        <w:t xml:space="preserve"> the only population group meeting the Better Public Service target</w:t>
      </w:r>
      <w:r>
        <w:t xml:space="preserve"> of </w:t>
      </w:r>
      <w:r w:rsidRPr="00DC4C78">
        <w:t>95 percent.</w:t>
      </w:r>
    </w:p>
    <w:p w:rsidR="00C30B65" w:rsidRPr="00DC4C78" w:rsidRDefault="00C30B65" w:rsidP="00C30B65"/>
    <w:p w:rsidR="00C30B65" w:rsidRPr="00DC4C78" w:rsidRDefault="00C30B65" w:rsidP="00C30B65">
      <w:pPr>
        <w:pStyle w:val="Heading2"/>
        <w:tabs>
          <w:tab w:val="left" w:pos="3960"/>
        </w:tabs>
      </w:pPr>
      <w:bookmarkStart w:id="37" w:name="_Toc365618441"/>
      <w:bookmarkStart w:id="38" w:name="_Toc384620264"/>
      <w:bookmarkStart w:id="39" w:name="_Toc418322774"/>
      <w:bookmarkStart w:id="40" w:name="_Toc419099442"/>
      <w:bookmarkStart w:id="41" w:name="_Toc440387788"/>
      <w:r w:rsidRPr="00DC4C78">
        <w:lastRenderedPageBreak/>
        <w:t>WCTO Quality Improvement Framework Indicator 1</w:t>
      </w:r>
      <w:bookmarkEnd w:id="37"/>
      <w:bookmarkEnd w:id="38"/>
      <w:bookmarkEnd w:id="39"/>
      <w:bookmarkEnd w:id="40"/>
      <w:bookmarkEnd w:id="41"/>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701"/>
        <w:gridCol w:w="7655"/>
      </w:tblGrid>
      <w:tr w:rsidR="00C30B65" w:rsidRPr="00DC4C78" w:rsidTr="00C30B65">
        <w:trPr>
          <w:cantSplit/>
        </w:trPr>
        <w:tc>
          <w:tcPr>
            <w:tcW w:w="1701" w:type="dxa"/>
            <w:tcBorders>
              <w:top w:val="single" w:sz="4" w:space="0" w:color="auto"/>
              <w:bottom w:val="nil"/>
            </w:tcBorders>
            <w:shd w:val="clear" w:color="auto" w:fill="F2F2F2"/>
          </w:tcPr>
          <w:p w:rsidR="00C30B65" w:rsidRPr="00DC4C78" w:rsidRDefault="00C30B65" w:rsidP="00C30B65">
            <w:pPr>
              <w:pStyle w:val="TableText"/>
              <w:rPr>
                <w:b/>
              </w:rPr>
            </w:pPr>
            <w:r w:rsidRPr="00DC4C78">
              <w:rPr>
                <w:b/>
              </w:rPr>
              <w:t>Standard</w:t>
            </w:r>
          </w:p>
        </w:tc>
        <w:tc>
          <w:tcPr>
            <w:tcW w:w="7655" w:type="dxa"/>
            <w:tcBorders>
              <w:top w:val="single" w:sz="4" w:space="0" w:color="auto"/>
              <w:bottom w:val="nil"/>
            </w:tcBorders>
            <w:shd w:val="clear" w:color="auto" w:fill="F2F2F2"/>
          </w:tcPr>
          <w:p w:rsidR="00C30B65" w:rsidRPr="00DC4C78" w:rsidRDefault="00C30B65" w:rsidP="00C30B65">
            <w:pPr>
              <w:pStyle w:val="TableText"/>
            </w:pPr>
            <w:r w:rsidRPr="00DC4C78">
              <w:t>All children and families</w:t>
            </w:r>
            <w:r>
              <w:t>/</w:t>
            </w:r>
            <w:proofErr w:type="spellStart"/>
            <w:r>
              <w:t>wh</w:t>
            </w:r>
            <w:r w:rsidRPr="00A70C21">
              <w:t>ā</w:t>
            </w:r>
            <w:r>
              <w:t>nau</w:t>
            </w:r>
            <w:proofErr w:type="spellEnd"/>
            <w:r w:rsidRPr="00DC4C78">
              <w:t xml:space="preserve"> have access to primary care, WCTO services (including the B4School Check) and early childhood education.</w:t>
            </w:r>
          </w:p>
        </w:tc>
      </w:tr>
      <w:tr w:rsidR="00C30B65" w:rsidRPr="00DC4C78" w:rsidTr="00C30B65">
        <w:trPr>
          <w:cantSplit/>
        </w:trPr>
        <w:tc>
          <w:tcPr>
            <w:tcW w:w="1701" w:type="dxa"/>
            <w:tcBorders>
              <w:top w:val="nil"/>
              <w:bottom w:val="nil"/>
            </w:tcBorders>
            <w:shd w:val="clear" w:color="auto" w:fill="auto"/>
          </w:tcPr>
          <w:p w:rsidR="00C30B65" w:rsidRPr="00DC4C78" w:rsidRDefault="00C30B65" w:rsidP="00C30B65">
            <w:pPr>
              <w:pStyle w:val="TableText"/>
              <w:rPr>
                <w:b/>
              </w:rPr>
            </w:pPr>
            <w:r w:rsidRPr="00DC4C78">
              <w:rPr>
                <w:b/>
              </w:rPr>
              <w:t>Indicator</w:t>
            </w:r>
          </w:p>
        </w:tc>
        <w:tc>
          <w:tcPr>
            <w:tcW w:w="7655" w:type="dxa"/>
            <w:tcBorders>
              <w:top w:val="nil"/>
              <w:bottom w:val="nil"/>
            </w:tcBorders>
          </w:tcPr>
          <w:p w:rsidR="00C30B65" w:rsidRPr="00DC4C78" w:rsidRDefault="00C30B65" w:rsidP="00C30B65">
            <w:pPr>
              <w:pStyle w:val="TableText"/>
            </w:pPr>
            <w:proofErr w:type="spellStart"/>
            <w:r w:rsidRPr="00DC4C78">
              <w:t>Newborns</w:t>
            </w:r>
            <w:proofErr w:type="spellEnd"/>
            <w:r w:rsidRPr="00DC4C78">
              <w:t xml:space="preserve"> are enrolled with a primary health organisation (PHO</w:t>
            </w:r>
            <w:r>
              <w:t>)</w:t>
            </w:r>
            <w:r w:rsidRPr="00DC4C78">
              <w:t xml:space="preserve"> by three months.</w:t>
            </w:r>
            <w:r w:rsidRPr="00DC4C78">
              <w:rPr>
                <w:rStyle w:val="FootnoteReference"/>
              </w:rPr>
              <w:footnoteReference w:id="1"/>
            </w:r>
          </w:p>
        </w:tc>
      </w:tr>
      <w:tr w:rsidR="00C30B65" w:rsidRPr="00DC4C78" w:rsidTr="00C30B65">
        <w:trPr>
          <w:cantSplit/>
        </w:trPr>
        <w:tc>
          <w:tcPr>
            <w:tcW w:w="1701" w:type="dxa"/>
            <w:tcBorders>
              <w:top w:val="nil"/>
              <w:bottom w:val="nil"/>
            </w:tcBorders>
            <w:shd w:val="clear" w:color="auto" w:fill="F2F2F2"/>
          </w:tcPr>
          <w:p w:rsidR="00C30B65" w:rsidRPr="00DC4C78" w:rsidRDefault="00C30B65" w:rsidP="00C30B65">
            <w:pPr>
              <w:pStyle w:val="TableText"/>
              <w:rPr>
                <w:b/>
              </w:rPr>
            </w:pPr>
            <w:r w:rsidRPr="00DC4C78">
              <w:rPr>
                <w:b/>
              </w:rPr>
              <w:t>Target by December 2014</w:t>
            </w:r>
          </w:p>
        </w:tc>
        <w:tc>
          <w:tcPr>
            <w:tcW w:w="7655" w:type="dxa"/>
            <w:tcBorders>
              <w:top w:val="nil"/>
              <w:bottom w:val="nil"/>
            </w:tcBorders>
            <w:shd w:val="clear" w:color="auto" w:fill="F2F2F2"/>
          </w:tcPr>
          <w:p w:rsidR="00C30B65" w:rsidRPr="00DC4C78" w:rsidRDefault="00C30B65" w:rsidP="00C30B65">
            <w:pPr>
              <w:pStyle w:val="TableText"/>
            </w:pPr>
            <w:r w:rsidRPr="00DC4C78">
              <w:t>88 percent</w:t>
            </w:r>
          </w:p>
        </w:tc>
      </w:tr>
      <w:tr w:rsidR="00C30B65" w:rsidRPr="00DC4C78" w:rsidTr="00C30B65">
        <w:trPr>
          <w:cantSplit/>
        </w:trPr>
        <w:tc>
          <w:tcPr>
            <w:tcW w:w="1701" w:type="dxa"/>
            <w:tcBorders>
              <w:top w:val="nil"/>
            </w:tcBorders>
            <w:shd w:val="clear" w:color="auto" w:fill="auto"/>
          </w:tcPr>
          <w:p w:rsidR="00C30B65" w:rsidRPr="00DC4C78" w:rsidRDefault="00C30B65" w:rsidP="00C30B65">
            <w:pPr>
              <w:pStyle w:val="TableText"/>
              <w:rPr>
                <w:b/>
              </w:rPr>
            </w:pPr>
            <w:r w:rsidRPr="00DC4C78">
              <w:rPr>
                <w:b/>
              </w:rPr>
              <w:t>Target by June 2016</w:t>
            </w:r>
          </w:p>
        </w:tc>
        <w:tc>
          <w:tcPr>
            <w:tcW w:w="7655" w:type="dxa"/>
            <w:tcBorders>
              <w:top w:val="nil"/>
            </w:tcBorders>
          </w:tcPr>
          <w:p w:rsidR="00C30B65" w:rsidRPr="00DC4C78" w:rsidRDefault="00C30B65" w:rsidP="00C30B65">
            <w:pPr>
              <w:pStyle w:val="TableText"/>
            </w:pPr>
            <w:r w:rsidRPr="00DC4C78">
              <w:t>98 percent</w:t>
            </w:r>
          </w:p>
        </w:tc>
      </w:tr>
    </w:tbl>
    <w:p w:rsidR="00C30B65" w:rsidRPr="00DC4C78" w:rsidRDefault="00C30B65" w:rsidP="00C30B65"/>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93"/>
        <w:gridCol w:w="1843"/>
        <w:gridCol w:w="1701"/>
        <w:gridCol w:w="1458"/>
        <w:gridCol w:w="1660"/>
      </w:tblGrid>
      <w:tr w:rsidR="00C30B65" w:rsidRPr="00DC4C78" w:rsidTr="00C30B65">
        <w:trPr>
          <w:cantSplit/>
        </w:trPr>
        <w:tc>
          <w:tcPr>
            <w:tcW w:w="1439" w:type="pct"/>
            <w:shd w:val="clear" w:color="auto" w:fill="F2F2F2"/>
          </w:tcPr>
          <w:p w:rsidR="00C30B65" w:rsidRPr="00DC4C78" w:rsidRDefault="00C30B65" w:rsidP="00C30B65">
            <w:pPr>
              <w:pStyle w:val="TableText"/>
              <w:rPr>
                <w:b/>
              </w:rPr>
            </w:pPr>
          </w:p>
        </w:tc>
        <w:tc>
          <w:tcPr>
            <w:tcW w:w="985" w:type="pct"/>
            <w:shd w:val="clear" w:color="auto" w:fill="F2F2F2"/>
          </w:tcPr>
          <w:p w:rsidR="00C30B65" w:rsidRPr="00DC4C78" w:rsidRDefault="00C30B65" w:rsidP="00C30B65">
            <w:pPr>
              <w:pStyle w:val="TableText"/>
              <w:jc w:val="center"/>
              <w:rPr>
                <w:b/>
              </w:rPr>
            </w:pPr>
            <w:r w:rsidRPr="00DC4C78">
              <w:rPr>
                <w:b/>
              </w:rPr>
              <w:t>Total New Zealand</w:t>
            </w:r>
          </w:p>
        </w:tc>
        <w:tc>
          <w:tcPr>
            <w:tcW w:w="909" w:type="pct"/>
            <w:shd w:val="clear" w:color="auto" w:fill="F2F2F2"/>
          </w:tcPr>
          <w:p w:rsidR="00C30B65" w:rsidRPr="00DC4C78" w:rsidRDefault="00C30B65" w:rsidP="00C30B65">
            <w:pPr>
              <w:pStyle w:val="TableText"/>
              <w:jc w:val="center"/>
              <w:rPr>
                <w:b/>
              </w:rPr>
            </w:pPr>
            <w:r w:rsidRPr="00DC4C78">
              <w:rPr>
                <w:b/>
              </w:rPr>
              <w:t>High deprivation</w:t>
            </w:r>
          </w:p>
        </w:tc>
        <w:tc>
          <w:tcPr>
            <w:tcW w:w="779" w:type="pct"/>
            <w:shd w:val="clear" w:color="auto" w:fill="F2F2F2"/>
          </w:tcPr>
          <w:p w:rsidR="00C30B65" w:rsidRPr="00DC4C78" w:rsidRDefault="00C30B65" w:rsidP="00C30B65">
            <w:pPr>
              <w:pStyle w:val="TableText"/>
              <w:jc w:val="center"/>
              <w:rPr>
                <w:b/>
              </w:rPr>
            </w:pPr>
            <w:r w:rsidRPr="00DC4C78">
              <w:rPr>
                <w:b/>
              </w:rPr>
              <w:t>Māori</w:t>
            </w:r>
          </w:p>
        </w:tc>
        <w:tc>
          <w:tcPr>
            <w:tcW w:w="887" w:type="pct"/>
            <w:shd w:val="clear" w:color="auto" w:fill="F2F2F2"/>
          </w:tcPr>
          <w:p w:rsidR="00C30B65" w:rsidRPr="00DC4C78" w:rsidRDefault="00C30B65" w:rsidP="00C30B65">
            <w:pPr>
              <w:pStyle w:val="TableText"/>
              <w:jc w:val="center"/>
              <w:rPr>
                <w:b/>
              </w:rPr>
            </w:pPr>
            <w:r w:rsidRPr="00DC4C78">
              <w:rPr>
                <w:b/>
              </w:rPr>
              <w:t>Pacific peoples</w:t>
            </w:r>
          </w:p>
        </w:tc>
      </w:tr>
      <w:tr w:rsidR="00C30B65" w:rsidRPr="00DC4C78" w:rsidTr="00C30B65">
        <w:trPr>
          <w:cantSplit/>
        </w:trPr>
        <w:tc>
          <w:tcPr>
            <w:tcW w:w="1439" w:type="pct"/>
            <w:shd w:val="clear" w:color="auto" w:fill="auto"/>
          </w:tcPr>
          <w:p w:rsidR="00C30B65" w:rsidRPr="00DC4C78" w:rsidRDefault="00C30B65" w:rsidP="00C30B65">
            <w:pPr>
              <w:pStyle w:val="TableText"/>
            </w:pPr>
            <w:r w:rsidRPr="00DC4C78">
              <w:t>September 2015 mean (range)</w:t>
            </w:r>
          </w:p>
        </w:tc>
        <w:tc>
          <w:tcPr>
            <w:tcW w:w="985" w:type="pct"/>
            <w:shd w:val="clear" w:color="auto" w:fill="auto"/>
          </w:tcPr>
          <w:p w:rsidR="00C30B65" w:rsidRPr="00DC4C78" w:rsidRDefault="00C30B65" w:rsidP="00C30B65">
            <w:pPr>
              <w:pStyle w:val="TableText"/>
              <w:jc w:val="center"/>
            </w:pPr>
            <w:r w:rsidRPr="00DC4C78">
              <w:t>74% (62–87)</w:t>
            </w:r>
          </w:p>
        </w:tc>
        <w:tc>
          <w:tcPr>
            <w:tcW w:w="909" w:type="pct"/>
            <w:shd w:val="clear" w:color="auto" w:fill="auto"/>
          </w:tcPr>
          <w:p w:rsidR="00C30B65" w:rsidRPr="00DC4C78" w:rsidRDefault="00C30B65" w:rsidP="00C30B65">
            <w:pPr>
              <w:pStyle w:val="TableText"/>
              <w:jc w:val="center"/>
            </w:pPr>
            <w:r w:rsidRPr="00DC4C78">
              <w:t>N/A</w:t>
            </w:r>
          </w:p>
        </w:tc>
        <w:tc>
          <w:tcPr>
            <w:tcW w:w="779" w:type="pct"/>
            <w:shd w:val="clear" w:color="auto" w:fill="auto"/>
          </w:tcPr>
          <w:p w:rsidR="00C30B65" w:rsidRPr="00DC4C78" w:rsidRDefault="00C30B65" w:rsidP="00C30B65">
            <w:pPr>
              <w:pStyle w:val="TableText"/>
              <w:jc w:val="center"/>
            </w:pPr>
            <w:r w:rsidRPr="00DC4C78">
              <w:t>78% (54–180)</w:t>
            </w:r>
          </w:p>
        </w:tc>
        <w:tc>
          <w:tcPr>
            <w:tcW w:w="887" w:type="pct"/>
            <w:shd w:val="clear" w:color="auto" w:fill="auto"/>
          </w:tcPr>
          <w:p w:rsidR="00C30B65" w:rsidRPr="00DC4C78" w:rsidRDefault="00C30B65" w:rsidP="00C30B65">
            <w:pPr>
              <w:pStyle w:val="TableText"/>
              <w:jc w:val="center"/>
            </w:pPr>
            <w:r w:rsidRPr="00DC4C78">
              <w:t>73% (53–94)</w:t>
            </w:r>
          </w:p>
        </w:tc>
      </w:tr>
      <w:tr w:rsidR="00C30B65" w:rsidRPr="00DC4C78" w:rsidTr="00C30B65">
        <w:trPr>
          <w:cantSplit/>
        </w:trPr>
        <w:tc>
          <w:tcPr>
            <w:tcW w:w="1439" w:type="pct"/>
            <w:shd w:val="clear" w:color="auto" w:fill="auto"/>
          </w:tcPr>
          <w:p w:rsidR="00C30B65" w:rsidRPr="00DC4C78" w:rsidRDefault="00C30B65" w:rsidP="00C30B65">
            <w:pPr>
              <w:pStyle w:val="TableText"/>
            </w:pPr>
            <w:r w:rsidRPr="00DC4C78">
              <w:t>March 2015 mean (range)</w:t>
            </w:r>
          </w:p>
        </w:tc>
        <w:tc>
          <w:tcPr>
            <w:tcW w:w="985" w:type="pct"/>
            <w:shd w:val="clear" w:color="auto" w:fill="auto"/>
          </w:tcPr>
          <w:p w:rsidR="00C30B65" w:rsidRPr="00DC4C78" w:rsidRDefault="00C30B65" w:rsidP="00C30B65">
            <w:pPr>
              <w:pStyle w:val="TableText"/>
              <w:jc w:val="center"/>
            </w:pPr>
            <w:r w:rsidRPr="00DC4C78">
              <w:t>65% (57–85)</w:t>
            </w:r>
          </w:p>
        </w:tc>
        <w:tc>
          <w:tcPr>
            <w:tcW w:w="909" w:type="pct"/>
            <w:shd w:val="clear" w:color="auto" w:fill="auto"/>
          </w:tcPr>
          <w:p w:rsidR="00C30B65" w:rsidRPr="00DC4C78" w:rsidRDefault="00C30B65" w:rsidP="00C30B65">
            <w:pPr>
              <w:pStyle w:val="TableText"/>
              <w:jc w:val="center"/>
            </w:pPr>
            <w:r w:rsidRPr="00DC4C78">
              <w:t>N/A</w:t>
            </w:r>
          </w:p>
        </w:tc>
        <w:tc>
          <w:tcPr>
            <w:tcW w:w="779" w:type="pct"/>
            <w:shd w:val="clear" w:color="auto" w:fill="auto"/>
          </w:tcPr>
          <w:p w:rsidR="00C30B65" w:rsidRPr="00DC4C78" w:rsidRDefault="00C30B65" w:rsidP="00C30B65">
            <w:pPr>
              <w:pStyle w:val="TableText"/>
              <w:jc w:val="center"/>
            </w:pPr>
            <w:r w:rsidRPr="00DC4C78">
              <w:t>70% (55–117)</w:t>
            </w:r>
          </w:p>
        </w:tc>
        <w:tc>
          <w:tcPr>
            <w:tcW w:w="887" w:type="pct"/>
            <w:shd w:val="clear" w:color="auto" w:fill="auto"/>
          </w:tcPr>
          <w:p w:rsidR="00C30B65" w:rsidRPr="00DC4C78" w:rsidRDefault="00C30B65" w:rsidP="00C30B65">
            <w:pPr>
              <w:pStyle w:val="TableText"/>
              <w:jc w:val="center"/>
            </w:pPr>
            <w:r w:rsidRPr="00DC4C78">
              <w:t>60% (54–85)</w:t>
            </w:r>
          </w:p>
        </w:tc>
      </w:tr>
    </w:tbl>
    <w:p w:rsidR="00C30B65" w:rsidRPr="00DC4C78" w:rsidRDefault="00C30B65" w:rsidP="00C30B65">
      <w:bookmarkStart w:id="42" w:name="_Toc384620297"/>
    </w:p>
    <w:p w:rsidR="00700141" w:rsidRDefault="00C30B65" w:rsidP="00C30B65">
      <w:pPr>
        <w:pStyle w:val="Figure"/>
      </w:pPr>
      <w:bookmarkStart w:id="43" w:name="_Toc405447416"/>
      <w:bookmarkStart w:id="44" w:name="_Toc417554766"/>
      <w:bookmarkStart w:id="45" w:name="_Toc436750498"/>
      <w:bookmarkStart w:id="46" w:name="_Toc440387821"/>
      <w:bookmarkEnd w:id="42"/>
      <w:r w:rsidRPr="00DC4C78">
        <w:t xml:space="preserve">Figure 1: </w:t>
      </w:r>
      <w:proofErr w:type="spellStart"/>
      <w:r w:rsidRPr="00DC4C78">
        <w:t>Newborns</w:t>
      </w:r>
      <w:proofErr w:type="spellEnd"/>
      <w:r w:rsidRPr="00DC4C78">
        <w:t xml:space="preserve"> enrolled with a </w:t>
      </w:r>
      <w:r>
        <w:t>primary health organisation</w:t>
      </w:r>
      <w:r w:rsidRPr="00DC4C78">
        <w:t xml:space="preserve"> by three months, total New Zealand</w:t>
      </w:r>
      <w:bookmarkEnd w:id="43"/>
      <w:bookmarkEnd w:id="44"/>
      <w:bookmarkEnd w:id="45"/>
      <w:bookmarkEnd w:id="46"/>
    </w:p>
    <w:p w:rsidR="00C30B65" w:rsidRPr="00DC4C78" w:rsidRDefault="00842135" w:rsidP="00842135">
      <w:r>
        <w:rPr>
          <w:noProof/>
          <w:lang w:eastAsia="en-NZ"/>
        </w:rPr>
        <w:drawing>
          <wp:inline distT="0" distB="0" distL="0" distR="0" wp14:anchorId="14842E3B">
            <wp:extent cx="4320000" cy="2520000"/>
            <wp:effectExtent l="0" t="0" r="4445" b="0"/>
            <wp:docPr id="8" name="Picture 8" title="Figure 1: Newborns enrolled with a primary health organisation by three months, total New Zeala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inline>
        </w:drawing>
      </w:r>
    </w:p>
    <w:p w:rsidR="00C30B65" w:rsidRPr="00DC4C78" w:rsidRDefault="00C30B65" w:rsidP="00C30B65"/>
    <w:p w:rsidR="00C30B65" w:rsidRPr="00DC4C78" w:rsidRDefault="00C30B65" w:rsidP="00C30B65">
      <w:pPr>
        <w:pStyle w:val="Figure"/>
      </w:pPr>
      <w:bookmarkStart w:id="47" w:name="_Toc405447417"/>
      <w:bookmarkStart w:id="48" w:name="_Toc417554767"/>
      <w:bookmarkStart w:id="49" w:name="_Toc436750499"/>
      <w:bookmarkStart w:id="50" w:name="_Toc440387822"/>
      <w:r w:rsidRPr="00DC4C78">
        <w:lastRenderedPageBreak/>
        <w:t xml:space="preserve">Figure 2: </w:t>
      </w:r>
      <w:proofErr w:type="spellStart"/>
      <w:r w:rsidRPr="00DC4C78">
        <w:t>Newborns</w:t>
      </w:r>
      <w:proofErr w:type="spellEnd"/>
      <w:r w:rsidRPr="00DC4C78">
        <w:t xml:space="preserve"> enrolled with a </w:t>
      </w:r>
      <w:r>
        <w:t>primary health organisation</w:t>
      </w:r>
      <w:r w:rsidRPr="00DC4C78">
        <w:t xml:space="preserve"> by three months, Māori</w:t>
      </w:r>
      <w:bookmarkEnd w:id="47"/>
      <w:bookmarkEnd w:id="48"/>
      <w:bookmarkEnd w:id="49"/>
      <w:bookmarkEnd w:id="50"/>
    </w:p>
    <w:p w:rsidR="00C30B65" w:rsidRPr="00DC4C78" w:rsidRDefault="00842135" w:rsidP="00842135">
      <w:r>
        <w:rPr>
          <w:noProof/>
          <w:lang w:eastAsia="en-NZ"/>
        </w:rPr>
        <w:drawing>
          <wp:inline distT="0" distB="0" distL="0" distR="0" wp14:anchorId="71B061C1">
            <wp:extent cx="4320000" cy="2592000"/>
            <wp:effectExtent l="0" t="0" r="4445" b="0"/>
            <wp:docPr id="25" name="Picture 25" title="Figure 2: Newborns enrolled with a primary health organisation by three months, Māor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20000" cy="2592000"/>
                    </a:xfrm>
                    <a:prstGeom prst="rect">
                      <a:avLst/>
                    </a:prstGeom>
                    <a:noFill/>
                  </pic:spPr>
                </pic:pic>
              </a:graphicData>
            </a:graphic>
          </wp:inline>
        </w:drawing>
      </w:r>
    </w:p>
    <w:p w:rsidR="00C30B65" w:rsidRPr="00DC4C78" w:rsidRDefault="00C30B65" w:rsidP="00C30B65">
      <w:bookmarkStart w:id="51" w:name="_Toc405447418"/>
      <w:bookmarkStart w:id="52" w:name="_Toc417554768"/>
    </w:p>
    <w:p w:rsidR="00C30B65" w:rsidRPr="00DC4C78" w:rsidRDefault="00C30B65" w:rsidP="00C30B65">
      <w:pPr>
        <w:pStyle w:val="Figure"/>
      </w:pPr>
      <w:bookmarkStart w:id="53" w:name="_Toc436750500"/>
      <w:bookmarkStart w:id="54" w:name="_Toc440387823"/>
      <w:r w:rsidRPr="00DC4C78">
        <w:t xml:space="preserve">Figure 3: </w:t>
      </w:r>
      <w:proofErr w:type="spellStart"/>
      <w:r w:rsidRPr="00DC4C78">
        <w:t>Newborns</w:t>
      </w:r>
      <w:proofErr w:type="spellEnd"/>
      <w:r w:rsidRPr="00DC4C78">
        <w:t xml:space="preserve"> enrolled with a </w:t>
      </w:r>
      <w:r>
        <w:t>primary health organisation</w:t>
      </w:r>
      <w:r w:rsidRPr="00DC4C78">
        <w:t xml:space="preserve"> by three months, Pacific peoples</w:t>
      </w:r>
      <w:bookmarkEnd w:id="51"/>
      <w:bookmarkEnd w:id="52"/>
      <w:bookmarkEnd w:id="53"/>
      <w:bookmarkEnd w:id="54"/>
    </w:p>
    <w:p w:rsidR="00C30B65" w:rsidRPr="00DC4C78" w:rsidRDefault="00842135" w:rsidP="00842135">
      <w:r>
        <w:rPr>
          <w:noProof/>
          <w:lang w:eastAsia="en-NZ"/>
        </w:rPr>
        <w:drawing>
          <wp:inline distT="0" distB="0" distL="0" distR="0" wp14:anchorId="6CB8DAAD">
            <wp:extent cx="4320000" cy="2520000"/>
            <wp:effectExtent l="0" t="0" r="4445" b="0"/>
            <wp:docPr id="29" name="Picture 29" title="Figure 3: Newborns enrolled with a primary health organisation by three months, Pacific peop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inline>
        </w:drawing>
      </w:r>
    </w:p>
    <w:p w:rsidR="00C30B65" w:rsidRPr="00DC4C78" w:rsidRDefault="00C30B65" w:rsidP="00C30B65"/>
    <w:p w:rsidR="00C30B65" w:rsidRPr="00DC4C78" w:rsidRDefault="00C30B65" w:rsidP="00C30B65">
      <w:pPr>
        <w:pStyle w:val="Heading3"/>
      </w:pPr>
      <w:r w:rsidRPr="00DC4C78">
        <w:t>Data notes</w:t>
      </w:r>
    </w:p>
    <w:p w:rsidR="00C30B65" w:rsidRPr="00DC4C78" w:rsidRDefault="00C30B65" w:rsidP="00C30B65">
      <w:pPr>
        <w:pStyle w:val="Bullet"/>
      </w:pPr>
      <w:r w:rsidRPr="00DC4C78">
        <w:t>No bar on graph = fewer than 20 infants in that population.</w:t>
      </w:r>
    </w:p>
    <w:p w:rsidR="00C30B65" w:rsidRPr="00DC4C78" w:rsidRDefault="00C30B65" w:rsidP="00C30B65">
      <w:pPr>
        <w:pStyle w:val="Bullet"/>
      </w:pPr>
      <w:r w:rsidRPr="00DC4C78">
        <w:t>Data is not available by deprivation quintile.</w:t>
      </w:r>
    </w:p>
    <w:p w:rsidR="00C30B65" w:rsidRPr="00DC4C78" w:rsidRDefault="00C30B65" w:rsidP="00C30B65">
      <w:pPr>
        <w:pStyle w:val="Bullet"/>
      </w:pPr>
      <w:r w:rsidRPr="00DC4C78">
        <w:t>Time period: births between 20 February 2015 and 19 May 2015.</w:t>
      </w:r>
    </w:p>
    <w:p w:rsidR="00C30B65" w:rsidRPr="00DC4C78" w:rsidRDefault="00C30B65" w:rsidP="00C30B65">
      <w:pPr>
        <w:pStyle w:val="Bullet"/>
      </w:pPr>
      <w:r w:rsidRPr="00DC4C78">
        <w:t>The data excludes overseas DHB and undefined DHB.</w:t>
      </w:r>
    </w:p>
    <w:p w:rsidR="00C30B65" w:rsidRPr="00DC4C78" w:rsidRDefault="00C30B65" w:rsidP="00C30B65">
      <w:pPr>
        <w:pStyle w:val="Bullet"/>
      </w:pPr>
      <w:r w:rsidRPr="00DC4C78">
        <w:t>Numerator: enrolments of infants under three months with a PHO.</w:t>
      </w:r>
    </w:p>
    <w:p w:rsidR="00C30B65" w:rsidRPr="00DC4C78" w:rsidRDefault="00C30B65" w:rsidP="00C30B65">
      <w:pPr>
        <w:pStyle w:val="Bullet"/>
      </w:pPr>
      <w:r w:rsidRPr="00DC4C78">
        <w:t>Denominator: births reported to the National Immunisation Register.</w:t>
      </w:r>
    </w:p>
    <w:p w:rsidR="00C30B65" w:rsidRPr="00DC4C78" w:rsidRDefault="00C30B65" w:rsidP="00C30B65">
      <w:pPr>
        <w:pStyle w:val="Bullet"/>
      </w:pPr>
      <w:r w:rsidRPr="00DC4C78">
        <w:t>Rates of greater than 100% for ethnic subgroups is likely due to variation in ethnicity reporting in different systems</w:t>
      </w:r>
    </w:p>
    <w:p w:rsidR="00C30B65" w:rsidRPr="00DC4C78" w:rsidRDefault="00C30B65" w:rsidP="00C30B65"/>
    <w:p w:rsidR="00C30B65" w:rsidRPr="00DC4C78" w:rsidRDefault="00C30B65" w:rsidP="00C30B65">
      <w:pPr>
        <w:pStyle w:val="Heading2"/>
        <w:spacing w:before="0"/>
      </w:pPr>
      <w:bookmarkStart w:id="55" w:name="_Toc365618442"/>
      <w:bookmarkStart w:id="56" w:name="_Toc405453765"/>
      <w:bookmarkStart w:id="57" w:name="_Toc418322775"/>
      <w:bookmarkStart w:id="58" w:name="_Toc419099443"/>
      <w:bookmarkStart w:id="59" w:name="_Toc440387789"/>
      <w:r w:rsidRPr="00DC4C78">
        <w:lastRenderedPageBreak/>
        <w:t>WCTO Quality Improvement Framework Indicator 2</w:t>
      </w:r>
      <w:bookmarkEnd w:id="55"/>
      <w:bookmarkEnd w:id="56"/>
      <w:bookmarkEnd w:id="57"/>
      <w:bookmarkEnd w:id="58"/>
      <w:bookmarkEnd w:id="59"/>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701"/>
        <w:gridCol w:w="7655"/>
      </w:tblGrid>
      <w:tr w:rsidR="00C30B65" w:rsidRPr="00DC4C78" w:rsidTr="00C30B65">
        <w:trPr>
          <w:cantSplit/>
        </w:trPr>
        <w:tc>
          <w:tcPr>
            <w:tcW w:w="1701" w:type="dxa"/>
            <w:tcBorders>
              <w:top w:val="single" w:sz="4" w:space="0" w:color="auto"/>
              <w:bottom w:val="nil"/>
            </w:tcBorders>
            <w:shd w:val="clear" w:color="auto" w:fill="F2F2F2"/>
          </w:tcPr>
          <w:p w:rsidR="00C30B65" w:rsidRPr="00DC4C78" w:rsidRDefault="00C30B65" w:rsidP="00700141">
            <w:pPr>
              <w:pStyle w:val="TableText"/>
              <w:keepNext/>
              <w:rPr>
                <w:b/>
              </w:rPr>
            </w:pPr>
            <w:r w:rsidRPr="00DC4C78">
              <w:rPr>
                <w:b/>
              </w:rPr>
              <w:t>Standard</w:t>
            </w:r>
          </w:p>
        </w:tc>
        <w:tc>
          <w:tcPr>
            <w:tcW w:w="7655" w:type="dxa"/>
            <w:tcBorders>
              <w:top w:val="single" w:sz="4" w:space="0" w:color="auto"/>
              <w:bottom w:val="nil"/>
            </w:tcBorders>
            <w:shd w:val="clear" w:color="auto" w:fill="F2F2F2"/>
          </w:tcPr>
          <w:p w:rsidR="00C30B65" w:rsidRPr="00DC4C78" w:rsidRDefault="00C30B65" w:rsidP="00700141">
            <w:pPr>
              <w:pStyle w:val="TableText"/>
              <w:keepNext/>
            </w:pPr>
            <w:r w:rsidRPr="00B7062B">
              <w:t>All children and families/</w:t>
            </w:r>
            <w:proofErr w:type="spellStart"/>
            <w:r w:rsidRPr="00B7062B">
              <w:t>whānau</w:t>
            </w:r>
            <w:proofErr w:type="spellEnd"/>
            <w:r w:rsidRPr="00B7062B">
              <w:t xml:space="preserve"> have access to primary care, WCTO services (including the B4School Check) and early childhood education.</w:t>
            </w:r>
          </w:p>
        </w:tc>
      </w:tr>
      <w:tr w:rsidR="00C30B65" w:rsidRPr="00DC4C78" w:rsidTr="00C30B65">
        <w:trPr>
          <w:cantSplit/>
        </w:trPr>
        <w:tc>
          <w:tcPr>
            <w:tcW w:w="1701" w:type="dxa"/>
            <w:tcBorders>
              <w:top w:val="nil"/>
              <w:bottom w:val="nil"/>
            </w:tcBorders>
            <w:shd w:val="clear" w:color="auto" w:fill="auto"/>
          </w:tcPr>
          <w:p w:rsidR="00C30B65" w:rsidRPr="00DC4C78" w:rsidRDefault="00C30B65" w:rsidP="00E462BC">
            <w:pPr>
              <w:pStyle w:val="TableText"/>
              <w:keepNext/>
              <w:rPr>
                <w:b/>
              </w:rPr>
            </w:pPr>
            <w:r w:rsidRPr="00DC4C78">
              <w:rPr>
                <w:b/>
              </w:rPr>
              <w:t>Indicator</w:t>
            </w:r>
          </w:p>
        </w:tc>
        <w:tc>
          <w:tcPr>
            <w:tcW w:w="7655" w:type="dxa"/>
            <w:tcBorders>
              <w:top w:val="nil"/>
              <w:bottom w:val="nil"/>
            </w:tcBorders>
            <w:shd w:val="clear" w:color="auto" w:fill="auto"/>
          </w:tcPr>
          <w:p w:rsidR="00C30B65" w:rsidRPr="00DC4C78" w:rsidRDefault="00C30B65" w:rsidP="00E462BC">
            <w:pPr>
              <w:pStyle w:val="TableText"/>
              <w:keepNext/>
            </w:pPr>
            <w:r w:rsidRPr="00DC4C78">
              <w:t xml:space="preserve">Families and </w:t>
            </w:r>
            <w:proofErr w:type="spellStart"/>
            <w:r w:rsidRPr="00DC4C78">
              <w:t>wh</w:t>
            </w:r>
            <w:r w:rsidRPr="00DC4C78">
              <w:rPr>
                <w:rFonts w:cs="Arial"/>
              </w:rPr>
              <w:t>ā</w:t>
            </w:r>
            <w:r w:rsidRPr="00DC4C78">
              <w:t>nau</w:t>
            </w:r>
            <w:proofErr w:type="spellEnd"/>
            <w:r w:rsidRPr="00DC4C78">
              <w:t xml:space="preserve"> are referred from their lead maternity carer (LMC) to a WCTO provider.</w:t>
            </w:r>
          </w:p>
        </w:tc>
      </w:tr>
      <w:tr w:rsidR="00C30B65" w:rsidRPr="00DC4C78" w:rsidTr="00C30B65">
        <w:trPr>
          <w:cantSplit/>
        </w:trPr>
        <w:tc>
          <w:tcPr>
            <w:tcW w:w="1701" w:type="dxa"/>
            <w:tcBorders>
              <w:top w:val="nil"/>
              <w:bottom w:val="nil"/>
            </w:tcBorders>
            <w:shd w:val="clear" w:color="auto" w:fill="F2F2F2"/>
          </w:tcPr>
          <w:p w:rsidR="00C30B65" w:rsidRPr="00DC4C78" w:rsidRDefault="00C30B65" w:rsidP="00E462BC">
            <w:pPr>
              <w:pStyle w:val="TableText"/>
              <w:keepNext/>
              <w:rPr>
                <w:b/>
              </w:rPr>
            </w:pPr>
            <w:r w:rsidRPr="00DC4C78">
              <w:rPr>
                <w:b/>
              </w:rPr>
              <w:t>Target by December 2014</w:t>
            </w:r>
          </w:p>
        </w:tc>
        <w:tc>
          <w:tcPr>
            <w:tcW w:w="7655" w:type="dxa"/>
            <w:tcBorders>
              <w:top w:val="nil"/>
              <w:bottom w:val="nil"/>
            </w:tcBorders>
            <w:shd w:val="clear" w:color="auto" w:fill="F2F2F2"/>
          </w:tcPr>
          <w:p w:rsidR="00C30B65" w:rsidRPr="00DC4C78" w:rsidRDefault="00C30B65" w:rsidP="00E462BC">
            <w:pPr>
              <w:pStyle w:val="TableText"/>
              <w:keepNext/>
            </w:pPr>
            <w:r w:rsidRPr="00DC4C78">
              <w:t>88 percent</w:t>
            </w:r>
          </w:p>
        </w:tc>
      </w:tr>
      <w:tr w:rsidR="00C30B65" w:rsidRPr="00DC4C78" w:rsidTr="00C30B65">
        <w:trPr>
          <w:cantSplit/>
        </w:trPr>
        <w:tc>
          <w:tcPr>
            <w:tcW w:w="1701" w:type="dxa"/>
            <w:tcBorders>
              <w:top w:val="nil"/>
            </w:tcBorders>
            <w:shd w:val="clear" w:color="auto" w:fill="auto"/>
          </w:tcPr>
          <w:p w:rsidR="00C30B65" w:rsidRPr="00DC4C78" w:rsidRDefault="00C30B65" w:rsidP="00E462BC">
            <w:pPr>
              <w:pStyle w:val="TableText"/>
              <w:keepNext/>
              <w:rPr>
                <w:b/>
              </w:rPr>
            </w:pPr>
            <w:r w:rsidRPr="00DC4C78">
              <w:rPr>
                <w:b/>
              </w:rPr>
              <w:t>Target by June 2016</w:t>
            </w:r>
          </w:p>
        </w:tc>
        <w:tc>
          <w:tcPr>
            <w:tcW w:w="7655" w:type="dxa"/>
            <w:tcBorders>
              <w:top w:val="nil"/>
            </w:tcBorders>
            <w:shd w:val="clear" w:color="auto" w:fill="auto"/>
          </w:tcPr>
          <w:p w:rsidR="00C30B65" w:rsidRPr="00DC4C78" w:rsidRDefault="00C30B65" w:rsidP="00E462BC">
            <w:pPr>
              <w:pStyle w:val="TableText"/>
              <w:keepNext/>
            </w:pPr>
            <w:r w:rsidRPr="00DC4C78">
              <w:t>98 percent</w:t>
            </w:r>
          </w:p>
        </w:tc>
      </w:tr>
    </w:tbl>
    <w:p w:rsidR="00C30B65" w:rsidRPr="00DC4C78" w:rsidRDefault="00C30B65" w:rsidP="00E462BC">
      <w:pPr>
        <w:keepNext/>
      </w:pPr>
    </w:p>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93"/>
        <w:gridCol w:w="1843"/>
        <w:gridCol w:w="1701"/>
        <w:gridCol w:w="1458"/>
        <w:gridCol w:w="1660"/>
      </w:tblGrid>
      <w:tr w:rsidR="00C30B65" w:rsidRPr="00DC4C78" w:rsidTr="00C30B65">
        <w:trPr>
          <w:cantSplit/>
        </w:trPr>
        <w:tc>
          <w:tcPr>
            <w:tcW w:w="1440" w:type="pct"/>
            <w:shd w:val="clear" w:color="auto" w:fill="F2F2F2"/>
          </w:tcPr>
          <w:p w:rsidR="00C30B65" w:rsidRPr="00DC4C78" w:rsidRDefault="00C30B65" w:rsidP="00E462BC">
            <w:pPr>
              <w:pStyle w:val="TableText"/>
              <w:keepNext/>
              <w:rPr>
                <w:b/>
              </w:rPr>
            </w:pPr>
          </w:p>
        </w:tc>
        <w:tc>
          <w:tcPr>
            <w:tcW w:w="985" w:type="pct"/>
            <w:shd w:val="clear" w:color="auto" w:fill="F2F2F2"/>
          </w:tcPr>
          <w:p w:rsidR="00C30B65" w:rsidRPr="00DC4C78" w:rsidRDefault="00C30B65" w:rsidP="00E462BC">
            <w:pPr>
              <w:pStyle w:val="TableText"/>
              <w:keepNext/>
              <w:jc w:val="center"/>
              <w:rPr>
                <w:b/>
              </w:rPr>
            </w:pPr>
            <w:r w:rsidRPr="00DC4C78">
              <w:rPr>
                <w:b/>
              </w:rPr>
              <w:t>Total New Zealand</w:t>
            </w:r>
          </w:p>
        </w:tc>
        <w:tc>
          <w:tcPr>
            <w:tcW w:w="909" w:type="pct"/>
            <w:shd w:val="clear" w:color="auto" w:fill="F2F2F2"/>
          </w:tcPr>
          <w:p w:rsidR="00C30B65" w:rsidRPr="00DC4C78" w:rsidRDefault="00C30B65" w:rsidP="00E462BC">
            <w:pPr>
              <w:pStyle w:val="TableText"/>
              <w:keepNext/>
              <w:jc w:val="center"/>
              <w:rPr>
                <w:b/>
              </w:rPr>
            </w:pPr>
            <w:r w:rsidRPr="00DC4C78">
              <w:rPr>
                <w:b/>
              </w:rPr>
              <w:t>High deprivation</w:t>
            </w:r>
          </w:p>
        </w:tc>
        <w:tc>
          <w:tcPr>
            <w:tcW w:w="779" w:type="pct"/>
            <w:shd w:val="clear" w:color="auto" w:fill="F2F2F2"/>
          </w:tcPr>
          <w:p w:rsidR="00C30B65" w:rsidRPr="00DC4C78" w:rsidRDefault="00C30B65" w:rsidP="00E462BC">
            <w:pPr>
              <w:pStyle w:val="TableText"/>
              <w:keepNext/>
              <w:jc w:val="center"/>
              <w:rPr>
                <w:b/>
              </w:rPr>
            </w:pPr>
            <w:r w:rsidRPr="00DC4C78">
              <w:rPr>
                <w:b/>
              </w:rPr>
              <w:t>Māori</w:t>
            </w:r>
          </w:p>
        </w:tc>
        <w:tc>
          <w:tcPr>
            <w:tcW w:w="887" w:type="pct"/>
            <w:shd w:val="clear" w:color="auto" w:fill="F2F2F2"/>
          </w:tcPr>
          <w:p w:rsidR="00C30B65" w:rsidRPr="00DC4C78" w:rsidRDefault="00C30B65" w:rsidP="00E462BC">
            <w:pPr>
              <w:pStyle w:val="TableText"/>
              <w:keepNext/>
              <w:jc w:val="center"/>
              <w:rPr>
                <w:b/>
              </w:rPr>
            </w:pPr>
            <w:r w:rsidRPr="00DC4C78">
              <w:rPr>
                <w:b/>
              </w:rPr>
              <w:t>Pacific peoples</w:t>
            </w:r>
          </w:p>
        </w:tc>
      </w:tr>
      <w:tr w:rsidR="00C30B65" w:rsidRPr="00DC4C78" w:rsidTr="00C30B65">
        <w:trPr>
          <w:cantSplit/>
        </w:trPr>
        <w:tc>
          <w:tcPr>
            <w:tcW w:w="1440" w:type="pct"/>
            <w:shd w:val="clear" w:color="auto" w:fill="auto"/>
          </w:tcPr>
          <w:p w:rsidR="00C30B65" w:rsidRPr="00DC4C78" w:rsidRDefault="00C30B65" w:rsidP="00E462BC">
            <w:pPr>
              <w:pStyle w:val="TableText"/>
              <w:keepNext/>
            </w:pPr>
            <w:r w:rsidRPr="00DC4C78">
              <w:t>September 2015 mean (range)</w:t>
            </w:r>
          </w:p>
        </w:tc>
        <w:tc>
          <w:tcPr>
            <w:tcW w:w="985" w:type="pct"/>
            <w:shd w:val="clear" w:color="auto" w:fill="auto"/>
            <w:vAlign w:val="center"/>
          </w:tcPr>
          <w:p w:rsidR="00C30B65" w:rsidRPr="00DC4C78" w:rsidRDefault="00C30B65" w:rsidP="00E462BC">
            <w:pPr>
              <w:pStyle w:val="TableText"/>
              <w:keepNext/>
              <w:jc w:val="center"/>
            </w:pPr>
            <w:r w:rsidRPr="00DC4C78">
              <w:t>98% (95–100)</w:t>
            </w:r>
          </w:p>
        </w:tc>
        <w:tc>
          <w:tcPr>
            <w:tcW w:w="909" w:type="pct"/>
            <w:shd w:val="clear" w:color="auto" w:fill="auto"/>
            <w:vAlign w:val="center"/>
          </w:tcPr>
          <w:p w:rsidR="00C30B65" w:rsidRPr="00DC4C78" w:rsidRDefault="00C30B65" w:rsidP="00E462BC">
            <w:pPr>
              <w:pStyle w:val="TableText"/>
              <w:keepNext/>
              <w:jc w:val="center"/>
            </w:pPr>
            <w:r w:rsidRPr="00DC4C78">
              <w:t>98% (93–100)</w:t>
            </w:r>
          </w:p>
        </w:tc>
        <w:tc>
          <w:tcPr>
            <w:tcW w:w="779" w:type="pct"/>
            <w:shd w:val="clear" w:color="auto" w:fill="auto"/>
            <w:vAlign w:val="center"/>
          </w:tcPr>
          <w:p w:rsidR="00C30B65" w:rsidRPr="00DC4C78" w:rsidRDefault="00C30B65" w:rsidP="00E462BC">
            <w:pPr>
              <w:pStyle w:val="TableText"/>
              <w:keepNext/>
              <w:jc w:val="center"/>
            </w:pPr>
            <w:r w:rsidRPr="00DC4C78">
              <w:t>97% (92–100)</w:t>
            </w:r>
          </w:p>
        </w:tc>
        <w:tc>
          <w:tcPr>
            <w:tcW w:w="887" w:type="pct"/>
            <w:shd w:val="clear" w:color="auto" w:fill="auto"/>
            <w:vAlign w:val="center"/>
          </w:tcPr>
          <w:p w:rsidR="00C30B65" w:rsidRPr="00DC4C78" w:rsidRDefault="00C30B65" w:rsidP="00E462BC">
            <w:pPr>
              <w:pStyle w:val="TableText"/>
              <w:keepNext/>
              <w:jc w:val="center"/>
            </w:pPr>
            <w:r w:rsidRPr="00DC4C78">
              <w:t>98% (93–100)</w:t>
            </w:r>
          </w:p>
        </w:tc>
      </w:tr>
      <w:tr w:rsidR="00C30B65" w:rsidRPr="00DC4C78" w:rsidTr="00C30B65">
        <w:trPr>
          <w:cantSplit/>
        </w:trPr>
        <w:tc>
          <w:tcPr>
            <w:tcW w:w="1440" w:type="pct"/>
            <w:shd w:val="clear" w:color="auto" w:fill="auto"/>
          </w:tcPr>
          <w:p w:rsidR="00C30B65" w:rsidRPr="00DC4C78" w:rsidRDefault="00C30B65" w:rsidP="00E462BC">
            <w:pPr>
              <w:pStyle w:val="TableText"/>
              <w:keepNext/>
            </w:pPr>
            <w:r w:rsidRPr="00DC4C78">
              <w:t>March 2015 mean (range)</w:t>
            </w:r>
          </w:p>
        </w:tc>
        <w:tc>
          <w:tcPr>
            <w:tcW w:w="985" w:type="pct"/>
            <w:shd w:val="clear" w:color="auto" w:fill="auto"/>
            <w:vAlign w:val="center"/>
          </w:tcPr>
          <w:p w:rsidR="00C30B65" w:rsidRPr="00DC4C78" w:rsidRDefault="00C30B65" w:rsidP="00E462BC">
            <w:pPr>
              <w:pStyle w:val="TableText"/>
              <w:keepNext/>
              <w:jc w:val="center"/>
            </w:pPr>
            <w:r w:rsidRPr="00DC4C78">
              <w:t>97% (94–99)</w:t>
            </w:r>
          </w:p>
        </w:tc>
        <w:tc>
          <w:tcPr>
            <w:tcW w:w="909" w:type="pct"/>
            <w:shd w:val="clear" w:color="auto" w:fill="auto"/>
            <w:vAlign w:val="center"/>
          </w:tcPr>
          <w:p w:rsidR="00C30B65" w:rsidRPr="00DC4C78" w:rsidRDefault="00C30B65" w:rsidP="00E462BC">
            <w:pPr>
              <w:pStyle w:val="TableText"/>
              <w:keepNext/>
              <w:jc w:val="center"/>
            </w:pPr>
            <w:r w:rsidRPr="00DC4C78">
              <w:t>97% (90–100)</w:t>
            </w:r>
          </w:p>
        </w:tc>
        <w:tc>
          <w:tcPr>
            <w:tcW w:w="779" w:type="pct"/>
            <w:shd w:val="clear" w:color="auto" w:fill="auto"/>
            <w:vAlign w:val="center"/>
          </w:tcPr>
          <w:p w:rsidR="00C30B65" w:rsidRPr="00DC4C78" w:rsidRDefault="00C30B65" w:rsidP="00E462BC">
            <w:pPr>
              <w:pStyle w:val="TableText"/>
              <w:keepNext/>
              <w:jc w:val="center"/>
            </w:pPr>
            <w:r w:rsidRPr="00DC4C78">
              <w:t>96% (92–100)</w:t>
            </w:r>
          </w:p>
        </w:tc>
        <w:tc>
          <w:tcPr>
            <w:tcW w:w="887" w:type="pct"/>
            <w:shd w:val="clear" w:color="auto" w:fill="auto"/>
            <w:vAlign w:val="center"/>
          </w:tcPr>
          <w:p w:rsidR="00C30B65" w:rsidRPr="00DC4C78" w:rsidRDefault="00C30B65" w:rsidP="00E462BC">
            <w:pPr>
              <w:pStyle w:val="TableText"/>
              <w:keepNext/>
              <w:jc w:val="center"/>
            </w:pPr>
            <w:r w:rsidRPr="00DC4C78">
              <w:t>98% (93–100)</w:t>
            </w:r>
          </w:p>
        </w:tc>
      </w:tr>
    </w:tbl>
    <w:p w:rsidR="00C30B65" w:rsidRPr="00DC4C78" w:rsidRDefault="00C30B65" w:rsidP="00E462BC">
      <w:pPr>
        <w:keepNext/>
      </w:pPr>
    </w:p>
    <w:p w:rsidR="00C30B65" w:rsidRPr="00DC4C78" w:rsidRDefault="00C30B65" w:rsidP="00E462BC">
      <w:pPr>
        <w:pStyle w:val="Figure"/>
      </w:pPr>
      <w:bookmarkStart w:id="60" w:name="_Toc405447419"/>
      <w:bookmarkStart w:id="61" w:name="_Toc417554769"/>
      <w:bookmarkStart w:id="62" w:name="_Toc436750501"/>
      <w:bookmarkStart w:id="63" w:name="_Toc440387824"/>
      <w:r w:rsidRPr="00DC4C78">
        <w:t xml:space="preserve">Figure 4: Referral from </w:t>
      </w:r>
      <w:r>
        <w:t xml:space="preserve">lead maternity carer </w:t>
      </w:r>
      <w:r w:rsidRPr="00DC4C78">
        <w:t xml:space="preserve">to </w:t>
      </w:r>
      <w:r>
        <w:t xml:space="preserve">Well Child / </w:t>
      </w:r>
      <w:proofErr w:type="spellStart"/>
      <w:r>
        <w:t>Tamariki</w:t>
      </w:r>
      <w:proofErr w:type="spellEnd"/>
      <w:r>
        <w:t xml:space="preserve"> </w:t>
      </w:r>
      <w:proofErr w:type="spellStart"/>
      <w:r>
        <w:t>Ora</w:t>
      </w:r>
      <w:proofErr w:type="spellEnd"/>
      <w:r w:rsidRPr="00DC4C78">
        <w:t>, total New</w:t>
      </w:r>
      <w:r w:rsidR="00700141">
        <w:t> </w:t>
      </w:r>
      <w:r w:rsidRPr="00DC4C78">
        <w:t>Zealand</w:t>
      </w:r>
      <w:bookmarkEnd w:id="60"/>
      <w:bookmarkEnd w:id="61"/>
      <w:bookmarkEnd w:id="62"/>
      <w:bookmarkEnd w:id="63"/>
    </w:p>
    <w:p w:rsidR="00C30B65" w:rsidRPr="00DC4C78" w:rsidRDefault="00992541" w:rsidP="00992541">
      <w:r>
        <w:rPr>
          <w:noProof/>
          <w:lang w:eastAsia="en-NZ"/>
        </w:rPr>
        <w:drawing>
          <wp:inline distT="0" distB="0" distL="0" distR="0" wp14:anchorId="577E1AC0">
            <wp:extent cx="4320000" cy="2520000"/>
            <wp:effectExtent l="0" t="0" r="4445" b="0"/>
            <wp:docPr id="1" name="Picture 1" title="Figure 4: Referral from lead maternity carer to Well Child / Tamariki Ora, total New Zeala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inline>
        </w:drawing>
      </w:r>
    </w:p>
    <w:p w:rsidR="00C30B65" w:rsidRPr="00DC4C78" w:rsidRDefault="00C30B65" w:rsidP="00C30B65"/>
    <w:p w:rsidR="00C30B65" w:rsidRPr="00DC4C78" w:rsidRDefault="00C30B65" w:rsidP="00E462BC">
      <w:pPr>
        <w:pStyle w:val="Figure"/>
      </w:pPr>
      <w:bookmarkStart w:id="64" w:name="_Toc405447420"/>
      <w:bookmarkStart w:id="65" w:name="_Toc417554770"/>
      <w:bookmarkStart w:id="66" w:name="_Toc436750502"/>
      <w:bookmarkStart w:id="67" w:name="_Toc440387825"/>
      <w:r w:rsidRPr="00DC4C78">
        <w:t xml:space="preserve">Figure 5: Referral from </w:t>
      </w:r>
      <w:r>
        <w:t>lead maternity carer</w:t>
      </w:r>
      <w:r w:rsidRPr="00DC4C78">
        <w:t xml:space="preserve"> to </w:t>
      </w:r>
      <w:r>
        <w:t xml:space="preserve">Well Child / </w:t>
      </w:r>
      <w:proofErr w:type="spellStart"/>
      <w:r>
        <w:t>Tamariki</w:t>
      </w:r>
      <w:proofErr w:type="spellEnd"/>
      <w:r>
        <w:t xml:space="preserve"> </w:t>
      </w:r>
      <w:proofErr w:type="spellStart"/>
      <w:r>
        <w:t>Ora</w:t>
      </w:r>
      <w:proofErr w:type="spellEnd"/>
      <w:r w:rsidRPr="00DC4C78">
        <w:t>, high deprivation</w:t>
      </w:r>
      <w:bookmarkEnd w:id="64"/>
      <w:bookmarkEnd w:id="65"/>
      <w:bookmarkEnd w:id="66"/>
      <w:r>
        <w:t xml:space="preserve"> population</w:t>
      </w:r>
      <w:bookmarkEnd w:id="67"/>
    </w:p>
    <w:p w:rsidR="00C30B65" w:rsidRPr="00DC4C78" w:rsidRDefault="00992541" w:rsidP="00992541">
      <w:r>
        <w:rPr>
          <w:noProof/>
          <w:lang w:eastAsia="en-NZ"/>
        </w:rPr>
        <w:drawing>
          <wp:inline distT="0" distB="0" distL="0" distR="0" wp14:anchorId="6DAC53AE">
            <wp:extent cx="4320000" cy="2520000"/>
            <wp:effectExtent l="0" t="0" r="4445" b="0"/>
            <wp:docPr id="2" name="Picture 2" title="Figure 5: Referral from lead maternity carer to Well Child / Tamariki Ora, high deprivation popul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inline>
        </w:drawing>
      </w:r>
    </w:p>
    <w:p w:rsidR="00C30B65" w:rsidRPr="00DC4C78" w:rsidRDefault="00C30B65" w:rsidP="00992541">
      <w:pPr>
        <w:pStyle w:val="Figure"/>
        <w:spacing w:before="360"/>
      </w:pPr>
      <w:bookmarkStart w:id="68" w:name="_Toc405447421"/>
      <w:bookmarkStart w:id="69" w:name="_Toc417554771"/>
      <w:bookmarkStart w:id="70" w:name="_Toc436750503"/>
      <w:bookmarkStart w:id="71" w:name="_Toc440387826"/>
      <w:r w:rsidRPr="00DC4C78">
        <w:lastRenderedPageBreak/>
        <w:t xml:space="preserve">Figure 6: Referral from </w:t>
      </w:r>
      <w:r>
        <w:t>lead maternity carer</w:t>
      </w:r>
      <w:r w:rsidRPr="00DC4C78">
        <w:t xml:space="preserve"> to </w:t>
      </w:r>
      <w:r>
        <w:t xml:space="preserve">Well Child / </w:t>
      </w:r>
      <w:proofErr w:type="spellStart"/>
      <w:r>
        <w:t>Tamariki</w:t>
      </w:r>
      <w:proofErr w:type="spellEnd"/>
      <w:r>
        <w:t xml:space="preserve"> </w:t>
      </w:r>
      <w:proofErr w:type="spellStart"/>
      <w:r>
        <w:t>Ora</w:t>
      </w:r>
      <w:proofErr w:type="spellEnd"/>
      <w:r w:rsidRPr="00DC4C78">
        <w:t>, Māori</w:t>
      </w:r>
      <w:bookmarkEnd w:id="68"/>
      <w:bookmarkEnd w:id="69"/>
      <w:bookmarkEnd w:id="70"/>
      <w:bookmarkEnd w:id="71"/>
    </w:p>
    <w:p w:rsidR="00C30B65" w:rsidRPr="00DC4C78" w:rsidRDefault="00992541" w:rsidP="00992541">
      <w:r>
        <w:rPr>
          <w:noProof/>
          <w:lang w:eastAsia="en-NZ"/>
        </w:rPr>
        <w:drawing>
          <wp:inline distT="0" distB="0" distL="0" distR="0" wp14:anchorId="5E00983B">
            <wp:extent cx="4320000" cy="2520000"/>
            <wp:effectExtent l="0" t="0" r="4445" b="0"/>
            <wp:docPr id="4" name="Picture 4" title="Figure 6: Referral from lead maternity carer to Well Child / Tamariki Ora, Māor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inline>
        </w:drawing>
      </w:r>
    </w:p>
    <w:p w:rsidR="00C30B65" w:rsidRPr="00DC4C78" w:rsidRDefault="00C30B65" w:rsidP="00C30B65"/>
    <w:p w:rsidR="00C30B65" w:rsidRPr="00DC4C78" w:rsidRDefault="00C30B65" w:rsidP="00C30B65">
      <w:pPr>
        <w:pStyle w:val="Figure"/>
      </w:pPr>
      <w:bookmarkStart w:id="72" w:name="_Toc405447422"/>
      <w:bookmarkStart w:id="73" w:name="_Toc417554772"/>
      <w:bookmarkStart w:id="74" w:name="_Toc436750504"/>
      <w:bookmarkStart w:id="75" w:name="_Toc440387827"/>
      <w:r w:rsidRPr="00DC4C78">
        <w:t xml:space="preserve">Figure 7: Referral from </w:t>
      </w:r>
      <w:r>
        <w:t>lead maternity carer</w:t>
      </w:r>
      <w:r w:rsidRPr="00DC4C78">
        <w:t xml:space="preserve"> to </w:t>
      </w:r>
      <w:r>
        <w:t xml:space="preserve">Well Child / </w:t>
      </w:r>
      <w:proofErr w:type="spellStart"/>
      <w:r>
        <w:t>Tamariki</w:t>
      </w:r>
      <w:proofErr w:type="spellEnd"/>
      <w:r>
        <w:t xml:space="preserve"> </w:t>
      </w:r>
      <w:proofErr w:type="spellStart"/>
      <w:r>
        <w:t>Ora</w:t>
      </w:r>
      <w:proofErr w:type="spellEnd"/>
      <w:r w:rsidRPr="00DC4C78">
        <w:t>, Pacific peoples</w:t>
      </w:r>
      <w:bookmarkEnd w:id="72"/>
      <w:bookmarkEnd w:id="73"/>
      <w:bookmarkEnd w:id="74"/>
      <w:bookmarkEnd w:id="75"/>
    </w:p>
    <w:p w:rsidR="00C30B65" w:rsidRPr="00DC4C78" w:rsidRDefault="00992541" w:rsidP="00992541">
      <w:r>
        <w:rPr>
          <w:noProof/>
          <w:lang w:eastAsia="en-NZ"/>
        </w:rPr>
        <w:drawing>
          <wp:inline distT="0" distB="0" distL="0" distR="0" wp14:anchorId="619AAAA6">
            <wp:extent cx="4320000" cy="2520000"/>
            <wp:effectExtent l="0" t="0" r="4445" b="0"/>
            <wp:docPr id="5" name="Picture 5" title="Figure 7: Referral from lead maternity carer to Well Child / Tamariki Ora, Pacific peop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inline>
        </w:drawing>
      </w:r>
    </w:p>
    <w:p w:rsidR="00C30B65" w:rsidRPr="00DC4C78" w:rsidRDefault="00C30B65" w:rsidP="00C30B65"/>
    <w:p w:rsidR="00C30B65" w:rsidRPr="00DC4C78" w:rsidRDefault="00C30B65" w:rsidP="00C30B65">
      <w:pPr>
        <w:pStyle w:val="Heading3"/>
      </w:pPr>
      <w:r w:rsidRPr="00DC4C78">
        <w:t>Data notes</w:t>
      </w:r>
    </w:p>
    <w:p w:rsidR="00C30B65" w:rsidRPr="00DC4C78" w:rsidRDefault="00C30B65" w:rsidP="00C30B65">
      <w:pPr>
        <w:pStyle w:val="Bullet"/>
      </w:pPr>
      <w:r w:rsidRPr="00DC4C78">
        <w:t>Time period: births between 1 July 2014 and 31 December 2014.</w:t>
      </w:r>
    </w:p>
    <w:p w:rsidR="00C30B65" w:rsidRPr="00DC4C78" w:rsidRDefault="00C30B65" w:rsidP="00C30B65">
      <w:pPr>
        <w:pStyle w:val="Bullet"/>
      </w:pPr>
      <w:r w:rsidRPr="00DC4C78">
        <w:t>The data excludes overseas DHB and undefined DHB.</w:t>
      </w:r>
    </w:p>
    <w:p w:rsidR="00C30B65" w:rsidRPr="00DC4C78" w:rsidRDefault="00C30B65" w:rsidP="00C30B65">
      <w:pPr>
        <w:pStyle w:val="Bullet"/>
      </w:pPr>
      <w:r w:rsidRPr="00DC4C78">
        <w:t xml:space="preserve">Numerator: LMC referral to WCTO = </w:t>
      </w:r>
      <w:proofErr w:type="gramStart"/>
      <w:r w:rsidRPr="00DC4C78">
        <w:t>Yes</w:t>
      </w:r>
      <w:proofErr w:type="gramEnd"/>
      <w:r w:rsidRPr="00DC4C78">
        <w:t xml:space="preserve"> (source: National Maternity Collection [MAT]).</w:t>
      </w:r>
    </w:p>
    <w:p w:rsidR="00C30B65" w:rsidRPr="00DC4C78" w:rsidRDefault="00C30B65" w:rsidP="00C30B65">
      <w:pPr>
        <w:pStyle w:val="Bullet"/>
      </w:pPr>
      <w:r w:rsidRPr="00DC4C78">
        <w:t>Denominator: LMC referral to WCTO = Yes or No (source: MAT).</w:t>
      </w:r>
    </w:p>
    <w:p w:rsidR="00C30B65" w:rsidRPr="00DC4C78" w:rsidRDefault="00C30B65" w:rsidP="00C30B65"/>
    <w:p w:rsidR="00C30B65" w:rsidRPr="00DC4C78" w:rsidRDefault="00C30B65" w:rsidP="00C30B65">
      <w:pPr>
        <w:pStyle w:val="Heading2"/>
      </w:pPr>
      <w:bookmarkStart w:id="76" w:name="_Toc365618443"/>
      <w:bookmarkStart w:id="77" w:name="_Toc405453766"/>
      <w:bookmarkStart w:id="78" w:name="_Toc418322776"/>
      <w:bookmarkStart w:id="79" w:name="_Toc419099444"/>
      <w:bookmarkStart w:id="80" w:name="_Toc440387790"/>
      <w:r w:rsidRPr="00DC4C78">
        <w:lastRenderedPageBreak/>
        <w:t>WCTO Quality Improvement Framework Indicator 3</w:t>
      </w:r>
      <w:bookmarkEnd w:id="76"/>
      <w:bookmarkEnd w:id="77"/>
      <w:bookmarkEnd w:id="78"/>
      <w:bookmarkEnd w:id="79"/>
      <w:bookmarkEnd w:id="80"/>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701"/>
        <w:gridCol w:w="7655"/>
      </w:tblGrid>
      <w:tr w:rsidR="00C30B65" w:rsidRPr="00DC4C78" w:rsidTr="00C30B65">
        <w:trPr>
          <w:cantSplit/>
        </w:trPr>
        <w:tc>
          <w:tcPr>
            <w:tcW w:w="1701" w:type="dxa"/>
            <w:tcBorders>
              <w:top w:val="single" w:sz="4" w:space="0" w:color="auto"/>
              <w:bottom w:val="nil"/>
            </w:tcBorders>
            <w:shd w:val="clear" w:color="auto" w:fill="F2F2F2"/>
          </w:tcPr>
          <w:p w:rsidR="00C30B65" w:rsidRPr="00DC4C78" w:rsidRDefault="00C30B65" w:rsidP="00C30B65">
            <w:pPr>
              <w:pStyle w:val="TableText"/>
              <w:keepNext/>
              <w:rPr>
                <w:b/>
              </w:rPr>
            </w:pPr>
            <w:bookmarkStart w:id="81" w:name="_Toc365618444"/>
            <w:r w:rsidRPr="00DC4C78">
              <w:rPr>
                <w:b/>
              </w:rPr>
              <w:t>Standard</w:t>
            </w:r>
          </w:p>
        </w:tc>
        <w:tc>
          <w:tcPr>
            <w:tcW w:w="7655" w:type="dxa"/>
            <w:tcBorders>
              <w:top w:val="single" w:sz="4" w:space="0" w:color="auto"/>
              <w:bottom w:val="nil"/>
            </w:tcBorders>
            <w:shd w:val="clear" w:color="auto" w:fill="F2F2F2"/>
          </w:tcPr>
          <w:p w:rsidR="00C30B65" w:rsidRPr="00DC4C78" w:rsidRDefault="00C30B65" w:rsidP="00C30B65">
            <w:pPr>
              <w:pStyle w:val="TableText"/>
              <w:keepNext/>
            </w:pPr>
            <w:r w:rsidRPr="00B7062B">
              <w:t>All children and families/</w:t>
            </w:r>
            <w:proofErr w:type="spellStart"/>
            <w:r w:rsidRPr="00B7062B">
              <w:t>whānau</w:t>
            </w:r>
            <w:proofErr w:type="spellEnd"/>
            <w:r w:rsidRPr="00B7062B">
              <w:t xml:space="preserve"> have access to primary care, WCTO services (including the B4School Check) and early childhood education.</w:t>
            </w:r>
          </w:p>
        </w:tc>
      </w:tr>
      <w:tr w:rsidR="00C30B65" w:rsidRPr="00DC4C78" w:rsidTr="00C30B65">
        <w:trPr>
          <w:cantSplit/>
        </w:trPr>
        <w:tc>
          <w:tcPr>
            <w:tcW w:w="1701" w:type="dxa"/>
            <w:tcBorders>
              <w:top w:val="nil"/>
              <w:bottom w:val="nil"/>
            </w:tcBorders>
            <w:shd w:val="clear" w:color="auto" w:fill="auto"/>
          </w:tcPr>
          <w:p w:rsidR="00C30B65" w:rsidRPr="00DC4C78" w:rsidRDefault="00C30B65" w:rsidP="00C30B65">
            <w:pPr>
              <w:pStyle w:val="TableText"/>
              <w:keepNext/>
              <w:rPr>
                <w:b/>
              </w:rPr>
            </w:pPr>
            <w:r w:rsidRPr="00DC4C78">
              <w:rPr>
                <w:b/>
              </w:rPr>
              <w:t>Indicator</w:t>
            </w:r>
          </w:p>
        </w:tc>
        <w:tc>
          <w:tcPr>
            <w:tcW w:w="7655" w:type="dxa"/>
            <w:tcBorders>
              <w:top w:val="nil"/>
              <w:bottom w:val="nil"/>
            </w:tcBorders>
            <w:shd w:val="clear" w:color="auto" w:fill="auto"/>
          </w:tcPr>
          <w:p w:rsidR="00C30B65" w:rsidRPr="00DC4C78" w:rsidRDefault="00C30B65" w:rsidP="00C30B65">
            <w:pPr>
              <w:pStyle w:val="TableText"/>
              <w:keepNext/>
            </w:pPr>
            <w:r w:rsidRPr="00DC4C78">
              <w:t>Infants receive all WCTO core contacts due in their first year.</w:t>
            </w:r>
          </w:p>
        </w:tc>
      </w:tr>
      <w:tr w:rsidR="00C30B65" w:rsidRPr="00DC4C78" w:rsidTr="00C30B65">
        <w:trPr>
          <w:cantSplit/>
        </w:trPr>
        <w:tc>
          <w:tcPr>
            <w:tcW w:w="1701" w:type="dxa"/>
            <w:tcBorders>
              <w:top w:val="nil"/>
              <w:bottom w:val="nil"/>
            </w:tcBorders>
            <w:shd w:val="clear" w:color="auto" w:fill="F2F2F2"/>
          </w:tcPr>
          <w:p w:rsidR="00C30B65" w:rsidRPr="00DC4C78" w:rsidRDefault="00C30B65" w:rsidP="00E462BC">
            <w:pPr>
              <w:pStyle w:val="TableText"/>
              <w:keepNext/>
              <w:rPr>
                <w:b/>
              </w:rPr>
            </w:pPr>
            <w:r w:rsidRPr="00DC4C78">
              <w:rPr>
                <w:b/>
              </w:rPr>
              <w:t>Target by December 2014</w:t>
            </w:r>
          </w:p>
        </w:tc>
        <w:tc>
          <w:tcPr>
            <w:tcW w:w="7655" w:type="dxa"/>
            <w:tcBorders>
              <w:top w:val="nil"/>
              <w:bottom w:val="nil"/>
            </w:tcBorders>
            <w:shd w:val="clear" w:color="auto" w:fill="F2F2F2"/>
          </w:tcPr>
          <w:p w:rsidR="00C30B65" w:rsidRPr="00DC4C78" w:rsidRDefault="00C30B65" w:rsidP="00E462BC">
            <w:pPr>
              <w:pStyle w:val="TableText"/>
              <w:keepNext/>
            </w:pPr>
            <w:r w:rsidRPr="00DC4C78">
              <w:t>86 percent</w:t>
            </w:r>
          </w:p>
        </w:tc>
      </w:tr>
      <w:tr w:rsidR="00C30B65" w:rsidRPr="00DC4C78" w:rsidTr="00C30B65">
        <w:trPr>
          <w:cantSplit/>
        </w:trPr>
        <w:tc>
          <w:tcPr>
            <w:tcW w:w="1701" w:type="dxa"/>
            <w:tcBorders>
              <w:top w:val="nil"/>
            </w:tcBorders>
            <w:shd w:val="clear" w:color="auto" w:fill="auto"/>
          </w:tcPr>
          <w:p w:rsidR="00C30B65" w:rsidRPr="00DC4C78" w:rsidRDefault="00C30B65" w:rsidP="00E462BC">
            <w:pPr>
              <w:pStyle w:val="TableText"/>
              <w:keepNext/>
              <w:rPr>
                <w:b/>
              </w:rPr>
            </w:pPr>
            <w:r w:rsidRPr="00DC4C78">
              <w:rPr>
                <w:b/>
              </w:rPr>
              <w:t>Target by June 2016</w:t>
            </w:r>
          </w:p>
        </w:tc>
        <w:tc>
          <w:tcPr>
            <w:tcW w:w="7655" w:type="dxa"/>
            <w:tcBorders>
              <w:top w:val="nil"/>
            </w:tcBorders>
            <w:shd w:val="clear" w:color="auto" w:fill="auto"/>
          </w:tcPr>
          <w:p w:rsidR="00C30B65" w:rsidRPr="00DC4C78" w:rsidRDefault="00C30B65" w:rsidP="00E462BC">
            <w:pPr>
              <w:pStyle w:val="TableText"/>
              <w:keepNext/>
            </w:pPr>
            <w:r w:rsidRPr="00DC4C78">
              <w:t>95 percent</w:t>
            </w:r>
          </w:p>
        </w:tc>
      </w:tr>
    </w:tbl>
    <w:p w:rsidR="00C30B65" w:rsidRPr="00DC4C78" w:rsidRDefault="00C30B65" w:rsidP="00C30B65"/>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93"/>
        <w:gridCol w:w="1843"/>
        <w:gridCol w:w="1701"/>
        <w:gridCol w:w="1458"/>
        <w:gridCol w:w="1660"/>
      </w:tblGrid>
      <w:tr w:rsidR="00C30B65" w:rsidRPr="00DC4C78" w:rsidTr="00C30B65">
        <w:trPr>
          <w:cantSplit/>
        </w:trPr>
        <w:tc>
          <w:tcPr>
            <w:tcW w:w="1439" w:type="pct"/>
            <w:shd w:val="clear" w:color="auto" w:fill="F2F2F2"/>
          </w:tcPr>
          <w:p w:rsidR="00C30B65" w:rsidRPr="00DC4C78" w:rsidRDefault="00C30B65" w:rsidP="00C30B65">
            <w:pPr>
              <w:pStyle w:val="TableText"/>
              <w:rPr>
                <w:b/>
              </w:rPr>
            </w:pPr>
          </w:p>
        </w:tc>
        <w:tc>
          <w:tcPr>
            <w:tcW w:w="985" w:type="pct"/>
            <w:shd w:val="clear" w:color="auto" w:fill="F2F2F2"/>
          </w:tcPr>
          <w:p w:rsidR="00C30B65" w:rsidRPr="00DC4C78" w:rsidRDefault="00C30B65" w:rsidP="00C30B65">
            <w:pPr>
              <w:pStyle w:val="TableText"/>
              <w:jc w:val="center"/>
              <w:rPr>
                <w:b/>
              </w:rPr>
            </w:pPr>
            <w:r w:rsidRPr="00DC4C78">
              <w:rPr>
                <w:b/>
              </w:rPr>
              <w:t>Total New Zealand</w:t>
            </w:r>
          </w:p>
        </w:tc>
        <w:tc>
          <w:tcPr>
            <w:tcW w:w="909" w:type="pct"/>
            <w:shd w:val="clear" w:color="auto" w:fill="F2F2F2"/>
          </w:tcPr>
          <w:p w:rsidR="00C30B65" w:rsidRPr="00DC4C78" w:rsidRDefault="00C30B65" w:rsidP="00C30B65">
            <w:pPr>
              <w:pStyle w:val="TableText"/>
              <w:jc w:val="center"/>
              <w:rPr>
                <w:b/>
              </w:rPr>
            </w:pPr>
            <w:r w:rsidRPr="00DC4C78">
              <w:rPr>
                <w:b/>
              </w:rPr>
              <w:t>High deprivation</w:t>
            </w:r>
          </w:p>
        </w:tc>
        <w:tc>
          <w:tcPr>
            <w:tcW w:w="779" w:type="pct"/>
            <w:shd w:val="clear" w:color="auto" w:fill="F2F2F2"/>
          </w:tcPr>
          <w:p w:rsidR="00C30B65" w:rsidRPr="00DC4C78" w:rsidRDefault="00C30B65" w:rsidP="00C30B65">
            <w:pPr>
              <w:pStyle w:val="TableText"/>
              <w:jc w:val="center"/>
              <w:rPr>
                <w:b/>
              </w:rPr>
            </w:pPr>
            <w:r w:rsidRPr="00DC4C78">
              <w:rPr>
                <w:b/>
              </w:rPr>
              <w:t>Māori</w:t>
            </w:r>
          </w:p>
        </w:tc>
        <w:tc>
          <w:tcPr>
            <w:tcW w:w="887" w:type="pct"/>
            <w:shd w:val="clear" w:color="auto" w:fill="F2F2F2"/>
          </w:tcPr>
          <w:p w:rsidR="00C30B65" w:rsidRPr="00DC4C78" w:rsidRDefault="00C30B65" w:rsidP="00C30B65">
            <w:pPr>
              <w:pStyle w:val="TableText"/>
              <w:jc w:val="center"/>
              <w:rPr>
                <w:b/>
              </w:rPr>
            </w:pPr>
            <w:r w:rsidRPr="00DC4C78">
              <w:rPr>
                <w:b/>
              </w:rPr>
              <w:t>Pacific peoples</w:t>
            </w:r>
          </w:p>
        </w:tc>
      </w:tr>
      <w:tr w:rsidR="00C30B65" w:rsidRPr="00DC4C78" w:rsidTr="00C30B65">
        <w:trPr>
          <w:cantSplit/>
        </w:trPr>
        <w:tc>
          <w:tcPr>
            <w:tcW w:w="1439" w:type="pct"/>
            <w:shd w:val="clear" w:color="auto" w:fill="auto"/>
          </w:tcPr>
          <w:p w:rsidR="00C30B65" w:rsidRPr="00DC4C78" w:rsidRDefault="00C30B65" w:rsidP="00C30B65">
            <w:pPr>
              <w:pStyle w:val="TableText"/>
            </w:pPr>
            <w:r w:rsidRPr="00DC4C78">
              <w:t>September 2015 mean (range)</w:t>
            </w:r>
          </w:p>
        </w:tc>
        <w:tc>
          <w:tcPr>
            <w:tcW w:w="985" w:type="pct"/>
            <w:shd w:val="clear" w:color="auto" w:fill="auto"/>
            <w:vAlign w:val="center"/>
          </w:tcPr>
          <w:p w:rsidR="00C30B65" w:rsidRPr="00DC4C78" w:rsidRDefault="00C30B65" w:rsidP="00C30B65">
            <w:pPr>
              <w:pStyle w:val="TableText"/>
              <w:jc w:val="center"/>
            </w:pPr>
            <w:r w:rsidRPr="00DC4C78">
              <w:t>68% (48</w:t>
            </w:r>
            <w:r>
              <w:t>–</w:t>
            </w:r>
            <w:r w:rsidRPr="00DC4C78">
              <w:t>77)</w:t>
            </w:r>
          </w:p>
        </w:tc>
        <w:tc>
          <w:tcPr>
            <w:tcW w:w="909" w:type="pct"/>
            <w:shd w:val="clear" w:color="auto" w:fill="auto"/>
            <w:vAlign w:val="center"/>
          </w:tcPr>
          <w:p w:rsidR="00C30B65" w:rsidRPr="00DC4C78" w:rsidRDefault="00C30B65" w:rsidP="00C30B65">
            <w:pPr>
              <w:pStyle w:val="TableText"/>
              <w:jc w:val="center"/>
            </w:pPr>
            <w:r w:rsidRPr="00DC4C78">
              <w:t>55% (37</w:t>
            </w:r>
            <w:r>
              <w:t>–</w:t>
            </w:r>
            <w:r w:rsidRPr="00DC4C78">
              <w:t>71)</w:t>
            </w:r>
          </w:p>
        </w:tc>
        <w:tc>
          <w:tcPr>
            <w:tcW w:w="779" w:type="pct"/>
            <w:shd w:val="clear" w:color="auto" w:fill="auto"/>
            <w:vAlign w:val="center"/>
          </w:tcPr>
          <w:p w:rsidR="00C30B65" w:rsidRPr="00DC4C78" w:rsidRDefault="00C30B65" w:rsidP="00C30B65">
            <w:pPr>
              <w:pStyle w:val="TableText"/>
              <w:jc w:val="center"/>
            </w:pPr>
            <w:r w:rsidRPr="00DC4C78">
              <w:t>52% (26</w:t>
            </w:r>
            <w:r>
              <w:t>–</w:t>
            </w:r>
            <w:r w:rsidRPr="00DC4C78">
              <w:t>62)</w:t>
            </w:r>
          </w:p>
        </w:tc>
        <w:tc>
          <w:tcPr>
            <w:tcW w:w="887" w:type="pct"/>
            <w:shd w:val="clear" w:color="auto" w:fill="auto"/>
            <w:vAlign w:val="center"/>
          </w:tcPr>
          <w:p w:rsidR="00C30B65" w:rsidRPr="00DC4C78" w:rsidRDefault="00C30B65" w:rsidP="00C30B65">
            <w:pPr>
              <w:pStyle w:val="TableText"/>
              <w:jc w:val="center"/>
            </w:pPr>
            <w:r w:rsidRPr="00DC4C78">
              <w:t>53% (41</w:t>
            </w:r>
            <w:r>
              <w:t>–</w:t>
            </w:r>
            <w:r w:rsidRPr="00DC4C78">
              <w:t>70)</w:t>
            </w:r>
          </w:p>
        </w:tc>
      </w:tr>
      <w:tr w:rsidR="00C30B65" w:rsidRPr="00DC4C78" w:rsidTr="00C30B65">
        <w:trPr>
          <w:cantSplit/>
        </w:trPr>
        <w:tc>
          <w:tcPr>
            <w:tcW w:w="1439" w:type="pct"/>
            <w:shd w:val="clear" w:color="auto" w:fill="auto"/>
          </w:tcPr>
          <w:p w:rsidR="00C30B65" w:rsidRPr="00DC4C78" w:rsidRDefault="00C30B65" w:rsidP="00C30B65">
            <w:pPr>
              <w:pStyle w:val="TableText"/>
            </w:pPr>
            <w:r w:rsidRPr="00DC4C78">
              <w:t>March 2015 mean (range)</w:t>
            </w:r>
          </w:p>
        </w:tc>
        <w:tc>
          <w:tcPr>
            <w:tcW w:w="985" w:type="pct"/>
            <w:shd w:val="clear" w:color="auto" w:fill="auto"/>
            <w:vAlign w:val="center"/>
          </w:tcPr>
          <w:p w:rsidR="00C30B65" w:rsidRPr="00DC4C78" w:rsidRDefault="00C30B65" w:rsidP="00C30B65">
            <w:pPr>
              <w:pStyle w:val="TableText"/>
              <w:jc w:val="center"/>
            </w:pPr>
            <w:r w:rsidRPr="00DC4C78">
              <w:t>76% (64–85)</w:t>
            </w:r>
          </w:p>
        </w:tc>
        <w:tc>
          <w:tcPr>
            <w:tcW w:w="909" w:type="pct"/>
            <w:shd w:val="clear" w:color="auto" w:fill="auto"/>
            <w:vAlign w:val="center"/>
          </w:tcPr>
          <w:p w:rsidR="00C30B65" w:rsidRPr="00DC4C78" w:rsidRDefault="00C30B65" w:rsidP="00C30B65">
            <w:pPr>
              <w:pStyle w:val="TableText"/>
              <w:jc w:val="center"/>
            </w:pPr>
            <w:r w:rsidRPr="00DC4C78">
              <w:t>68% (51–81)</w:t>
            </w:r>
          </w:p>
        </w:tc>
        <w:tc>
          <w:tcPr>
            <w:tcW w:w="779" w:type="pct"/>
            <w:shd w:val="clear" w:color="auto" w:fill="auto"/>
            <w:vAlign w:val="center"/>
          </w:tcPr>
          <w:p w:rsidR="00C30B65" w:rsidRPr="00DC4C78" w:rsidRDefault="00C30B65" w:rsidP="00C30B65">
            <w:pPr>
              <w:pStyle w:val="TableText"/>
              <w:jc w:val="center"/>
            </w:pPr>
            <w:r w:rsidRPr="00DC4C78">
              <w:t>67% (55–79)</w:t>
            </w:r>
          </w:p>
        </w:tc>
        <w:tc>
          <w:tcPr>
            <w:tcW w:w="887" w:type="pct"/>
            <w:shd w:val="clear" w:color="auto" w:fill="auto"/>
            <w:vAlign w:val="center"/>
          </w:tcPr>
          <w:p w:rsidR="00C30B65" w:rsidRPr="00DC4C78" w:rsidRDefault="00C30B65" w:rsidP="00C30B65">
            <w:pPr>
              <w:pStyle w:val="TableText"/>
              <w:jc w:val="center"/>
            </w:pPr>
            <w:r w:rsidRPr="00DC4C78">
              <w:t>63% (55–77)</w:t>
            </w:r>
          </w:p>
        </w:tc>
      </w:tr>
    </w:tbl>
    <w:p w:rsidR="00C30B65" w:rsidRPr="00DC4C78" w:rsidRDefault="00C30B65" w:rsidP="00C30B65"/>
    <w:p w:rsidR="00C30B65" w:rsidRPr="00DC4C78" w:rsidRDefault="00C30B65" w:rsidP="00E462BC">
      <w:pPr>
        <w:pStyle w:val="Figure"/>
      </w:pPr>
      <w:bookmarkStart w:id="82" w:name="_Toc405447423"/>
      <w:bookmarkStart w:id="83" w:name="_Toc417554773"/>
      <w:bookmarkStart w:id="84" w:name="_Toc436750505"/>
      <w:bookmarkStart w:id="85" w:name="_Toc440387828"/>
      <w:r w:rsidRPr="00DC4C78">
        <w:t xml:space="preserve">Figure 8: Core </w:t>
      </w:r>
      <w:r>
        <w:t xml:space="preserve">Well Child / </w:t>
      </w:r>
      <w:proofErr w:type="spellStart"/>
      <w:r>
        <w:t>Tamariki</w:t>
      </w:r>
      <w:proofErr w:type="spellEnd"/>
      <w:r>
        <w:t xml:space="preserve"> </w:t>
      </w:r>
      <w:proofErr w:type="spellStart"/>
      <w:r>
        <w:t>Ora</w:t>
      </w:r>
      <w:proofErr w:type="spellEnd"/>
      <w:r w:rsidRPr="00DC4C78">
        <w:t xml:space="preserve"> contacts 1–5 received, total New Zealand</w:t>
      </w:r>
      <w:bookmarkEnd w:id="82"/>
      <w:bookmarkEnd w:id="83"/>
      <w:bookmarkEnd w:id="84"/>
      <w:bookmarkEnd w:id="85"/>
    </w:p>
    <w:p w:rsidR="00C30B65" w:rsidRPr="00DC4C78" w:rsidRDefault="00842135" w:rsidP="00842135">
      <w:r>
        <w:rPr>
          <w:noProof/>
          <w:lang w:eastAsia="en-NZ"/>
        </w:rPr>
        <w:drawing>
          <wp:inline distT="0" distB="0" distL="0" distR="0" wp14:anchorId="3D9C8358">
            <wp:extent cx="4320000" cy="2520000"/>
            <wp:effectExtent l="0" t="0" r="4445" b="0"/>
            <wp:docPr id="30" name="Picture 30" title="Figure 8: Core Well Child / Tamariki Ora contacts 1–5 received, total New Zeala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inline>
        </w:drawing>
      </w:r>
    </w:p>
    <w:p w:rsidR="00C30B65" w:rsidRPr="00DC4C78" w:rsidRDefault="00C30B65" w:rsidP="00C30B65"/>
    <w:p w:rsidR="00C30B65" w:rsidRPr="00DC4C78" w:rsidRDefault="00C30B65" w:rsidP="00E462BC">
      <w:pPr>
        <w:pStyle w:val="Figure"/>
        <w:rPr>
          <w:noProof/>
        </w:rPr>
      </w:pPr>
      <w:bookmarkStart w:id="86" w:name="_Toc405447424"/>
      <w:bookmarkStart w:id="87" w:name="_Toc417554774"/>
      <w:bookmarkStart w:id="88" w:name="_Toc436750506"/>
      <w:bookmarkStart w:id="89" w:name="_Toc440387829"/>
      <w:r w:rsidRPr="00DC4C78">
        <w:rPr>
          <w:noProof/>
          <w:lang w:eastAsia="en-NZ"/>
        </w:rPr>
        <w:t xml:space="preserve">Figure 9: </w:t>
      </w:r>
      <w:r w:rsidRPr="00DC4C78">
        <w:rPr>
          <w:noProof/>
        </w:rPr>
        <w:t xml:space="preserve">Core </w:t>
      </w:r>
      <w:r>
        <w:t xml:space="preserve">Well Child / </w:t>
      </w:r>
      <w:proofErr w:type="spellStart"/>
      <w:r>
        <w:t>Tamariki</w:t>
      </w:r>
      <w:proofErr w:type="spellEnd"/>
      <w:r>
        <w:t xml:space="preserve"> </w:t>
      </w:r>
      <w:proofErr w:type="spellStart"/>
      <w:r>
        <w:t>Ora</w:t>
      </w:r>
      <w:proofErr w:type="spellEnd"/>
      <w:r w:rsidRPr="00DC4C78">
        <w:rPr>
          <w:noProof/>
        </w:rPr>
        <w:t xml:space="preserve"> contacts 1–5 received, high deprivation</w:t>
      </w:r>
      <w:bookmarkEnd w:id="86"/>
      <w:bookmarkEnd w:id="87"/>
      <w:bookmarkEnd w:id="88"/>
      <w:r>
        <w:rPr>
          <w:noProof/>
        </w:rPr>
        <w:t xml:space="preserve"> population</w:t>
      </w:r>
      <w:bookmarkEnd w:id="89"/>
    </w:p>
    <w:p w:rsidR="00C30B65" w:rsidRPr="00DC4C78" w:rsidRDefault="00842135" w:rsidP="00842135">
      <w:r>
        <w:rPr>
          <w:noProof/>
          <w:lang w:eastAsia="en-NZ"/>
        </w:rPr>
        <w:drawing>
          <wp:inline distT="0" distB="0" distL="0" distR="0" wp14:anchorId="18704489">
            <wp:extent cx="4320000" cy="2520000"/>
            <wp:effectExtent l="0" t="0" r="4445" b="0"/>
            <wp:docPr id="31" name="Picture 31" title="Figure 9: Core Well Child / Tamariki Ora contacts 1–5 received, high deprivation popul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inline>
        </w:drawing>
      </w:r>
    </w:p>
    <w:p w:rsidR="00C30B65" w:rsidRPr="00DC4C78" w:rsidRDefault="00C30B65" w:rsidP="00C30B65"/>
    <w:p w:rsidR="00C30B65" w:rsidRPr="00DC4C78" w:rsidRDefault="00C30B65" w:rsidP="00C30B65">
      <w:pPr>
        <w:pStyle w:val="Figure"/>
      </w:pPr>
      <w:bookmarkStart w:id="90" w:name="_Toc405447425"/>
      <w:bookmarkStart w:id="91" w:name="_Toc417554775"/>
      <w:bookmarkStart w:id="92" w:name="_Toc436750507"/>
      <w:bookmarkStart w:id="93" w:name="_Toc440387830"/>
      <w:r w:rsidRPr="00DC4C78">
        <w:lastRenderedPageBreak/>
        <w:t xml:space="preserve">Figure 10: Core </w:t>
      </w:r>
      <w:r>
        <w:t xml:space="preserve">Well Child / </w:t>
      </w:r>
      <w:proofErr w:type="spellStart"/>
      <w:r>
        <w:t>Tamariki</w:t>
      </w:r>
      <w:proofErr w:type="spellEnd"/>
      <w:r>
        <w:t xml:space="preserve"> </w:t>
      </w:r>
      <w:proofErr w:type="spellStart"/>
      <w:r>
        <w:t>Ora</w:t>
      </w:r>
      <w:proofErr w:type="spellEnd"/>
      <w:r w:rsidRPr="00DC4C78">
        <w:t xml:space="preserve"> contacts 1–5 received, Māori</w:t>
      </w:r>
      <w:bookmarkEnd w:id="90"/>
      <w:bookmarkEnd w:id="91"/>
      <w:bookmarkEnd w:id="92"/>
      <w:bookmarkEnd w:id="93"/>
    </w:p>
    <w:p w:rsidR="00C30B65" w:rsidRPr="00DC4C78" w:rsidRDefault="00842135" w:rsidP="00842135">
      <w:r>
        <w:rPr>
          <w:noProof/>
          <w:lang w:eastAsia="en-NZ"/>
        </w:rPr>
        <w:drawing>
          <wp:inline distT="0" distB="0" distL="0" distR="0" wp14:anchorId="60F3B224">
            <wp:extent cx="4320000" cy="2520000"/>
            <wp:effectExtent l="0" t="0" r="4445" b="0"/>
            <wp:docPr id="64" name="Picture 64" title="Figure 10: Core Well Child / Tamariki Ora contacts 1–5 received, Māor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inline>
        </w:drawing>
      </w:r>
    </w:p>
    <w:p w:rsidR="00C30B65" w:rsidRPr="00DC4C78" w:rsidRDefault="00C30B65" w:rsidP="00C30B65">
      <w:bookmarkStart w:id="94" w:name="_Toc405447426"/>
    </w:p>
    <w:p w:rsidR="00C30B65" w:rsidRPr="00DC4C78" w:rsidRDefault="00C30B65" w:rsidP="00C30B65">
      <w:pPr>
        <w:pStyle w:val="Figure"/>
      </w:pPr>
      <w:bookmarkStart w:id="95" w:name="_Toc417554776"/>
      <w:bookmarkStart w:id="96" w:name="_Toc436750508"/>
      <w:bookmarkStart w:id="97" w:name="_Toc440387831"/>
      <w:r w:rsidRPr="00DC4C78">
        <w:t xml:space="preserve">Figure 11: Core </w:t>
      </w:r>
      <w:r>
        <w:t xml:space="preserve">Well Child / </w:t>
      </w:r>
      <w:proofErr w:type="spellStart"/>
      <w:r>
        <w:t>Tamariki</w:t>
      </w:r>
      <w:proofErr w:type="spellEnd"/>
      <w:r>
        <w:t xml:space="preserve"> </w:t>
      </w:r>
      <w:proofErr w:type="spellStart"/>
      <w:r>
        <w:t>Ora</w:t>
      </w:r>
      <w:proofErr w:type="spellEnd"/>
      <w:r w:rsidRPr="00DC4C78">
        <w:t xml:space="preserve"> contacts 1–5 received, Pacific peoples</w:t>
      </w:r>
      <w:bookmarkEnd w:id="94"/>
      <w:bookmarkEnd w:id="95"/>
      <w:bookmarkEnd w:id="96"/>
      <w:bookmarkEnd w:id="97"/>
    </w:p>
    <w:p w:rsidR="00C30B65" w:rsidRPr="00DC4C78" w:rsidRDefault="00842135" w:rsidP="00842135">
      <w:r>
        <w:rPr>
          <w:noProof/>
          <w:lang w:eastAsia="en-NZ"/>
        </w:rPr>
        <w:drawing>
          <wp:inline distT="0" distB="0" distL="0" distR="0" wp14:anchorId="32D42EF6">
            <wp:extent cx="4320000" cy="2520000"/>
            <wp:effectExtent l="0" t="0" r="4445" b="0"/>
            <wp:docPr id="65" name="Picture 65" title="Figure 11: Core Well Child / Tamariki Ora contacts 1–5 received, Pacific peop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inline>
        </w:drawing>
      </w:r>
    </w:p>
    <w:p w:rsidR="00C30B65" w:rsidRPr="00DC4C78" w:rsidRDefault="00C30B65" w:rsidP="00C30B65"/>
    <w:p w:rsidR="00C30B65" w:rsidRPr="00DC4C78" w:rsidRDefault="00C30B65" w:rsidP="00C30B65">
      <w:pPr>
        <w:pStyle w:val="Heading3"/>
      </w:pPr>
      <w:r w:rsidRPr="00DC4C78">
        <w:t>Data notes</w:t>
      </w:r>
    </w:p>
    <w:p w:rsidR="00C30B65" w:rsidRPr="00DC4C78" w:rsidRDefault="00C30B65" w:rsidP="00C30B65">
      <w:pPr>
        <w:pStyle w:val="Bullet"/>
      </w:pPr>
      <w:r w:rsidRPr="00DC4C78">
        <w:t>No bar on graph = fewer than 20 children in that population.</w:t>
      </w:r>
    </w:p>
    <w:p w:rsidR="00C30B65" w:rsidRPr="00DC4C78" w:rsidRDefault="00C30B65" w:rsidP="00C30B65">
      <w:pPr>
        <w:pStyle w:val="Bullet"/>
      </w:pPr>
      <w:r w:rsidRPr="00DC4C78">
        <w:t>Time period: children reaching the age band for core contact 6 between January 2015 and June 2015.</w:t>
      </w:r>
    </w:p>
    <w:p w:rsidR="00C30B65" w:rsidRPr="00DC4C78" w:rsidRDefault="00C30B65" w:rsidP="00C30B65">
      <w:pPr>
        <w:pStyle w:val="Bullet"/>
      </w:pPr>
      <w:r w:rsidRPr="00DC4C78">
        <w:rPr>
          <w:rFonts w:cs="Arial"/>
          <w:bCs/>
          <w:color w:val="000000"/>
        </w:rPr>
        <w:t>From this report onwards, the data source for indicator 3 includes reporting from all WCTO providers.</w:t>
      </w:r>
      <w:r w:rsidR="00700141">
        <w:rPr>
          <w:rFonts w:cs="Arial"/>
          <w:bCs/>
          <w:color w:val="000000"/>
        </w:rPr>
        <w:t xml:space="preserve"> </w:t>
      </w:r>
      <w:r w:rsidRPr="00DC4C78">
        <w:rPr>
          <w:rFonts w:cs="Arial"/>
          <w:bCs/>
          <w:color w:val="000000"/>
        </w:rPr>
        <w:t>Prior to this report, data presented for these two indicators was sourced from Plunket alone. This means results for indicators 3 for the period Jan</w:t>
      </w:r>
      <w:r w:rsidR="00E462BC">
        <w:rPr>
          <w:rFonts w:cs="Arial"/>
          <w:bCs/>
          <w:color w:val="000000"/>
        </w:rPr>
        <w:t>uary–</w:t>
      </w:r>
      <w:r w:rsidRPr="00DC4C78">
        <w:rPr>
          <w:rFonts w:cs="Arial"/>
          <w:bCs/>
          <w:color w:val="000000"/>
        </w:rPr>
        <w:t>June 2015 are not directly comparable with results from earlier periods.</w:t>
      </w:r>
      <w:r w:rsidR="00700141">
        <w:rPr>
          <w:rFonts w:asciiTheme="minorHAnsi" w:hAnsiTheme="minorHAnsi" w:cs="Arial"/>
          <w:bCs/>
          <w:color w:val="000000"/>
        </w:rPr>
        <w:t xml:space="preserve"> </w:t>
      </w:r>
      <w:r w:rsidRPr="00DC4C78">
        <w:t>The data excludes overseas DHB and undefined DHB.</w:t>
      </w:r>
    </w:p>
    <w:p w:rsidR="00C30B65" w:rsidRPr="00DC4C78" w:rsidRDefault="00C30B65" w:rsidP="00C30B65">
      <w:pPr>
        <w:pStyle w:val="Bullet"/>
      </w:pPr>
      <w:r w:rsidRPr="00DC4C78">
        <w:t>Numerator: number of infants where contact was able to be made by six weeks and who received all five contacts (source: WCTO NHI dataset).</w:t>
      </w:r>
    </w:p>
    <w:p w:rsidR="00C30B65" w:rsidRPr="00DC4C78" w:rsidRDefault="00C30B65" w:rsidP="00C30B65">
      <w:pPr>
        <w:pStyle w:val="Bullet"/>
      </w:pPr>
      <w:r w:rsidRPr="00DC4C78">
        <w:t>Denominator: number of infants where contact was able to be made by six weeks, who reached the age band for core contact 6 (13 months, 4 weeks, 1 day) (source: WCTO NHI data</w:t>
      </w:r>
      <w:r>
        <w:t xml:space="preserve"> </w:t>
      </w:r>
      <w:r w:rsidRPr="00DC4C78">
        <w:t>set).</w:t>
      </w:r>
    </w:p>
    <w:p w:rsidR="00C30B65" w:rsidRPr="00DC4C78" w:rsidRDefault="00C30B65" w:rsidP="00C30B65"/>
    <w:p w:rsidR="00C30B65" w:rsidRPr="00DC4C78" w:rsidRDefault="00C30B65" w:rsidP="00C30B65">
      <w:pPr>
        <w:pStyle w:val="Heading2"/>
      </w:pPr>
      <w:bookmarkStart w:id="98" w:name="_Toc405453767"/>
      <w:bookmarkStart w:id="99" w:name="_Toc418322777"/>
      <w:bookmarkStart w:id="100" w:name="_Toc419099445"/>
      <w:bookmarkStart w:id="101" w:name="_Toc440387791"/>
      <w:r w:rsidRPr="00DC4C78">
        <w:lastRenderedPageBreak/>
        <w:t>WCTO Quality Improvement Framework Indicator 4</w:t>
      </w:r>
      <w:bookmarkEnd w:id="81"/>
      <w:bookmarkEnd w:id="98"/>
      <w:bookmarkEnd w:id="99"/>
      <w:bookmarkEnd w:id="100"/>
      <w:bookmarkEnd w:id="101"/>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701"/>
        <w:gridCol w:w="7655"/>
      </w:tblGrid>
      <w:tr w:rsidR="00C30B65" w:rsidRPr="00DC4C78" w:rsidTr="00C30B65">
        <w:trPr>
          <w:cantSplit/>
        </w:trPr>
        <w:tc>
          <w:tcPr>
            <w:tcW w:w="1701" w:type="dxa"/>
            <w:tcBorders>
              <w:top w:val="single" w:sz="4" w:space="0" w:color="auto"/>
              <w:bottom w:val="nil"/>
            </w:tcBorders>
            <w:shd w:val="clear" w:color="auto" w:fill="F2F2F2"/>
          </w:tcPr>
          <w:p w:rsidR="00C30B65" w:rsidRPr="00DC4C78" w:rsidRDefault="00C30B65" w:rsidP="00C30B65">
            <w:pPr>
              <w:pStyle w:val="TableText"/>
              <w:rPr>
                <w:b/>
              </w:rPr>
            </w:pPr>
            <w:r w:rsidRPr="00DC4C78">
              <w:rPr>
                <w:b/>
              </w:rPr>
              <w:t>Standard</w:t>
            </w:r>
          </w:p>
        </w:tc>
        <w:tc>
          <w:tcPr>
            <w:tcW w:w="7655" w:type="dxa"/>
            <w:tcBorders>
              <w:top w:val="single" w:sz="4" w:space="0" w:color="auto"/>
              <w:bottom w:val="nil"/>
            </w:tcBorders>
            <w:shd w:val="clear" w:color="auto" w:fill="F2F2F2"/>
          </w:tcPr>
          <w:p w:rsidR="00C30B65" w:rsidRPr="00DC4C78" w:rsidRDefault="00C30B65" w:rsidP="00C30B65">
            <w:pPr>
              <w:pStyle w:val="TableText"/>
            </w:pPr>
            <w:r w:rsidRPr="00B7062B">
              <w:t>All children and families/</w:t>
            </w:r>
            <w:proofErr w:type="spellStart"/>
            <w:r w:rsidRPr="00B7062B">
              <w:t>whānau</w:t>
            </w:r>
            <w:proofErr w:type="spellEnd"/>
            <w:r w:rsidRPr="00B7062B">
              <w:t xml:space="preserve"> have access to primary care, WCTO services (including the B4School Check) and early childhood education.</w:t>
            </w:r>
          </w:p>
        </w:tc>
      </w:tr>
      <w:tr w:rsidR="00C30B65" w:rsidRPr="00DC4C78" w:rsidTr="00C30B65">
        <w:trPr>
          <w:cantSplit/>
        </w:trPr>
        <w:tc>
          <w:tcPr>
            <w:tcW w:w="1701" w:type="dxa"/>
            <w:tcBorders>
              <w:top w:val="nil"/>
              <w:bottom w:val="nil"/>
            </w:tcBorders>
            <w:shd w:val="clear" w:color="auto" w:fill="auto"/>
          </w:tcPr>
          <w:p w:rsidR="00C30B65" w:rsidRPr="00DC4C78" w:rsidRDefault="00C30B65" w:rsidP="00C30B65">
            <w:pPr>
              <w:pStyle w:val="TableText"/>
              <w:rPr>
                <w:b/>
              </w:rPr>
            </w:pPr>
            <w:r w:rsidRPr="00DC4C78">
              <w:rPr>
                <w:b/>
              </w:rPr>
              <w:t>Indicator</w:t>
            </w:r>
          </w:p>
        </w:tc>
        <w:tc>
          <w:tcPr>
            <w:tcW w:w="7655" w:type="dxa"/>
            <w:tcBorders>
              <w:top w:val="nil"/>
              <w:bottom w:val="nil"/>
            </w:tcBorders>
            <w:shd w:val="clear" w:color="auto" w:fill="auto"/>
          </w:tcPr>
          <w:p w:rsidR="00C30B65" w:rsidRPr="00DC4C78" w:rsidRDefault="00C30B65" w:rsidP="00C30B65">
            <w:pPr>
              <w:pStyle w:val="TableText"/>
            </w:pPr>
            <w:r w:rsidRPr="00DC4C78">
              <w:t>Four-year-olds receive a B4 School Check.</w:t>
            </w:r>
          </w:p>
        </w:tc>
      </w:tr>
      <w:tr w:rsidR="00C30B65" w:rsidRPr="00DC4C78" w:rsidTr="00C30B65">
        <w:trPr>
          <w:cantSplit/>
        </w:trPr>
        <w:tc>
          <w:tcPr>
            <w:tcW w:w="1701" w:type="dxa"/>
            <w:tcBorders>
              <w:top w:val="nil"/>
              <w:bottom w:val="nil"/>
            </w:tcBorders>
            <w:shd w:val="clear" w:color="auto" w:fill="F2F2F2"/>
          </w:tcPr>
          <w:p w:rsidR="00C30B65" w:rsidRPr="00DC4C78" w:rsidRDefault="00C30B65" w:rsidP="00C30B65">
            <w:pPr>
              <w:pStyle w:val="TableText"/>
              <w:rPr>
                <w:b/>
              </w:rPr>
            </w:pPr>
            <w:r w:rsidRPr="00DC4C78">
              <w:rPr>
                <w:b/>
              </w:rPr>
              <w:t>Target by December 2014</w:t>
            </w:r>
          </w:p>
        </w:tc>
        <w:tc>
          <w:tcPr>
            <w:tcW w:w="7655" w:type="dxa"/>
            <w:tcBorders>
              <w:top w:val="nil"/>
              <w:bottom w:val="nil"/>
            </w:tcBorders>
            <w:shd w:val="clear" w:color="auto" w:fill="F2F2F2"/>
          </w:tcPr>
          <w:p w:rsidR="00C30B65" w:rsidRPr="00DC4C78" w:rsidRDefault="00C30B65" w:rsidP="00C30B65">
            <w:pPr>
              <w:pStyle w:val="TableText"/>
            </w:pPr>
            <w:r w:rsidRPr="00DC4C78">
              <w:t>90 percent</w:t>
            </w:r>
          </w:p>
        </w:tc>
      </w:tr>
      <w:tr w:rsidR="00C30B65" w:rsidRPr="00DC4C78" w:rsidTr="00C30B65">
        <w:trPr>
          <w:cantSplit/>
        </w:trPr>
        <w:tc>
          <w:tcPr>
            <w:tcW w:w="1701" w:type="dxa"/>
            <w:tcBorders>
              <w:top w:val="nil"/>
            </w:tcBorders>
            <w:shd w:val="clear" w:color="auto" w:fill="auto"/>
          </w:tcPr>
          <w:p w:rsidR="00C30B65" w:rsidRPr="00DC4C78" w:rsidRDefault="00C30B65" w:rsidP="00C30B65">
            <w:pPr>
              <w:pStyle w:val="TableText"/>
              <w:rPr>
                <w:b/>
              </w:rPr>
            </w:pPr>
            <w:r w:rsidRPr="00DC4C78">
              <w:rPr>
                <w:b/>
              </w:rPr>
              <w:t>Target by June 2016</w:t>
            </w:r>
          </w:p>
        </w:tc>
        <w:tc>
          <w:tcPr>
            <w:tcW w:w="7655" w:type="dxa"/>
            <w:tcBorders>
              <w:top w:val="nil"/>
            </w:tcBorders>
            <w:shd w:val="clear" w:color="auto" w:fill="auto"/>
          </w:tcPr>
          <w:p w:rsidR="00C30B65" w:rsidRPr="00DC4C78" w:rsidRDefault="00C30B65" w:rsidP="00C30B65">
            <w:pPr>
              <w:pStyle w:val="TableText"/>
            </w:pPr>
            <w:r w:rsidRPr="00DC4C78">
              <w:t>90 percent</w:t>
            </w:r>
          </w:p>
        </w:tc>
      </w:tr>
    </w:tbl>
    <w:p w:rsidR="00C30B65" w:rsidRPr="00DC4C78" w:rsidRDefault="00C30B65" w:rsidP="00C30B65"/>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93"/>
        <w:gridCol w:w="1843"/>
        <w:gridCol w:w="1701"/>
        <w:gridCol w:w="1458"/>
        <w:gridCol w:w="1660"/>
      </w:tblGrid>
      <w:tr w:rsidR="00C30B65" w:rsidRPr="00DC4C78" w:rsidTr="00C30B65">
        <w:trPr>
          <w:cantSplit/>
        </w:trPr>
        <w:tc>
          <w:tcPr>
            <w:tcW w:w="1439" w:type="pct"/>
            <w:shd w:val="clear" w:color="auto" w:fill="F2F2F2"/>
          </w:tcPr>
          <w:p w:rsidR="00C30B65" w:rsidRPr="00DC4C78" w:rsidRDefault="00C30B65" w:rsidP="00C30B65">
            <w:pPr>
              <w:pStyle w:val="TableText"/>
              <w:rPr>
                <w:b/>
              </w:rPr>
            </w:pPr>
          </w:p>
        </w:tc>
        <w:tc>
          <w:tcPr>
            <w:tcW w:w="985" w:type="pct"/>
            <w:shd w:val="clear" w:color="auto" w:fill="F2F2F2"/>
          </w:tcPr>
          <w:p w:rsidR="00C30B65" w:rsidRPr="00DC4C78" w:rsidRDefault="00C30B65" w:rsidP="00C30B65">
            <w:pPr>
              <w:pStyle w:val="TableText"/>
              <w:jc w:val="center"/>
              <w:rPr>
                <w:b/>
              </w:rPr>
            </w:pPr>
            <w:r w:rsidRPr="00DC4C78">
              <w:rPr>
                <w:b/>
              </w:rPr>
              <w:t>Total New Zealand</w:t>
            </w:r>
          </w:p>
        </w:tc>
        <w:tc>
          <w:tcPr>
            <w:tcW w:w="909" w:type="pct"/>
            <w:shd w:val="clear" w:color="auto" w:fill="F2F2F2"/>
          </w:tcPr>
          <w:p w:rsidR="00C30B65" w:rsidRPr="00DC4C78" w:rsidRDefault="00C30B65" w:rsidP="00C30B65">
            <w:pPr>
              <w:pStyle w:val="TableText"/>
              <w:jc w:val="center"/>
              <w:rPr>
                <w:b/>
              </w:rPr>
            </w:pPr>
            <w:r w:rsidRPr="00DC4C78">
              <w:rPr>
                <w:b/>
              </w:rPr>
              <w:t>High deprivation</w:t>
            </w:r>
          </w:p>
        </w:tc>
        <w:tc>
          <w:tcPr>
            <w:tcW w:w="779" w:type="pct"/>
            <w:shd w:val="clear" w:color="auto" w:fill="F2F2F2"/>
          </w:tcPr>
          <w:p w:rsidR="00C30B65" w:rsidRPr="00DC4C78" w:rsidRDefault="00C30B65" w:rsidP="00C30B65">
            <w:pPr>
              <w:pStyle w:val="TableText"/>
              <w:jc w:val="center"/>
              <w:rPr>
                <w:b/>
              </w:rPr>
            </w:pPr>
            <w:r w:rsidRPr="00DC4C78">
              <w:rPr>
                <w:b/>
              </w:rPr>
              <w:t>Māori</w:t>
            </w:r>
          </w:p>
        </w:tc>
        <w:tc>
          <w:tcPr>
            <w:tcW w:w="887" w:type="pct"/>
            <w:shd w:val="clear" w:color="auto" w:fill="F2F2F2"/>
          </w:tcPr>
          <w:p w:rsidR="00C30B65" w:rsidRPr="00DC4C78" w:rsidRDefault="00C30B65" w:rsidP="00C30B65">
            <w:pPr>
              <w:pStyle w:val="TableText"/>
              <w:jc w:val="center"/>
              <w:rPr>
                <w:b/>
              </w:rPr>
            </w:pPr>
            <w:r w:rsidRPr="00DC4C78">
              <w:rPr>
                <w:b/>
              </w:rPr>
              <w:t>Pacific peoples</w:t>
            </w:r>
          </w:p>
        </w:tc>
      </w:tr>
      <w:tr w:rsidR="00C30B65" w:rsidRPr="00DC4C78" w:rsidTr="00C30B65">
        <w:trPr>
          <w:cantSplit/>
        </w:trPr>
        <w:tc>
          <w:tcPr>
            <w:tcW w:w="1439" w:type="pct"/>
            <w:shd w:val="clear" w:color="auto" w:fill="auto"/>
          </w:tcPr>
          <w:p w:rsidR="00C30B65" w:rsidRPr="00DC4C78" w:rsidRDefault="00C30B65" w:rsidP="00C30B65">
            <w:pPr>
              <w:pStyle w:val="TableText"/>
            </w:pPr>
            <w:r w:rsidRPr="00DC4C78">
              <w:t>September 2015 mean (range)</w:t>
            </w:r>
          </w:p>
        </w:tc>
        <w:tc>
          <w:tcPr>
            <w:tcW w:w="985" w:type="pct"/>
            <w:shd w:val="clear" w:color="auto" w:fill="auto"/>
            <w:vAlign w:val="center"/>
          </w:tcPr>
          <w:p w:rsidR="00C30B65" w:rsidRPr="00DC4C78" w:rsidRDefault="00C30B65" w:rsidP="00C30B65">
            <w:pPr>
              <w:pStyle w:val="TableText"/>
              <w:jc w:val="center"/>
            </w:pPr>
            <w:r w:rsidRPr="00DC4C78">
              <w:t>94% (87</w:t>
            </w:r>
            <w:r>
              <w:t>–</w:t>
            </w:r>
            <w:r w:rsidRPr="00DC4C78">
              <w:t>113)</w:t>
            </w:r>
          </w:p>
        </w:tc>
        <w:tc>
          <w:tcPr>
            <w:tcW w:w="909" w:type="pct"/>
            <w:shd w:val="clear" w:color="auto" w:fill="auto"/>
            <w:vAlign w:val="center"/>
          </w:tcPr>
          <w:p w:rsidR="00C30B65" w:rsidRPr="00DC4C78" w:rsidRDefault="00C30B65" w:rsidP="00C30B65">
            <w:pPr>
              <w:pStyle w:val="TableText"/>
              <w:jc w:val="center"/>
            </w:pPr>
            <w:r w:rsidRPr="00DC4C78">
              <w:t>90% (73</w:t>
            </w:r>
            <w:r>
              <w:t>–</w:t>
            </w:r>
            <w:r w:rsidRPr="00DC4C78">
              <w:t>115)</w:t>
            </w:r>
          </w:p>
        </w:tc>
        <w:tc>
          <w:tcPr>
            <w:tcW w:w="779" w:type="pct"/>
            <w:shd w:val="clear" w:color="auto" w:fill="auto"/>
            <w:vAlign w:val="center"/>
          </w:tcPr>
          <w:p w:rsidR="00C30B65" w:rsidRPr="00DC4C78" w:rsidRDefault="00C30B65" w:rsidP="00C30B65">
            <w:pPr>
              <w:pStyle w:val="TableText"/>
              <w:jc w:val="center"/>
            </w:pPr>
            <w:r w:rsidRPr="00DC4C78">
              <w:t>87% (68</w:t>
            </w:r>
            <w:r>
              <w:t>–</w:t>
            </w:r>
            <w:r w:rsidRPr="00DC4C78">
              <w:t>150)</w:t>
            </w:r>
          </w:p>
        </w:tc>
        <w:tc>
          <w:tcPr>
            <w:tcW w:w="887" w:type="pct"/>
            <w:shd w:val="clear" w:color="auto" w:fill="auto"/>
            <w:vAlign w:val="center"/>
          </w:tcPr>
          <w:p w:rsidR="00C30B65" w:rsidRPr="00DC4C78" w:rsidRDefault="00C30B65" w:rsidP="00C30B65">
            <w:pPr>
              <w:pStyle w:val="TableText"/>
              <w:jc w:val="center"/>
            </w:pPr>
            <w:r w:rsidRPr="00DC4C78">
              <w:t>93% (63</w:t>
            </w:r>
            <w:r>
              <w:t>–</w:t>
            </w:r>
            <w:r w:rsidRPr="00DC4C78">
              <w:t>250)</w:t>
            </w:r>
          </w:p>
        </w:tc>
      </w:tr>
      <w:tr w:rsidR="00C30B65" w:rsidRPr="00DC4C78" w:rsidTr="00C30B65">
        <w:trPr>
          <w:cantSplit/>
        </w:trPr>
        <w:tc>
          <w:tcPr>
            <w:tcW w:w="1439" w:type="pct"/>
            <w:shd w:val="clear" w:color="auto" w:fill="auto"/>
          </w:tcPr>
          <w:p w:rsidR="00C30B65" w:rsidRPr="00DC4C78" w:rsidRDefault="00C30B65" w:rsidP="00C30B65">
            <w:pPr>
              <w:pStyle w:val="TableText"/>
            </w:pPr>
            <w:r w:rsidRPr="00DC4C78">
              <w:t>March 2015 mean (range)</w:t>
            </w:r>
          </w:p>
        </w:tc>
        <w:tc>
          <w:tcPr>
            <w:tcW w:w="985" w:type="pct"/>
            <w:shd w:val="clear" w:color="auto" w:fill="auto"/>
            <w:vAlign w:val="center"/>
          </w:tcPr>
          <w:p w:rsidR="00C30B65" w:rsidRPr="00DC4C78" w:rsidRDefault="00C30B65" w:rsidP="00C30B65">
            <w:pPr>
              <w:pStyle w:val="TableText"/>
              <w:jc w:val="center"/>
            </w:pPr>
            <w:r w:rsidRPr="00DC4C78">
              <w:t>93% (78–110)</w:t>
            </w:r>
          </w:p>
        </w:tc>
        <w:tc>
          <w:tcPr>
            <w:tcW w:w="909" w:type="pct"/>
            <w:shd w:val="clear" w:color="auto" w:fill="auto"/>
            <w:vAlign w:val="center"/>
          </w:tcPr>
          <w:p w:rsidR="00C30B65" w:rsidRPr="00DC4C78" w:rsidRDefault="00C30B65" w:rsidP="00C30B65">
            <w:pPr>
              <w:pStyle w:val="TableText"/>
              <w:jc w:val="center"/>
            </w:pPr>
            <w:r w:rsidRPr="00DC4C78">
              <w:t>86% (68–123)</w:t>
            </w:r>
          </w:p>
        </w:tc>
        <w:tc>
          <w:tcPr>
            <w:tcW w:w="779" w:type="pct"/>
            <w:shd w:val="clear" w:color="auto" w:fill="auto"/>
            <w:vAlign w:val="center"/>
          </w:tcPr>
          <w:p w:rsidR="00C30B65" w:rsidRPr="00DC4C78" w:rsidRDefault="00C30B65" w:rsidP="00C30B65">
            <w:pPr>
              <w:pStyle w:val="TableText"/>
              <w:jc w:val="center"/>
            </w:pPr>
            <w:r w:rsidRPr="00DC4C78">
              <w:t>85% (71–111)</w:t>
            </w:r>
          </w:p>
        </w:tc>
        <w:tc>
          <w:tcPr>
            <w:tcW w:w="887" w:type="pct"/>
            <w:shd w:val="clear" w:color="auto" w:fill="auto"/>
            <w:vAlign w:val="center"/>
          </w:tcPr>
          <w:p w:rsidR="00C30B65" w:rsidRPr="00DC4C78" w:rsidRDefault="00C30B65" w:rsidP="00C30B65">
            <w:pPr>
              <w:pStyle w:val="TableText"/>
              <w:jc w:val="center"/>
            </w:pPr>
            <w:r w:rsidRPr="00DC4C78">
              <w:t>83% (64–156)</w:t>
            </w:r>
          </w:p>
        </w:tc>
      </w:tr>
    </w:tbl>
    <w:p w:rsidR="00C30B65" w:rsidRPr="00DC4C78" w:rsidRDefault="00C30B65" w:rsidP="00C30B65"/>
    <w:p w:rsidR="00C30B65" w:rsidRPr="00DC4C78" w:rsidRDefault="00C30B65" w:rsidP="00E462BC">
      <w:pPr>
        <w:pStyle w:val="Figure"/>
      </w:pPr>
      <w:bookmarkStart w:id="102" w:name="_Toc405447427"/>
      <w:bookmarkStart w:id="103" w:name="_Toc417554777"/>
      <w:bookmarkStart w:id="104" w:name="_Toc436750509"/>
      <w:bookmarkStart w:id="105" w:name="_Toc440387832"/>
      <w:r w:rsidRPr="00DC4C78">
        <w:t>Figure 12: B4 School Check</w:t>
      </w:r>
      <w:r>
        <w:t xml:space="preserve"> received</w:t>
      </w:r>
      <w:r w:rsidRPr="00DC4C78">
        <w:t>, total New Zealand</w:t>
      </w:r>
      <w:bookmarkEnd w:id="102"/>
      <w:bookmarkEnd w:id="103"/>
      <w:bookmarkEnd w:id="104"/>
      <w:bookmarkEnd w:id="105"/>
    </w:p>
    <w:p w:rsidR="00C30B65" w:rsidRPr="00DC4C78" w:rsidRDefault="00A315F9" w:rsidP="00A315F9">
      <w:r>
        <w:rPr>
          <w:noProof/>
          <w:lang w:eastAsia="en-NZ"/>
        </w:rPr>
        <w:drawing>
          <wp:inline distT="0" distB="0" distL="0" distR="0" wp14:anchorId="291DB19A">
            <wp:extent cx="4320000" cy="2520000"/>
            <wp:effectExtent l="0" t="0" r="4445" b="0"/>
            <wp:docPr id="66" name="Picture 66" title="Figure 12: B4 School Check received, total New Zeala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inline>
        </w:drawing>
      </w:r>
    </w:p>
    <w:p w:rsidR="00C30B65" w:rsidRPr="00DC4C78" w:rsidRDefault="00C30B65" w:rsidP="00C30B65"/>
    <w:p w:rsidR="00C30B65" w:rsidRPr="00DC4C78" w:rsidRDefault="00C30B65" w:rsidP="00E462BC">
      <w:pPr>
        <w:pStyle w:val="Figure"/>
      </w:pPr>
      <w:bookmarkStart w:id="106" w:name="_Toc405447428"/>
      <w:bookmarkStart w:id="107" w:name="_Toc417554778"/>
      <w:bookmarkStart w:id="108" w:name="_Toc436750510"/>
      <w:bookmarkStart w:id="109" w:name="_Toc440387833"/>
      <w:r w:rsidRPr="00DC4C78">
        <w:t>Figure 13: B4 School Check</w:t>
      </w:r>
      <w:r>
        <w:t xml:space="preserve"> received</w:t>
      </w:r>
      <w:r w:rsidRPr="00DC4C78">
        <w:t>, high deprivation</w:t>
      </w:r>
      <w:bookmarkEnd w:id="106"/>
      <w:bookmarkEnd w:id="107"/>
      <w:bookmarkEnd w:id="108"/>
      <w:r>
        <w:t xml:space="preserve"> population</w:t>
      </w:r>
      <w:bookmarkEnd w:id="109"/>
    </w:p>
    <w:p w:rsidR="00C30B65" w:rsidRDefault="00A315F9" w:rsidP="00A315F9">
      <w:r>
        <w:rPr>
          <w:noProof/>
          <w:lang w:eastAsia="en-NZ"/>
        </w:rPr>
        <w:drawing>
          <wp:inline distT="0" distB="0" distL="0" distR="0" wp14:anchorId="5864E627">
            <wp:extent cx="4320000" cy="2520000"/>
            <wp:effectExtent l="0" t="0" r="4445" b="0"/>
            <wp:docPr id="67" name="Picture 67" title="Figure 13: B4 School Check received, high deprivation popul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inline>
        </w:drawing>
      </w:r>
    </w:p>
    <w:p w:rsidR="00E462BC" w:rsidRPr="00DC4C78" w:rsidRDefault="00E462BC" w:rsidP="00E462BC"/>
    <w:p w:rsidR="00C30B65" w:rsidRPr="00DC4C78" w:rsidRDefault="00C30B65" w:rsidP="00700141">
      <w:pPr>
        <w:pStyle w:val="Figure"/>
        <w:spacing w:before="360"/>
      </w:pPr>
      <w:bookmarkStart w:id="110" w:name="_Toc405447429"/>
      <w:bookmarkStart w:id="111" w:name="_Toc417554779"/>
      <w:bookmarkStart w:id="112" w:name="_Toc436750511"/>
      <w:bookmarkStart w:id="113" w:name="_Toc440387834"/>
      <w:r w:rsidRPr="00DC4C78">
        <w:lastRenderedPageBreak/>
        <w:t>Figure 14: B4 School Check</w:t>
      </w:r>
      <w:r>
        <w:t xml:space="preserve"> received</w:t>
      </w:r>
      <w:r w:rsidRPr="00DC4C78">
        <w:t>, Māori</w:t>
      </w:r>
      <w:bookmarkEnd w:id="110"/>
      <w:bookmarkEnd w:id="111"/>
      <w:bookmarkEnd w:id="112"/>
      <w:bookmarkEnd w:id="113"/>
    </w:p>
    <w:p w:rsidR="00C30B65" w:rsidRPr="00DC4C78" w:rsidRDefault="00A315F9" w:rsidP="00A315F9">
      <w:r>
        <w:rPr>
          <w:noProof/>
          <w:lang w:eastAsia="en-NZ"/>
        </w:rPr>
        <w:drawing>
          <wp:inline distT="0" distB="0" distL="0" distR="0" wp14:anchorId="131D2366">
            <wp:extent cx="4320000" cy="2520000"/>
            <wp:effectExtent l="0" t="0" r="4445" b="0"/>
            <wp:docPr id="69" name="Picture 69" title="Figure 14: B4 School Check received, Māor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inline>
        </w:drawing>
      </w:r>
    </w:p>
    <w:p w:rsidR="00C30B65" w:rsidRPr="00DC4C78" w:rsidRDefault="00C30B65" w:rsidP="00C30B65"/>
    <w:p w:rsidR="00C30B65" w:rsidRPr="00DC4C78" w:rsidRDefault="00C30B65" w:rsidP="00C30B65">
      <w:pPr>
        <w:pStyle w:val="Figure"/>
      </w:pPr>
      <w:bookmarkStart w:id="114" w:name="_Toc405447430"/>
      <w:bookmarkStart w:id="115" w:name="_Toc417554780"/>
      <w:bookmarkStart w:id="116" w:name="_Toc436750512"/>
      <w:bookmarkStart w:id="117" w:name="_Toc440387835"/>
      <w:r w:rsidRPr="00DC4C78">
        <w:t>Figure 15: B4 School Check</w:t>
      </w:r>
      <w:r>
        <w:t xml:space="preserve"> received</w:t>
      </w:r>
      <w:r w:rsidRPr="00DC4C78">
        <w:t>, Pacific peoples</w:t>
      </w:r>
      <w:bookmarkEnd w:id="114"/>
      <w:bookmarkEnd w:id="115"/>
      <w:bookmarkEnd w:id="116"/>
      <w:bookmarkEnd w:id="117"/>
    </w:p>
    <w:p w:rsidR="00C30B65" w:rsidRPr="00DC4C78" w:rsidRDefault="00A315F9" w:rsidP="00A315F9">
      <w:r>
        <w:rPr>
          <w:noProof/>
          <w:lang w:eastAsia="en-NZ"/>
        </w:rPr>
        <w:drawing>
          <wp:inline distT="0" distB="0" distL="0" distR="0" wp14:anchorId="10B3130C">
            <wp:extent cx="4320000" cy="2520000"/>
            <wp:effectExtent l="0" t="0" r="4445" b="0"/>
            <wp:docPr id="70" name="Picture 70" title="Figure 15: B4 School Check received, Pacific peop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inline>
        </w:drawing>
      </w:r>
    </w:p>
    <w:p w:rsidR="00C30B65" w:rsidRPr="00DC4C78" w:rsidRDefault="00C30B65" w:rsidP="00C30B65"/>
    <w:p w:rsidR="00C30B65" w:rsidRPr="00DC4C78" w:rsidRDefault="00C30B65" w:rsidP="00C30B65">
      <w:pPr>
        <w:pStyle w:val="Heading3"/>
      </w:pPr>
      <w:r w:rsidRPr="00DC4C78">
        <w:t>Data notes</w:t>
      </w:r>
    </w:p>
    <w:p w:rsidR="00C30B65" w:rsidRPr="00DC4C78" w:rsidRDefault="00C30B65" w:rsidP="00C30B65">
      <w:pPr>
        <w:pStyle w:val="Bullet"/>
      </w:pPr>
      <w:r w:rsidRPr="00DC4C78">
        <w:t xml:space="preserve">Time period: checks </w:t>
      </w:r>
      <w:proofErr w:type="gramStart"/>
      <w:r w:rsidRPr="00DC4C78">
        <w:t>between January 2015 to June 2015</w:t>
      </w:r>
      <w:proofErr w:type="gramEnd"/>
      <w:r w:rsidRPr="00DC4C78">
        <w:t>.</w:t>
      </w:r>
    </w:p>
    <w:p w:rsidR="00C30B65" w:rsidRPr="00DC4C78" w:rsidRDefault="00C30B65" w:rsidP="00C30B65">
      <w:pPr>
        <w:pStyle w:val="Bullet"/>
      </w:pPr>
      <w:r w:rsidRPr="00DC4C78">
        <w:t>DHB is DHB of service.</w:t>
      </w:r>
    </w:p>
    <w:p w:rsidR="00C30B65" w:rsidRPr="00DC4C78" w:rsidRDefault="00C30B65" w:rsidP="00C30B65">
      <w:pPr>
        <w:pStyle w:val="Bullet"/>
      </w:pPr>
      <w:r w:rsidRPr="00DC4C78">
        <w:t>Numerator: number of completed B4 School Checks (source: B4 School Checks).</w:t>
      </w:r>
    </w:p>
    <w:p w:rsidR="00C30B65" w:rsidRPr="00DC4C78" w:rsidRDefault="00C30B65" w:rsidP="00C30B65">
      <w:pPr>
        <w:pStyle w:val="Bullet"/>
      </w:pPr>
      <w:r w:rsidRPr="00DC4C78">
        <w:t>Denominator: number of children eligible for a B4 School Check (source: PHO).</w:t>
      </w:r>
    </w:p>
    <w:p w:rsidR="00C30B65" w:rsidRPr="00DC4C78" w:rsidRDefault="00C30B65" w:rsidP="00C30B65">
      <w:pPr>
        <w:pStyle w:val="Bullet"/>
      </w:pPr>
      <w:r w:rsidRPr="00DC4C78">
        <w:t>Rates of greater than 100% for ethnic subgroups is likely due to variation in ethnicity reporting in different systems</w:t>
      </w:r>
    </w:p>
    <w:p w:rsidR="00C30B65" w:rsidRPr="00DC4C78" w:rsidRDefault="00C30B65" w:rsidP="00C30B65"/>
    <w:p w:rsidR="00C30B65" w:rsidRPr="00DC4C78" w:rsidRDefault="00C30B65" w:rsidP="00C30B65">
      <w:pPr>
        <w:pStyle w:val="Heading2"/>
      </w:pPr>
      <w:bookmarkStart w:id="118" w:name="_Toc365618445"/>
      <w:bookmarkStart w:id="119" w:name="_Toc405453768"/>
      <w:bookmarkStart w:id="120" w:name="_Toc418322778"/>
      <w:bookmarkStart w:id="121" w:name="_Toc419099446"/>
      <w:bookmarkStart w:id="122" w:name="_Toc440387792"/>
      <w:r w:rsidRPr="00DC4C78">
        <w:lastRenderedPageBreak/>
        <w:t>WCTO Quality Improvement Framework Indicator 5</w:t>
      </w:r>
      <w:bookmarkEnd w:id="118"/>
      <w:bookmarkEnd w:id="119"/>
      <w:bookmarkEnd w:id="120"/>
      <w:bookmarkEnd w:id="121"/>
      <w:bookmarkEnd w:id="122"/>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701"/>
        <w:gridCol w:w="7655"/>
      </w:tblGrid>
      <w:tr w:rsidR="00C30B65" w:rsidRPr="00DC4C78" w:rsidTr="00C30B65">
        <w:trPr>
          <w:cantSplit/>
        </w:trPr>
        <w:tc>
          <w:tcPr>
            <w:tcW w:w="1701" w:type="dxa"/>
            <w:tcBorders>
              <w:top w:val="single" w:sz="4" w:space="0" w:color="auto"/>
              <w:bottom w:val="nil"/>
            </w:tcBorders>
            <w:shd w:val="clear" w:color="auto" w:fill="F2F2F2"/>
          </w:tcPr>
          <w:p w:rsidR="00C30B65" w:rsidRPr="00DC4C78" w:rsidRDefault="00C30B65" w:rsidP="00C30B65">
            <w:pPr>
              <w:pStyle w:val="TableText"/>
              <w:keepNext/>
              <w:rPr>
                <w:b/>
              </w:rPr>
            </w:pPr>
            <w:r w:rsidRPr="00DC4C78">
              <w:rPr>
                <w:b/>
              </w:rPr>
              <w:t>Standard</w:t>
            </w:r>
          </w:p>
        </w:tc>
        <w:tc>
          <w:tcPr>
            <w:tcW w:w="7655" w:type="dxa"/>
            <w:tcBorders>
              <w:top w:val="single" w:sz="4" w:space="0" w:color="auto"/>
              <w:bottom w:val="nil"/>
            </w:tcBorders>
            <w:shd w:val="clear" w:color="auto" w:fill="F2F2F2"/>
          </w:tcPr>
          <w:p w:rsidR="00C30B65" w:rsidRPr="00DC4C78" w:rsidRDefault="00C30B65" w:rsidP="00C30B65">
            <w:pPr>
              <w:pStyle w:val="TableText"/>
              <w:keepNext/>
            </w:pPr>
            <w:r w:rsidRPr="00B7062B">
              <w:t>All children and families/</w:t>
            </w:r>
            <w:proofErr w:type="spellStart"/>
            <w:r w:rsidRPr="00B7062B">
              <w:t>whānau</w:t>
            </w:r>
            <w:proofErr w:type="spellEnd"/>
            <w:r w:rsidRPr="00B7062B">
              <w:t xml:space="preserve"> have access to primary care, WCTO services (including the B4School Check) and early childhood education.</w:t>
            </w:r>
          </w:p>
        </w:tc>
      </w:tr>
      <w:tr w:rsidR="00C30B65" w:rsidRPr="00DC4C78" w:rsidTr="00C30B65">
        <w:trPr>
          <w:cantSplit/>
        </w:trPr>
        <w:tc>
          <w:tcPr>
            <w:tcW w:w="1701" w:type="dxa"/>
            <w:tcBorders>
              <w:top w:val="nil"/>
              <w:bottom w:val="nil"/>
            </w:tcBorders>
            <w:shd w:val="clear" w:color="auto" w:fill="auto"/>
          </w:tcPr>
          <w:p w:rsidR="00C30B65" w:rsidRPr="00DC4C78" w:rsidRDefault="00C30B65" w:rsidP="00C30B65">
            <w:pPr>
              <w:pStyle w:val="TableText"/>
              <w:keepNext/>
              <w:rPr>
                <w:b/>
              </w:rPr>
            </w:pPr>
            <w:r w:rsidRPr="00DC4C78">
              <w:rPr>
                <w:b/>
              </w:rPr>
              <w:t>Indicator</w:t>
            </w:r>
          </w:p>
        </w:tc>
        <w:tc>
          <w:tcPr>
            <w:tcW w:w="7655" w:type="dxa"/>
            <w:tcBorders>
              <w:top w:val="nil"/>
              <w:bottom w:val="nil"/>
            </w:tcBorders>
            <w:shd w:val="clear" w:color="auto" w:fill="auto"/>
          </w:tcPr>
          <w:p w:rsidR="00C30B65" w:rsidRPr="00DC4C78" w:rsidRDefault="00C30B65" w:rsidP="00C30B65">
            <w:pPr>
              <w:pStyle w:val="TableText"/>
              <w:keepNext/>
            </w:pPr>
            <w:r>
              <w:t>Preschool c</w:t>
            </w:r>
            <w:r w:rsidRPr="00DC4C78">
              <w:t>hildren are enrolled with child oral health services.</w:t>
            </w:r>
          </w:p>
        </w:tc>
      </w:tr>
      <w:tr w:rsidR="00C30B65" w:rsidRPr="00DC4C78" w:rsidTr="00C30B65">
        <w:trPr>
          <w:cantSplit/>
        </w:trPr>
        <w:tc>
          <w:tcPr>
            <w:tcW w:w="1701" w:type="dxa"/>
            <w:tcBorders>
              <w:top w:val="nil"/>
              <w:bottom w:val="nil"/>
            </w:tcBorders>
            <w:shd w:val="clear" w:color="auto" w:fill="F2F2F2"/>
          </w:tcPr>
          <w:p w:rsidR="00C30B65" w:rsidRPr="00DC4C78" w:rsidRDefault="00C30B65" w:rsidP="00C30B65">
            <w:pPr>
              <w:pStyle w:val="TableText"/>
              <w:rPr>
                <w:b/>
              </w:rPr>
            </w:pPr>
            <w:r w:rsidRPr="00DC4C78">
              <w:rPr>
                <w:b/>
              </w:rPr>
              <w:t>Target by December 2014</w:t>
            </w:r>
          </w:p>
        </w:tc>
        <w:tc>
          <w:tcPr>
            <w:tcW w:w="7655" w:type="dxa"/>
            <w:tcBorders>
              <w:top w:val="nil"/>
              <w:bottom w:val="nil"/>
            </w:tcBorders>
            <w:shd w:val="clear" w:color="auto" w:fill="F2F2F2"/>
          </w:tcPr>
          <w:p w:rsidR="00C30B65" w:rsidRPr="00DC4C78" w:rsidRDefault="00C30B65" w:rsidP="00C30B65">
            <w:pPr>
              <w:pStyle w:val="TableText"/>
            </w:pPr>
            <w:r w:rsidRPr="00DC4C78">
              <w:t>86 percent</w:t>
            </w:r>
          </w:p>
        </w:tc>
      </w:tr>
      <w:tr w:rsidR="00C30B65" w:rsidRPr="00DC4C78" w:rsidTr="00C30B65">
        <w:trPr>
          <w:cantSplit/>
        </w:trPr>
        <w:tc>
          <w:tcPr>
            <w:tcW w:w="1701" w:type="dxa"/>
            <w:tcBorders>
              <w:top w:val="nil"/>
            </w:tcBorders>
            <w:shd w:val="clear" w:color="auto" w:fill="auto"/>
          </w:tcPr>
          <w:p w:rsidR="00C30B65" w:rsidRPr="00DC4C78" w:rsidRDefault="00C30B65" w:rsidP="00C30B65">
            <w:pPr>
              <w:pStyle w:val="TableText"/>
              <w:rPr>
                <w:b/>
              </w:rPr>
            </w:pPr>
            <w:r w:rsidRPr="00DC4C78">
              <w:rPr>
                <w:b/>
              </w:rPr>
              <w:t>Target by June 2016</w:t>
            </w:r>
          </w:p>
        </w:tc>
        <w:tc>
          <w:tcPr>
            <w:tcW w:w="7655" w:type="dxa"/>
            <w:tcBorders>
              <w:top w:val="nil"/>
            </w:tcBorders>
            <w:shd w:val="clear" w:color="auto" w:fill="auto"/>
          </w:tcPr>
          <w:p w:rsidR="00C30B65" w:rsidRPr="00DC4C78" w:rsidRDefault="00C30B65" w:rsidP="00C30B65">
            <w:pPr>
              <w:pStyle w:val="TableText"/>
            </w:pPr>
            <w:r w:rsidRPr="00DC4C78">
              <w:t>95 percent</w:t>
            </w:r>
          </w:p>
        </w:tc>
      </w:tr>
    </w:tbl>
    <w:p w:rsidR="00C30B65" w:rsidRPr="00DC4C78" w:rsidRDefault="00C30B65" w:rsidP="00C30B65"/>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93"/>
        <w:gridCol w:w="1843"/>
        <w:gridCol w:w="1701"/>
        <w:gridCol w:w="142"/>
        <w:gridCol w:w="1315"/>
        <w:gridCol w:w="1661"/>
      </w:tblGrid>
      <w:tr w:rsidR="00C30B65" w:rsidRPr="00DC4C78" w:rsidTr="00C30B65">
        <w:trPr>
          <w:cantSplit/>
        </w:trPr>
        <w:tc>
          <w:tcPr>
            <w:tcW w:w="1439" w:type="pct"/>
            <w:tcBorders>
              <w:bottom w:val="single" w:sz="4" w:space="0" w:color="auto"/>
            </w:tcBorders>
            <w:shd w:val="clear" w:color="auto" w:fill="F2F2F2"/>
          </w:tcPr>
          <w:p w:rsidR="00C30B65" w:rsidRPr="00DC4C78" w:rsidRDefault="00C30B65" w:rsidP="00C30B65">
            <w:pPr>
              <w:pStyle w:val="TableText"/>
              <w:rPr>
                <w:b/>
              </w:rPr>
            </w:pPr>
          </w:p>
        </w:tc>
        <w:tc>
          <w:tcPr>
            <w:tcW w:w="985" w:type="pct"/>
            <w:tcBorders>
              <w:bottom w:val="single" w:sz="4" w:space="0" w:color="auto"/>
            </w:tcBorders>
            <w:shd w:val="clear" w:color="auto" w:fill="F2F2F2"/>
          </w:tcPr>
          <w:p w:rsidR="00C30B65" w:rsidRPr="00DC4C78" w:rsidRDefault="00C30B65" w:rsidP="00C30B65">
            <w:pPr>
              <w:pStyle w:val="TableText"/>
              <w:jc w:val="center"/>
              <w:rPr>
                <w:b/>
              </w:rPr>
            </w:pPr>
            <w:r w:rsidRPr="00DC4C78">
              <w:rPr>
                <w:b/>
              </w:rPr>
              <w:t>Total New Zealand</w:t>
            </w:r>
          </w:p>
        </w:tc>
        <w:tc>
          <w:tcPr>
            <w:tcW w:w="909" w:type="pct"/>
            <w:tcBorders>
              <w:bottom w:val="single" w:sz="4" w:space="0" w:color="auto"/>
            </w:tcBorders>
            <w:shd w:val="clear" w:color="auto" w:fill="F2F2F2"/>
          </w:tcPr>
          <w:p w:rsidR="00C30B65" w:rsidRPr="00DC4C78" w:rsidRDefault="00C30B65" w:rsidP="00C30B65">
            <w:pPr>
              <w:pStyle w:val="TableText"/>
              <w:jc w:val="center"/>
              <w:rPr>
                <w:b/>
              </w:rPr>
            </w:pPr>
            <w:r w:rsidRPr="00DC4C78">
              <w:rPr>
                <w:b/>
              </w:rPr>
              <w:t>High deprivation</w:t>
            </w:r>
          </w:p>
        </w:tc>
        <w:tc>
          <w:tcPr>
            <w:tcW w:w="779" w:type="pct"/>
            <w:gridSpan w:val="2"/>
            <w:tcBorders>
              <w:bottom w:val="single" w:sz="4" w:space="0" w:color="auto"/>
            </w:tcBorders>
            <w:shd w:val="clear" w:color="auto" w:fill="F2F2F2"/>
          </w:tcPr>
          <w:p w:rsidR="00C30B65" w:rsidRPr="00DC4C78" w:rsidRDefault="00C30B65" w:rsidP="00C30B65">
            <w:pPr>
              <w:pStyle w:val="TableText"/>
              <w:jc w:val="center"/>
              <w:rPr>
                <w:b/>
              </w:rPr>
            </w:pPr>
            <w:r w:rsidRPr="00DC4C78">
              <w:rPr>
                <w:b/>
              </w:rPr>
              <w:t>Māori</w:t>
            </w:r>
          </w:p>
        </w:tc>
        <w:tc>
          <w:tcPr>
            <w:tcW w:w="888" w:type="pct"/>
            <w:tcBorders>
              <w:bottom w:val="single" w:sz="4" w:space="0" w:color="auto"/>
            </w:tcBorders>
            <w:shd w:val="clear" w:color="auto" w:fill="F2F2F2"/>
          </w:tcPr>
          <w:p w:rsidR="00C30B65" w:rsidRPr="00DC4C78" w:rsidRDefault="00C30B65" w:rsidP="00C30B65">
            <w:pPr>
              <w:pStyle w:val="TableText"/>
              <w:jc w:val="center"/>
              <w:rPr>
                <w:b/>
              </w:rPr>
            </w:pPr>
            <w:r w:rsidRPr="00DC4C78">
              <w:rPr>
                <w:b/>
              </w:rPr>
              <w:t>Pacific peoples</w:t>
            </w:r>
          </w:p>
        </w:tc>
      </w:tr>
      <w:tr w:rsidR="00C30B65" w:rsidRPr="00DC4C78" w:rsidTr="00C30B65">
        <w:trPr>
          <w:cantSplit/>
        </w:trPr>
        <w:tc>
          <w:tcPr>
            <w:tcW w:w="1439" w:type="pct"/>
            <w:tcBorders>
              <w:right w:val="nil"/>
            </w:tcBorders>
            <w:shd w:val="clear" w:color="auto" w:fill="auto"/>
          </w:tcPr>
          <w:p w:rsidR="00C30B65" w:rsidRPr="00DC4C78" w:rsidRDefault="00C30B65" w:rsidP="00C30B65">
            <w:pPr>
              <w:pStyle w:val="TableText"/>
            </w:pPr>
            <w:r w:rsidRPr="00DC4C78">
              <w:t>September 2015 mean (range)</w:t>
            </w:r>
          </w:p>
        </w:tc>
        <w:tc>
          <w:tcPr>
            <w:tcW w:w="985" w:type="pct"/>
            <w:tcBorders>
              <w:left w:val="nil"/>
              <w:right w:val="nil"/>
            </w:tcBorders>
            <w:shd w:val="clear" w:color="auto" w:fill="auto"/>
            <w:vAlign w:val="center"/>
          </w:tcPr>
          <w:p w:rsidR="00C30B65" w:rsidRPr="00DC4C78" w:rsidRDefault="00C30B65" w:rsidP="00C30B65">
            <w:pPr>
              <w:pStyle w:val="TableText"/>
              <w:jc w:val="center"/>
            </w:pPr>
            <w:r w:rsidRPr="00DC4C78">
              <w:t>76% (55–100)</w:t>
            </w:r>
          </w:p>
        </w:tc>
        <w:tc>
          <w:tcPr>
            <w:tcW w:w="985" w:type="pct"/>
            <w:gridSpan w:val="2"/>
            <w:tcBorders>
              <w:left w:val="nil"/>
              <w:right w:val="nil"/>
            </w:tcBorders>
            <w:shd w:val="clear" w:color="auto" w:fill="auto"/>
            <w:vAlign w:val="center"/>
          </w:tcPr>
          <w:p w:rsidR="00C30B65" w:rsidRPr="00DC4C78" w:rsidDel="00005318" w:rsidRDefault="00C30B65" w:rsidP="00C30B65">
            <w:pPr>
              <w:pStyle w:val="TableText"/>
              <w:jc w:val="center"/>
            </w:pPr>
            <w:r>
              <w:t>N/A</w:t>
            </w:r>
          </w:p>
        </w:tc>
        <w:tc>
          <w:tcPr>
            <w:tcW w:w="703" w:type="pct"/>
            <w:tcBorders>
              <w:left w:val="nil"/>
              <w:right w:val="nil"/>
            </w:tcBorders>
            <w:shd w:val="clear" w:color="auto" w:fill="auto"/>
            <w:vAlign w:val="center"/>
          </w:tcPr>
          <w:p w:rsidR="00C30B65" w:rsidRPr="00DC4C78" w:rsidRDefault="00C30B65" w:rsidP="00C30B65">
            <w:pPr>
              <w:pStyle w:val="TableText"/>
              <w:jc w:val="center"/>
            </w:pPr>
            <w:r w:rsidRPr="00DC4C78">
              <w:t>61% (20–92)</w:t>
            </w:r>
          </w:p>
        </w:tc>
        <w:tc>
          <w:tcPr>
            <w:tcW w:w="888" w:type="pct"/>
            <w:tcBorders>
              <w:left w:val="nil"/>
              <w:right w:val="nil"/>
            </w:tcBorders>
            <w:shd w:val="clear" w:color="auto" w:fill="auto"/>
            <w:vAlign w:val="center"/>
          </w:tcPr>
          <w:p w:rsidR="00C30B65" w:rsidRPr="00DC4C78" w:rsidRDefault="00C30B65" w:rsidP="00C30B65">
            <w:pPr>
              <w:pStyle w:val="TableText"/>
              <w:jc w:val="center"/>
            </w:pPr>
            <w:r w:rsidRPr="00DC4C78">
              <w:t>75% (39–92)</w:t>
            </w:r>
          </w:p>
        </w:tc>
      </w:tr>
      <w:tr w:rsidR="00C30B65" w:rsidRPr="00DC4C78" w:rsidTr="00C30B65">
        <w:trPr>
          <w:cantSplit/>
        </w:trPr>
        <w:tc>
          <w:tcPr>
            <w:tcW w:w="1439" w:type="pct"/>
            <w:tcBorders>
              <w:right w:val="nil"/>
            </w:tcBorders>
            <w:shd w:val="clear" w:color="auto" w:fill="auto"/>
          </w:tcPr>
          <w:p w:rsidR="00C30B65" w:rsidRPr="00DC4C78" w:rsidRDefault="00C30B65" w:rsidP="00C30B65">
            <w:pPr>
              <w:pStyle w:val="TableText"/>
            </w:pPr>
            <w:r>
              <w:t>March 2015 mean (range)</w:t>
            </w:r>
          </w:p>
        </w:tc>
        <w:tc>
          <w:tcPr>
            <w:tcW w:w="3561" w:type="pct"/>
            <w:gridSpan w:val="5"/>
            <w:tcBorders>
              <w:left w:val="nil"/>
              <w:right w:val="nil"/>
            </w:tcBorders>
            <w:shd w:val="clear" w:color="auto" w:fill="auto"/>
            <w:vAlign w:val="center"/>
          </w:tcPr>
          <w:p w:rsidR="00C30B65" w:rsidRPr="00DC4C78" w:rsidRDefault="00C30B65" w:rsidP="00C30B65">
            <w:pPr>
              <w:pStyle w:val="TableText"/>
              <w:jc w:val="center"/>
            </w:pPr>
            <w:r>
              <w:t>no data</w:t>
            </w:r>
          </w:p>
        </w:tc>
      </w:tr>
    </w:tbl>
    <w:p w:rsidR="00C30B65" w:rsidRPr="00DC4C78" w:rsidRDefault="00C30B65" w:rsidP="00C30B65"/>
    <w:p w:rsidR="00C30B65" w:rsidRPr="00DC4C78" w:rsidRDefault="00C30B65" w:rsidP="00C30B65">
      <w:pPr>
        <w:pStyle w:val="Figure"/>
      </w:pPr>
      <w:bookmarkStart w:id="123" w:name="_Toc436750513"/>
      <w:bookmarkStart w:id="124" w:name="_Toc440387836"/>
      <w:r w:rsidRPr="00DC4C78">
        <w:t>Figure 16: Preschool children enrolled with child oral health services, total New Zealand</w:t>
      </w:r>
      <w:bookmarkEnd w:id="123"/>
      <w:bookmarkEnd w:id="124"/>
    </w:p>
    <w:p w:rsidR="00C30B65" w:rsidRPr="00DC4C78" w:rsidRDefault="00992541" w:rsidP="00992541">
      <w:r>
        <w:rPr>
          <w:noProof/>
          <w:lang w:eastAsia="en-NZ"/>
        </w:rPr>
        <w:drawing>
          <wp:inline distT="0" distB="0" distL="0" distR="0" wp14:anchorId="080FE78C">
            <wp:extent cx="4320000" cy="2520000"/>
            <wp:effectExtent l="0" t="0" r="4445" b="0"/>
            <wp:docPr id="6" name="Picture 6" title="Figure 16: Preschool children enrolled with child oral health services, total New Zeala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inline>
        </w:drawing>
      </w:r>
    </w:p>
    <w:p w:rsidR="00C30B65" w:rsidRPr="00DC4C78" w:rsidRDefault="00C30B65" w:rsidP="00C30B65"/>
    <w:p w:rsidR="00C30B65" w:rsidRPr="00DC4C78" w:rsidRDefault="00C30B65" w:rsidP="00C30B65">
      <w:pPr>
        <w:pStyle w:val="Figure"/>
      </w:pPr>
      <w:bookmarkStart w:id="125" w:name="_Toc436750514"/>
      <w:bookmarkStart w:id="126" w:name="_Toc440387837"/>
      <w:r w:rsidRPr="00DC4C78">
        <w:t>Figure 17: Preschool children enrolled with child oral health services, Māori</w:t>
      </w:r>
      <w:bookmarkEnd w:id="125"/>
      <w:bookmarkEnd w:id="126"/>
    </w:p>
    <w:p w:rsidR="00C30B65" w:rsidRPr="00DC4C78" w:rsidRDefault="00992541" w:rsidP="00992541">
      <w:r>
        <w:rPr>
          <w:noProof/>
          <w:lang w:eastAsia="en-NZ"/>
        </w:rPr>
        <w:drawing>
          <wp:inline distT="0" distB="0" distL="0" distR="0" wp14:anchorId="0C7F89FF">
            <wp:extent cx="4320000" cy="2520000"/>
            <wp:effectExtent l="0" t="0" r="4445" b="0"/>
            <wp:docPr id="7" name="Picture 7" title="Figure 17: Preschool children enrolled with child oral health services, Māor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inline>
        </w:drawing>
      </w:r>
    </w:p>
    <w:p w:rsidR="00C30B65" w:rsidRPr="00DC4C78" w:rsidRDefault="00C30B65" w:rsidP="00C30B65"/>
    <w:p w:rsidR="00C30B65" w:rsidRPr="00DC4C78" w:rsidRDefault="00C30B65" w:rsidP="00C30B65">
      <w:pPr>
        <w:pStyle w:val="Figure"/>
      </w:pPr>
      <w:bookmarkStart w:id="127" w:name="_Toc436750515"/>
      <w:bookmarkStart w:id="128" w:name="_Toc440387838"/>
      <w:r w:rsidRPr="00DC4C78">
        <w:lastRenderedPageBreak/>
        <w:t>Figure 18: Preschool children enrolled with child oral health services, Pacific</w:t>
      </w:r>
      <w:bookmarkEnd w:id="127"/>
      <w:r>
        <w:t xml:space="preserve"> peoples</w:t>
      </w:r>
      <w:bookmarkEnd w:id="128"/>
    </w:p>
    <w:p w:rsidR="00C30B65" w:rsidRPr="00DC4C78" w:rsidRDefault="00992541" w:rsidP="00992541">
      <w:r>
        <w:rPr>
          <w:noProof/>
          <w:lang w:eastAsia="en-NZ"/>
        </w:rPr>
        <w:drawing>
          <wp:inline distT="0" distB="0" distL="0" distR="0" wp14:anchorId="7CCD4BB9">
            <wp:extent cx="4320000" cy="2520000"/>
            <wp:effectExtent l="0" t="0" r="4445" b="0"/>
            <wp:docPr id="9" name="Picture 9" title="Figure 18: Preschool children enrolled with child oral health services, Pacific peop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inline>
        </w:drawing>
      </w:r>
    </w:p>
    <w:p w:rsidR="00C30B65" w:rsidRPr="00DC4C78" w:rsidRDefault="00C30B65" w:rsidP="00C30B65"/>
    <w:p w:rsidR="00C30B65" w:rsidRPr="00DC4C78" w:rsidRDefault="00C30B65" w:rsidP="00C30B65">
      <w:pPr>
        <w:pStyle w:val="Heading3"/>
      </w:pPr>
      <w:r w:rsidRPr="00DC4C78">
        <w:t>Data notes</w:t>
      </w:r>
    </w:p>
    <w:p w:rsidR="00C30B65" w:rsidRPr="00DC4C78" w:rsidRDefault="00C30B65" w:rsidP="00C30B65">
      <w:pPr>
        <w:pStyle w:val="Bullet"/>
      </w:pPr>
      <w:r w:rsidRPr="00DC4C78">
        <w:t>Time period: 2014</w:t>
      </w:r>
    </w:p>
    <w:p w:rsidR="00C30B65" w:rsidRPr="00DC4C78" w:rsidRDefault="00C30B65" w:rsidP="00C30B65">
      <w:pPr>
        <w:pStyle w:val="Bullet"/>
      </w:pPr>
      <w:r w:rsidRPr="00DC4C78">
        <w:t>Data is not available by deprivation quintile.</w:t>
      </w:r>
    </w:p>
    <w:p w:rsidR="00C30B65" w:rsidRPr="00DC4C78" w:rsidRDefault="00C30B65" w:rsidP="00C30B65">
      <w:pPr>
        <w:pStyle w:val="Bullet"/>
      </w:pPr>
      <w:r w:rsidRPr="00DC4C78">
        <w:t>Numerator: number of children aged under five years enrolled with oral health services (source: community oral health services).</w:t>
      </w:r>
    </w:p>
    <w:p w:rsidR="00C30B65" w:rsidRPr="00DC4C78" w:rsidRDefault="00C30B65" w:rsidP="00C30B65">
      <w:pPr>
        <w:pStyle w:val="Bullet"/>
      </w:pPr>
      <w:r w:rsidRPr="00DC4C78">
        <w:t>Denominator: number of children aged under five years (source: PHO).</w:t>
      </w:r>
    </w:p>
    <w:p w:rsidR="00C30B65" w:rsidRPr="00DC4C78" w:rsidRDefault="00C30B65" w:rsidP="00C30B65"/>
    <w:p w:rsidR="00C30B65" w:rsidRPr="00DC4C78" w:rsidRDefault="00C30B65" w:rsidP="00C30B65">
      <w:pPr>
        <w:pStyle w:val="Heading2"/>
        <w:spacing w:before="0"/>
      </w:pPr>
      <w:bookmarkStart w:id="129" w:name="_Toc365618446"/>
      <w:bookmarkStart w:id="130" w:name="_Toc405453769"/>
      <w:bookmarkStart w:id="131" w:name="_Toc418322779"/>
      <w:bookmarkStart w:id="132" w:name="_Toc419099447"/>
      <w:bookmarkStart w:id="133" w:name="_Toc440387793"/>
      <w:r w:rsidRPr="00DC4C78">
        <w:lastRenderedPageBreak/>
        <w:t>WCTO Quality Improvement Framework Indicator 6</w:t>
      </w:r>
      <w:bookmarkEnd w:id="129"/>
      <w:bookmarkEnd w:id="130"/>
      <w:bookmarkEnd w:id="131"/>
      <w:bookmarkEnd w:id="132"/>
      <w:bookmarkEnd w:id="133"/>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701"/>
        <w:gridCol w:w="7655"/>
      </w:tblGrid>
      <w:tr w:rsidR="00C30B65" w:rsidRPr="00DC4C78" w:rsidTr="00C30B65">
        <w:trPr>
          <w:cantSplit/>
        </w:trPr>
        <w:tc>
          <w:tcPr>
            <w:tcW w:w="1701" w:type="dxa"/>
            <w:tcBorders>
              <w:top w:val="single" w:sz="4" w:space="0" w:color="auto"/>
              <w:bottom w:val="nil"/>
            </w:tcBorders>
            <w:shd w:val="clear" w:color="auto" w:fill="F2F2F2"/>
          </w:tcPr>
          <w:p w:rsidR="00C30B65" w:rsidRPr="00DC4C78" w:rsidRDefault="00C30B65" w:rsidP="00742999">
            <w:pPr>
              <w:pStyle w:val="TableText"/>
              <w:keepNext/>
              <w:rPr>
                <w:b/>
              </w:rPr>
            </w:pPr>
            <w:r w:rsidRPr="00DC4C78">
              <w:rPr>
                <w:b/>
              </w:rPr>
              <w:t>Standard</w:t>
            </w:r>
          </w:p>
        </w:tc>
        <w:tc>
          <w:tcPr>
            <w:tcW w:w="7655" w:type="dxa"/>
            <w:tcBorders>
              <w:top w:val="single" w:sz="4" w:space="0" w:color="auto"/>
              <w:bottom w:val="nil"/>
            </w:tcBorders>
            <w:shd w:val="clear" w:color="auto" w:fill="F2F2F2"/>
          </w:tcPr>
          <w:p w:rsidR="00C30B65" w:rsidRPr="00DC4C78" w:rsidRDefault="00C30B65" w:rsidP="00742999">
            <w:pPr>
              <w:pStyle w:val="TableText"/>
              <w:keepNext/>
            </w:pPr>
            <w:r w:rsidRPr="00B7062B">
              <w:t>All children and families/</w:t>
            </w:r>
            <w:proofErr w:type="spellStart"/>
            <w:r w:rsidRPr="00B7062B">
              <w:t>whānau</w:t>
            </w:r>
            <w:proofErr w:type="spellEnd"/>
            <w:r w:rsidRPr="00B7062B">
              <w:t xml:space="preserve"> have access to primary care, WCTO services (including the B4School Check) and early childhood education.</w:t>
            </w:r>
          </w:p>
        </w:tc>
      </w:tr>
      <w:tr w:rsidR="00C30B65" w:rsidRPr="00DC4C78" w:rsidTr="00C30B65">
        <w:trPr>
          <w:cantSplit/>
        </w:trPr>
        <w:tc>
          <w:tcPr>
            <w:tcW w:w="1701" w:type="dxa"/>
            <w:tcBorders>
              <w:top w:val="nil"/>
              <w:bottom w:val="nil"/>
            </w:tcBorders>
            <w:shd w:val="clear" w:color="auto" w:fill="auto"/>
          </w:tcPr>
          <w:p w:rsidR="00C30B65" w:rsidRPr="00DC4C78" w:rsidRDefault="00C30B65" w:rsidP="00B82827">
            <w:pPr>
              <w:pStyle w:val="TableText"/>
              <w:keepNext/>
              <w:rPr>
                <w:b/>
              </w:rPr>
            </w:pPr>
            <w:r w:rsidRPr="00DC4C78">
              <w:rPr>
                <w:b/>
              </w:rPr>
              <w:t>Indicator</w:t>
            </w:r>
          </w:p>
        </w:tc>
        <w:tc>
          <w:tcPr>
            <w:tcW w:w="7655" w:type="dxa"/>
            <w:tcBorders>
              <w:top w:val="nil"/>
              <w:bottom w:val="nil"/>
            </w:tcBorders>
          </w:tcPr>
          <w:p w:rsidR="00C30B65" w:rsidRPr="00DC4C78" w:rsidRDefault="00C30B65" w:rsidP="00B82827">
            <w:pPr>
              <w:pStyle w:val="TableText"/>
              <w:keepNext/>
            </w:pPr>
            <w:r w:rsidRPr="00DC4C78">
              <w:t>Immunisations are up to date by eight months.</w:t>
            </w:r>
          </w:p>
        </w:tc>
      </w:tr>
      <w:tr w:rsidR="00C30B65" w:rsidRPr="00DC4C78" w:rsidTr="00C30B65">
        <w:trPr>
          <w:cantSplit/>
        </w:trPr>
        <w:tc>
          <w:tcPr>
            <w:tcW w:w="1701" w:type="dxa"/>
            <w:tcBorders>
              <w:top w:val="nil"/>
              <w:bottom w:val="nil"/>
            </w:tcBorders>
            <w:shd w:val="clear" w:color="auto" w:fill="F2F2F2"/>
          </w:tcPr>
          <w:p w:rsidR="00C30B65" w:rsidRPr="00DC4C78" w:rsidRDefault="00C30B65" w:rsidP="00B82827">
            <w:pPr>
              <w:pStyle w:val="TableText"/>
              <w:keepNext/>
              <w:rPr>
                <w:b/>
              </w:rPr>
            </w:pPr>
            <w:r w:rsidRPr="00DC4C78">
              <w:rPr>
                <w:b/>
              </w:rPr>
              <w:t>Target by December 2014</w:t>
            </w:r>
          </w:p>
        </w:tc>
        <w:tc>
          <w:tcPr>
            <w:tcW w:w="7655" w:type="dxa"/>
            <w:tcBorders>
              <w:top w:val="nil"/>
              <w:bottom w:val="nil"/>
            </w:tcBorders>
            <w:shd w:val="clear" w:color="auto" w:fill="F2F2F2"/>
          </w:tcPr>
          <w:p w:rsidR="00C30B65" w:rsidRPr="00DC4C78" w:rsidRDefault="00C30B65" w:rsidP="00B82827">
            <w:pPr>
              <w:pStyle w:val="TableText"/>
              <w:keepNext/>
            </w:pPr>
            <w:r w:rsidRPr="00DC4C78">
              <w:t>95 percent</w:t>
            </w:r>
          </w:p>
        </w:tc>
      </w:tr>
      <w:tr w:rsidR="00C30B65" w:rsidRPr="00DC4C78" w:rsidTr="00C30B65">
        <w:trPr>
          <w:cantSplit/>
        </w:trPr>
        <w:tc>
          <w:tcPr>
            <w:tcW w:w="1701" w:type="dxa"/>
            <w:tcBorders>
              <w:top w:val="nil"/>
            </w:tcBorders>
            <w:shd w:val="clear" w:color="auto" w:fill="auto"/>
          </w:tcPr>
          <w:p w:rsidR="00C30B65" w:rsidRPr="00DC4C78" w:rsidRDefault="00C30B65" w:rsidP="00B82827">
            <w:pPr>
              <w:pStyle w:val="TableText"/>
              <w:keepNext/>
              <w:rPr>
                <w:b/>
              </w:rPr>
            </w:pPr>
            <w:r w:rsidRPr="00DC4C78">
              <w:rPr>
                <w:b/>
              </w:rPr>
              <w:t>Target by June 2016</w:t>
            </w:r>
          </w:p>
        </w:tc>
        <w:tc>
          <w:tcPr>
            <w:tcW w:w="7655" w:type="dxa"/>
            <w:tcBorders>
              <w:top w:val="nil"/>
            </w:tcBorders>
          </w:tcPr>
          <w:p w:rsidR="00C30B65" w:rsidRPr="00DC4C78" w:rsidRDefault="00C30B65" w:rsidP="00B82827">
            <w:pPr>
              <w:pStyle w:val="TableText"/>
              <w:keepNext/>
            </w:pPr>
            <w:r w:rsidRPr="00DC4C78">
              <w:t>95 percent</w:t>
            </w:r>
          </w:p>
        </w:tc>
      </w:tr>
    </w:tbl>
    <w:p w:rsidR="00C30B65" w:rsidRPr="00DC4C78" w:rsidRDefault="00C30B65" w:rsidP="00B82827">
      <w:pPr>
        <w:keepNext/>
      </w:pPr>
    </w:p>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93"/>
        <w:gridCol w:w="1843"/>
        <w:gridCol w:w="1701"/>
        <w:gridCol w:w="1458"/>
        <w:gridCol w:w="1660"/>
      </w:tblGrid>
      <w:tr w:rsidR="00C30B65" w:rsidRPr="00DC4C78" w:rsidTr="00C30B65">
        <w:trPr>
          <w:cantSplit/>
        </w:trPr>
        <w:tc>
          <w:tcPr>
            <w:tcW w:w="1439" w:type="pct"/>
            <w:shd w:val="clear" w:color="auto" w:fill="F2F2F2"/>
          </w:tcPr>
          <w:p w:rsidR="00C30B65" w:rsidRPr="00DC4C78" w:rsidRDefault="00C30B65" w:rsidP="00B82827">
            <w:pPr>
              <w:pStyle w:val="TableText"/>
              <w:keepNext/>
              <w:rPr>
                <w:b/>
              </w:rPr>
            </w:pPr>
          </w:p>
        </w:tc>
        <w:tc>
          <w:tcPr>
            <w:tcW w:w="985" w:type="pct"/>
            <w:shd w:val="clear" w:color="auto" w:fill="F2F2F2"/>
          </w:tcPr>
          <w:p w:rsidR="00C30B65" w:rsidRPr="00DC4C78" w:rsidRDefault="00C30B65" w:rsidP="00B82827">
            <w:pPr>
              <w:pStyle w:val="TableText"/>
              <w:keepNext/>
              <w:jc w:val="center"/>
              <w:rPr>
                <w:b/>
              </w:rPr>
            </w:pPr>
            <w:r w:rsidRPr="00DC4C78">
              <w:rPr>
                <w:b/>
              </w:rPr>
              <w:t>Total New Zealand</w:t>
            </w:r>
          </w:p>
        </w:tc>
        <w:tc>
          <w:tcPr>
            <w:tcW w:w="909" w:type="pct"/>
            <w:shd w:val="clear" w:color="auto" w:fill="F2F2F2"/>
          </w:tcPr>
          <w:p w:rsidR="00C30B65" w:rsidRPr="00DC4C78" w:rsidRDefault="00C30B65" w:rsidP="00B82827">
            <w:pPr>
              <w:pStyle w:val="TableText"/>
              <w:keepNext/>
              <w:jc w:val="center"/>
              <w:rPr>
                <w:b/>
              </w:rPr>
            </w:pPr>
            <w:r w:rsidRPr="00DC4C78">
              <w:rPr>
                <w:b/>
              </w:rPr>
              <w:t>High deprivation</w:t>
            </w:r>
          </w:p>
        </w:tc>
        <w:tc>
          <w:tcPr>
            <w:tcW w:w="779" w:type="pct"/>
            <w:shd w:val="clear" w:color="auto" w:fill="F2F2F2"/>
          </w:tcPr>
          <w:p w:rsidR="00C30B65" w:rsidRPr="00DC4C78" w:rsidRDefault="00C30B65" w:rsidP="00B82827">
            <w:pPr>
              <w:pStyle w:val="TableText"/>
              <w:keepNext/>
              <w:jc w:val="center"/>
              <w:rPr>
                <w:b/>
              </w:rPr>
            </w:pPr>
            <w:r w:rsidRPr="00DC4C78">
              <w:rPr>
                <w:b/>
              </w:rPr>
              <w:t>Māori</w:t>
            </w:r>
          </w:p>
        </w:tc>
        <w:tc>
          <w:tcPr>
            <w:tcW w:w="887" w:type="pct"/>
            <w:shd w:val="clear" w:color="auto" w:fill="F2F2F2"/>
          </w:tcPr>
          <w:p w:rsidR="00C30B65" w:rsidRPr="00DC4C78" w:rsidRDefault="00C30B65" w:rsidP="00B82827">
            <w:pPr>
              <w:pStyle w:val="TableText"/>
              <w:keepNext/>
              <w:jc w:val="center"/>
              <w:rPr>
                <w:b/>
              </w:rPr>
            </w:pPr>
            <w:r w:rsidRPr="00DC4C78">
              <w:rPr>
                <w:b/>
              </w:rPr>
              <w:t>Pacific peoples</w:t>
            </w:r>
          </w:p>
        </w:tc>
      </w:tr>
      <w:tr w:rsidR="00C30B65" w:rsidRPr="00DC4C78" w:rsidTr="00C30B65">
        <w:trPr>
          <w:cantSplit/>
        </w:trPr>
        <w:tc>
          <w:tcPr>
            <w:tcW w:w="1439" w:type="pct"/>
            <w:shd w:val="clear" w:color="auto" w:fill="auto"/>
          </w:tcPr>
          <w:p w:rsidR="00C30B65" w:rsidRPr="00DC4C78" w:rsidRDefault="00C30B65" w:rsidP="00B82827">
            <w:pPr>
              <w:pStyle w:val="TableText"/>
              <w:keepNext/>
            </w:pPr>
            <w:r w:rsidRPr="00DC4C78">
              <w:t>September 2015 mean (range)</w:t>
            </w:r>
          </w:p>
        </w:tc>
        <w:tc>
          <w:tcPr>
            <w:tcW w:w="985" w:type="pct"/>
            <w:shd w:val="clear" w:color="auto" w:fill="auto"/>
            <w:vAlign w:val="center"/>
          </w:tcPr>
          <w:p w:rsidR="00C30B65" w:rsidRPr="00DC4C78" w:rsidRDefault="00C30B65" w:rsidP="00B82827">
            <w:pPr>
              <w:pStyle w:val="TableText"/>
              <w:keepNext/>
              <w:jc w:val="center"/>
            </w:pPr>
            <w:r w:rsidRPr="00DC4C78">
              <w:t>93% (85</w:t>
            </w:r>
            <w:r>
              <w:t>–</w:t>
            </w:r>
            <w:r w:rsidRPr="00DC4C78">
              <w:t>96)</w:t>
            </w:r>
          </w:p>
        </w:tc>
        <w:tc>
          <w:tcPr>
            <w:tcW w:w="909" w:type="pct"/>
            <w:shd w:val="clear" w:color="auto" w:fill="auto"/>
            <w:vAlign w:val="center"/>
          </w:tcPr>
          <w:p w:rsidR="00C30B65" w:rsidRPr="00DC4C78" w:rsidRDefault="00C30B65" w:rsidP="00B82827">
            <w:pPr>
              <w:pStyle w:val="TableText"/>
              <w:keepNext/>
              <w:jc w:val="center"/>
            </w:pPr>
            <w:r w:rsidRPr="00DC4C78">
              <w:t>91% (61</w:t>
            </w:r>
            <w:r>
              <w:t>–</w:t>
            </w:r>
            <w:r w:rsidRPr="00DC4C78">
              <w:t>97)</w:t>
            </w:r>
          </w:p>
        </w:tc>
        <w:tc>
          <w:tcPr>
            <w:tcW w:w="779" w:type="pct"/>
            <w:shd w:val="clear" w:color="auto" w:fill="auto"/>
            <w:vAlign w:val="center"/>
          </w:tcPr>
          <w:p w:rsidR="00C30B65" w:rsidRPr="00DC4C78" w:rsidRDefault="00C30B65" w:rsidP="00B82827">
            <w:pPr>
              <w:pStyle w:val="TableText"/>
              <w:keepNext/>
              <w:jc w:val="center"/>
            </w:pPr>
            <w:r w:rsidRPr="00DC4C78">
              <w:t>90% (80</w:t>
            </w:r>
            <w:r>
              <w:t>–</w:t>
            </w:r>
            <w:r w:rsidRPr="00DC4C78">
              <w:t>96)</w:t>
            </w:r>
          </w:p>
        </w:tc>
        <w:tc>
          <w:tcPr>
            <w:tcW w:w="887" w:type="pct"/>
            <w:shd w:val="clear" w:color="auto" w:fill="auto"/>
            <w:vAlign w:val="center"/>
          </w:tcPr>
          <w:p w:rsidR="00C30B65" w:rsidRPr="00DC4C78" w:rsidRDefault="00C30B65" w:rsidP="00B82827">
            <w:pPr>
              <w:pStyle w:val="TableText"/>
              <w:keepNext/>
              <w:jc w:val="center"/>
            </w:pPr>
            <w:r w:rsidRPr="00DC4C78">
              <w:t>95% (50</w:t>
            </w:r>
            <w:r>
              <w:t>–</w:t>
            </w:r>
            <w:r w:rsidRPr="00DC4C78">
              <w:t>100)</w:t>
            </w:r>
          </w:p>
        </w:tc>
      </w:tr>
      <w:tr w:rsidR="00C30B65" w:rsidRPr="00DC4C78" w:rsidTr="00C30B65">
        <w:trPr>
          <w:cantSplit/>
        </w:trPr>
        <w:tc>
          <w:tcPr>
            <w:tcW w:w="1439" w:type="pct"/>
            <w:shd w:val="clear" w:color="auto" w:fill="auto"/>
          </w:tcPr>
          <w:p w:rsidR="00C30B65" w:rsidRPr="00DC4C78" w:rsidRDefault="00C30B65" w:rsidP="00B82827">
            <w:pPr>
              <w:pStyle w:val="TableText"/>
              <w:keepNext/>
            </w:pPr>
            <w:r w:rsidRPr="00DC4C78">
              <w:t>March 2015 mean (range)</w:t>
            </w:r>
          </w:p>
        </w:tc>
        <w:tc>
          <w:tcPr>
            <w:tcW w:w="985" w:type="pct"/>
            <w:shd w:val="clear" w:color="auto" w:fill="auto"/>
            <w:vAlign w:val="center"/>
          </w:tcPr>
          <w:p w:rsidR="00C30B65" w:rsidRPr="00DC4C78" w:rsidRDefault="00C30B65" w:rsidP="00B82827">
            <w:pPr>
              <w:pStyle w:val="TableText"/>
              <w:keepNext/>
              <w:jc w:val="center"/>
            </w:pPr>
            <w:r w:rsidRPr="00DC4C78">
              <w:t>94% (82–96)</w:t>
            </w:r>
          </w:p>
        </w:tc>
        <w:tc>
          <w:tcPr>
            <w:tcW w:w="909" w:type="pct"/>
            <w:shd w:val="clear" w:color="auto" w:fill="auto"/>
            <w:vAlign w:val="center"/>
          </w:tcPr>
          <w:p w:rsidR="00C30B65" w:rsidRPr="00DC4C78" w:rsidRDefault="00C30B65" w:rsidP="00B82827">
            <w:pPr>
              <w:pStyle w:val="TableText"/>
              <w:keepNext/>
              <w:jc w:val="center"/>
            </w:pPr>
            <w:r w:rsidRPr="00DC4C78">
              <w:t>93% (41–100)</w:t>
            </w:r>
          </w:p>
        </w:tc>
        <w:tc>
          <w:tcPr>
            <w:tcW w:w="779" w:type="pct"/>
            <w:shd w:val="clear" w:color="auto" w:fill="auto"/>
            <w:vAlign w:val="center"/>
          </w:tcPr>
          <w:p w:rsidR="00C30B65" w:rsidRPr="00DC4C78" w:rsidRDefault="00C30B65" w:rsidP="00B82827">
            <w:pPr>
              <w:pStyle w:val="TableText"/>
              <w:keepNext/>
              <w:jc w:val="center"/>
            </w:pPr>
            <w:r w:rsidRPr="00DC4C78">
              <w:t>92% (89–100)</w:t>
            </w:r>
          </w:p>
        </w:tc>
        <w:tc>
          <w:tcPr>
            <w:tcW w:w="887" w:type="pct"/>
            <w:shd w:val="clear" w:color="auto" w:fill="auto"/>
            <w:vAlign w:val="center"/>
          </w:tcPr>
          <w:p w:rsidR="00C30B65" w:rsidRPr="00DC4C78" w:rsidRDefault="00C30B65" w:rsidP="00B82827">
            <w:pPr>
              <w:pStyle w:val="TableText"/>
              <w:keepNext/>
              <w:jc w:val="center"/>
            </w:pPr>
            <w:r w:rsidRPr="00DC4C78">
              <w:t>96% (88–100)</w:t>
            </w:r>
          </w:p>
        </w:tc>
      </w:tr>
    </w:tbl>
    <w:p w:rsidR="00C30B65" w:rsidRPr="00DC4C78" w:rsidRDefault="00C30B65" w:rsidP="00B82827">
      <w:pPr>
        <w:keepNext/>
      </w:pPr>
      <w:bookmarkStart w:id="134" w:name="_Toc405447434"/>
    </w:p>
    <w:p w:rsidR="00C30B65" w:rsidRPr="00DC4C78" w:rsidRDefault="00C30B65" w:rsidP="00B82827">
      <w:pPr>
        <w:pStyle w:val="Figure"/>
      </w:pPr>
      <w:bookmarkStart w:id="135" w:name="_Toc417554781"/>
      <w:bookmarkStart w:id="136" w:name="_Toc436750516"/>
      <w:bookmarkStart w:id="137" w:name="_Toc440387839"/>
      <w:r w:rsidRPr="00DC4C78">
        <w:t xml:space="preserve">Figure 19: </w:t>
      </w:r>
      <w:r>
        <w:t>Infants f</w:t>
      </w:r>
      <w:r w:rsidRPr="00DC4C78">
        <w:t>ully immunised by eight months, total New Zealand</w:t>
      </w:r>
      <w:bookmarkEnd w:id="134"/>
      <w:bookmarkEnd w:id="135"/>
      <w:bookmarkEnd w:id="136"/>
      <w:bookmarkEnd w:id="137"/>
    </w:p>
    <w:p w:rsidR="00C30B65" w:rsidRPr="00DC4C78" w:rsidRDefault="00A4478F" w:rsidP="00A4478F">
      <w:r>
        <w:rPr>
          <w:noProof/>
          <w:lang w:eastAsia="en-NZ"/>
        </w:rPr>
        <w:drawing>
          <wp:inline distT="0" distB="0" distL="0" distR="0" wp14:anchorId="07664FC0">
            <wp:extent cx="4320000" cy="2520000"/>
            <wp:effectExtent l="0" t="0" r="4445" b="0"/>
            <wp:docPr id="74" name="Picture 74" title="Figure 19: Infants fully immunised by eight months, total New Zeala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inline>
        </w:drawing>
      </w:r>
    </w:p>
    <w:p w:rsidR="00C30B65" w:rsidRPr="00DC4C78" w:rsidRDefault="00C30B65" w:rsidP="00C30B65"/>
    <w:p w:rsidR="00C30B65" w:rsidRPr="00DC4C78" w:rsidRDefault="00C30B65" w:rsidP="00B82827">
      <w:pPr>
        <w:pStyle w:val="Figure"/>
      </w:pPr>
      <w:bookmarkStart w:id="138" w:name="_Toc405447435"/>
      <w:bookmarkStart w:id="139" w:name="_Toc417554782"/>
      <w:bookmarkStart w:id="140" w:name="_Toc436750517"/>
      <w:bookmarkStart w:id="141" w:name="_Toc440387840"/>
      <w:r w:rsidRPr="00DC4C78">
        <w:t xml:space="preserve">Figure 20: </w:t>
      </w:r>
      <w:r>
        <w:t>Infants f</w:t>
      </w:r>
      <w:r w:rsidRPr="00DC4C78">
        <w:t>ully immunised by eight months, high deprivation</w:t>
      </w:r>
      <w:bookmarkEnd w:id="138"/>
      <w:bookmarkEnd w:id="139"/>
      <w:bookmarkEnd w:id="140"/>
      <w:r>
        <w:t xml:space="preserve"> population</w:t>
      </w:r>
      <w:bookmarkEnd w:id="141"/>
    </w:p>
    <w:p w:rsidR="00C30B65" w:rsidRDefault="00A4478F" w:rsidP="00A4478F">
      <w:r>
        <w:rPr>
          <w:noProof/>
          <w:lang w:eastAsia="en-NZ"/>
        </w:rPr>
        <w:drawing>
          <wp:inline distT="0" distB="0" distL="0" distR="0" wp14:anchorId="2736E6A2">
            <wp:extent cx="4320000" cy="2520000"/>
            <wp:effectExtent l="0" t="0" r="4445" b="0"/>
            <wp:docPr id="75" name="Picture 75" title="Figure 20: Infants fully immunised by eight months, high deprivation popul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inline>
        </w:drawing>
      </w:r>
    </w:p>
    <w:p w:rsidR="00B82827" w:rsidRPr="00DC4C78" w:rsidRDefault="00B82827" w:rsidP="00B82827"/>
    <w:p w:rsidR="00C30B65" w:rsidRPr="00DC4C78" w:rsidRDefault="00C30B65" w:rsidP="00B82827">
      <w:pPr>
        <w:pStyle w:val="Figure"/>
      </w:pPr>
      <w:bookmarkStart w:id="142" w:name="_Toc405447436"/>
      <w:bookmarkStart w:id="143" w:name="_Toc417554783"/>
      <w:bookmarkStart w:id="144" w:name="_Toc436750518"/>
      <w:bookmarkStart w:id="145" w:name="_Toc440387841"/>
      <w:r w:rsidRPr="00DC4C78">
        <w:lastRenderedPageBreak/>
        <w:t xml:space="preserve">Figure 21: </w:t>
      </w:r>
      <w:r>
        <w:t>Infants f</w:t>
      </w:r>
      <w:r w:rsidRPr="00DC4C78">
        <w:t>ully immunised by eight months, Māori</w:t>
      </w:r>
      <w:bookmarkEnd w:id="142"/>
      <w:bookmarkEnd w:id="143"/>
      <w:bookmarkEnd w:id="144"/>
      <w:bookmarkEnd w:id="145"/>
    </w:p>
    <w:p w:rsidR="00A4478F" w:rsidRPr="00DC4C78" w:rsidRDefault="00A4478F" w:rsidP="00A4478F">
      <w:r>
        <w:rPr>
          <w:noProof/>
          <w:lang w:eastAsia="en-NZ"/>
        </w:rPr>
        <w:drawing>
          <wp:inline distT="0" distB="0" distL="0" distR="0" wp14:anchorId="4E8AC8F9">
            <wp:extent cx="4320000" cy="2520000"/>
            <wp:effectExtent l="0" t="0" r="4445" b="0"/>
            <wp:docPr id="76" name="Picture 76" title="Figure 21: Infants fully immunised by eight months, Māor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inline>
        </w:drawing>
      </w:r>
    </w:p>
    <w:p w:rsidR="00C30B65" w:rsidRPr="00DC4C78" w:rsidRDefault="00C30B65" w:rsidP="00C30B65"/>
    <w:p w:rsidR="00C30B65" w:rsidRPr="00DC4C78" w:rsidRDefault="00C30B65" w:rsidP="00C30B65">
      <w:pPr>
        <w:pStyle w:val="Figure"/>
      </w:pPr>
      <w:bookmarkStart w:id="146" w:name="_Toc405447437"/>
      <w:bookmarkStart w:id="147" w:name="_Toc417554784"/>
      <w:bookmarkStart w:id="148" w:name="_Toc436750519"/>
      <w:bookmarkStart w:id="149" w:name="_Toc440387842"/>
      <w:r w:rsidRPr="00DC4C78">
        <w:t xml:space="preserve">Figure 22: </w:t>
      </w:r>
      <w:r>
        <w:t>Infants f</w:t>
      </w:r>
      <w:r w:rsidRPr="00DC4C78">
        <w:t>ully immunised by eight months, Pacific peoples</w:t>
      </w:r>
      <w:bookmarkEnd w:id="146"/>
      <w:bookmarkEnd w:id="147"/>
      <w:bookmarkEnd w:id="148"/>
      <w:bookmarkEnd w:id="149"/>
    </w:p>
    <w:p w:rsidR="00C30B65" w:rsidRPr="00DC4C78" w:rsidRDefault="00A4478F" w:rsidP="00A4478F">
      <w:r>
        <w:rPr>
          <w:noProof/>
          <w:lang w:eastAsia="en-NZ"/>
        </w:rPr>
        <w:drawing>
          <wp:inline distT="0" distB="0" distL="0" distR="0" wp14:anchorId="477B83EF">
            <wp:extent cx="4320000" cy="2520000"/>
            <wp:effectExtent l="0" t="0" r="4445" b="0"/>
            <wp:docPr id="77" name="Picture 77" title="Figure 22: Infants fully immunised by eight months, Pacific peop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inline>
        </w:drawing>
      </w:r>
    </w:p>
    <w:p w:rsidR="00C30B65" w:rsidRPr="00DC4C78" w:rsidRDefault="00C30B65" w:rsidP="00C30B65"/>
    <w:p w:rsidR="00C30B65" w:rsidRPr="00DC4C78" w:rsidRDefault="00C30B65" w:rsidP="00C30B65">
      <w:pPr>
        <w:pStyle w:val="Heading3"/>
      </w:pPr>
      <w:r w:rsidRPr="00DC4C78">
        <w:t>Data notes</w:t>
      </w:r>
    </w:p>
    <w:p w:rsidR="00C30B65" w:rsidRPr="00DC4C78" w:rsidRDefault="00C30B65" w:rsidP="00C30B65">
      <w:pPr>
        <w:pStyle w:val="Bullet"/>
      </w:pPr>
      <w:r w:rsidRPr="00DC4C78">
        <w:t>Time period: April 2015 to June 2015.</w:t>
      </w:r>
    </w:p>
    <w:p w:rsidR="00C30B65" w:rsidRPr="00DC4C78" w:rsidRDefault="00C30B65" w:rsidP="00C30B65">
      <w:pPr>
        <w:pStyle w:val="Bullet"/>
      </w:pPr>
      <w:r w:rsidRPr="00DC4C78">
        <w:t>The data excludes overseas DHB and undefined DHB.</w:t>
      </w:r>
    </w:p>
    <w:p w:rsidR="00C30B65" w:rsidRPr="00DC4C78" w:rsidRDefault="00C30B65" w:rsidP="00C30B65">
      <w:pPr>
        <w:pStyle w:val="Bullet"/>
      </w:pPr>
      <w:r w:rsidRPr="00DC4C78">
        <w:t>Numerator: number of eight-month-old infants up to date with immunisations for age (source: National Immunisation Register).</w:t>
      </w:r>
    </w:p>
    <w:p w:rsidR="00C30B65" w:rsidRPr="00DC4C78" w:rsidRDefault="00C30B65" w:rsidP="00C30B65">
      <w:pPr>
        <w:pStyle w:val="Bullet"/>
      </w:pPr>
      <w:r w:rsidRPr="00DC4C78">
        <w:t>Denominator: number of eight-month-old infants (source: National Immunisation Register).</w:t>
      </w:r>
    </w:p>
    <w:p w:rsidR="00C30B65" w:rsidRPr="00DC4C78" w:rsidRDefault="00C30B65" w:rsidP="00C30B65"/>
    <w:p w:rsidR="00C30B65" w:rsidRPr="00DC4C78" w:rsidRDefault="00C30B65" w:rsidP="00C30B65">
      <w:pPr>
        <w:pStyle w:val="Heading2"/>
        <w:spacing w:before="0"/>
      </w:pPr>
      <w:bookmarkStart w:id="150" w:name="_Toc365618447"/>
      <w:bookmarkStart w:id="151" w:name="_Toc405453770"/>
      <w:bookmarkStart w:id="152" w:name="_Toc418322780"/>
      <w:bookmarkStart w:id="153" w:name="_Toc419099448"/>
      <w:bookmarkStart w:id="154" w:name="_Toc440387794"/>
      <w:r w:rsidRPr="00DC4C78">
        <w:lastRenderedPageBreak/>
        <w:t>WCTO Quality Improvement Framework Indicator 7</w:t>
      </w:r>
      <w:bookmarkEnd w:id="150"/>
      <w:bookmarkEnd w:id="151"/>
      <w:bookmarkEnd w:id="152"/>
      <w:bookmarkEnd w:id="153"/>
      <w:bookmarkEnd w:id="154"/>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701"/>
        <w:gridCol w:w="7655"/>
      </w:tblGrid>
      <w:tr w:rsidR="00C30B65" w:rsidRPr="00DC4C78" w:rsidTr="00C30B65">
        <w:trPr>
          <w:cantSplit/>
        </w:trPr>
        <w:tc>
          <w:tcPr>
            <w:tcW w:w="1701" w:type="dxa"/>
            <w:tcBorders>
              <w:top w:val="single" w:sz="4" w:space="0" w:color="auto"/>
              <w:bottom w:val="nil"/>
            </w:tcBorders>
            <w:shd w:val="clear" w:color="auto" w:fill="F2F2F2"/>
          </w:tcPr>
          <w:p w:rsidR="00C30B65" w:rsidRPr="00DC4C78" w:rsidRDefault="00C30B65" w:rsidP="00742999">
            <w:pPr>
              <w:pStyle w:val="TableText"/>
              <w:keepNext/>
              <w:rPr>
                <w:b/>
              </w:rPr>
            </w:pPr>
            <w:r w:rsidRPr="00DC4C78">
              <w:rPr>
                <w:b/>
              </w:rPr>
              <w:t>Standard</w:t>
            </w:r>
          </w:p>
        </w:tc>
        <w:tc>
          <w:tcPr>
            <w:tcW w:w="7655" w:type="dxa"/>
            <w:tcBorders>
              <w:top w:val="single" w:sz="4" w:space="0" w:color="auto"/>
              <w:bottom w:val="nil"/>
            </w:tcBorders>
            <w:shd w:val="clear" w:color="auto" w:fill="F2F2F2"/>
          </w:tcPr>
          <w:p w:rsidR="00C30B65" w:rsidRPr="00DC4C78" w:rsidRDefault="00C30B65" w:rsidP="00742999">
            <w:pPr>
              <w:pStyle w:val="TableText"/>
              <w:keepNext/>
            </w:pPr>
            <w:r w:rsidRPr="00B7062B">
              <w:t>All children and families/</w:t>
            </w:r>
            <w:proofErr w:type="spellStart"/>
            <w:r w:rsidRPr="00B7062B">
              <w:t>whānau</w:t>
            </w:r>
            <w:proofErr w:type="spellEnd"/>
            <w:r w:rsidRPr="00B7062B">
              <w:t xml:space="preserve"> have access to primary care, WCTO services (including the B4School Check) and early childhood education.</w:t>
            </w:r>
          </w:p>
        </w:tc>
      </w:tr>
      <w:tr w:rsidR="00C30B65" w:rsidRPr="00DC4C78" w:rsidTr="00C30B65">
        <w:trPr>
          <w:cantSplit/>
        </w:trPr>
        <w:tc>
          <w:tcPr>
            <w:tcW w:w="1701" w:type="dxa"/>
            <w:tcBorders>
              <w:top w:val="nil"/>
              <w:bottom w:val="nil"/>
            </w:tcBorders>
            <w:shd w:val="clear" w:color="auto" w:fill="auto"/>
          </w:tcPr>
          <w:p w:rsidR="00C30B65" w:rsidRPr="00DC4C78" w:rsidRDefault="00C30B65" w:rsidP="00B82827">
            <w:pPr>
              <w:pStyle w:val="TableText"/>
              <w:keepNext/>
              <w:rPr>
                <w:b/>
              </w:rPr>
            </w:pPr>
            <w:r w:rsidRPr="00DC4C78">
              <w:rPr>
                <w:b/>
              </w:rPr>
              <w:t>Indicator</w:t>
            </w:r>
          </w:p>
        </w:tc>
        <w:tc>
          <w:tcPr>
            <w:tcW w:w="7655" w:type="dxa"/>
            <w:tcBorders>
              <w:top w:val="nil"/>
              <w:bottom w:val="nil"/>
            </w:tcBorders>
            <w:shd w:val="clear" w:color="auto" w:fill="auto"/>
          </w:tcPr>
          <w:p w:rsidR="00C30B65" w:rsidRPr="00DC4C78" w:rsidRDefault="00C30B65" w:rsidP="00B82827">
            <w:pPr>
              <w:pStyle w:val="TableText"/>
              <w:keepNext/>
            </w:pPr>
            <w:r w:rsidRPr="00DC4C78">
              <w:t>Children participate in early childhood education (ECE).</w:t>
            </w:r>
          </w:p>
        </w:tc>
      </w:tr>
      <w:tr w:rsidR="00C30B65" w:rsidRPr="00DC4C78" w:rsidTr="00C30B65">
        <w:trPr>
          <w:cantSplit/>
        </w:trPr>
        <w:tc>
          <w:tcPr>
            <w:tcW w:w="1701" w:type="dxa"/>
            <w:tcBorders>
              <w:top w:val="nil"/>
              <w:bottom w:val="nil"/>
            </w:tcBorders>
            <w:shd w:val="clear" w:color="auto" w:fill="F2F2F2"/>
          </w:tcPr>
          <w:p w:rsidR="00C30B65" w:rsidRPr="00DC4C78" w:rsidRDefault="00C30B65" w:rsidP="00B82827">
            <w:pPr>
              <w:pStyle w:val="TableText"/>
              <w:keepNext/>
              <w:rPr>
                <w:b/>
              </w:rPr>
            </w:pPr>
            <w:r w:rsidRPr="00DC4C78">
              <w:rPr>
                <w:b/>
              </w:rPr>
              <w:t>Target by December 2014</w:t>
            </w:r>
          </w:p>
        </w:tc>
        <w:tc>
          <w:tcPr>
            <w:tcW w:w="7655" w:type="dxa"/>
            <w:tcBorders>
              <w:top w:val="nil"/>
              <w:bottom w:val="nil"/>
            </w:tcBorders>
            <w:shd w:val="clear" w:color="auto" w:fill="F2F2F2"/>
          </w:tcPr>
          <w:p w:rsidR="00C30B65" w:rsidRPr="00DC4C78" w:rsidRDefault="00C30B65" w:rsidP="00B82827">
            <w:pPr>
              <w:pStyle w:val="TableText"/>
              <w:keepNext/>
            </w:pPr>
            <w:r w:rsidRPr="00DC4C78">
              <w:t>98 percent</w:t>
            </w:r>
          </w:p>
        </w:tc>
      </w:tr>
      <w:tr w:rsidR="00C30B65" w:rsidRPr="00DC4C78" w:rsidTr="00C30B65">
        <w:trPr>
          <w:cantSplit/>
        </w:trPr>
        <w:tc>
          <w:tcPr>
            <w:tcW w:w="1701" w:type="dxa"/>
            <w:tcBorders>
              <w:top w:val="nil"/>
            </w:tcBorders>
            <w:shd w:val="clear" w:color="auto" w:fill="auto"/>
          </w:tcPr>
          <w:p w:rsidR="00C30B65" w:rsidRPr="00DC4C78" w:rsidRDefault="00C30B65" w:rsidP="00C30B65">
            <w:pPr>
              <w:pStyle w:val="TableText"/>
              <w:rPr>
                <w:b/>
              </w:rPr>
            </w:pPr>
            <w:r w:rsidRPr="00DC4C78">
              <w:rPr>
                <w:b/>
              </w:rPr>
              <w:t>Target by June 2016</w:t>
            </w:r>
          </w:p>
        </w:tc>
        <w:tc>
          <w:tcPr>
            <w:tcW w:w="7655" w:type="dxa"/>
            <w:tcBorders>
              <w:top w:val="nil"/>
            </w:tcBorders>
            <w:shd w:val="clear" w:color="auto" w:fill="auto"/>
          </w:tcPr>
          <w:p w:rsidR="00C30B65" w:rsidRPr="00DC4C78" w:rsidRDefault="00C30B65" w:rsidP="00C30B65">
            <w:pPr>
              <w:pStyle w:val="TableText"/>
            </w:pPr>
            <w:r w:rsidRPr="00DC4C78">
              <w:t>98 percent</w:t>
            </w:r>
          </w:p>
        </w:tc>
      </w:tr>
    </w:tbl>
    <w:p w:rsidR="00C30B65" w:rsidRPr="00DC4C78" w:rsidRDefault="00C30B65" w:rsidP="00C30B65"/>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93"/>
        <w:gridCol w:w="1843"/>
        <w:gridCol w:w="1701"/>
        <w:gridCol w:w="1458"/>
        <w:gridCol w:w="1660"/>
      </w:tblGrid>
      <w:tr w:rsidR="00C30B65" w:rsidRPr="00DC4C78" w:rsidTr="00C30B65">
        <w:trPr>
          <w:cantSplit/>
        </w:trPr>
        <w:tc>
          <w:tcPr>
            <w:tcW w:w="1439" w:type="pct"/>
            <w:shd w:val="clear" w:color="auto" w:fill="F2F2F2"/>
          </w:tcPr>
          <w:p w:rsidR="00C30B65" w:rsidRPr="00DC4C78" w:rsidRDefault="00C30B65" w:rsidP="00C30B65">
            <w:pPr>
              <w:pStyle w:val="TableText"/>
              <w:rPr>
                <w:b/>
              </w:rPr>
            </w:pPr>
          </w:p>
        </w:tc>
        <w:tc>
          <w:tcPr>
            <w:tcW w:w="985" w:type="pct"/>
            <w:shd w:val="clear" w:color="auto" w:fill="F2F2F2"/>
          </w:tcPr>
          <w:p w:rsidR="00C30B65" w:rsidRPr="00DC4C78" w:rsidRDefault="00C30B65" w:rsidP="00C30B65">
            <w:pPr>
              <w:pStyle w:val="TableText"/>
              <w:jc w:val="center"/>
              <w:rPr>
                <w:b/>
              </w:rPr>
            </w:pPr>
            <w:r w:rsidRPr="00DC4C78">
              <w:rPr>
                <w:b/>
              </w:rPr>
              <w:t>Total New Zealand</w:t>
            </w:r>
          </w:p>
        </w:tc>
        <w:tc>
          <w:tcPr>
            <w:tcW w:w="909" w:type="pct"/>
            <w:shd w:val="clear" w:color="auto" w:fill="F2F2F2"/>
          </w:tcPr>
          <w:p w:rsidR="00C30B65" w:rsidRPr="00DC4C78" w:rsidRDefault="00C30B65" w:rsidP="00C30B65">
            <w:pPr>
              <w:pStyle w:val="TableText"/>
              <w:jc w:val="center"/>
              <w:rPr>
                <w:b/>
              </w:rPr>
            </w:pPr>
            <w:r w:rsidRPr="00DC4C78">
              <w:rPr>
                <w:b/>
              </w:rPr>
              <w:t>High deprivation</w:t>
            </w:r>
          </w:p>
        </w:tc>
        <w:tc>
          <w:tcPr>
            <w:tcW w:w="779" w:type="pct"/>
            <w:shd w:val="clear" w:color="auto" w:fill="F2F2F2"/>
          </w:tcPr>
          <w:p w:rsidR="00C30B65" w:rsidRPr="00DC4C78" w:rsidRDefault="00C30B65" w:rsidP="00C30B65">
            <w:pPr>
              <w:pStyle w:val="TableText"/>
              <w:jc w:val="center"/>
              <w:rPr>
                <w:b/>
              </w:rPr>
            </w:pPr>
            <w:r w:rsidRPr="00DC4C78">
              <w:rPr>
                <w:b/>
              </w:rPr>
              <w:t>Māori</w:t>
            </w:r>
          </w:p>
        </w:tc>
        <w:tc>
          <w:tcPr>
            <w:tcW w:w="887" w:type="pct"/>
            <w:shd w:val="clear" w:color="auto" w:fill="F2F2F2"/>
          </w:tcPr>
          <w:p w:rsidR="00C30B65" w:rsidRPr="00DC4C78" w:rsidRDefault="00C30B65" w:rsidP="00C30B65">
            <w:pPr>
              <w:pStyle w:val="TableText"/>
              <w:jc w:val="center"/>
              <w:rPr>
                <w:b/>
              </w:rPr>
            </w:pPr>
            <w:r w:rsidRPr="00DC4C78">
              <w:rPr>
                <w:b/>
              </w:rPr>
              <w:t>Pacific peoples</w:t>
            </w:r>
          </w:p>
        </w:tc>
      </w:tr>
      <w:tr w:rsidR="00C30B65" w:rsidRPr="00DC4C78" w:rsidTr="00C30B65">
        <w:trPr>
          <w:cantSplit/>
        </w:trPr>
        <w:tc>
          <w:tcPr>
            <w:tcW w:w="1439" w:type="pct"/>
            <w:shd w:val="clear" w:color="auto" w:fill="auto"/>
          </w:tcPr>
          <w:p w:rsidR="00C30B65" w:rsidRPr="00DC4C78" w:rsidRDefault="00C30B65" w:rsidP="00C30B65">
            <w:pPr>
              <w:pStyle w:val="TableText"/>
            </w:pPr>
            <w:r w:rsidRPr="00DC4C78">
              <w:t>September 2015 mean (range)</w:t>
            </w:r>
          </w:p>
        </w:tc>
        <w:tc>
          <w:tcPr>
            <w:tcW w:w="985" w:type="pct"/>
            <w:shd w:val="clear" w:color="auto" w:fill="auto"/>
            <w:vAlign w:val="center"/>
          </w:tcPr>
          <w:p w:rsidR="00C30B65" w:rsidRPr="00DC4C78" w:rsidRDefault="00C30B65" w:rsidP="00C30B65">
            <w:pPr>
              <w:pStyle w:val="TableText"/>
              <w:jc w:val="center"/>
            </w:pPr>
            <w:r w:rsidRPr="00DC4C78">
              <w:t>96% (92–99)</w:t>
            </w:r>
          </w:p>
        </w:tc>
        <w:tc>
          <w:tcPr>
            <w:tcW w:w="909" w:type="pct"/>
            <w:shd w:val="clear" w:color="auto" w:fill="auto"/>
            <w:vAlign w:val="center"/>
          </w:tcPr>
          <w:p w:rsidR="00C30B65" w:rsidRPr="00DC4C78" w:rsidRDefault="00C30B65" w:rsidP="00C30B65">
            <w:pPr>
              <w:pStyle w:val="TableText"/>
              <w:jc w:val="center"/>
            </w:pPr>
            <w:r w:rsidRPr="00DC4C78">
              <w:t>100% (97–100)</w:t>
            </w:r>
          </w:p>
        </w:tc>
        <w:tc>
          <w:tcPr>
            <w:tcW w:w="779" w:type="pct"/>
            <w:shd w:val="clear" w:color="auto" w:fill="auto"/>
            <w:vAlign w:val="center"/>
          </w:tcPr>
          <w:p w:rsidR="00C30B65" w:rsidRPr="00DC4C78" w:rsidRDefault="00C30B65" w:rsidP="00C30B65">
            <w:pPr>
              <w:pStyle w:val="TableText"/>
              <w:jc w:val="center"/>
            </w:pPr>
            <w:r w:rsidRPr="00DC4C78">
              <w:t>94% (88–98)</w:t>
            </w:r>
          </w:p>
        </w:tc>
        <w:tc>
          <w:tcPr>
            <w:tcW w:w="887" w:type="pct"/>
            <w:shd w:val="clear" w:color="auto" w:fill="auto"/>
            <w:vAlign w:val="center"/>
          </w:tcPr>
          <w:p w:rsidR="00C30B65" w:rsidRPr="00DC4C78" w:rsidRDefault="00C30B65" w:rsidP="00C30B65">
            <w:pPr>
              <w:pStyle w:val="TableText"/>
              <w:jc w:val="center"/>
            </w:pPr>
            <w:r w:rsidRPr="00DC4C78">
              <w:t>91% (85–100)</w:t>
            </w:r>
          </w:p>
        </w:tc>
      </w:tr>
      <w:tr w:rsidR="00C30B65" w:rsidRPr="00DC4C78" w:rsidTr="00C30B65">
        <w:trPr>
          <w:cantSplit/>
        </w:trPr>
        <w:tc>
          <w:tcPr>
            <w:tcW w:w="1439" w:type="pct"/>
            <w:shd w:val="clear" w:color="auto" w:fill="auto"/>
          </w:tcPr>
          <w:p w:rsidR="00C30B65" w:rsidRPr="00DC4C78" w:rsidRDefault="00C30B65" w:rsidP="00C30B65">
            <w:pPr>
              <w:pStyle w:val="TableText"/>
            </w:pPr>
            <w:r w:rsidRPr="00DC4C78">
              <w:t>March 2015 mean (range)</w:t>
            </w:r>
          </w:p>
        </w:tc>
        <w:tc>
          <w:tcPr>
            <w:tcW w:w="985" w:type="pct"/>
            <w:shd w:val="clear" w:color="auto" w:fill="auto"/>
            <w:vAlign w:val="center"/>
          </w:tcPr>
          <w:p w:rsidR="00C30B65" w:rsidRPr="00DC4C78" w:rsidRDefault="00C30B65" w:rsidP="00C30B65">
            <w:pPr>
              <w:pStyle w:val="TableText"/>
              <w:jc w:val="center"/>
            </w:pPr>
            <w:r w:rsidRPr="00DC4C78">
              <w:t>96% (92–99)</w:t>
            </w:r>
          </w:p>
        </w:tc>
        <w:tc>
          <w:tcPr>
            <w:tcW w:w="909" w:type="pct"/>
            <w:shd w:val="clear" w:color="auto" w:fill="auto"/>
            <w:vAlign w:val="center"/>
          </w:tcPr>
          <w:p w:rsidR="00C30B65" w:rsidRPr="00DC4C78" w:rsidRDefault="00C30B65" w:rsidP="00C30B65">
            <w:pPr>
              <w:pStyle w:val="TableText"/>
              <w:jc w:val="center"/>
            </w:pPr>
            <w:r w:rsidRPr="00DC4C78">
              <w:t>89% (87–100)</w:t>
            </w:r>
          </w:p>
        </w:tc>
        <w:tc>
          <w:tcPr>
            <w:tcW w:w="779" w:type="pct"/>
            <w:shd w:val="clear" w:color="auto" w:fill="auto"/>
            <w:vAlign w:val="center"/>
          </w:tcPr>
          <w:p w:rsidR="00C30B65" w:rsidRPr="00DC4C78" w:rsidRDefault="00C30B65" w:rsidP="00C30B65">
            <w:pPr>
              <w:pStyle w:val="TableText"/>
              <w:jc w:val="center"/>
            </w:pPr>
            <w:r w:rsidRPr="00DC4C78">
              <w:t>94% (55–98)</w:t>
            </w:r>
          </w:p>
        </w:tc>
        <w:tc>
          <w:tcPr>
            <w:tcW w:w="887" w:type="pct"/>
            <w:shd w:val="clear" w:color="auto" w:fill="auto"/>
            <w:vAlign w:val="center"/>
          </w:tcPr>
          <w:p w:rsidR="00C30B65" w:rsidRPr="00DC4C78" w:rsidRDefault="00C30B65" w:rsidP="00C30B65">
            <w:pPr>
              <w:pStyle w:val="TableText"/>
              <w:jc w:val="center"/>
            </w:pPr>
            <w:r w:rsidRPr="00DC4C78">
              <w:t>91% (88–100)</w:t>
            </w:r>
          </w:p>
        </w:tc>
      </w:tr>
    </w:tbl>
    <w:p w:rsidR="00C30B65" w:rsidRPr="00DC4C78" w:rsidRDefault="00C30B65" w:rsidP="00C30B65"/>
    <w:p w:rsidR="00C30B65" w:rsidRPr="00DC4C78" w:rsidRDefault="00C30B65" w:rsidP="00C30B65">
      <w:pPr>
        <w:pStyle w:val="Figure"/>
      </w:pPr>
      <w:bookmarkStart w:id="155" w:name="_Toc384620319"/>
      <w:bookmarkStart w:id="156" w:name="_Toc417554785"/>
      <w:bookmarkStart w:id="157" w:name="_Toc436750520"/>
      <w:bookmarkStart w:id="158" w:name="_Toc440387843"/>
      <w:r w:rsidRPr="00DC4C78">
        <w:t>Figure 23</w:t>
      </w:r>
      <w:r>
        <w:t>: Pa</w:t>
      </w:r>
      <w:r w:rsidRPr="00DC4C78">
        <w:t xml:space="preserve">rticipation in </w:t>
      </w:r>
      <w:r>
        <w:t>early childhood education</w:t>
      </w:r>
      <w:r w:rsidRPr="00DC4C78">
        <w:t>, total New Zealand</w:t>
      </w:r>
      <w:bookmarkEnd w:id="155"/>
      <w:bookmarkEnd w:id="156"/>
      <w:bookmarkEnd w:id="157"/>
      <w:bookmarkEnd w:id="158"/>
    </w:p>
    <w:p w:rsidR="00C30B65" w:rsidRPr="00DC4C78" w:rsidRDefault="00A4478F" w:rsidP="00A4478F">
      <w:r>
        <w:rPr>
          <w:noProof/>
          <w:lang w:eastAsia="en-NZ"/>
        </w:rPr>
        <w:drawing>
          <wp:inline distT="0" distB="0" distL="0" distR="0" wp14:anchorId="22010188">
            <wp:extent cx="4320000" cy="2520000"/>
            <wp:effectExtent l="0" t="0" r="4445" b="0"/>
            <wp:docPr id="78" name="Picture 78" title="Figure 23: Participation in early childhood education, total New Zeala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inline>
        </w:drawing>
      </w:r>
    </w:p>
    <w:p w:rsidR="00C30B65" w:rsidRPr="00DC4C78" w:rsidRDefault="00C30B65" w:rsidP="00C30B65"/>
    <w:p w:rsidR="00C30B65" w:rsidRPr="00DC4C78" w:rsidRDefault="00C30B65" w:rsidP="00C30B65">
      <w:pPr>
        <w:pStyle w:val="Figure"/>
      </w:pPr>
      <w:bookmarkStart w:id="159" w:name="_Toc384620320"/>
      <w:bookmarkStart w:id="160" w:name="_Toc417554786"/>
      <w:bookmarkStart w:id="161" w:name="_Toc436750521"/>
      <w:bookmarkStart w:id="162" w:name="_Toc440387844"/>
      <w:r w:rsidRPr="00DC4C78">
        <w:t>Figure 24</w:t>
      </w:r>
      <w:r>
        <w:t>: P</w:t>
      </w:r>
      <w:r w:rsidRPr="00DC4C78">
        <w:t xml:space="preserve">articipation in </w:t>
      </w:r>
      <w:r>
        <w:t>early childhood education</w:t>
      </w:r>
      <w:r w:rsidRPr="00DC4C78">
        <w:t>, high deprivation</w:t>
      </w:r>
      <w:bookmarkEnd w:id="159"/>
      <w:bookmarkEnd w:id="160"/>
      <w:bookmarkEnd w:id="161"/>
      <w:r>
        <w:t xml:space="preserve"> population</w:t>
      </w:r>
      <w:bookmarkEnd w:id="162"/>
    </w:p>
    <w:p w:rsidR="00C30B65" w:rsidRPr="00DC4C78" w:rsidRDefault="00A4478F" w:rsidP="00A4478F">
      <w:r>
        <w:rPr>
          <w:noProof/>
          <w:lang w:eastAsia="en-NZ"/>
        </w:rPr>
        <w:drawing>
          <wp:inline distT="0" distB="0" distL="0" distR="0" wp14:anchorId="5043CE82">
            <wp:extent cx="4320000" cy="2520000"/>
            <wp:effectExtent l="0" t="0" r="4445" b="0"/>
            <wp:docPr id="79" name="Picture 79" title="Figure 24: Participation in early childhood education, high deprivation popul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inline>
        </w:drawing>
      </w:r>
    </w:p>
    <w:p w:rsidR="00C30B65" w:rsidRPr="00DC4C78" w:rsidRDefault="00C30B65" w:rsidP="00C30B65"/>
    <w:p w:rsidR="00C30B65" w:rsidRPr="00DC4C78" w:rsidRDefault="00C30B65" w:rsidP="00C30B65">
      <w:pPr>
        <w:pStyle w:val="Figure"/>
      </w:pPr>
      <w:bookmarkStart w:id="163" w:name="_Toc384620321"/>
      <w:bookmarkStart w:id="164" w:name="_Toc417554787"/>
      <w:bookmarkStart w:id="165" w:name="_Toc436750522"/>
      <w:bookmarkStart w:id="166" w:name="_Toc440387845"/>
      <w:r w:rsidRPr="00DC4C78">
        <w:lastRenderedPageBreak/>
        <w:t xml:space="preserve">Figure 25: Participation in </w:t>
      </w:r>
      <w:r>
        <w:t>early childhood education</w:t>
      </w:r>
      <w:r w:rsidRPr="00DC4C78">
        <w:t>, Māori</w:t>
      </w:r>
      <w:bookmarkEnd w:id="163"/>
      <w:bookmarkEnd w:id="164"/>
      <w:bookmarkEnd w:id="165"/>
      <w:bookmarkEnd w:id="166"/>
    </w:p>
    <w:p w:rsidR="00C30B65" w:rsidRPr="00DC4C78" w:rsidRDefault="00A4478F" w:rsidP="00A4478F">
      <w:r>
        <w:rPr>
          <w:noProof/>
          <w:lang w:eastAsia="en-NZ"/>
        </w:rPr>
        <w:drawing>
          <wp:inline distT="0" distB="0" distL="0" distR="0" wp14:anchorId="7E65203F">
            <wp:extent cx="4320000" cy="2520000"/>
            <wp:effectExtent l="0" t="0" r="4445" b="0"/>
            <wp:docPr id="80" name="Picture 80" title="Figure 25: Participation in early childhood education, Māor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inline>
        </w:drawing>
      </w:r>
    </w:p>
    <w:p w:rsidR="00C30B65" w:rsidRPr="00DC4C78" w:rsidRDefault="00C30B65" w:rsidP="00C30B65"/>
    <w:p w:rsidR="00C30B65" w:rsidRPr="00DC4C78" w:rsidRDefault="00C30B65" w:rsidP="00C30B65">
      <w:pPr>
        <w:pStyle w:val="Figure"/>
      </w:pPr>
      <w:bookmarkStart w:id="167" w:name="_Toc384620322"/>
      <w:bookmarkStart w:id="168" w:name="_Toc417554788"/>
      <w:bookmarkStart w:id="169" w:name="_Toc436750523"/>
      <w:bookmarkStart w:id="170" w:name="_Toc440387846"/>
      <w:r w:rsidRPr="00DC4C78">
        <w:t>Figure 26</w:t>
      </w:r>
      <w:r>
        <w:t>: P</w:t>
      </w:r>
      <w:r w:rsidRPr="00DC4C78">
        <w:t xml:space="preserve">articipation in </w:t>
      </w:r>
      <w:r>
        <w:t>early childhood education</w:t>
      </w:r>
      <w:r w:rsidRPr="00DC4C78">
        <w:t>, Pacific peoples</w:t>
      </w:r>
      <w:bookmarkEnd w:id="167"/>
      <w:bookmarkEnd w:id="168"/>
      <w:bookmarkEnd w:id="169"/>
      <w:bookmarkEnd w:id="170"/>
    </w:p>
    <w:p w:rsidR="00C30B65" w:rsidRPr="00DC4C78" w:rsidRDefault="00A4478F" w:rsidP="00A4478F">
      <w:r>
        <w:rPr>
          <w:noProof/>
          <w:lang w:eastAsia="en-NZ"/>
        </w:rPr>
        <w:drawing>
          <wp:inline distT="0" distB="0" distL="0" distR="0" wp14:anchorId="48241062">
            <wp:extent cx="4320000" cy="2520000"/>
            <wp:effectExtent l="0" t="0" r="4445" b="0"/>
            <wp:docPr id="81" name="Picture 81" title="Figure 26: Participation in early childhood education, Pacific peop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inline>
        </w:drawing>
      </w:r>
    </w:p>
    <w:p w:rsidR="00C30B65" w:rsidRPr="00DC4C78" w:rsidRDefault="00C30B65" w:rsidP="00C30B65"/>
    <w:p w:rsidR="00C30B65" w:rsidRPr="00DC4C78" w:rsidRDefault="00C30B65" w:rsidP="00C30B65">
      <w:pPr>
        <w:pStyle w:val="Heading3"/>
      </w:pPr>
      <w:r w:rsidRPr="00DC4C78">
        <w:t>Data notes</w:t>
      </w:r>
    </w:p>
    <w:p w:rsidR="00C30B65" w:rsidRPr="00DC4C78" w:rsidRDefault="00C30B65" w:rsidP="00C30B65">
      <w:pPr>
        <w:pStyle w:val="Bullet"/>
      </w:pPr>
      <w:r>
        <w:t xml:space="preserve">Where no </w:t>
      </w:r>
      <w:r w:rsidRPr="00DC4C78">
        <w:t xml:space="preserve">bar </w:t>
      </w:r>
      <w:r>
        <w:t xml:space="preserve">appears </w:t>
      </w:r>
      <w:r w:rsidRPr="00DC4C78">
        <w:t xml:space="preserve">on </w:t>
      </w:r>
      <w:r>
        <w:t xml:space="preserve">the </w:t>
      </w:r>
      <w:r w:rsidRPr="00DC4C78">
        <w:t>graph</w:t>
      </w:r>
      <w:r>
        <w:t xml:space="preserve">, there was </w:t>
      </w:r>
      <w:r w:rsidRPr="00DC4C78">
        <w:t>no date provided.</w:t>
      </w:r>
    </w:p>
    <w:p w:rsidR="00C30B65" w:rsidRPr="00DC4C78" w:rsidRDefault="00C30B65" w:rsidP="00C30B65">
      <w:pPr>
        <w:pStyle w:val="Bullet"/>
      </w:pPr>
      <w:r>
        <w:t xml:space="preserve">Data for this indicator was collected for </w:t>
      </w:r>
      <w:r w:rsidRPr="00DC4C78">
        <w:t>children starting school during the 12 months to 30 June 2015.</w:t>
      </w:r>
    </w:p>
    <w:p w:rsidR="00C30B65" w:rsidRPr="00DC4C78" w:rsidRDefault="00C30B65" w:rsidP="00C30B65">
      <w:pPr>
        <w:pStyle w:val="Bullet"/>
      </w:pPr>
      <w:r>
        <w:t xml:space="preserve">Children counted within the </w:t>
      </w:r>
      <w:r w:rsidR="00700141">
        <w:t>‘</w:t>
      </w:r>
      <w:r>
        <w:t>h</w:t>
      </w:r>
      <w:r w:rsidRPr="00DC4C78">
        <w:t>igh deprivation</w:t>
      </w:r>
      <w:r w:rsidR="00700141">
        <w:t>’</w:t>
      </w:r>
      <w:r>
        <w:t xml:space="preserve"> population were those</w:t>
      </w:r>
      <w:r w:rsidRPr="00DC4C78">
        <w:t xml:space="preserve"> attending a Ministry of Education</w:t>
      </w:r>
      <w:r>
        <w:t>-defined</w:t>
      </w:r>
      <w:r w:rsidRPr="00DC4C78">
        <w:t xml:space="preserve"> </w:t>
      </w:r>
      <w:proofErr w:type="spellStart"/>
      <w:r w:rsidRPr="00DC4C78">
        <w:t>decile</w:t>
      </w:r>
      <w:proofErr w:type="spellEnd"/>
      <w:r w:rsidRPr="00DC4C78">
        <w:t xml:space="preserve"> 1 or 2 school.</w:t>
      </w:r>
    </w:p>
    <w:p w:rsidR="00C30B65" w:rsidRPr="00DC4C78" w:rsidRDefault="00C30B65" w:rsidP="00C30B65">
      <w:pPr>
        <w:pStyle w:val="Bullet"/>
      </w:pPr>
      <w:r>
        <w:t>The n</w:t>
      </w:r>
      <w:r w:rsidRPr="00DC4C78">
        <w:t xml:space="preserve">umerator </w:t>
      </w:r>
      <w:r>
        <w:t xml:space="preserve">is </w:t>
      </w:r>
      <w:r w:rsidRPr="00DC4C78">
        <w:t xml:space="preserve">children starting school who </w:t>
      </w:r>
      <w:r>
        <w:t>had</w:t>
      </w:r>
      <w:r w:rsidRPr="00DC4C78">
        <w:t xml:space="preserve"> participated in ECE (source: ENROL).</w:t>
      </w:r>
    </w:p>
    <w:p w:rsidR="00C30B65" w:rsidRPr="00DC4C78" w:rsidRDefault="00C30B65" w:rsidP="00C30B65">
      <w:pPr>
        <w:pStyle w:val="Bullet"/>
      </w:pPr>
      <w:r>
        <w:t>The d</w:t>
      </w:r>
      <w:r w:rsidRPr="00DC4C78">
        <w:t xml:space="preserve">enominator </w:t>
      </w:r>
      <w:r>
        <w:t xml:space="preserve">is </w:t>
      </w:r>
      <w:r w:rsidRPr="00DC4C78">
        <w:t>children starting school (source: ENROL).</w:t>
      </w:r>
    </w:p>
    <w:p w:rsidR="00C30B65" w:rsidRPr="00DC4C78" w:rsidRDefault="00C30B65" w:rsidP="00C30B65"/>
    <w:p w:rsidR="00C30B65" w:rsidRPr="00DC4C78" w:rsidRDefault="00C30B65" w:rsidP="00C30B65">
      <w:pPr>
        <w:pStyle w:val="Heading2"/>
        <w:spacing w:before="0"/>
      </w:pPr>
      <w:bookmarkStart w:id="171" w:name="_Toc365618448"/>
      <w:bookmarkStart w:id="172" w:name="_Toc405453771"/>
      <w:bookmarkStart w:id="173" w:name="_Toc418322781"/>
      <w:bookmarkStart w:id="174" w:name="_Toc419099449"/>
      <w:bookmarkStart w:id="175" w:name="_Toc440387795"/>
      <w:r w:rsidRPr="00DC4C78">
        <w:lastRenderedPageBreak/>
        <w:t>WCTO Quality Improvement Framework Indicator 8</w:t>
      </w:r>
      <w:bookmarkEnd w:id="171"/>
      <w:bookmarkEnd w:id="172"/>
      <w:bookmarkEnd w:id="173"/>
      <w:bookmarkEnd w:id="174"/>
      <w:bookmarkEnd w:id="175"/>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701"/>
        <w:gridCol w:w="7655"/>
      </w:tblGrid>
      <w:tr w:rsidR="00C30B65" w:rsidRPr="00DC4C78" w:rsidTr="00C30B65">
        <w:trPr>
          <w:cantSplit/>
        </w:trPr>
        <w:tc>
          <w:tcPr>
            <w:tcW w:w="1701" w:type="dxa"/>
            <w:tcBorders>
              <w:top w:val="single" w:sz="4" w:space="0" w:color="auto"/>
              <w:bottom w:val="nil"/>
            </w:tcBorders>
            <w:shd w:val="clear" w:color="auto" w:fill="F2F2F2"/>
          </w:tcPr>
          <w:p w:rsidR="00C30B65" w:rsidRPr="00DC4C78" w:rsidRDefault="00C30B65" w:rsidP="00742999">
            <w:pPr>
              <w:pStyle w:val="TableText"/>
              <w:keepNext/>
              <w:rPr>
                <w:b/>
              </w:rPr>
            </w:pPr>
            <w:r w:rsidRPr="00DC4C78">
              <w:rPr>
                <w:b/>
              </w:rPr>
              <w:t>Standard</w:t>
            </w:r>
          </w:p>
        </w:tc>
        <w:tc>
          <w:tcPr>
            <w:tcW w:w="7655" w:type="dxa"/>
            <w:tcBorders>
              <w:top w:val="single" w:sz="4" w:space="0" w:color="auto"/>
              <w:bottom w:val="nil"/>
            </w:tcBorders>
            <w:shd w:val="clear" w:color="auto" w:fill="F2F2F2"/>
          </w:tcPr>
          <w:p w:rsidR="00C30B65" w:rsidRPr="00DC4C78" w:rsidRDefault="00C30B65" w:rsidP="00742999">
            <w:pPr>
              <w:pStyle w:val="TableText"/>
              <w:keepNext/>
            </w:pPr>
            <w:r w:rsidRPr="00B7062B">
              <w:t>All children and families/</w:t>
            </w:r>
            <w:proofErr w:type="spellStart"/>
            <w:r w:rsidRPr="00B7062B">
              <w:t>whānau</w:t>
            </w:r>
            <w:proofErr w:type="spellEnd"/>
            <w:r w:rsidRPr="00B7062B">
              <w:t xml:space="preserve"> have access to primary care, WCTO services (including the B4School Check) and early childhood education.</w:t>
            </w:r>
          </w:p>
        </w:tc>
      </w:tr>
      <w:tr w:rsidR="00C30B65" w:rsidRPr="00DC4C78" w:rsidTr="00C30B65">
        <w:trPr>
          <w:cantSplit/>
        </w:trPr>
        <w:tc>
          <w:tcPr>
            <w:tcW w:w="1701" w:type="dxa"/>
            <w:tcBorders>
              <w:top w:val="nil"/>
              <w:bottom w:val="nil"/>
            </w:tcBorders>
            <w:shd w:val="clear" w:color="auto" w:fill="auto"/>
          </w:tcPr>
          <w:p w:rsidR="00C30B65" w:rsidRPr="00DC4C78" w:rsidRDefault="00C30B65" w:rsidP="00742999">
            <w:pPr>
              <w:pStyle w:val="TableText"/>
              <w:keepNext/>
              <w:rPr>
                <w:b/>
              </w:rPr>
            </w:pPr>
            <w:r w:rsidRPr="00DC4C78">
              <w:rPr>
                <w:b/>
              </w:rPr>
              <w:t>Indicator</w:t>
            </w:r>
          </w:p>
        </w:tc>
        <w:tc>
          <w:tcPr>
            <w:tcW w:w="7655" w:type="dxa"/>
            <w:tcBorders>
              <w:top w:val="nil"/>
              <w:bottom w:val="nil"/>
            </w:tcBorders>
            <w:shd w:val="clear" w:color="auto" w:fill="auto"/>
          </w:tcPr>
          <w:p w:rsidR="00C30B65" w:rsidRPr="00DC4C78" w:rsidRDefault="00C30B65" w:rsidP="00742999">
            <w:pPr>
              <w:pStyle w:val="TableText"/>
              <w:keepNext/>
            </w:pPr>
            <w:r w:rsidRPr="00DC4C78">
              <w:t>Children under six years have access to free primary care.</w:t>
            </w:r>
          </w:p>
        </w:tc>
      </w:tr>
      <w:tr w:rsidR="00C30B65" w:rsidRPr="00DC4C78" w:rsidTr="00C30B65">
        <w:trPr>
          <w:cantSplit/>
        </w:trPr>
        <w:tc>
          <w:tcPr>
            <w:tcW w:w="1701" w:type="dxa"/>
            <w:tcBorders>
              <w:top w:val="nil"/>
              <w:bottom w:val="nil"/>
            </w:tcBorders>
            <w:shd w:val="clear" w:color="auto" w:fill="F2F2F2"/>
          </w:tcPr>
          <w:p w:rsidR="00C30B65" w:rsidRPr="00DC4C78" w:rsidRDefault="00C30B65" w:rsidP="00742999">
            <w:pPr>
              <w:pStyle w:val="TableText"/>
              <w:keepNext/>
              <w:rPr>
                <w:b/>
              </w:rPr>
            </w:pPr>
            <w:r w:rsidRPr="00DC4C78">
              <w:rPr>
                <w:b/>
              </w:rPr>
              <w:t>Target by December 2014</w:t>
            </w:r>
          </w:p>
        </w:tc>
        <w:tc>
          <w:tcPr>
            <w:tcW w:w="7655" w:type="dxa"/>
            <w:tcBorders>
              <w:top w:val="nil"/>
              <w:bottom w:val="nil"/>
            </w:tcBorders>
            <w:shd w:val="clear" w:color="auto" w:fill="F2F2F2"/>
          </w:tcPr>
          <w:p w:rsidR="00C30B65" w:rsidRPr="00DC4C78" w:rsidRDefault="00C30B65" w:rsidP="00742999">
            <w:pPr>
              <w:pStyle w:val="TableText"/>
              <w:keepNext/>
            </w:pPr>
            <w:r w:rsidRPr="00DC4C78">
              <w:t>98 percent</w:t>
            </w:r>
          </w:p>
        </w:tc>
      </w:tr>
      <w:tr w:rsidR="00C30B65" w:rsidRPr="00DC4C78" w:rsidTr="00C30B65">
        <w:trPr>
          <w:cantSplit/>
        </w:trPr>
        <w:tc>
          <w:tcPr>
            <w:tcW w:w="1701" w:type="dxa"/>
            <w:tcBorders>
              <w:top w:val="nil"/>
            </w:tcBorders>
            <w:shd w:val="clear" w:color="auto" w:fill="auto"/>
          </w:tcPr>
          <w:p w:rsidR="00C30B65" w:rsidRPr="00DC4C78" w:rsidRDefault="00C30B65" w:rsidP="00742999">
            <w:pPr>
              <w:pStyle w:val="TableText"/>
              <w:keepNext/>
              <w:rPr>
                <w:b/>
              </w:rPr>
            </w:pPr>
            <w:r w:rsidRPr="00DC4C78">
              <w:rPr>
                <w:b/>
              </w:rPr>
              <w:t>Target by June 2016</w:t>
            </w:r>
          </w:p>
        </w:tc>
        <w:tc>
          <w:tcPr>
            <w:tcW w:w="7655" w:type="dxa"/>
            <w:tcBorders>
              <w:top w:val="nil"/>
            </w:tcBorders>
            <w:shd w:val="clear" w:color="auto" w:fill="auto"/>
          </w:tcPr>
          <w:p w:rsidR="00C30B65" w:rsidRPr="00DC4C78" w:rsidRDefault="00C30B65" w:rsidP="00742999">
            <w:pPr>
              <w:pStyle w:val="TableText"/>
              <w:keepNext/>
            </w:pPr>
            <w:r w:rsidRPr="00DC4C78">
              <w:t>100 percent</w:t>
            </w:r>
          </w:p>
        </w:tc>
      </w:tr>
    </w:tbl>
    <w:p w:rsidR="00C30B65" w:rsidRPr="00DC4C78" w:rsidRDefault="00C30B65" w:rsidP="00742999">
      <w:pPr>
        <w:keepNext/>
      </w:pPr>
    </w:p>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93"/>
        <w:gridCol w:w="1843"/>
        <w:gridCol w:w="1701"/>
        <w:gridCol w:w="1458"/>
        <w:gridCol w:w="1660"/>
      </w:tblGrid>
      <w:tr w:rsidR="00C30B65" w:rsidRPr="00DC4C78" w:rsidTr="00C30B65">
        <w:trPr>
          <w:cantSplit/>
        </w:trPr>
        <w:tc>
          <w:tcPr>
            <w:tcW w:w="1439" w:type="pct"/>
            <w:shd w:val="clear" w:color="auto" w:fill="F2F2F2"/>
          </w:tcPr>
          <w:p w:rsidR="00C30B65" w:rsidRPr="00DC4C78" w:rsidRDefault="00C30B65" w:rsidP="00B82827">
            <w:pPr>
              <w:pStyle w:val="TableText"/>
              <w:keepNext/>
              <w:rPr>
                <w:b/>
              </w:rPr>
            </w:pPr>
          </w:p>
        </w:tc>
        <w:tc>
          <w:tcPr>
            <w:tcW w:w="985" w:type="pct"/>
            <w:shd w:val="clear" w:color="auto" w:fill="F2F2F2"/>
          </w:tcPr>
          <w:p w:rsidR="00C30B65" w:rsidRPr="00DC4C78" w:rsidRDefault="00C30B65" w:rsidP="00B82827">
            <w:pPr>
              <w:pStyle w:val="TableText"/>
              <w:keepNext/>
              <w:jc w:val="center"/>
              <w:rPr>
                <w:b/>
              </w:rPr>
            </w:pPr>
            <w:r w:rsidRPr="00DC4C78">
              <w:rPr>
                <w:b/>
              </w:rPr>
              <w:t>Total New Zealand</w:t>
            </w:r>
          </w:p>
        </w:tc>
        <w:tc>
          <w:tcPr>
            <w:tcW w:w="909" w:type="pct"/>
            <w:shd w:val="clear" w:color="auto" w:fill="F2F2F2"/>
          </w:tcPr>
          <w:p w:rsidR="00C30B65" w:rsidRPr="00DC4C78" w:rsidRDefault="00C30B65" w:rsidP="00B82827">
            <w:pPr>
              <w:pStyle w:val="TableText"/>
              <w:keepNext/>
              <w:jc w:val="center"/>
              <w:rPr>
                <w:b/>
              </w:rPr>
            </w:pPr>
            <w:r w:rsidRPr="00DC4C78">
              <w:rPr>
                <w:b/>
              </w:rPr>
              <w:t>High deprivation</w:t>
            </w:r>
          </w:p>
        </w:tc>
        <w:tc>
          <w:tcPr>
            <w:tcW w:w="779" w:type="pct"/>
            <w:shd w:val="clear" w:color="auto" w:fill="F2F2F2"/>
          </w:tcPr>
          <w:p w:rsidR="00C30B65" w:rsidRPr="00DC4C78" w:rsidRDefault="00C30B65" w:rsidP="00B82827">
            <w:pPr>
              <w:pStyle w:val="TableText"/>
              <w:keepNext/>
              <w:jc w:val="center"/>
              <w:rPr>
                <w:b/>
              </w:rPr>
            </w:pPr>
            <w:r w:rsidRPr="00DC4C78">
              <w:rPr>
                <w:b/>
              </w:rPr>
              <w:t>Māori</w:t>
            </w:r>
          </w:p>
        </w:tc>
        <w:tc>
          <w:tcPr>
            <w:tcW w:w="887" w:type="pct"/>
            <w:shd w:val="clear" w:color="auto" w:fill="F2F2F2"/>
          </w:tcPr>
          <w:p w:rsidR="00C30B65" w:rsidRPr="00DC4C78" w:rsidRDefault="00C30B65" w:rsidP="00B82827">
            <w:pPr>
              <w:pStyle w:val="TableText"/>
              <w:keepNext/>
              <w:jc w:val="center"/>
              <w:rPr>
                <w:b/>
              </w:rPr>
            </w:pPr>
            <w:r w:rsidRPr="00DC4C78">
              <w:rPr>
                <w:b/>
              </w:rPr>
              <w:t>Pacific peoples</w:t>
            </w:r>
          </w:p>
        </w:tc>
      </w:tr>
      <w:tr w:rsidR="00C30B65" w:rsidRPr="00DC4C78" w:rsidTr="00C30B65">
        <w:trPr>
          <w:cantSplit/>
        </w:trPr>
        <w:tc>
          <w:tcPr>
            <w:tcW w:w="1439" w:type="pct"/>
            <w:shd w:val="clear" w:color="auto" w:fill="auto"/>
          </w:tcPr>
          <w:p w:rsidR="00C30B65" w:rsidRPr="00DC4C78" w:rsidRDefault="00C30B65" w:rsidP="00B82827">
            <w:pPr>
              <w:pStyle w:val="TableText"/>
              <w:keepNext/>
            </w:pPr>
            <w:r w:rsidRPr="00DC4C78">
              <w:t>September 2015 mean (range)</w:t>
            </w:r>
          </w:p>
        </w:tc>
        <w:tc>
          <w:tcPr>
            <w:tcW w:w="985" w:type="pct"/>
            <w:shd w:val="clear" w:color="auto" w:fill="auto"/>
            <w:vAlign w:val="center"/>
          </w:tcPr>
          <w:p w:rsidR="00C30B65" w:rsidRPr="00DC4C78" w:rsidRDefault="00C30B65" w:rsidP="00B82827">
            <w:pPr>
              <w:pStyle w:val="TableText"/>
              <w:keepNext/>
              <w:jc w:val="center"/>
            </w:pPr>
            <w:r w:rsidRPr="00DC4C78">
              <w:t>100% (98</w:t>
            </w:r>
            <w:r>
              <w:t>–</w:t>
            </w:r>
            <w:r w:rsidRPr="00DC4C78">
              <w:t>100)</w:t>
            </w:r>
          </w:p>
        </w:tc>
        <w:tc>
          <w:tcPr>
            <w:tcW w:w="909" w:type="pct"/>
            <w:shd w:val="clear" w:color="auto" w:fill="auto"/>
            <w:vAlign w:val="center"/>
          </w:tcPr>
          <w:p w:rsidR="00C30B65" w:rsidRPr="00DC4C78" w:rsidRDefault="00C30B65" w:rsidP="00B82827">
            <w:pPr>
              <w:pStyle w:val="TableText"/>
              <w:keepNext/>
              <w:jc w:val="center"/>
            </w:pPr>
            <w:r w:rsidRPr="00DC4C78">
              <w:t>100% (99</w:t>
            </w:r>
            <w:r>
              <w:t>–</w:t>
            </w:r>
            <w:r w:rsidRPr="00DC4C78">
              <w:t>100)</w:t>
            </w:r>
          </w:p>
        </w:tc>
        <w:tc>
          <w:tcPr>
            <w:tcW w:w="779" w:type="pct"/>
            <w:shd w:val="clear" w:color="auto" w:fill="auto"/>
            <w:vAlign w:val="center"/>
          </w:tcPr>
          <w:p w:rsidR="00C30B65" w:rsidRPr="00DC4C78" w:rsidRDefault="00C30B65" w:rsidP="00B82827">
            <w:pPr>
              <w:pStyle w:val="TableText"/>
              <w:keepNext/>
              <w:jc w:val="center"/>
            </w:pPr>
            <w:r w:rsidRPr="00DC4C78">
              <w:t>100% (99</w:t>
            </w:r>
            <w:r>
              <w:t>–</w:t>
            </w:r>
            <w:r w:rsidRPr="00DC4C78">
              <w:t>100)</w:t>
            </w:r>
          </w:p>
        </w:tc>
        <w:tc>
          <w:tcPr>
            <w:tcW w:w="887" w:type="pct"/>
            <w:shd w:val="clear" w:color="auto" w:fill="auto"/>
            <w:vAlign w:val="center"/>
          </w:tcPr>
          <w:p w:rsidR="00C30B65" w:rsidRPr="00DC4C78" w:rsidRDefault="00C30B65" w:rsidP="00B82827">
            <w:pPr>
              <w:pStyle w:val="TableText"/>
              <w:keepNext/>
              <w:jc w:val="center"/>
            </w:pPr>
            <w:r w:rsidRPr="00DC4C78">
              <w:t>100% (100</w:t>
            </w:r>
            <w:r>
              <w:t>–</w:t>
            </w:r>
            <w:r w:rsidRPr="00DC4C78">
              <w:t>100)</w:t>
            </w:r>
          </w:p>
        </w:tc>
      </w:tr>
      <w:tr w:rsidR="00C30B65" w:rsidRPr="00DC4C78" w:rsidTr="00C30B65">
        <w:trPr>
          <w:cantSplit/>
        </w:trPr>
        <w:tc>
          <w:tcPr>
            <w:tcW w:w="1439" w:type="pct"/>
            <w:shd w:val="clear" w:color="auto" w:fill="auto"/>
          </w:tcPr>
          <w:p w:rsidR="00C30B65" w:rsidRPr="00DC4C78" w:rsidRDefault="00C30B65" w:rsidP="00C30B65">
            <w:pPr>
              <w:pStyle w:val="TableText"/>
            </w:pPr>
            <w:r w:rsidRPr="00DC4C78">
              <w:t>March 2015 mean (range)</w:t>
            </w:r>
          </w:p>
        </w:tc>
        <w:tc>
          <w:tcPr>
            <w:tcW w:w="985" w:type="pct"/>
            <w:shd w:val="clear" w:color="auto" w:fill="auto"/>
            <w:vAlign w:val="center"/>
          </w:tcPr>
          <w:p w:rsidR="00C30B65" w:rsidRPr="00DC4C78" w:rsidRDefault="00C30B65" w:rsidP="00C30B65">
            <w:pPr>
              <w:pStyle w:val="TableText"/>
              <w:jc w:val="center"/>
            </w:pPr>
            <w:r w:rsidRPr="00DC4C78">
              <w:t>99% (96–100)</w:t>
            </w:r>
          </w:p>
        </w:tc>
        <w:tc>
          <w:tcPr>
            <w:tcW w:w="909" w:type="pct"/>
            <w:shd w:val="clear" w:color="auto" w:fill="auto"/>
            <w:vAlign w:val="center"/>
          </w:tcPr>
          <w:p w:rsidR="00C30B65" w:rsidRPr="00DC4C78" w:rsidRDefault="00C30B65" w:rsidP="00C30B65">
            <w:pPr>
              <w:pStyle w:val="TableText"/>
              <w:jc w:val="center"/>
            </w:pPr>
            <w:r w:rsidRPr="00DC4C78">
              <w:t>100% (98–100)</w:t>
            </w:r>
          </w:p>
        </w:tc>
        <w:tc>
          <w:tcPr>
            <w:tcW w:w="779" w:type="pct"/>
            <w:shd w:val="clear" w:color="auto" w:fill="auto"/>
            <w:vAlign w:val="center"/>
          </w:tcPr>
          <w:p w:rsidR="00C30B65" w:rsidRPr="00DC4C78" w:rsidRDefault="00C30B65" w:rsidP="00C30B65">
            <w:pPr>
              <w:pStyle w:val="TableText"/>
              <w:jc w:val="center"/>
            </w:pPr>
            <w:r w:rsidRPr="00DC4C78">
              <w:t>100% (98–100)</w:t>
            </w:r>
          </w:p>
        </w:tc>
        <w:tc>
          <w:tcPr>
            <w:tcW w:w="887" w:type="pct"/>
            <w:shd w:val="clear" w:color="auto" w:fill="auto"/>
            <w:vAlign w:val="center"/>
          </w:tcPr>
          <w:p w:rsidR="00C30B65" w:rsidRPr="00DC4C78" w:rsidRDefault="00C30B65" w:rsidP="00C30B65">
            <w:pPr>
              <w:pStyle w:val="TableText"/>
              <w:jc w:val="center"/>
            </w:pPr>
            <w:r w:rsidRPr="00DC4C78">
              <w:t>100% (99–100)</w:t>
            </w:r>
          </w:p>
        </w:tc>
      </w:tr>
    </w:tbl>
    <w:p w:rsidR="00C30B65" w:rsidRPr="00DC4C78" w:rsidRDefault="00C30B65" w:rsidP="00C30B65"/>
    <w:p w:rsidR="00C30B65" w:rsidRPr="00DC4C78" w:rsidRDefault="00C30B65" w:rsidP="00B82827">
      <w:pPr>
        <w:pStyle w:val="Figure"/>
      </w:pPr>
      <w:bookmarkStart w:id="176" w:name="_Toc405447438"/>
      <w:bookmarkStart w:id="177" w:name="_Toc417554789"/>
      <w:bookmarkStart w:id="178" w:name="_Toc436750524"/>
      <w:bookmarkStart w:id="179" w:name="_Toc440387847"/>
      <w:r w:rsidRPr="00DC4C78">
        <w:t>Figure 27: Under-six access to free primary care, total New Zealand</w:t>
      </w:r>
      <w:bookmarkEnd w:id="176"/>
      <w:bookmarkEnd w:id="177"/>
      <w:bookmarkEnd w:id="178"/>
      <w:bookmarkEnd w:id="179"/>
    </w:p>
    <w:p w:rsidR="00C30B65" w:rsidRPr="00DC4C78" w:rsidRDefault="00ED55DA" w:rsidP="00ED55DA">
      <w:r>
        <w:rPr>
          <w:noProof/>
          <w:lang w:eastAsia="en-NZ"/>
        </w:rPr>
        <w:drawing>
          <wp:inline distT="0" distB="0" distL="0" distR="0" wp14:anchorId="5E330D83">
            <wp:extent cx="4320000" cy="2520000"/>
            <wp:effectExtent l="0" t="0" r="4445" b="0"/>
            <wp:docPr id="82" name="Picture 82" title="Figure 27: Under-six access to free primary care, total New Zeala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inline>
        </w:drawing>
      </w:r>
    </w:p>
    <w:p w:rsidR="00C30B65" w:rsidRPr="00DC4C78" w:rsidRDefault="00C30B65" w:rsidP="00C30B65"/>
    <w:p w:rsidR="00C30B65" w:rsidRPr="00DC4C78" w:rsidRDefault="00C30B65" w:rsidP="00B82827">
      <w:pPr>
        <w:pStyle w:val="Figure"/>
      </w:pPr>
      <w:bookmarkStart w:id="180" w:name="_Toc405447439"/>
      <w:bookmarkStart w:id="181" w:name="_Toc417554790"/>
      <w:bookmarkStart w:id="182" w:name="_Toc436750525"/>
      <w:bookmarkStart w:id="183" w:name="_Toc440387848"/>
      <w:r w:rsidRPr="00DC4C78">
        <w:t>Figure 28: Under-six access to free primary care, high deprivation</w:t>
      </w:r>
      <w:bookmarkEnd w:id="180"/>
      <w:bookmarkEnd w:id="181"/>
      <w:bookmarkEnd w:id="182"/>
      <w:r>
        <w:t xml:space="preserve"> population</w:t>
      </w:r>
      <w:bookmarkEnd w:id="183"/>
    </w:p>
    <w:p w:rsidR="00C30B65" w:rsidRDefault="00ED55DA" w:rsidP="00ED55DA">
      <w:r>
        <w:rPr>
          <w:noProof/>
          <w:lang w:eastAsia="en-NZ"/>
        </w:rPr>
        <w:drawing>
          <wp:inline distT="0" distB="0" distL="0" distR="0" wp14:anchorId="1E288B2B">
            <wp:extent cx="4320000" cy="2520000"/>
            <wp:effectExtent l="0" t="0" r="4445" b="0"/>
            <wp:docPr id="83" name="Picture 83" title="Figure 28: Under-six access to free primary care, high deprivation popul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inline>
        </w:drawing>
      </w:r>
    </w:p>
    <w:p w:rsidR="00B82827" w:rsidRPr="00DC4C78" w:rsidRDefault="00B82827" w:rsidP="00B82827"/>
    <w:p w:rsidR="00C30B65" w:rsidRPr="00DC4C78" w:rsidRDefault="00C30B65" w:rsidP="00B82827">
      <w:pPr>
        <w:pStyle w:val="Figure"/>
      </w:pPr>
      <w:bookmarkStart w:id="184" w:name="_Toc405447440"/>
      <w:bookmarkStart w:id="185" w:name="_Toc417554791"/>
      <w:bookmarkStart w:id="186" w:name="_Toc436750526"/>
      <w:bookmarkStart w:id="187" w:name="_Toc440387849"/>
      <w:r w:rsidRPr="00DC4C78">
        <w:lastRenderedPageBreak/>
        <w:t>Figure 29: Under-six access to free primary care, Māori</w:t>
      </w:r>
      <w:bookmarkEnd w:id="184"/>
      <w:bookmarkEnd w:id="185"/>
      <w:bookmarkEnd w:id="186"/>
      <w:bookmarkEnd w:id="187"/>
    </w:p>
    <w:p w:rsidR="00C30B65" w:rsidRPr="00DC4C78" w:rsidRDefault="00ED55DA" w:rsidP="00ED55DA">
      <w:r>
        <w:rPr>
          <w:noProof/>
          <w:lang w:eastAsia="en-NZ"/>
        </w:rPr>
        <w:drawing>
          <wp:inline distT="0" distB="0" distL="0" distR="0" wp14:anchorId="79CF55CE">
            <wp:extent cx="4320000" cy="2520000"/>
            <wp:effectExtent l="0" t="0" r="4445" b="0"/>
            <wp:docPr id="84" name="Picture 84" title="Figure 29: Under-six access to free primary care, Māor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inline>
        </w:drawing>
      </w:r>
    </w:p>
    <w:p w:rsidR="00C30B65" w:rsidRPr="00DC4C78" w:rsidRDefault="00C30B65" w:rsidP="00C30B65"/>
    <w:p w:rsidR="00C30B65" w:rsidRPr="00DC4C78" w:rsidRDefault="00C30B65" w:rsidP="00C30B65">
      <w:pPr>
        <w:pStyle w:val="Figure"/>
      </w:pPr>
      <w:bookmarkStart w:id="188" w:name="_Toc405447441"/>
      <w:bookmarkStart w:id="189" w:name="_Toc417554792"/>
      <w:bookmarkStart w:id="190" w:name="_Toc436750527"/>
      <w:bookmarkStart w:id="191" w:name="_Toc440387850"/>
      <w:r w:rsidRPr="00DC4C78">
        <w:t>Figure 30: Under-six access to free primary care, Pacific peoples</w:t>
      </w:r>
      <w:bookmarkEnd w:id="188"/>
      <w:bookmarkEnd w:id="189"/>
      <w:bookmarkEnd w:id="190"/>
      <w:bookmarkEnd w:id="191"/>
    </w:p>
    <w:p w:rsidR="00C30B65" w:rsidRDefault="00ED55DA" w:rsidP="00ED55DA">
      <w:r>
        <w:rPr>
          <w:noProof/>
          <w:lang w:eastAsia="en-NZ"/>
        </w:rPr>
        <w:drawing>
          <wp:inline distT="0" distB="0" distL="0" distR="0" wp14:anchorId="5C26115F">
            <wp:extent cx="4320000" cy="2520000"/>
            <wp:effectExtent l="0" t="0" r="4445" b="0"/>
            <wp:docPr id="85" name="Picture 85" title="Figure 30: Under-six access to free primary care, Pacific peop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inline>
        </w:drawing>
      </w:r>
    </w:p>
    <w:p w:rsidR="00ED55DA" w:rsidRPr="00DC4C78" w:rsidRDefault="00ED55DA" w:rsidP="00ED55DA"/>
    <w:p w:rsidR="00C30B65" w:rsidRPr="00DC4C78" w:rsidRDefault="00C30B65" w:rsidP="00C30B65">
      <w:pPr>
        <w:pStyle w:val="Heading3"/>
      </w:pPr>
      <w:r w:rsidRPr="00DC4C78">
        <w:t>Data notes</w:t>
      </w:r>
    </w:p>
    <w:p w:rsidR="00C30B65" w:rsidRPr="00DC4C78" w:rsidRDefault="00C30B65" w:rsidP="00C30B65">
      <w:pPr>
        <w:pStyle w:val="Bullet"/>
      </w:pPr>
      <w:r w:rsidRPr="00DC4C78">
        <w:t>Time period: snapshot as at 1 July 2015.</w:t>
      </w:r>
    </w:p>
    <w:p w:rsidR="00C30B65" w:rsidRPr="00DC4C78" w:rsidRDefault="00C30B65" w:rsidP="00C30B65">
      <w:pPr>
        <w:pStyle w:val="Bullet"/>
      </w:pPr>
      <w:r w:rsidRPr="00DC4C78">
        <w:t>Numerator: number of children aged under six years enrolled with a PHO that delivers free primary care for under-sixes (source: PHO).</w:t>
      </w:r>
    </w:p>
    <w:p w:rsidR="00C30B65" w:rsidRPr="00DC4C78" w:rsidRDefault="00C30B65" w:rsidP="00C30B65">
      <w:pPr>
        <w:pStyle w:val="Bullet"/>
      </w:pPr>
      <w:r w:rsidRPr="00DC4C78">
        <w:t>Denominator: number of children aged under six years enrolled with a PHO (source: PHO).</w:t>
      </w:r>
    </w:p>
    <w:p w:rsidR="00C30B65" w:rsidRPr="00DC4C78" w:rsidRDefault="00C30B65" w:rsidP="00C30B65"/>
    <w:p w:rsidR="00C30B65" w:rsidRPr="00DC4C78" w:rsidRDefault="00C30B65" w:rsidP="00C30B65">
      <w:pPr>
        <w:pStyle w:val="Heading2"/>
        <w:spacing w:before="0"/>
      </w:pPr>
      <w:bookmarkStart w:id="192" w:name="_Toc365618449"/>
      <w:bookmarkStart w:id="193" w:name="_Toc405453772"/>
      <w:bookmarkStart w:id="194" w:name="_Toc418322782"/>
      <w:bookmarkStart w:id="195" w:name="_Toc419099450"/>
      <w:bookmarkStart w:id="196" w:name="_Toc440387796"/>
      <w:r w:rsidRPr="00DC4C78">
        <w:lastRenderedPageBreak/>
        <w:t>WCTO Quality Improvement Framework Indicator 9</w:t>
      </w:r>
      <w:bookmarkEnd w:id="192"/>
      <w:bookmarkEnd w:id="193"/>
      <w:bookmarkEnd w:id="194"/>
      <w:bookmarkEnd w:id="195"/>
      <w:bookmarkEnd w:id="196"/>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701"/>
        <w:gridCol w:w="7655"/>
      </w:tblGrid>
      <w:tr w:rsidR="00C30B65" w:rsidRPr="00DC4C78" w:rsidTr="00C30B65">
        <w:trPr>
          <w:cantSplit/>
        </w:trPr>
        <w:tc>
          <w:tcPr>
            <w:tcW w:w="1701" w:type="dxa"/>
            <w:tcBorders>
              <w:top w:val="single" w:sz="4" w:space="0" w:color="auto"/>
              <w:bottom w:val="nil"/>
            </w:tcBorders>
            <w:shd w:val="clear" w:color="auto" w:fill="F2F2F2"/>
          </w:tcPr>
          <w:p w:rsidR="00C30B65" w:rsidRPr="00DC4C78" w:rsidRDefault="00C30B65" w:rsidP="00742999">
            <w:pPr>
              <w:pStyle w:val="TableText"/>
              <w:keepNext/>
              <w:rPr>
                <w:b/>
              </w:rPr>
            </w:pPr>
            <w:r w:rsidRPr="00DC4C78">
              <w:rPr>
                <w:b/>
              </w:rPr>
              <w:t>Standard</w:t>
            </w:r>
          </w:p>
        </w:tc>
        <w:tc>
          <w:tcPr>
            <w:tcW w:w="7655" w:type="dxa"/>
            <w:tcBorders>
              <w:top w:val="single" w:sz="4" w:space="0" w:color="auto"/>
              <w:bottom w:val="nil"/>
            </w:tcBorders>
            <w:shd w:val="clear" w:color="auto" w:fill="F2F2F2"/>
          </w:tcPr>
          <w:p w:rsidR="00C30B65" w:rsidRPr="00DC4C78" w:rsidRDefault="00C30B65" w:rsidP="00742999">
            <w:pPr>
              <w:pStyle w:val="TableText"/>
              <w:keepNext/>
            </w:pPr>
            <w:r w:rsidRPr="00B7062B">
              <w:t>All children and families/</w:t>
            </w:r>
            <w:proofErr w:type="spellStart"/>
            <w:r w:rsidRPr="00B7062B">
              <w:t>whānau</w:t>
            </w:r>
            <w:proofErr w:type="spellEnd"/>
            <w:r w:rsidRPr="00B7062B">
              <w:t xml:space="preserve"> have access to primary care, WCTO services (including the B4School Check) and early childhood education.</w:t>
            </w:r>
          </w:p>
        </w:tc>
      </w:tr>
      <w:tr w:rsidR="00C30B65" w:rsidRPr="00DC4C78" w:rsidTr="00C30B65">
        <w:trPr>
          <w:cantSplit/>
        </w:trPr>
        <w:tc>
          <w:tcPr>
            <w:tcW w:w="1701" w:type="dxa"/>
            <w:tcBorders>
              <w:top w:val="nil"/>
              <w:bottom w:val="nil"/>
            </w:tcBorders>
            <w:shd w:val="clear" w:color="auto" w:fill="auto"/>
          </w:tcPr>
          <w:p w:rsidR="00C30B65" w:rsidRPr="00DC4C78" w:rsidRDefault="00C30B65" w:rsidP="00742999">
            <w:pPr>
              <w:pStyle w:val="TableText"/>
              <w:keepNext/>
              <w:rPr>
                <w:b/>
              </w:rPr>
            </w:pPr>
            <w:r w:rsidRPr="00DC4C78">
              <w:rPr>
                <w:b/>
              </w:rPr>
              <w:t>Indicator</w:t>
            </w:r>
          </w:p>
        </w:tc>
        <w:tc>
          <w:tcPr>
            <w:tcW w:w="7655" w:type="dxa"/>
            <w:tcBorders>
              <w:top w:val="nil"/>
              <w:bottom w:val="nil"/>
            </w:tcBorders>
            <w:shd w:val="clear" w:color="auto" w:fill="auto"/>
          </w:tcPr>
          <w:p w:rsidR="00C30B65" w:rsidRPr="00DC4C78" w:rsidRDefault="00C30B65" w:rsidP="00742999">
            <w:pPr>
              <w:pStyle w:val="TableText"/>
              <w:keepNext/>
            </w:pPr>
            <w:r w:rsidRPr="00DC4C78">
              <w:t>Children under six years have access to free after-hours primary care.</w:t>
            </w:r>
          </w:p>
        </w:tc>
      </w:tr>
      <w:tr w:rsidR="00C30B65" w:rsidRPr="00DC4C78" w:rsidTr="00C30B65">
        <w:trPr>
          <w:cantSplit/>
        </w:trPr>
        <w:tc>
          <w:tcPr>
            <w:tcW w:w="1701" w:type="dxa"/>
            <w:tcBorders>
              <w:top w:val="nil"/>
              <w:bottom w:val="nil"/>
            </w:tcBorders>
            <w:shd w:val="clear" w:color="auto" w:fill="F2F2F2"/>
          </w:tcPr>
          <w:p w:rsidR="00C30B65" w:rsidRPr="00DC4C78" w:rsidRDefault="00C30B65" w:rsidP="00742999">
            <w:pPr>
              <w:pStyle w:val="TableText"/>
              <w:keepNext/>
              <w:rPr>
                <w:b/>
              </w:rPr>
            </w:pPr>
            <w:r w:rsidRPr="00DC4C78">
              <w:rPr>
                <w:b/>
              </w:rPr>
              <w:t>Target by December 2014</w:t>
            </w:r>
          </w:p>
        </w:tc>
        <w:tc>
          <w:tcPr>
            <w:tcW w:w="7655" w:type="dxa"/>
            <w:tcBorders>
              <w:top w:val="nil"/>
              <w:bottom w:val="nil"/>
            </w:tcBorders>
            <w:shd w:val="clear" w:color="auto" w:fill="F2F2F2"/>
          </w:tcPr>
          <w:p w:rsidR="00C30B65" w:rsidRPr="00DC4C78" w:rsidRDefault="00C30B65" w:rsidP="00742999">
            <w:pPr>
              <w:pStyle w:val="TableText"/>
              <w:keepNext/>
            </w:pPr>
            <w:r w:rsidRPr="00DC4C78">
              <w:t>98 percent</w:t>
            </w:r>
          </w:p>
        </w:tc>
      </w:tr>
      <w:tr w:rsidR="00C30B65" w:rsidRPr="00DC4C78" w:rsidTr="00C30B65">
        <w:trPr>
          <w:cantSplit/>
        </w:trPr>
        <w:tc>
          <w:tcPr>
            <w:tcW w:w="1701" w:type="dxa"/>
            <w:tcBorders>
              <w:top w:val="nil"/>
            </w:tcBorders>
            <w:shd w:val="clear" w:color="auto" w:fill="auto"/>
          </w:tcPr>
          <w:p w:rsidR="00C30B65" w:rsidRPr="00DC4C78" w:rsidRDefault="00C30B65" w:rsidP="00B82827">
            <w:pPr>
              <w:pStyle w:val="TableText"/>
              <w:keepNext/>
              <w:rPr>
                <w:b/>
              </w:rPr>
            </w:pPr>
            <w:r w:rsidRPr="00DC4C78">
              <w:rPr>
                <w:b/>
              </w:rPr>
              <w:t>Target by June 2016</w:t>
            </w:r>
          </w:p>
        </w:tc>
        <w:tc>
          <w:tcPr>
            <w:tcW w:w="7655" w:type="dxa"/>
            <w:tcBorders>
              <w:top w:val="nil"/>
            </w:tcBorders>
            <w:shd w:val="clear" w:color="auto" w:fill="auto"/>
          </w:tcPr>
          <w:p w:rsidR="00C30B65" w:rsidRPr="00DC4C78" w:rsidRDefault="00C30B65" w:rsidP="00B82827">
            <w:pPr>
              <w:pStyle w:val="TableText"/>
              <w:keepNext/>
            </w:pPr>
            <w:r w:rsidRPr="00DC4C78">
              <w:t>100 percent</w:t>
            </w:r>
          </w:p>
        </w:tc>
      </w:tr>
    </w:tbl>
    <w:p w:rsidR="00C30B65" w:rsidRPr="00DC4C78" w:rsidRDefault="00C30B65" w:rsidP="00B82827">
      <w:pPr>
        <w:keepNext/>
      </w:pPr>
    </w:p>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93"/>
        <w:gridCol w:w="1843"/>
        <w:gridCol w:w="1701"/>
        <w:gridCol w:w="1458"/>
        <w:gridCol w:w="1660"/>
      </w:tblGrid>
      <w:tr w:rsidR="00C30B65" w:rsidRPr="00DC4C78" w:rsidTr="00C30B65">
        <w:trPr>
          <w:cantSplit/>
        </w:trPr>
        <w:tc>
          <w:tcPr>
            <w:tcW w:w="1439" w:type="pct"/>
            <w:shd w:val="clear" w:color="auto" w:fill="F2F2F2"/>
          </w:tcPr>
          <w:p w:rsidR="00C30B65" w:rsidRPr="00DC4C78" w:rsidRDefault="00C30B65" w:rsidP="00C30B65">
            <w:pPr>
              <w:pStyle w:val="TableText"/>
              <w:rPr>
                <w:b/>
              </w:rPr>
            </w:pPr>
          </w:p>
        </w:tc>
        <w:tc>
          <w:tcPr>
            <w:tcW w:w="985" w:type="pct"/>
            <w:shd w:val="clear" w:color="auto" w:fill="F2F2F2"/>
          </w:tcPr>
          <w:p w:rsidR="00C30B65" w:rsidRPr="00DC4C78" w:rsidRDefault="00C30B65" w:rsidP="00C30B65">
            <w:pPr>
              <w:pStyle w:val="TableText"/>
              <w:jc w:val="center"/>
              <w:rPr>
                <w:b/>
              </w:rPr>
            </w:pPr>
            <w:r w:rsidRPr="00DC4C78">
              <w:rPr>
                <w:b/>
              </w:rPr>
              <w:t>Total New Zealand</w:t>
            </w:r>
          </w:p>
        </w:tc>
        <w:tc>
          <w:tcPr>
            <w:tcW w:w="909" w:type="pct"/>
            <w:shd w:val="clear" w:color="auto" w:fill="F2F2F2"/>
          </w:tcPr>
          <w:p w:rsidR="00C30B65" w:rsidRPr="00DC4C78" w:rsidRDefault="00C30B65" w:rsidP="00C30B65">
            <w:pPr>
              <w:pStyle w:val="TableText"/>
              <w:jc w:val="center"/>
              <w:rPr>
                <w:b/>
              </w:rPr>
            </w:pPr>
            <w:r w:rsidRPr="00DC4C78">
              <w:rPr>
                <w:b/>
              </w:rPr>
              <w:t>High deprivation</w:t>
            </w:r>
          </w:p>
        </w:tc>
        <w:tc>
          <w:tcPr>
            <w:tcW w:w="779" w:type="pct"/>
            <w:shd w:val="clear" w:color="auto" w:fill="F2F2F2"/>
          </w:tcPr>
          <w:p w:rsidR="00C30B65" w:rsidRPr="00DC4C78" w:rsidRDefault="00C30B65" w:rsidP="00C30B65">
            <w:pPr>
              <w:pStyle w:val="TableText"/>
              <w:jc w:val="center"/>
              <w:rPr>
                <w:b/>
              </w:rPr>
            </w:pPr>
            <w:r w:rsidRPr="00DC4C78">
              <w:rPr>
                <w:b/>
              </w:rPr>
              <w:t>Māori</w:t>
            </w:r>
          </w:p>
        </w:tc>
        <w:tc>
          <w:tcPr>
            <w:tcW w:w="887" w:type="pct"/>
            <w:shd w:val="clear" w:color="auto" w:fill="F2F2F2"/>
          </w:tcPr>
          <w:p w:rsidR="00C30B65" w:rsidRPr="00DC4C78" w:rsidRDefault="00C30B65" w:rsidP="00C30B65">
            <w:pPr>
              <w:pStyle w:val="TableText"/>
              <w:jc w:val="center"/>
              <w:rPr>
                <w:b/>
              </w:rPr>
            </w:pPr>
            <w:r w:rsidRPr="00DC4C78">
              <w:rPr>
                <w:b/>
              </w:rPr>
              <w:t>Pacific peoples</w:t>
            </w:r>
          </w:p>
        </w:tc>
      </w:tr>
      <w:tr w:rsidR="00C30B65" w:rsidRPr="00DC4C78" w:rsidTr="00C30B65">
        <w:trPr>
          <w:cantSplit/>
        </w:trPr>
        <w:tc>
          <w:tcPr>
            <w:tcW w:w="1439" w:type="pct"/>
            <w:shd w:val="clear" w:color="auto" w:fill="auto"/>
          </w:tcPr>
          <w:p w:rsidR="00C30B65" w:rsidRPr="00DC4C78" w:rsidRDefault="00C30B65" w:rsidP="00C30B65">
            <w:pPr>
              <w:pStyle w:val="TableText"/>
            </w:pPr>
            <w:r w:rsidRPr="00DC4C78">
              <w:t>September 2015 mean (range)</w:t>
            </w:r>
          </w:p>
        </w:tc>
        <w:tc>
          <w:tcPr>
            <w:tcW w:w="985" w:type="pct"/>
            <w:shd w:val="clear" w:color="auto" w:fill="auto"/>
            <w:vAlign w:val="center"/>
          </w:tcPr>
          <w:p w:rsidR="00C30B65" w:rsidRPr="00DC4C78" w:rsidRDefault="00C30B65" w:rsidP="00C30B65">
            <w:pPr>
              <w:pStyle w:val="TableText"/>
              <w:jc w:val="center"/>
            </w:pPr>
            <w:r w:rsidRPr="00DC4C78">
              <w:t>99% (95</w:t>
            </w:r>
            <w:r>
              <w:t>–</w:t>
            </w:r>
            <w:r w:rsidRPr="00DC4C78">
              <w:t>100)</w:t>
            </w:r>
          </w:p>
        </w:tc>
        <w:tc>
          <w:tcPr>
            <w:tcW w:w="909" w:type="pct"/>
            <w:shd w:val="clear" w:color="auto" w:fill="auto"/>
            <w:vAlign w:val="center"/>
          </w:tcPr>
          <w:p w:rsidR="00C30B65" w:rsidRPr="00DC4C78" w:rsidRDefault="00C30B65" w:rsidP="00C30B65">
            <w:pPr>
              <w:pStyle w:val="TableText"/>
              <w:jc w:val="center"/>
            </w:pPr>
            <w:r w:rsidRPr="00DC4C78">
              <w:t>N/A</w:t>
            </w:r>
          </w:p>
        </w:tc>
        <w:tc>
          <w:tcPr>
            <w:tcW w:w="779" w:type="pct"/>
            <w:shd w:val="clear" w:color="auto" w:fill="auto"/>
            <w:vAlign w:val="center"/>
          </w:tcPr>
          <w:p w:rsidR="00C30B65" w:rsidRPr="00DC4C78" w:rsidRDefault="00C30B65" w:rsidP="00C30B65">
            <w:pPr>
              <w:pStyle w:val="TableText"/>
              <w:jc w:val="center"/>
            </w:pPr>
            <w:r w:rsidRPr="00DC4C78">
              <w:t>N/A</w:t>
            </w:r>
          </w:p>
        </w:tc>
        <w:tc>
          <w:tcPr>
            <w:tcW w:w="887" w:type="pct"/>
            <w:shd w:val="clear" w:color="auto" w:fill="auto"/>
            <w:vAlign w:val="center"/>
          </w:tcPr>
          <w:p w:rsidR="00C30B65" w:rsidRPr="00DC4C78" w:rsidRDefault="00C30B65" w:rsidP="00C30B65">
            <w:pPr>
              <w:pStyle w:val="TableText"/>
              <w:jc w:val="center"/>
            </w:pPr>
            <w:r w:rsidRPr="00DC4C78">
              <w:t>N/A</w:t>
            </w:r>
          </w:p>
        </w:tc>
      </w:tr>
      <w:tr w:rsidR="00C30B65" w:rsidRPr="00DC4C78" w:rsidTr="00C30B65">
        <w:trPr>
          <w:cantSplit/>
        </w:trPr>
        <w:tc>
          <w:tcPr>
            <w:tcW w:w="1439" w:type="pct"/>
            <w:shd w:val="clear" w:color="auto" w:fill="auto"/>
          </w:tcPr>
          <w:p w:rsidR="00C30B65" w:rsidRPr="00DC4C78" w:rsidRDefault="00C30B65" w:rsidP="00C30B65">
            <w:pPr>
              <w:pStyle w:val="TableText"/>
            </w:pPr>
            <w:r w:rsidRPr="00DC4C78">
              <w:t>March 2015 mean (range)</w:t>
            </w:r>
          </w:p>
        </w:tc>
        <w:tc>
          <w:tcPr>
            <w:tcW w:w="985" w:type="pct"/>
            <w:shd w:val="clear" w:color="auto" w:fill="auto"/>
            <w:vAlign w:val="center"/>
          </w:tcPr>
          <w:p w:rsidR="00C30B65" w:rsidRPr="00DC4C78" w:rsidRDefault="00C30B65" w:rsidP="00C30B65">
            <w:pPr>
              <w:pStyle w:val="TableText"/>
              <w:jc w:val="center"/>
            </w:pPr>
            <w:r w:rsidRPr="00DC4C78">
              <w:t>98% (83–100)</w:t>
            </w:r>
          </w:p>
        </w:tc>
        <w:tc>
          <w:tcPr>
            <w:tcW w:w="909" w:type="pct"/>
            <w:shd w:val="clear" w:color="auto" w:fill="auto"/>
            <w:vAlign w:val="center"/>
          </w:tcPr>
          <w:p w:rsidR="00C30B65" w:rsidRPr="00DC4C78" w:rsidRDefault="00C30B65" w:rsidP="00C30B65">
            <w:pPr>
              <w:pStyle w:val="TableText"/>
              <w:jc w:val="center"/>
            </w:pPr>
            <w:r w:rsidRPr="00DC4C78">
              <w:t>N/A</w:t>
            </w:r>
          </w:p>
        </w:tc>
        <w:tc>
          <w:tcPr>
            <w:tcW w:w="779" w:type="pct"/>
            <w:shd w:val="clear" w:color="auto" w:fill="auto"/>
            <w:vAlign w:val="center"/>
          </w:tcPr>
          <w:p w:rsidR="00C30B65" w:rsidRPr="00DC4C78" w:rsidRDefault="00C30B65" w:rsidP="00C30B65">
            <w:pPr>
              <w:pStyle w:val="TableText"/>
              <w:jc w:val="center"/>
            </w:pPr>
            <w:r w:rsidRPr="00DC4C78">
              <w:t>N/A</w:t>
            </w:r>
          </w:p>
        </w:tc>
        <w:tc>
          <w:tcPr>
            <w:tcW w:w="887" w:type="pct"/>
            <w:shd w:val="clear" w:color="auto" w:fill="auto"/>
            <w:vAlign w:val="center"/>
          </w:tcPr>
          <w:p w:rsidR="00C30B65" w:rsidRPr="00DC4C78" w:rsidRDefault="00C30B65" w:rsidP="00C30B65">
            <w:pPr>
              <w:pStyle w:val="TableText"/>
              <w:jc w:val="center"/>
            </w:pPr>
            <w:r w:rsidRPr="00DC4C78">
              <w:t>N/A</w:t>
            </w:r>
          </w:p>
        </w:tc>
      </w:tr>
    </w:tbl>
    <w:p w:rsidR="00C30B65" w:rsidRPr="00DC4C78" w:rsidRDefault="00C30B65" w:rsidP="00C30B65"/>
    <w:p w:rsidR="00C30B65" w:rsidRPr="00DC4C78" w:rsidRDefault="00C30B65" w:rsidP="00C30B65">
      <w:pPr>
        <w:pStyle w:val="Figure"/>
      </w:pPr>
      <w:bookmarkStart w:id="197" w:name="_Toc405447442"/>
      <w:bookmarkStart w:id="198" w:name="_Toc417554793"/>
      <w:bookmarkStart w:id="199" w:name="_Toc436750528"/>
      <w:bookmarkStart w:id="200" w:name="_Toc440387851"/>
      <w:r w:rsidRPr="00DC4C78">
        <w:t>Figure 31: Under-six access to free after-hours primary care, total New Zealand</w:t>
      </w:r>
      <w:bookmarkEnd w:id="197"/>
      <w:bookmarkEnd w:id="198"/>
      <w:bookmarkEnd w:id="199"/>
      <w:bookmarkEnd w:id="200"/>
    </w:p>
    <w:p w:rsidR="00C30B65" w:rsidRPr="00DC4C78" w:rsidRDefault="00ED55DA" w:rsidP="00ED55DA">
      <w:r>
        <w:rPr>
          <w:noProof/>
          <w:lang w:eastAsia="en-NZ"/>
        </w:rPr>
        <w:drawing>
          <wp:inline distT="0" distB="0" distL="0" distR="0" wp14:anchorId="152E7B35">
            <wp:extent cx="4320000" cy="2520000"/>
            <wp:effectExtent l="0" t="0" r="4445" b="0"/>
            <wp:docPr id="86" name="Picture 86" title="Figure 31: Under-six access to free after-hours primary care, total New Zeala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inline>
        </w:drawing>
      </w:r>
    </w:p>
    <w:p w:rsidR="00C30B65" w:rsidRPr="00DC4C78" w:rsidRDefault="00C30B65" w:rsidP="00C30B65"/>
    <w:p w:rsidR="00C30B65" w:rsidRPr="00DC4C78" w:rsidRDefault="00C30B65" w:rsidP="00C30B65">
      <w:pPr>
        <w:pStyle w:val="Heading3"/>
      </w:pPr>
      <w:r w:rsidRPr="00DC4C78">
        <w:t>Data notes</w:t>
      </w:r>
    </w:p>
    <w:p w:rsidR="00C30B65" w:rsidRPr="00DC4C78" w:rsidRDefault="00C30B65" w:rsidP="00C30B65">
      <w:pPr>
        <w:pStyle w:val="Bullet"/>
      </w:pPr>
      <w:r w:rsidRPr="00DC4C78">
        <w:t>Time period: snapshot as at 1 May 2015.</w:t>
      </w:r>
    </w:p>
    <w:p w:rsidR="00C30B65" w:rsidRPr="00DC4C78" w:rsidRDefault="00C30B65" w:rsidP="00C30B65">
      <w:pPr>
        <w:pStyle w:val="Bullet"/>
      </w:pPr>
      <w:r w:rsidRPr="00DC4C78">
        <w:t>Data is not available by ethnicity or deprivation quintile.</w:t>
      </w:r>
    </w:p>
    <w:p w:rsidR="00C30B65" w:rsidRPr="00DC4C78" w:rsidRDefault="00C30B65" w:rsidP="00C30B65">
      <w:pPr>
        <w:pStyle w:val="Bullet"/>
      </w:pPr>
      <w:r w:rsidRPr="00DC4C78">
        <w:t>Numerator: number of children aged under six years who are enrolled with a PHO that delivers free after-hours primary care for under sixes (source: PHO).</w:t>
      </w:r>
    </w:p>
    <w:p w:rsidR="00C30B65" w:rsidRPr="00DC4C78" w:rsidRDefault="00C30B65" w:rsidP="00C30B65">
      <w:pPr>
        <w:pStyle w:val="Bullet"/>
      </w:pPr>
      <w:r w:rsidRPr="00DC4C78">
        <w:t>Denominator: number of children aged under six years who are enrolled with a PHO (source: PHO).</w:t>
      </w:r>
    </w:p>
    <w:p w:rsidR="00C30B65" w:rsidRPr="00DC4C78" w:rsidRDefault="00C30B65" w:rsidP="00C30B65"/>
    <w:p w:rsidR="00C30B65" w:rsidRPr="00DC4C78" w:rsidRDefault="00C30B65" w:rsidP="00C30B65">
      <w:pPr>
        <w:pStyle w:val="Heading2"/>
        <w:spacing w:before="0"/>
      </w:pPr>
      <w:bookmarkStart w:id="201" w:name="_Toc365618450"/>
      <w:bookmarkStart w:id="202" w:name="_Toc405453773"/>
      <w:bookmarkStart w:id="203" w:name="_Toc418322783"/>
      <w:bookmarkStart w:id="204" w:name="_Toc419099451"/>
      <w:bookmarkStart w:id="205" w:name="_Toc440387797"/>
      <w:r w:rsidRPr="00DC4C78">
        <w:lastRenderedPageBreak/>
        <w:t>WCTO Quality Improvement Framework Indicator 10</w:t>
      </w:r>
      <w:bookmarkEnd w:id="201"/>
      <w:bookmarkEnd w:id="202"/>
      <w:bookmarkEnd w:id="203"/>
      <w:bookmarkEnd w:id="204"/>
      <w:bookmarkEnd w:id="205"/>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701"/>
        <w:gridCol w:w="7655"/>
      </w:tblGrid>
      <w:tr w:rsidR="00C30B65" w:rsidRPr="00DC4C78" w:rsidTr="00C30B65">
        <w:trPr>
          <w:cantSplit/>
        </w:trPr>
        <w:tc>
          <w:tcPr>
            <w:tcW w:w="1701" w:type="dxa"/>
            <w:tcBorders>
              <w:top w:val="single" w:sz="4" w:space="0" w:color="auto"/>
              <w:bottom w:val="nil"/>
            </w:tcBorders>
            <w:shd w:val="clear" w:color="auto" w:fill="F2F2F2"/>
          </w:tcPr>
          <w:p w:rsidR="00C30B65" w:rsidRPr="00DC4C78" w:rsidRDefault="00C30B65" w:rsidP="00742999">
            <w:pPr>
              <w:pStyle w:val="TableText"/>
              <w:keepNext/>
              <w:rPr>
                <w:b/>
              </w:rPr>
            </w:pPr>
            <w:r w:rsidRPr="00DC4C78">
              <w:rPr>
                <w:b/>
              </w:rPr>
              <w:t>Standard</w:t>
            </w:r>
          </w:p>
        </w:tc>
        <w:tc>
          <w:tcPr>
            <w:tcW w:w="7655" w:type="dxa"/>
            <w:tcBorders>
              <w:top w:val="single" w:sz="4" w:space="0" w:color="auto"/>
              <w:bottom w:val="nil"/>
            </w:tcBorders>
            <w:shd w:val="clear" w:color="auto" w:fill="F2F2F2"/>
          </w:tcPr>
          <w:p w:rsidR="00C30B65" w:rsidRPr="00DC4C78" w:rsidRDefault="00C30B65" w:rsidP="00742999">
            <w:pPr>
              <w:pStyle w:val="TableText"/>
              <w:keepNext/>
            </w:pPr>
            <w:r w:rsidRPr="00DC4C78">
              <w:t>All children and families</w:t>
            </w:r>
            <w:r>
              <w:t>/</w:t>
            </w:r>
            <w:proofErr w:type="spellStart"/>
            <w:r w:rsidRPr="005A088C">
              <w:t>whānau</w:t>
            </w:r>
            <w:proofErr w:type="spellEnd"/>
            <w:r w:rsidRPr="00DC4C78">
              <w:t xml:space="preserve"> have access to specialist and other referred services, where required, in a timely manner.</w:t>
            </w:r>
          </w:p>
        </w:tc>
      </w:tr>
      <w:tr w:rsidR="00C30B65" w:rsidRPr="00DC4C78" w:rsidTr="00C30B65">
        <w:trPr>
          <w:cantSplit/>
        </w:trPr>
        <w:tc>
          <w:tcPr>
            <w:tcW w:w="1701" w:type="dxa"/>
            <w:tcBorders>
              <w:top w:val="nil"/>
              <w:bottom w:val="nil"/>
            </w:tcBorders>
            <w:shd w:val="clear" w:color="auto" w:fill="auto"/>
          </w:tcPr>
          <w:p w:rsidR="00C30B65" w:rsidRPr="00DC4C78" w:rsidRDefault="00C30B65" w:rsidP="00742999">
            <w:pPr>
              <w:pStyle w:val="TableText"/>
              <w:keepNext/>
              <w:rPr>
                <w:b/>
              </w:rPr>
            </w:pPr>
            <w:r w:rsidRPr="00DC4C78">
              <w:rPr>
                <w:b/>
              </w:rPr>
              <w:t>Indicator</w:t>
            </w:r>
          </w:p>
        </w:tc>
        <w:tc>
          <w:tcPr>
            <w:tcW w:w="7655" w:type="dxa"/>
            <w:tcBorders>
              <w:top w:val="nil"/>
              <w:bottom w:val="nil"/>
            </w:tcBorders>
          </w:tcPr>
          <w:p w:rsidR="00C30B65" w:rsidRPr="00DC4C78" w:rsidRDefault="00C30B65" w:rsidP="00742999">
            <w:pPr>
              <w:pStyle w:val="TableText"/>
              <w:keepNext/>
              <w:rPr>
                <w:rFonts w:cs="Calibri"/>
              </w:rPr>
            </w:pPr>
            <w:r w:rsidRPr="00DC4C78">
              <w:rPr>
                <w:rFonts w:cs="Calibri"/>
              </w:rPr>
              <w:t>Children are seen promptly following referral to specialist services.</w:t>
            </w:r>
          </w:p>
        </w:tc>
      </w:tr>
      <w:tr w:rsidR="00C30B65" w:rsidRPr="00DC4C78" w:rsidTr="00C30B65">
        <w:trPr>
          <w:cantSplit/>
        </w:trPr>
        <w:tc>
          <w:tcPr>
            <w:tcW w:w="1701" w:type="dxa"/>
            <w:tcBorders>
              <w:top w:val="nil"/>
              <w:bottom w:val="nil"/>
            </w:tcBorders>
            <w:shd w:val="clear" w:color="auto" w:fill="F2F2F2"/>
          </w:tcPr>
          <w:p w:rsidR="00C30B65" w:rsidRPr="00DC4C78" w:rsidRDefault="00C30B65" w:rsidP="00B82827">
            <w:pPr>
              <w:pStyle w:val="TableText"/>
              <w:keepNext/>
              <w:rPr>
                <w:b/>
              </w:rPr>
            </w:pPr>
            <w:r w:rsidRPr="00DC4C78">
              <w:rPr>
                <w:b/>
              </w:rPr>
              <w:t>Target by December 2014</w:t>
            </w:r>
          </w:p>
        </w:tc>
        <w:tc>
          <w:tcPr>
            <w:tcW w:w="7655" w:type="dxa"/>
            <w:tcBorders>
              <w:top w:val="nil"/>
              <w:bottom w:val="nil"/>
            </w:tcBorders>
            <w:shd w:val="clear" w:color="auto" w:fill="F2F2F2"/>
          </w:tcPr>
          <w:p w:rsidR="00C30B65" w:rsidRPr="00DC4C78" w:rsidRDefault="00C30B65" w:rsidP="00B82827">
            <w:pPr>
              <w:pStyle w:val="TableText"/>
              <w:keepNext/>
              <w:rPr>
                <w:rFonts w:cs="Calibri"/>
              </w:rPr>
            </w:pPr>
            <w:r w:rsidRPr="00DC4C78">
              <w:rPr>
                <w:rFonts w:cs="Calibri"/>
              </w:rPr>
              <w:t>100 percent within five months of referral</w:t>
            </w:r>
          </w:p>
        </w:tc>
      </w:tr>
      <w:tr w:rsidR="00C30B65" w:rsidRPr="00DC4C78" w:rsidTr="00C30B65">
        <w:trPr>
          <w:cantSplit/>
        </w:trPr>
        <w:tc>
          <w:tcPr>
            <w:tcW w:w="1701" w:type="dxa"/>
            <w:tcBorders>
              <w:top w:val="nil"/>
            </w:tcBorders>
            <w:shd w:val="clear" w:color="auto" w:fill="auto"/>
          </w:tcPr>
          <w:p w:rsidR="00C30B65" w:rsidRPr="00DC4C78" w:rsidRDefault="00C30B65" w:rsidP="00C30B65">
            <w:pPr>
              <w:pStyle w:val="TableText"/>
              <w:rPr>
                <w:b/>
              </w:rPr>
            </w:pPr>
            <w:r w:rsidRPr="00DC4C78">
              <w:rPr>
                <w:b/>
              </w:rPr>
              <w:t>Target by June 2016</w:t>
            </w:r>
          </w:p>
        </w:tc>
        <w:tc>
          <w:tcPr>
            <w:tcW w:w="7655" w:type="dxa"/>
            <w:tcBorders>
              <w:top w:val="nil"/>
            </w:tcBorders>
          </w:tcPr>
          <w:p w:rsidR="00C30B65" w:rsidRPr="00DC4C78" w:rsidRDefault="00C30B65" w:rsidP="00C30B65">
            <w:pPr>
              <w:pStyle w:val="TableText"/>
              <w:rPr>
                <w:rFonts w:cs="Calibri"/>
              </w:rPr>
            </w:pPr>
            <w:r w:rsidRPr="00DC4C78">
              <w:rPr>
                <w:rFonts w:cs="Calibri"/>
              </w:rPr>
              <w:t>100 percent within four months of referral</w:t>
            </w:r>
          </w:p>
        </w:tc>
      </w:tr>
    </w:tbl>
    <w:p w:rsidR="00C30B65" w:rsidRPr="00DC4C78" w:rsidRDefault="00C30B65" w:rsidP="00C30B65"/>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93"/>
        <w:gridCol w:w="1843"/>
        <w:gridCol w:w="1701"/>
        <w:gridCol w:w="1458"/>
        <w:gridCol w:w="1660"/>
      </w:tblGrid>
      <w:tr w:rsidR="00C30B65" w:rsidRPr="00DC4C78" w:rsidTr="00C30B65">
        <w:trPr>
          <w:cantSplit/>
        </w:trPr>
        <w:tc>
          <w:tcPr>
            <w:tcW w:w="1439" w:type="pct"/>
            <w:shd w:val="clear" w:color="auto" w:fill="F2F2F2"/>
          </w:tcPr>
          <w:p w:rsidR="00C30B65" w:rsidRPr="00DC4C78" w:rsidRDefault="00C30B65" w:rsidP="00C30B65">
            <w:pPr>
              <w:pStyle w:val="TableText"/>
              <w:rPr>
                <w:b/>
              </w:rPr>
            </w:pPr>
          </w:p>
        </w:tc>
        <w:tc>
          <w:tcPr>
            <w:tcW w:w="985" w:type="pct"/>
            <w:shd w:val="clear" w:color="auto" w:fill="F2F2F2"/>
          </w:tcPr>
          <w:p w:rsidR="00C30B65" w:rsidRPr="00DC4C78" w:rsidRDefault="00C30B65" w:rsidP="00C30B65">
            <w:pPr>
              <w:pStyle w:val="TableText"/>
              <w:jc w:val="center"/>
              <w:rPr>
                <w:b/>
              </w:rPr>
            </w:pPr>
            <w:r w:rsidRPr="00DC4C78">
              <w:rPr>
                <w:b/>
              </w:rPr>
              <w:t>Total New Zealand</w:t>
            </w:r>
          </w:p>
        </w:tc>
        <w:tc>
          <w:tcPr>
            <w:tcW w:w="909" w:type="pct"/>
            <w:shd w:val="clear" w:color="auto" w:fill="F2F2F2"/>
          </w:tcPr>
          <w:p w:rsidR="00C30B65" w:rsidRPr="00DC4C78" w:rsidRDefault="00C30B65" w:rsidP="00C30B65">
            <w:pPr>
              <w:pStyle w:val="TableText"/>
              <w:jc w:val="center"/>
              <w:rPr>
                <w:b/>
              </w:rPr>
            </w:pPr>
            <w:r w:rsidRPr="00DC4C78">
              <w:rPr>
                <w:b/>
              </w:rPr>
              <w:t>High deprivation</w:t>
            </w:r>
          </w:p>
        </w:tc>
        <w:tc>
          <w:tcPr>
            <w:tcW w:w="779" w:type="pct"/>
            <w:shd w:val="clear" w:color="auto" w:fill="F2F2F2"/>
          </w:tcPr>
          <w:p w:rsidR="00C30B65" w:rsidRPr="00DC4C78" w:rsidRDefault="00C30B65" w:rsidP="00C30B65">
            <w:pPr>
              <w:pStyle w:val="TableText"/>
              <w:jc w:val="center"/>
              <w:rPr>
                <w:b/>
              </w:rPr>
            </w:pPr>
            <w:r w:rsidRPr="00DC4C78">
              <w:rPr>
                <w:b/>
              </w:rPr>
              <w:t>Māori</w:t>
            </w:r>
          </w:p>
        </w:tc>
        <w:tc>
          <w:tcPr>
            <w:tcW w:w="887" w:type="pct"/>
            <w:shd w:val="clear" w:color="auto" w:fill="F2F2F2"/>
          </w:tcPr>
          <w:p w:rsidR="00C30B65" w:rsidRPr="00DC4C78" w:rsidRDefault="00C30B65" w:rsidP="00C30B65">
            <w:pPr>
              <w:pStyle w:val="TableText"/>
              <w:jc w:val="center"/>
              <w:rPr>
                <w:b/>
              </w:rPr>
            </w:pPr>
            <w:r w:rsidRPr="00DC4C78">
              <w:rPr>
                <w:b/>
              </w:rPr>
              <w:t>Pacific peoples</w:t>
            </w:r>
          </w:p>
        </w:tc>
      </w:tr>
      <w:tr w:rsidR="00C30B65" w:rsidRPr="00DC4C78" w:rsidTr="00C30B65">
        <w:trPr>
          <w:cantSplit/>
        </w:trPr>
        <w:tc>
          <w:tcPr>
            <w:tcW w:w="1439" w:type="pct"/>
            <w:shd w:val="clear" w:color="auto" w:fill="auto"/>
          </w:tcPr>
          <w:p w:rsidR="00C30B65" w:rsidRPr="00DC4C78" w:rsidRDefault="00C30B65" w:rsidP="00C30B65">
            <w:pPr>
              <w:pStyle w:val="TableText"/>
            </w:pPr>
            <w:r w:rsidRPr="00DC4C78">
              <w:t>September 2015 mean (range)</w:t>
            </w:r>
          </w:p>
        </w:tc>
        <w:tc>
          <w:tcPr>
            <w:tcW w:w="985" w:type="pct"/>
            <w:shd w:val="clear" w:color="auto" w:fill="auto"/>
            <w:vAlign w:val="center"/>
          </w:tcPr>
          <w:p w:rsidR="00C30B65" w:rsidRPr="00DC4C78" w:rsidRDefault="00C30B65" w:rsidP="00C30B65">
            <w:pPr>
              <w:pStyle w:val="TableText"/>
              <w:jc w:val="center"/>
            </w:pPr>
            <w:r w:rsidRPr="00DC4C78">
              <w:t>100% (89–100)</w:t>
            </w:r>
          </w:p>
        </w:tc>
        <w:tc>
          <w:tcPr>
            <w:tcW w:w="909" w:type="pct"/>
            <w:shd w:val="clear" w:color="auto" w:fill="auto"/>
            <w:vAlign w:val="center"/>
          </w:tcPr>
          <w:p w:rsidR="00C30B65" w:rsidRPr="00DC4C78" w:rsidRDefault="00C30B65" w:rsidP="00C30B65">
            <w:pPr>
              <w:pStyle w:val="TableText"/>
              <w:jc w:val="center"/>
            </w:pPr>
            <w:r w:rsidRPr="00DC4C78">
              <w:t>N/A</w:t>
            </w:r>
          </w:p>
        </w:tc>
        <w:tc>
          <w:tcPr>
            <w:tcW w:w="779" w:type="pct"/>
            <w:shd w:val="clear" w:color="auto" w:fill="auto"/>
            <w:vAlign w:val="center"/>
          </w:tcPr>
          <w:p w:rsidR="00C30B65" w:rsidRPr="00DC4C78" w:rsidRDefault="00C30B65" w:rsidP="00C30B65">
            <w:pPr>
              <w:pStyle w:val="TableText"/>
              <w:jc w:val="center"/>
            </w:pPr>
            <w:r w:rsidRPr="00DC4C78">
              <w:t>N/A</w:t>
            </w:r>
          </w:p>
        </w:tc>
        <w:tc>
          <w:tcPr>
            <w:tcW w:w="887" w:type="pct"/>
            <w:shd w:val="clear" w:color="auto" w:fill="auto"/>
            <w:vAlign w:val="center"/>
          </w:tcPr>
          <w:p w:rsidR="00C30B65" w:rsidRPr="00DC4C78" w:rsidRDefault="00C30B65" w:rsidP="00C30B65">
            <w:pPr>
              <w:pStyle w:val="TableText"/>
              <w:jc w:val="center"/>
            </w:pPr>
            <w:r w:rsidRPr="00DC4C78">
              <w:t>N/A</w:t>
            </w:r>
          </w:p>
        </w:tc>
      </w:tr>
      <w:tr w:rsidR="00C30B65" w:rsidRPr="00DC4C78" w:rsidTr="00C30B65">
        <w:trPr>
          <w:cantSplit/>
        </w:trPr>
        <w:tc>
          <w:tcPr>
            <w:tcW w:w="1439" w:type="pct"/>
            <w:shd w:val="clear" w:color="auto" w:fill="auto"/>
          </w:tcPr>
          <w:p w:rsidR="00C30B65" w:rsidRPr="00DC4C78" w:rsidRDefault="00C30B65" w:rsidP="00C30B65">
            <w:pPr>
              <w:pStyle w:val="TableText"/>
            </w:pPr>
            <w:r w:rsidRPr="00DC4C78">
              <w:t>March 2015 mean (range)</w:t>
            </w:r>
          </w:p>
        </w:tc>
        <w:tc>
          <w:tcPr>
            <w:tcW w:w="985" w:type="pct"/>
            <w:shd w:val="clear" w:color="auto" w:fill="auto"/>
            <w:vAlign w:val="center"/>
          </w:tcPr>
          <w:p w:rsidR="00C30B65" w:rsidRPr="00DC4C78" w:rsidRDefault="00C30B65" w:rsidP="00C30B65">
            <w:pPr>
              <w:pStyle w:val="TableText"/>
              <w:jc w:val="center"/>
            </w:pPr>
            <w:r w:rsidRPr="00DC4C78">
              <w:t>99% (91–100)</w:t>
            </w:r>
          </w:p>
        </w:tc>
        <w:tc>
          <w:tcPr>
            <w:tcW w:w="909" w:type="pct"/>
            <w:shd w:val="clear" w:color="auto" w:fill="auto"/>
            <w:vAlign w:val="center"/>
          </w:tcPr>
          <w:p w:rsidR="00C30B65" w:rsidRPr="00DC4C78" w:rsidRDefault="00C30B65" w:rsidP="00C30B65">
            <w:pPr>
              <w:pStyle w:val="TableText"/>
              <w:jc w:val="center"/>
            </w:pPr>
            <w:r w:rsidRPr="00DC4C78">
              <w:t>N/A</w:t>
            </w:r>
          </w:p>
        </w:tc>
        <w:tc>
          <w:tcPr>
            <w:tcW w:w="779" w:type="pct"/>
            <w:shd w:val="clear" w:color="auto" w:fill="auto"/>
            <w:vAlign w:val="center"/>
          </w:tcPr>
          <w:p w:rsidR="00C30B65" w:rsidRPr="00DC4C78" w:rsidRDefault="00C30B65" w:rsidP="00C30B65">
            <w:pPr>
              <w:pStyle w:val="TableText"/>
              <w:jc w:val="center"/>
            </w:pPr>
            <w:r w:rsidRPr="00DC4C78">
              <w:t>N/A</w:t>
            </w:r>
          </w:p>
        </w:tc>
        <w:tc>
          <w:tcPr>
            <w:tcW w:w="887" w:type="pct"/>
            <w:shd w:val="clear" w:color="auto" w:fill="auto"/>
            <w:vAlign w:val="center"/>
          </w:tcPr>
          <w:p w:rsidR="00C30B65" w:rsidRPr="00DC4C78" w:rsidRDefault="00C30B65" w:rsidP="00C30B65">
            <w:pPr>
              <w:pStyle w:val="TableText"/>
              <w:jc w:val="center"/>
            </w:pPr>
            <w:r w:rsidRPr="00DC4C78">
              <w:t>N/A</w:t>
            </w:r>
          </w:p>
        </w:tc>
      </w:tr>
    </w:tbl>
    <w:p w:rsidR="00C30B65" w:rsidRPr="00DC4C78" w:rsidRDefault="00C30B65" w:rsidP="00C30B65"/>
    <w:p w:rsidR="00C30B65" w:rsidRPr="00DC4C78" w:rsidRDefault="00C30B65" w:rsidP="00C30B65">
      <w:pPr>
        <w:pStyle w:val="Figure"/>
      </w:pPr>
      <w:bookmarkStart w:id="206" w:name="_Toc405447443"/>
      <w:bookmarkStart w:id="207" w:name="_Toc417554794"/>
      <w:bookmarkStart w:id="208" w:name="_Toc436750529"/>
      <w:bookmarkStart w:id="209" w:name="_Toc440387852"/>
      <w:r w:rsidRPr="00DC4C78">
        <w:t>Figure 32: First specialist appointment for paediatric medicine received within f</w:t>
      </w:r>
      <w:r>
        <w:t>our</w:t>
      </w:r>
      <w:r w:rsidRPr="00DC4C78">
        <w:t xml:space="preserve"> months, total New Zealand</w:t>
      </w:r>
      <w:bookmarkEnd w:id="206"/>
      <w:bookmarkEnd w:id="207"/>
      <w:bookmarkEnd w:id="208"/>
      <w:bookmarkEnd w:id="209"/>
    </w:p>
    <w:p w:rsidR="00C30B65" w:rsidRPr="00DC4C78" w:rsidRDefault="00ED55DA" w:rsidP="00ED55DA">
      <w:r>
        <w:rPr>
          <w:noProof/>
          <w:lang w:eastAsia="en-NZ"/>
        </w:rPr>
        <w:drawing>
          <wp:inline distT="0" distB="0" distL="0" distR="0" wp14:anchorId="1E1207EE">
            <wp:extent cx="4320000" cy="2520000"/>
            <wp:effectExtent l="0" t="0" r="4445" b="0"/>
            <wp:docPr id="88" name="Picture 88" title="Figure 32: First specialist appointment for paediatric medicine received within four months, total New Zeala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inline>
        </w:drawing>
      </w:r>
    </w:p>
    <w:p w:rsidR="00C30B65" w:rsidRPr="00DC4C78" w:rsidRDefault="00C30B65" w:rsidP="00C30B65"/>
    <w:p w:rsidR="00C30B65" w:rsidRPr="00DC4C78" w:rsidRDefault="00C30B65" w:rsidP="00C30B65">
      <w:pPr>
        <w:pStyle w:val="Heading3"/>
      </w:pPr>
      <w:r w:rsidRPr="00DC4C78">
        <w:t>Data notes</w:t>
      </w:r>
    </w:p>
    <w:p w:rsidR="00C30B65" w:rsidRPr="00DC4C78" w:rsidRDefault="00C30B65" w:rsidP="00C30B65">
      <w:pPr>
        <w:pStyle w:val="Bullet"/>
      </w:pPr>
      <w:r w:rsidRPr="00DC4C78">
        <w:t>Time period: snapshot for July 2015.</w:t>
      </w:r>
    </w:p>
    <w:p w:rsidR="00C30B65" w:rsidRPr="00DC4C78" w:rsidRDefault="00C30B65" w:rsidP="00C30B65">
      <w:pPr>
        <w:pStyle w:val="Bullet"/>
      </w:pPr>
      <w:r w:rsidRPr="00DC4C78">
        <w:t>DHB is DHB of service.</w:t>
      </w:r>
    </w:p>
    <w:p w:rsidR="00C30B65" w:rsidRPr="00DC4C78" w:rsidRDefault="00C30B65" w:rsidP="00C30B65">
      <w:pPr>
        <w:pStyle w:val="Bullet"/>
      </w:pPr>
      <w:r w:rsidRPr="00DC4C78">
        <w:t>Data is not available by ethnicity or deprivation quintile.</w:t>
      </w:r>
    </w:p>
    <w:p w:rsidR="00C30B65" w:rsidRPr="00DC4C78" w:rsidRDefault="00C30B65" w:rsidP="00C30B65">
      <w:pPr>
        <w:pStyle w:val="Bullet"/>
      </w:pPr>
      <w:r w:rsidRPr="00DC4C78">
        <w:t xml:space="preserve">The data presented is for </w:t>
      </w:r>
      <w:r>
        <w:t xml:space="preserve">includes </w:t>
      </w:r>
      <w:r w:rsidRPr="00DC4C78">
        <w:t>any referral to DHB paediatric medicine (</w:t>
      </w:r>
      <w:r>
        <w:t xml:space="preserve">at </w:t>
      </w:r>
      <w:r w:rsidRPr="00DC4C78">
        <w:t>any age).</w:t>
      </w:r>
    </w:p>
    <w:p w:rsidR="00C30B65" w:rsidRPr="00DC4C78" w:rsidRDefault="00C30B65" w:rsidP="00C30B65">
      <w:pPr>
        <w:pStyle w:val="Bullet"/>
      </w:pPr>
      <w:r w:rsidRPr="00DC4C78">
        <w:t>Numerator: number waiting longer than f</w:t>
      </w:r>
      <w:r>
        <w:t>our</w:t>
      </w:r>
      <w:r w:rsidRPr="00DC4C78">
        <w:t xml:space="preserve"> months (source: DHB Elective Services Patient Flow Indicators reporting).</w:t>
      </w:r>
    </w:p>
    <w:p w:rsidR="00C30B65" w:rsidRPr="00DC4C78" w:rsidRDefault="00C30B65" w:rsidP="00C30B65">
      <w:pPr>
        <w:pStyle w:val="Bullet"/>
      </w:pPr>
      <w:r w:rsidRPr="00DC4C78">
        <w:t>Denominator: total number waiting at end of month (source: DHB Elective Services Patient Flow Indicators</w:t>
      </w:r>
      <w:r w:rsidRPr="00DC4C78" w:rsidDel="001A24AC">
        <w:t xml:space="preserve"> </w:t>
      </w:r>
      <w:r w:rsidRPr="00DC4C78">
        <w:t>reporting).</w:t>
      </w:r>
    </w:p>
    <w:p w:rsidR="00C30B65" w:rsidRPr="00DC4C78" w:rsidRDefault="00C30B65" w:rsidP="00C30B65"/>
    <w:p w:rsidR="00742999" w:rsidRDefault="00742999" w:rsidP="00742999">
      <w:bookmarkStart w:id="210" w:name="_Toc365618451"/>
      <w:bookmarkStart w:id="211" w:name="_Toc384620274"/>
      <w:bookmarkStart w:id="212" w:name="_Toc418322784"/>
      <w:bookmarkStart w:id="213" w:name="_Toc419099452"/>
      <w:r>
        <w:br w:type="page"/>
      </w:r>
    </w:p>
    <w:p w:rsidR="00C30B65" w:rsidRPr="00DC4C78" w:rsidRDefault="00C30B65" w:rsidP="00C30B65">
      <w:pPr>
        <w:pStyle w:val="Heading1"/>
      </w:pPr>
      <w:bookmarkStart w:id="214" w:name="_Toc440387798"/>
      <w:r w:rsidRPr="00DC4C78">
        <w:lastRenderedPageBreak/>
        <w:t>Indicators 11–20: Outcomes</w:t>
      </w:r>
      <w:bookmarkEnd w:id="210"/>
      <w:bookmarkEnd w:id="211"/>
      <w:bookmarkEnd w:id="212"/>
      <w:bookmarkEnd w:id="213"/>
      <w:bookmarkEnd w:id="214"/>
    </w:p>
    <w:p w:rsidR="00C30B65" w:rsidRPr="00DC4C78" w:rsidRDefault="00C30B65" w:rsidP="00C30B65">
      <w:pPr>
        <w:rPr>
          <w:lang w:eastAsia="en-NZ"/>
        </w:rPr>
      </w:pPr>
      <w:r w:rsidRPr="00DC4C78">
        <w:rPr>
          <w:lang w:eastAsia="en-NZ"/>
        </w:rPr>
        <w:t>Aim 2 of the WCTO Quality Improvement Framework is</w:t>
      </w:r>
      <w:r w:rsidRPr="00DC4C78">
        <w:t xml:space="preserve"> </w:t>
      </w:r>
      <w:r w:rsidRPr="00DC4C78">
        <w:rPr>
          <w:rFonts w:cs="Arial"/>
          <w:b/>
          <w:szCs w:val="24"/>
          <w:lang w:eastAsia="en-NZ"/>
        </w:rPr>
        <w:t>improved health and equity for all populations</w:t>
      </w:r>
      <w:r w:rsidRPr="00DC4C78">
        <w:rPr>
          <w:lang w:eastAsia="en-NZ"/>
        </w:rPr>
        <w:t xml:space="preserve">. </w:t>
      </w:r>
      <w:r>
        <w:rPr>
          <w:lang w:eastAsia="en-NZ"/>
        </w:rPr>
        <w:t xml:space="preserve">We will know we have achieved this when we see </w:t>
      </w:r>
      <w:r w:rsidRPr="00DC4C78">
        <w:rPr>
          <w:rFonts w:cs="Arial"/>
          <w:szCs w:val="24"/>
          <w:lang w:eastAsia="en-NZ"/>
        </w:rPr>
        <w:t xml:space="preserve">improved health and wellbeing outcomes for children, families and </w:t>
      </w:r>
      <w:proofErr w:type="spellStart"/>
      <w:r w:rsidRPr="00DC4C78">
        <w:rPr>
          <w:rFonts w:cs="Arial"/>
          <w:szCs w:val="24"/>
          <w:lang w:eastAsia="en-NZ"/>
        </w:rPr>
        <w:t>whānau</w:t>
      </w:r>
      <w:proofErr w:type="spellEnd"/>
      <w:r w:rsidRPr="00DC4C78">
        <w:rPr>
          <w:rFonts w:cs="Arial"/>
          <w:szCs w:val="24"/>
          <w:lang w:eastAsia="en-NZ"/>
        </w:rPr>
        <w:t xml:space="preserve">. </w:t>
      </w:r>
      <w:r>
        <w:rPr>
          <w:lang w:eastAsia="en-NZ"/>
        </w:rPr>
        <w:t xml:space="preserve">The Ministry of Health </w:t>
      </w:r>
      <w:r w:rsidRPr="00DC4C78">
        <w:rPr>
          <w:lang w:eastAsia="en-NZ"/>
        </w:rPr>
        <w:t>expect</w:t>
      </w:r>
      <w:r>
        <w:rPr>
          <w:lang w:eastAsia="en-NZ"/>
        </w:rPr>
        <w:t>s</w:t>
      </w:r>
      <w:r w:rsidRPr="00DC4C78">
        <w:rPr>
          <w:lang w:eastAsia="en-NZ"/>
        </w:rPr>
        <w:t xml:space="preserve"> that, in addition to these indicators, DHBs and WCTO providers will consider </w:t>
      </w:r>
      <w:r>
        <w:rPr>
          <w:lang w:eastAsia="en-NZ"/>
        </w:rPr>
        <w:t xml:space="preserve">monitoring </w:t>
      </w:r>
      <w:r w:rsidRPr="00DC4C78">
        <w:rPr>
          <w:lang w:eastAsia="en-NZ"/>
        </w:rPr>
        <w:t xml:space="preserve">other measures of family and </w:t>
      </w:r>
      <w:proofErr w:type="spellStart"/>
      <w:r w:rsidRPr="00DC4C78">
        <w:rPr>
          <w:rFonts w:cs="Arial"/>
          <w:szCs w:val="24"/>
          <w:lang w:eastAsia="en-NZ"/>
        </w:rPr>
        <w:t>whānau</w:t>
      </w:r>
      <w:proofErr w:type="spellEnd"/>
      <w:r w:rsidRPr="00DC4C78">
        <w:rPr>
          <w:rFonts w:cs="Arial"/>
          <w:szCs w:val="24"/>
          <w:lang w:eastAsia="en-NZ"/>
        </w:rPr>
        <w:t xml:space="preserve"> health and wellbeing that </w:t>
      </w:r>
      <w:r w:rsidRPr="00DC4C78">
        <w:rPr>
          <w:lang w:eastAsia="en-NZ"/>
        </w:rPr>
        <w:t>through national or local data sources.</w:t>
      </w:r>
    </w:p>
    <w:p w:rsidR="00C30B65" w:rsidRPr="00DC4C78" w:rsidRDefault="00C30B65" w:rsidP="00C30B65">
      <w:pPr>
        <w:rPr>
          <w:lang w:eastAsia="en-NZ"/>
        </w:rPr>
      </w:pPr>
    </w:p>
    <w:p w:rsidR="00C30B65" w:rsidRPr="00DC4C78" w:rsidRDefault="00C30B65" w:rsidP="00C30B65">
      <w:pPr>
        <w:rPr>
          <w:lang w:eastAsia="en-NZ"/>
        </w:rPr>
      </w:pPr>
      <w:r w:rsidRPr="00DC4C78">
        <w:rPr>
          <w:lang w:eastAsia="en-NZ"/>
        </w:rPr>
        <w:t>Indicators 11–20 measure health outcomes across a range of domains</w:t>
      </w:r>
      <w:r>
        <w:rPr>
          <w:lang w:eastAsia="en-NZ"/>
        </w:rPr>
        <w:t xml:space="preserve"> representing </w:t>
      </w:r>
      <w:r w:rsidRPr="00DC4C78">
        <w:rPr>
          <w:lang w:eastAsia="en-NZ"/>
        </w:rPr>
        <w:t>infant and child physical health (</w:t>
      </w:r>
      <w:r>
        <w:rPr>
          <w:lang w:eastAsia="en-NZ"/>
        </w:rPr>
        <w:t xml:space="preserve">by measurements of </w:t>
      </w:r>
      <w:r w:rsidRPr="00DC4C78">
        <w:rPr>
          <w:lang w:eastAsia="en-NZ"/>
        </w:rPr>
        <w:t xml:space="preserve">nutrition and healthy weight </w:t>
      </w:r>
      <w:r>
        <w:rPr>
          <w:lang w:eastAsia="en-NZ"/>
        </w:rPr>
        <w:t xml:space="preserve">and </w:t>
      </w:r>
      <w:r w:rsidRPr="00DC4C78">
        <w:rPr>
          <w:lang w:eastAsia="en-NZ"/>
        </w:rPr>
        <w:t>oral health), infant and child mental health (</w:t>
      </w:r>
      <w:r>
        <w:rPr>
          <w:lang w:eastAsia="en-NZ"/>
        </w:rPr>
        <w:t xml:space="preserve">through the </w:t>
      </w:r>
      <w:r w:rsidRPr="00DC4C78">
        <w:rPr>
          <w:lang w:eastAsia="en-NZ"/>
        </w:rPr>
        <w:t>strengths and difficulties questionnaire) and family health (</w:t>
      </w:r>
      <w:r>
        <w:rPr>
          <w:lang w:eastAsia="en-NZ"/>
        </w:rPr>
        <w:t xml:space="preserve">by tracking rates of </w:t>
      </w:r>
      <w:r w:rsidRPr="00DC4C78">
        <w:rPr>
          <w:lang w:eastAsia="en-NZ"/>
        </w:rPr>
        <w:t xml:space="preserve">smoking status). </w:t>
      </w:r>
      <w:r>
        <w:rPr>
          <w:lang w:eastAsia="en-NZ"/>
        </w:rPr>
        <w:t xml:space="preserve">The Ministry </w:t>
      </w:r>
      <w:r w:rsidRPr="00DC4C78">
        <w:rPr>
          <w:lang w:eastAsia="en-NZ"/>
        </w:rPr>
        <w:t>expect</w:t>
      </w:r>
      <w:r>
        <w:rPr>
          <w:lang w:eastAsia="en-NZ"/>
        </w:rPr>
        <w:t>s</w:t>
      </w:r>
      <w:r w:rsidRPr="00DC4C78">
        <w:rPr>
          <w:lang w:eastAsia="en-NZ"/>
        </w:rPr>
        <w:t xml:space="preserve"> </w:t>
      </w:r>
      <w:r>
        <w:rPr>
          <w:lang w:eastAsia="en-NZ"/>
        </w:rPr>
        <w:t xml:space="preserve">to add further </w:t>
      </w:r>
      <w:r w:rsidRPr="00DC4C78">
        <w:rPr>
          <w:lang w:eastAsia="en-NZ"/>
        </w:rPr>
        <w:t>measures of health and wellbeing outcomes as new data becomes available. A number of performance</w:t>
      </w:r>
      <w:r>
        <w:rPr>
          <w:lang w:eastAsia="en-NZ"/>
        </w:rPr>
        <w:t>-</w:t>
      </w:r>
      <w:r w:rsidRPr="00DC4C78">
        <w:rPr>
          <w:lang w:eastAsia="en-NZ"/>
        </w:rPr>
        <w:t xml:space="preserve"> and outcome</w:t>
      </w:r>
      <w:r>
        <w:rPr>
          <w:lang w:eastAsia="en-NZ"/>
        </w:rPr>
        <w:t>-</w:t>
      </w:r>
      <w:r w:rsidRPr="00DC4C78">
        <w:rPr>
          <w:lang w:eastAsia="en-NZ"/>
        </w:rPr>
        <w:t>monitoring document</w:t>
      </w:r>
      <w:r>
        <w:rPr>
          <w:lang w:eastAsia="en-NZ"/>
        </w:rPr>
        <w:t>s, including Māori Health Plans and</w:t>
      </w:r>
      <w:r w:rsidRPr="00DC4C78">
        <w:rPr>
          <w:lang w:eastAsia="en-NZ"/>
        </w:rPr>
        <w:t xml:space="preserve"> the New Zealand Maternity Clinical Indicator</w:t>
      </w:r>
      <w:r>
        <w:rPr>
          <w:lang w:eastAsia="en-NZ"/>
        </w:rPr>
        <w:t>s, have adopted these indicators</w:t>
      </w:r>
      <w:r w:rsidRPr="00DC4C78">
        <w:rPr>
          <w:lang w:eastAsia="en-NZ"/>
        </w:rPr>
        <w:t>.</w:t>
      </w:r>
    </w:p>
    <w:p w:rsidR="00C30B65" w:rsidRPr="00DC4C78" w:rsidRDefault="00C30B65" w:rsidP="00C30B65">
      <w:pPr>
        <w:rPr>
          <w:lang w:eastAsia="en-NZ"/>
        </w:rPr>
      </w:pPr>
    </w:p>
    <w:p w:rsidR="00C30B65" w:rsidRPr="00DC4C78" w:rsidRDefault="00C30B65" w:rsidP="00C30B65">
      <w:pPr>
        <w:rPr>
          <w:lang w:eastAsia="en-NZ"/>
        </w:rPr>
      </w:pPr>
      <w:r w:rsidRPr="00DC4C78">
        <w:rPr>
          <w:lang w:eastAsia="en-NZ"/>
        </w:rPr>
        <w:t xml:space="preserve">These indicators reflect the core roles of WCTO in promoting and supporting physical health, mental wellbeing, healthy families and </w:t>
      </w:r>
      <w:proofErr w:type="spellStart"/>
      <w:r w:rsidRPr="00DC4C78">
        <w:rPr>
          <w:lang w:eastAsia="en-NZ"/>
        </w:rPr>
        <w:t>wh</w:t>
      </w:r>
      <w:r w:rsidRPr="00456BD0">
        <w:rPr>
          <w:lang w:eastAsia="en-NZ"/>
        </w:rPr>
        <w:t>ā</w:t>
      </w:r>
      <w:r w:rsidRPr="00DC4C78">
        <w:rPr>
          <w:lang w:eastAsia="en-NZ"/>
        </w:rPr>
        <w:t>nau</w:t>
      </w:r>
      <w:proofErr w:type="spellEnd"/>
      <w:r w:rsidRPr="00DC4C78">
        <w:rPr>
          <w:lang w:eastAsia="en-NZ"/>
        </w:rPr>
        <w:t xml:space="preserve">, and healthy home environments. Achieving improvements in these indicators will require a cross-sector response and a multi-faceted approach, and may not </w:t>
      </w:r>
      <w:r>
        <w:rPr>
          <w:lang w:eastAsia="en-NZ"/>
        </w:rPr>
        <w:t xml:space="preserve">happen </w:t>
      </w:r>
      <w:r w:rsidRPr="00DC4C78">
        <w:rPr>
          <w:lang w:eastAsia="en-NZ"/>
        </w:rPr>
        <w:t xml:space="preserve">in the short term. However, </w:t>
      </w:r>
      <w:r>
        <w:rPr>
          <w:lang w:eastAsia="en-NZ"/>
        </w:rPr>
        <w:t xml:space="preserve">we must continue to </w:t>
      </w:r>
      <w:r w:rsidRPr="00DC4C78">
        <w:rPr>
          <w:lang w:eastAsia="en-NZ"/>
        </w:rPr>
        <w:t xml:space="preserve">monitor </w:t>
      </w:r>
      <w:r>
        <w:rPr>
          <w:lang w:eastAsia="en-NZ"/>
        </w:rPr>
        <w:t xml:space="preserve">the </w:t>
      </w:r>
      <w:r w:rsidRPr="00DC4C78">
        <w:rPr>
          <w:lang w:eastAsia="en-NZ"/>
        </w:rPr>
        <w:t xml:space="preserve">health and wellbeing outcomes </w:t>
      </w:r>
      <w:r>
        <w:rPr>
          <w:lang w:eastAsia="en-NZ"/>
        </w:rPr>
        <w:t xml:space="preserve">these indicators represent, because they show us </w:t>
      </w:r>
      <w:r w:rsidRPr="00DC4C78">
        <w:rPr>
          <w:lang w:eastAsia="en-NZ"/>
        </w:rPr>
        <w:t>where WCTO services are working well</w:t>
      </w:r>
      <w:r>
        <w:rPr>
          <w:lang w:eastAsia="en-NZ"/>
        </w:rPr>
        <w:t>,</w:t>
      </w:r>
      <w:r w:rsidRPr="00DC4C78">
        <w:rPr>
          <w:lang w:eastAsia="en-NZ"/>
        </w:rPr>
        <w:t xml:space="preserve"> </w:t>
      </w:r>
      <w:r>
        <w:rPr>
          <w:lang w:eastAsia="en-NZ"/>
        </w:rPr>
        <w:t xml:space="preserve">in their own capacities and </w:t>
      </w:r>
      <w:r w:rsidRPr="00DC4C78">
        <w:rPr>
          <w:lang w:eastAsia="en-NZ"/>
        </w:rPr>
        <w:t>together with the wider health sector.</w:t>
      </w:r>
    </w:p>
    <w:p w:rsidR="00C30B65" w:rsidRPr="00DC4C78" w:rsidRDefault="00C30B65" w:rsidP="00C30B65">
      <w:pPr>
        <w:rPr>
          <w:lang w:eastAsia="en-NZ"/>
        </w:rPr>
      </w:pPr>
    </w:p>
    <w:p w:rsidR="00C30B65" w:rsidRPr="00DC4C78" w:rsidRDefault="00C30B65" w:rsidP="00C30B65">
      <w:pPr>
        <w:pStyle w:val="Heading2"/>
      </w:pPr>
      <w:bookmarkStart w:id="215" w:name="_Toc365618452"/>
      <w:bookmarkStart w:id="216" w:name="_Toc405453775"/>
      <w:bookmarkStart w:id="217" w:name="_Toc418322785"/>
      <w:bookmarkStart w:id="218" w:name="_Toc419099453"/>
      <w:bookmarkStart w:id="219" w:name="_Toc440387799"/>
      <w:r w:rsidRPr="00DC4C78">
        <w:t>Summary of results for this period</w:t>
      </w:r>
      <w:bookmarkEnd w:id="215"/>
      <w:bookmarkEnd w:id="216"/>
      <w:bookmarkEnd w:id="217"/>
      <w:bookmarkEnd w:id="218"/>
      <w:bookmarkEnd w:id="219"/>
    </w:p>
    <w:p w:rsidR="00C30B65" w:rsidRPr="00DC4C78" w:rsidRDefault="00C30B65" w:rsidP="00C30B65">
      <w:pPr>
        <w:pStyle w:val="Heading3"/>
      </w:pPr>
      <w:r w:rsidRPr="00DC4C78">
        <w:t>National</w:t>
      </w:r>
    </w:p>
    <w:p w:rsidR="00700141" w:rsidRDefault="00C30B65" w:rsidP="00C30B65">
      <w:r w:rsidRPr="00DC4C78">
        <w:t>Figures in this set of indicators remain</w:t>
      </w:r>
      <w:r>
        <w:t>ed</w:t>
      </w:r>
      <w:r w:rsidRPr="00DC4C78">
        <w:t xml:space="preserve"> the steadiest of all the three indicator groups. At a population level, </w:t>
      </w:r>
      <w:r>
        <w:t xml:space="preserve">providers were either reaching the targets for </w:t>
      </w:r>
      <w:r w:rsidRPr="00DC4C78">
        <w:t xml:space="preserve">most indicators in this group, or </w:t>
      </w:r>
      <w:r>
        <w:t xml:space="preserve">were </w:t>
      </w:r>
      <w:r w:rsidRPr="00DC4C78">
        <w:t xml:space="preserve">very close to </w:t>
      </w:r>
      <w:r>
        <w:t xml:space="preserve">reaching </w:t>
      </w:r>
      <w:r w:rsidRPr="00DC4C78">
        <w:t xml:space="preserve">them. In particular, there have been very few statistically significant changes in the breastfeeding outcomes since the indicators were first reported on in September 2013. Only </w:t>
      </w:r>
      <w:r>
        <w:t xml:space="preserve">results against </w:t>
      </w:r>
      <w:r w:rsidRPr="00E40B6D">
        <w:t xml:space="preserve">Indicator 12: </w:t>
      </w:r>
      <w:r w:rsidR="00700141">
        <w:t>‘</w:t>
      </w:r>
      <w:r w:rsidRPr="00E40B6D">
        <w:t xml:space="preserve">Infants are exclusively or fully breastfed at </w:t>
      </w:r>
      <w:r>
        <w:t>discharge from LMC</w:t>
      </w:r>
      <w:r w:rsidR="00700141">
        <w:t>’</w:t>
      </w:r>
      <w:r>
        <w:t xml:space="preserve"> </w:t>
      </w:r>
      <w:r w:rsidRPr="00DC4C78">
        <w:t xml:space="preserve">significantly changed </w:t>
      </w:r>
      <w:r>
        <w:t xml:space="preserve">between the March and September </w:t>
      </w:r>
      <w:r w:rsidRPr="00DC4C78">
        <w:t>report</w:t>
      </w:r>
      <w:r>
        <w:t>s</w:t>
      </w:r>
      <w:r w:rsidRPr="00DC4C78">
        <w:t xml:space="preserve"> (an 8 percentage point decrease at a total population level).</w:t>
      </w:r>
    </w:p>
    <w:p w:rsidR="00C30B65" w:rsidRPr="00DC4C78" w:rsidRDefault="00C30B65" w:rsidP="00C30B65"/>
    <w:p w:rsidR="00C30B65" w:rsidRPr="00DC4C78" w:rsidRDefault="00C30B65" w:rsidP="00C30B65">
      <w:r>
        <w:t xml:space="preserve">Achievement against </w:t>
      </w:r>
      <w:r w:rsidRPr="00793869">
        <w:t>I</w:t>
      </w:r>
      <w:r w:rsidRPr="00E40B6D">
        <w:t xml:space="preserve">ndicator 15: </w:t>
      </w:r>
      <w:r w:rsidR="00700141">
        <w:t>‘</w:t>
      </w:r>
      <w:r>
        <w:t>C</w:t>
      </w:r>
      <w:r w:rsidRPr="00E40B6D">
        <w:t xml:space="preserve">hildren are a healthy weight at </w:t>
      </w:r>
      <w:r>
        <w:t xml:space="preserve">four </w:t>
      </w:r>
      <w:r w:rsidRPr="00E40B6D">
        <w:t>years</w:t>
      </w:r>
      <w:r w:rsidR="00700141">
        <w:t>’</w:t>
      </w:r>
      <w:r w:rsidRPr="00DC4C78">
        <w:t xml:space="preserve"> remained stable at 75 percent </w:t>
      </w:r>
      <w:r>
        <w:t xml:space="preserve">between </w:t>
      </w:r>
      <w:r w:rsidRPr="00DC4C78">
        <w:t xml:space="preserve">the March </w:t>
      </w:r>
      <w:r>
        <w:t xml:space="preserve">and September </w:t>
      </w:r>
      <w:r w:rsidRPr="00DC4C78">
        <w:t>report</w:t>
      </w:r>
      <w:r>
        <w:t>s</w:t>
      </w:r>
      <w:r w:rsidRPr="00DC4C78">
        <w:t xml:space="preserve">. Reducing childhood obesity is </w:t>
      </w:r>
      <w:r>
        <w:t xml:space="preserve">currently </w:t>
      </w:r>
      <w:r w:rsidRPr="00DC4C78">
        <w:t>a significant focus of the Minister of Health</w:t>
      </w:r>
      <w:r>
        <w:t>;</w:t>
      </w:r>
      <w:r w:rsidRPr="00DC4C78">
        <w:t xml:space="preserve"> </w:t>
      </w:r>
      <w:r>
        <w:t xml:space="preserve">the Ministry of Health released </w:t>
      </w:r>
      <w:r w:rsidRPr="00DC4C78">
        <w:t>a package of actions towards reducing the number of obese children in October 2015.</w:t>
      </w:r>
      <w:r w:rsidR="00700141">
        <w:t xml:space="preserve"> </w:t>
      </w:r>
      <w:r w:rsidRPr="00DC4C78">
        <w:t xml:space="preserve">The plan has three focus areas made up of 22 initiatives which are either new or an expansion of existing initiatives. </w:t>
      </w:r>
      <w:r>
        <w:t>(S</w:t>
      </w:r>
      <w:r w:rsidRPr="00DC4C78">
        <w:t xml:space="preserve">ee </w:t>
      </w:r>
      <w:hyperlink r:id="rId53" w:history="1">
        <w:r w:rsidRPr="00486129">
          <w:t>the Ministry of Health website</w:t>
        </w:r>
      </w:hyperlink>
      <w:r w:rsidRPr="00DC4C78">
        <w:t xml:space="preserve"> for detailed information.</w:t>
      </w:r>
      <w:r>
        <w:t>)</w:t>
      </w:r>
    </w:p>
    <w:p w:rsidR="00C30B65" w:rsidRPr="00DC4C78" w:rsidRDefault="00C30B65" w:rsidP="00C30B65"/>
    <w:p w:rsidR="00C30B65" w:rsidRPr="00DC4C78" w:rsidRDefault="00C30B65" w:rsidP="00C30B65">
      <w:r>
        <w:t xml:space="preserve">Achievement against </w:t>
      </w:r>
      <w:r w:rsidRPr="00E40B6D">
        <w:t>Indicators 16 and 17</w:t>
      </w:r>
      <w:r w:rsidRPr="00DC4C78">
        <w:t xml:space="preserve"> (</w:t>
      </w:r>
      <w:r w:rsidR="00700141">
        <w:t>‘</w:t>
      </w:r>
      <w:r>
        <w:t>C</w:t>
      </w:r>
      <w:r w:rsidRPr="00DC4C78">
        <w:t>hildren are caries free at five years</w:t>
      </w:r>
      <w:r w:rsidR="00700141">
        <w:t>’</w:t>
      </w:r>
      <w:r w:rsidRPr="00DC4C78">
        <w:t xml:space="preserve"> and </w:t>
      </w:r>
      <w:r w:rsidR="00700141">
        <w:t>‘</w:t>
      </w:r>
      <w:r>
        <w:t>T</w:t>
      </w:r>
      <w:r w:rsidRPr="00DC4C78">
        <w:t>he burden of dental decay is minimised</w:t>
      </w:r>
      <w:r w:rsidR="00700141">
        <w:t>’</w:t>
      </w:r>
      <w:r w:rsidRPr="00DC4C78">
        <w:t xml:space="preserve">) remained static </w:t>
      </w:r>
      <w:r>
        <w:t>between</w:t>
      </w:r>
      <w:r w:rsidRPr="00DC4C78">
        <w:t xml:space="preserve"> the September 2014 report</w:t>
      </w:r>
      <w:r>
        <w:t xml:space="preserve"> and this one</w:t>
      </w:r>
      <w:r w:rsidRPr="00DC4C78">
        <w:t xml:space="preserve">. </w:t>
      </w:r>
      <w:r>
        <w:t>We need to do s</w:t>
      </w:r>
      <w:r w:rsidRPr="00DC4C78">
        <w:t xml:space="preserve">ignificant work </w:t>
      </w:r>
      <w:r>
        <w:t xml:space="preserve">to achieve </w:t>
      </w:r>
      <w:r w:rsidRPr="00DC4C78">
        <w:t xml:space="preserve">the oral health targets </w:t>
      </w:r>
      <w:r>
        <w:t xml:space="preserve">we have set, </w:t>
      </w:r>
      <w:r w:rsidRPr="00DC4C78">
        <w:t>and better outcomes for our children.</w:t>
      </w:r>
    </w:p>
    <w:p w:rsidR="00700141" w:rsidRDefault="00700141" w:rsidP="00C30B65"/>
    <w:p w:rsidR="00C30B65" w:rsidRPr="00DC4C78" w:rsidRDefault="00C30B65" w:rsidP="00C30B65">
      <w:r>
        <w:t>We also need to focus on t</w:t>
      </w:r>
      <w:r w:rsidRPr="00DC4C78">
        <w:t xml:space="preserve">he </w:t>
      </w:r>
      <w:proofErr w:type="spellStart"/>
      <w:r w:rsidRPr="00DC4C78">
        <w:t>smokefree</w:t>
      </w:r>
      <w:proofErr w:type="spellEnd"/>
      <w:r w:rsidRPr="00DC4C78">
        <w:t xml:space="preserve"> indicators (</w:t>
      </w:r>
      <w:r>
        <w:t xml:space="preserve">Indicator </w:t>
      </w:r>
      <w:r w:rsidRPr="00E40B6D">
        <w:t xml:space="preserve">19: </w:t>
      </w:r>
      <w:r w:rsidR="00700141">
        <w:t>‘</w:t>
      </w:r>
      <w:r w:rsidRPr="00E40B6D">
        <w:t xml:space="preserve">Mothers are </w:t>
      </w:r>
      <w:proofErr w:type="spellStart"/>
      <w:r w:rsidRPr="00E40B6D">
        <w:t>smokefree</w:t>
      </w:r>
      <w:proofErr w:type="spellEnd"/>
      <w:r w:rsidRPr="00E40B6D">
        <w:t xml:space="preserve"> at two weeks postnatal</w:t>
      </w:r>
      <w:r w:rsidR="00700141">
        <w:t>’</w:t>
      </w:r>
      <w:r w:rsidRPr="00D52660">
        <w:t xml:space="preserve"> and </w:t>
      </w:r>
      <w:r>
        <w:t xml:space="preserve">Indicator </w:t>
      </w:r>
      <w:r w:rsidRPr="00E40B6D">
        <w:t xml:space="preserve">20: </w:t>
      </w:r>
      <w:r w:rsidR="00700141">
        <w:t>‘</w:t>
      </w:r>
      <w:r w:rsidRPr="00E40B6D">
        <w:t xml:space="preserve">Children live in </w:t>
      </w:r>
      <w:proofErr w:type="spellStart"/>
      <w:r w:rsidRPr="00E40B6D">
        <w:t>smokefree</w:t>
      </w:r>
      <w:proofErr w:type="spellEnd"/>
      <w:r w:rsidRPr="00E40B6D">
        <w:t xml:space="preserve"> homes</w:t>
      </w:r>
      <w:r w:rsidR="00700141">
        <w:t>’</w:t>
      </w:r>
      <w:r w:rsidRPr="00DC4C78">
        <w:t>)</w:t>
      </w:r>
      <w:r>
        <w:t>,</w:t>
      </w:r>
      <w:r w:rsidRPr="00DC4C78">
        <w:t xml:space="preserve"> if the June 2016 targets are to be </w:t>
      </w:r>
      <w:r>
        <w:t>achieved</w:t>
      </w:r>
      <w:r w:rsidRPr="00DC4C78">
        <w:t>.</w:t>
      </w:r>
    </w:p>
    <w:p w:rsidR="00C30B65" w:rsidRPr="00DC4C78" w:rsidRDefault="00C30B65" w:rsidP="00B82827">
      <w:pPr>
        <w:pStyle w:val="Heading3"/>
        <w:spacing w:before="360"/>
      </w:pPr>
      <w:r w:rsidRPr="00DC4C78">
        <w:lastRenderedPageBreak/>
        <w:t>By region</w:t>
      </w:r>
    </w:p>
    <w:p w:rsidR="00C30B65" w:rsidRPr="00DC4C78" w:rsidRDefault="00C30B65" w:rsidP="00B82827">
      <w:r>
        <w:t>Achievement against t</w:t>
      </w:r>
      <w:r w:rsidRPr="00DC4C78">
        <w:t>he breastfeeding indicators (11–14) remain</w:t>
      </w:r>
      <w:r>
        <w:t>ed</w:t>
      </w:r>
      <w:r w:rsidRPr="00DC4C78">
        <w:t xml:space="preserve"> highly variable across the DHBs </w:t>
      </w:r>
      <w:r>
        <w:t xml:space="preserve">in the September results </w:t>
      </w:r>
      <w:r w:rsidRPr="00DC4C78">
        <w:t xml:space="preserve">– although </w:t>
      </w:r>
      <w:r>
        <w:t xml:space="preserve">in the case of </w:t>
      </w:r>
      <w:r w:rsidRPr="00E40B6D">
        <w:t xml:space="preserve">Indicator 11: </w:t>
      </w:r>
      <w:r w:rsidR="00700141">
        <w:t>‘</w:t>
      </w:r>
      <w:r>
        <w:t>I</w:t>
      </w:r>
      <w:r w:rsidRPr="00E40B6D">
        <w:t xml:space="preserve">nfants are </w:t>
      </w:r>
      <w:r>
        <w:t xml:space="preserve">exclusively or </w:t>
      </w:r>
      <w:r w:rsidRPr="00E40B6D">
        <w:t>fully breastfed at two weeks</w:t>
      </w:r>
      <w:r w:rsidR="00700141">
        <w:t>’</w:t>
      </w:r>
      <w:r w:rsidRPr="00DC4C78">
        <w:t xml:space="preserve"> all DHBs met the December 2014 target of 72 percent. Around half of DHBs </w:t>
      </w:r>
      <w:r>
        <w:t>met</w:t>
      </w:r>
      <w:r w:rsidRPr="00DC4C78">
        <w:t xml:space="preserve">, or </w:t>
      </w:r>
      <w:r>
        <w:t xml:space="preserve">were </w:t>
      </w:r>
      <w:r w:rsidRPr="00DC4C78">
        <w:t>close to meeting</w:t>
      </w:r>
      <w:r>
        <w:t>,</w:t>
      </w:r>
      <w:r w:rsidRPr="00DC4C78">
        <w:t xml:space="preserve"> the December 2014 target for </w:t>
      </w:r>
      <w:r w:rsidRPr="00E40B6D">
        <w:t xml:space="preserve">Indicator 12: </w:t>
      </w:r>
      <w:r w:rsidR="00700141">
        <w:t>‘</w:t>
      </w:r>
      <w:r>
        <w:t>I</w:t>
      </w:r>
      <w:r w:rsidRPr="00E40B6D">
        <w:t xml:space="preserve">nfants are exclusively or fully breastfed </w:t>
      </w:r>
      <w:r>
        <w:t>at discharge from LMC</w:t>
      </w:r>
      <w:r w:rsidR="00700141">
        <w:t>’</w:t>
      </w:r>
      <w:r w:rsidRPr="00DC4C78">
        <w:t xml:space="preserve">. Those DHBs that </w:t>
      </w:r>
      <w:r>
        <w:t xml:space="preserve">had </w:t>
      </w:r>
      <w:r w:rsidRPr="00DC4C78">
        <w:t xml:space="preserve">lower </w:t>
      </w:r>
      <w:r>
        <w:t xml:space="preserve">achievement against </w:t>
      </w:r>
      <w:r w:rsidRPr="00DC4C78">
        <w:t xml:space="preserve">Indicator 12 also </w:t>
      </w:r>
      <w:r>
        <w:t xml:space="preserve">had </w:t>
      </w:r>
      <w:r w:rsidRPr="00DC4C78">
        <w:t xml:space="preserve">lower </w:t>
      </w:r>
      <w:r>
        <w:t>achievement against</w:t>
      </w:r>
      <w:r w:rsidRPr="00DC4C78">
        <w:t xml:space="preserve"> Indicators 13</w:t>
      </w:r>
      <w:r>
        <w:t xml:space="preserve"> and 14 (</w:t>
      </w:r>
      <w:r w:rsidR="00700141">
        <w:t>‘</w:t>
      </w:r>
      <w:r w:rsidRPr="00DC4C78">
        <w:t>Infants are exclusively or fully breastfed at three months</w:t>
      </w:r>
      <w:r w:rsidR="00700141">
        <w:t>’</w:t>
      </w:r>
      <w:r>
        <w:t xml:space="preserve"> </w:t>
      </w:r>
      <w:r w:rsidRPr="00DC4C78">
        <w:t xml:space="preserve">and </w:t>
      </w:r>
      <w:r w:rsidR="00700141">
        <w:t>‘</w:t>
      </w:r>
      <w:r w:rsidRPr="00B61EA1">
        <w:t>Infants are receiving breast milk at six months</w:t>
      </w:r>
      <w:r w:rsidR="00700141">
        <w:t>’</w:t>
      </w:r>
      <w:r>
        <w:t>),</w:t>
      </w:r>
      <w:r w:rsidRPr="00DC4C78">
        <w:t xml:space="preserve"> suggesting that they need to work on ensuring women continue to breastfeed past the very early stages of an infant</w:t>
      </w:r>
      <w:r w:rsidR="00700141">
        <w:t>’</w:t>
      </w:r>
      <w:r w:rsidRPr="00DC4C78">
        <w:t>s life.</w:t>
      </w:r>
    </w:p>
    <w:p w:rsidR="00C30B65" w:rsidRPr="00DC4C78" w:rsidRDefault="00C30B65" w:rsidP="00B82827"/>
    <w:p w:rsidR="00700141" w:rsidRDefault="00C30B65" w:rsidP="00B82827">
      <w:r w:rsidRPr="00DC4C78">
        <w:t xml:space="preserve">There </w:t>
      </w:r>
      <w:r>
        <w:t>was</w:t>
      </w:r>
      <w:r w:rsidRPr="00DC4C78">
        <w:t xml:space="preserve"> an 11 percentage point difference between the DHBs</w:t>
      </w:r>
      <w:r w:rsidR="00700141">
        <w:t>’</w:t>
      </w:r>
      <w:r>
        <w:t xml:space="preserve"> achievement rates against</w:t>
      </w:r>
      <w:r w:rsidRPr="00DC4C78">
        <w:t xml:space="preserve"> </w:t>
      </w:r>
      <w:r w:rsidRPr="00E40B6D">
        <w:t xml:space="preserve">Indicator 15: </w:t>
      </w:r>
      <w:r w:rsidR="00700141">
        <w:t>‘</w:t>
      </w:r>
      <w:r>
        <w:t>C</w:t>
      </w:r>
      <w:r w:rsidRPr="00E40B6D">
        <w:t>hildren are a healthy weight at four years</w:t>
      </w:r>
      <w:r w:rsidR="00700141">
        <w:t>’</w:t>
      </w:r>
      <w:r w:rsidRPr="00DC4C78">
        <w:t xml:space="preserve">, </w:t>
      </w:r>
      <w:r>
        <w:t>and</w:t>
      </w:r>
      <w:r w:rsidRPr="00DC4C78">
        <w:t xml:space="preserve"> this increase</w:t>
      </w:r>
      <w:r>
        <w:t>d</w:t>
      </w:r>
      <w:r w:rsidRPr="00DC4C78">
        <w:t xml:space="preserve"> across high</w:t>
      </w:r>
      <w:r>
        <w:t>-</w:t>
      </w:r>
      <w:r w:rsidRPr="00DC4C78">
        <w:t xml:space="preserve">deprivation areas (19 percentage points), </w:t>
      </w:r>
      <w:r>
        <w:t>Māori</w:t>
      </w:r>
      <w:r w:rsidRPr="00DC4C78">
        <w:t xml:space="preserve"> (20 percentage points) and Pacific </w:t>
      </w:r>
      <w:r>
        <w:t xml:space="preserve">peoples </w:t>
      </w:r>
      <w:r w:rsidRPr="00DC4C78">
        <w:t>(27</w:t>
      </w:r>
      <w:r w:rsidR="00B82827">
        <w:t> </w:t>
      </w:r>
      <w:r w:rsidRPr="00DC4C78">
        <w:t xml:space="preserve">percentage points). There </w:t>
      </w:r>
      <w:r>
        <w:t xml:space="preserve">were </w:t>
      </w:r>
      <w:r w:rsidRPr="00DC4C78">
        <w:t xml:space="preserve">similar issues across DHBs in </w:t>
      </w:r>
      <w:r>
        <w:t>terms of achievement against I</w:t>
      </w:r>
      <w:r w:rsidRPr="00DC4C78">
        <w:t>ndicators 16 and 17 (</w:t>
      </w:r>
      <w:r w:rsidR="00700141">
        <w:t>‘</w:t>
      </w:r>
      <w:r>
        <w:t xml:space="preserve">Children are </w:t>
      </w:r>
      <w:r w:rsidRPr="00E40B6D">
        <w:t>caries free at five years</w:t>
      </w:r>
      <w:r w:rsidR="00700141">
        <w:t>’</w:t>
      </w:r>
      <w:r w:rsidRPr="00DC4C78">
        <w:t xml:space="preserve"> and </w:t>
      </w:r>
      <w:r w:rsidR="00700141">
        <w:t>‘</w:t>
      </w:r>
      <w:r>
        <w:t xml:space="preserve">The </w:t>
      </w:r>
      <w:r w:rsidRPr="00E40B6D">
        <w:t>burden of dental decay is minimised</w:t>
      </w:r>
      <w:r w:rsidR="00700141">
        <w:t>’</w:t>
      </w:r>
      <w:r w:rsidRPr="00DC4C78">
        <w:t xml:space="preserve">). </w:t>
      </w:r>
      <w:r>
        <w:t xml:space="preserve">District health boards </w:t>
      </w:r>
      <w:r w:rsidRPr="00DC4C78">
        <w:t xml:space="preserve">should focus on multi-pronged initiatives to </w:t>
      </w:r>
      <w:r>
        <w:t xml:space="preserve">improve their performance </w:t>
      </w:r>
      <w:r w:rsidRPr="00DC4C78">
        <w:t>these indicators – there is no silver bullet to ensure better outcomes.</w:t>
      </w:r>
    </w:p>
    <w:p w:rsidR="00C30B65" w:rsidRPr="00DC4C78" w:rsidRDefault="00C30B65" w:rsidP="00B82827"/>
    <w:p w:rsidR="00700141" w:rsidRDefault="00C30B65" w:rsidP="00B82827">
      <w:r w:rsidRPr="00DC4C78">
        <w:t xml:space="preserve">Rates of </w:t>
      </w:r>
      <w:r>
        <w:t xml:space="preserve">mothers who were </w:t>
      </w:r>
      <w:proofErr w:type="spellStart"/>
      <w:r w:rsidRPr="00DC4C78">
        <w:t>smokefree</w:t>
      </w:r>
      <w:proofErr w:type="spellEnd"/>
      <w:r w:rsidRPr="00DC4C78">
        <w:t xml:space="preserve"> at two weeks postnatal (</w:t>
      </w:r>
      <w:r w:rsidRPr="00E40B6D">
        <w:t>Indicator 19</w:t>
      </w:r>
      <w:r w:rsidRPr="00DC4C78">
        <w:t>) var</w:t>
      </w:r>
      <w:r>
        <w:t>ied</w:t>
      </w:r>
      <w:r w:rsidRPr="00DC4C78">
        <w:t xml:space="preserve"> significantly by DHB, reflecting the population make</w:t>
      </w:r>
      <w:r>
        <w:t>-</w:t>
      </w:r>
      <w:r w:rsidRPr="00DC4C78">
        <w:t xml:space="preserve">up of each region. </w:t>
      </w:r>
      <w:r>
        <w:t xml:space="preserve">District health boards </w:t>
      </w:r>
      <w:r w:rsidRPr="00DC4C78">
        <w:t>should focus on differences that are persistent when analysed by ethnicity or deprivation.</w:t>
      </w:r>
    </w:p>
    <w:p w:rsidR="00C30B65" w:rsidRPr="00DC4C78" w:rsidRDefault="00C30B65" w:rsidP="00C30B65"/>
    <w:p w:rsidR="00C30B65" w:rsidRPr="00DC4C78" w:rsidRDefault="00C30B65" w:rsidP="00C30B65">
      <w:pPr>
        <w:pStyle w:val="Heading3"/>
      </w:pPr>
      <w:r w:rsidRPr="00DC4C78">
        <w:t>By deprivation</w:t>
      </w:r>
      <w:r>
        <w:t xml:space="preserve"> level</w:t>
      </w:r>
    </w:p>
    <w:p w:rsidR="00700141" w:rsidRDefault="00C30B65" w:rsidP="00C30B65">
      <w:r>
        <w:t xml:space="preserve">Looking at achievement against </w:t>
      </w:r>
      <w:r w:rsidRPr="00DC4C78">
        <w:t>all four breastfeeding indicators</w:t>
      </w:r>
      <w:r>
        <w:t>,</w:t>
      </w:r>
      <w:r w:rsidRPr="00DC4C78">
        <w:t xml:space="preserve"> </w:t>
      </w:r>
      <w:r>
        <w:t xml:space="preserve">it generally remains the case that </w:t>
      </w:r>
      <w:r w:rsidRPr="00DC4C78">
        <w:t>fewer infants living in areas of high deprivation are exclusively or fully breastfed</w:t>
      </w:r>
      <w:r>
        <w:t>,</w:t>
      </w:r>
      <w:r w:rsidRPr="00DC4C78">
        <w:t xml:space="preserve"> and fewer infants </w:t>
      </w:r>
      <w:r>
        <w:t xml:space="preserve">are </w:t>
      </w:r>
      <w:r w:rsidRPr="00DC4C78">
        <w:t>receiv</w:t>
      </w:r>
      <w:r>
        <w:t>ing</w:t>
      </w:r>
      <w:r w:rsidRPr="00DC4C78">
        <w:t xml:space="preserve"> some breast milk at six months</w:t>
      </w:r>
      <w:r>
        <w:t>,</w:t>
      </w:r>
      <w:r w:rsidRPr="00DC4C78">
        <w:t xml:space="preserve"> relative to the total population. </w:t>
      </w:r>
      <w:r>
        <w:t xml:space="preserve">In the September results, for </w:t>
      </w:r>
      <w:r w:rsidRPr="00DC4C78">
        <w:t>the third report</w:t>
      </w:r>
      <w:r>
        <w:t>ing period</w:t>
      </w:r>
      <w:r w:rsidRPr="00DC4C78">
        <w:t xml:space="preserve"> in a row</w:t>
      </w:r>
      <w:r>
        <w:t>,</w:t>
      </w:r>
      <w:r w:rsidRPr="00DC4C78">
        <w:t xml:space="preserve"> there </w:t>
      </w:r>
      <w:r>
        <w:t xml:space="preserve">was </w:t>
      </w:r>
      <w:r w:rsidRPr="00DC4C78">
        <w:t xml:space="preserve">no significant increase in rates for any of the four breastfeeding indicators for infants living in areas of high deprivation. </w:t>
      </w:r>
      <w:r w:rsidRPr="009D3131">
        <w:t xml:space="preserve">Indicator 12: </w:t>
      </w:r>
      <w:r w:rsidR="00700141">
        <w:t>‘</w:t>
      </w:r>
      <w:r>
        <w:t>I</w:t>
      </w:r>
      <w:r w:rsidRPr="009D3131">
        <w:t xml:space="preserve">nfants are exclusively or fully breastfed </w:t>
      </w:r>
      <w:r>
        <w:t>at discharge from LMC</w:t>
      </w:r>
      <w:r w:rsidR="00700141">
        <w:t>’</w:t>
      </w:r>
      <w:r w:rsidRPr="00DC4C78">
        <w:t xml:space="preserve"> dropped 12</w:t>
      </w:r>
      <w:r w:rsidR="00B82827">
        <w:t> </w:t>
      </w:r>
      <w:r w:rsidRPr="00DC4C78">
        <w:t xml:space="preserve">percentage points, but this </w:t>
      </w:r>
      <w:r>
        <w:t xml:space="preserve">was </w:t>
      </w:r>
      <w:r w:rsidRPr="00DC4C78">
        <w:t>consistent with the total population figures.</w:t>
      </w:r>
    </w:p>
    <w:p w:rsidR="00C30B65" w:rsidRDefault="00C30B65" w:rsidP="00C30B65"/>
    <w:p w:rsidR="00C30B65" w:rsidRPr="00DC4C78" w:rsidRDefault="00C30B65" w:rsidP="00C30B65">
      <w:r w:rsidRPr="00DC4C78">
        <w:t>Breastfeeding is free and helps lay the foundations for a healthy life – both emotionally and physically. Supporting families living in areas of high deprivation to establish and maintain breastfeeding should be a focus for all DHBs.</w:t>
      </w:r>
    </w:p>
    <w:p w:rsidR="00C30B65" w:rsidRPr="00DC4C78" w:rsidRDefault="00C30B65" w:rsidP="00C30B65"/>
    <w:p w:rsidR="00C30B65" w:rsidRPr="00DC4C78" w:rsidRDefault="00C30B65" w:rsidP="00C30B65">
      <w:r>
        <w:t xml:space="preserve">Looking at the September results for </w:t>
      </w:r>
      <w:r w:rsidRPr="00DC4C78">
        <w:t xml:space="preserve">the other indicators in </w:t>
      </w:r>
      <w:r>
        <w:t xml:space="preserve">this </w:t>
      </w:r>
      <w:r w:rsidRPr="00DC4C78">
        <w:t xml:space="preserve">group, children </w:t>
      </w:r>
      <w:r>
        <w:t xml:space="preserve">living </w:t>
      </w:r>
      <w:r w:rsidRPr="00DC4C78">
        <w:t xml:space="preserve">in areas of high deprivation </w:t>
      </w:r>
      <w:r>
        <w:t xml:space="preserve">were </w:t>
      </w:r>
      <w:r w:rsidRPr="00DC4C78">
        <w:t>less likely to be a healthy weight at four years old (68 percent of those living in high deprivation</w:t>
      </w:r>
      <w:r>
        <w:t xml:space="preserve"> areas,</w:t>
      </w:r>
      <w:r w:rsidRPr="00DC4C78">
        <w:t xml:space="preserve"> </w:t>
      </w:r>
      <w:r>
        <w:t xml:space="preserve">compared with </w:t>
      </w:r>
      <w:r w:rsidRPr="00DC4C78">
        <w:t>75 percent of the total population)</w:t>
      </w:r>
      <w:r>
        <w:t>,</w:t>
      </w:r>
      <w:r w:rsidRPr="00DC4C78">
        <w:t xml:space="preserve"> and </w:t>
      </w:r>
      <w:r>
        <w:t xml:space="preserve">mothers living in areas of high deprivation were </w:t>
      </w:r>
      <w:r w:rsidRPr="00DC4C78">
        <w:t xml:space="preserve">less likely to be </w:t>
      </w:r>
      <w:proofErr w:type="spellStart"/>
      <w:r w:rsidRPr="00DC4C78">
        <w:t>smokefree</w:t>
      </w:r>
      <w:proofErr w:type="spellEnd"/>
      <w:r w:rsidRPr="00DC4C78">
        <w:t xml:space="preserve"> at two weeks postnatal (78 percent of those living in high deprivation </w:t>
      </w:r>
      <w:r>
        <w:t xml:space="preserve">areas, compared with </w:t>
      </w:r>
      <w:r w:rsidRPr="00DC4C78">
        <w:t>87 percent of the total population).</w:t>
      </w:r>
    </w:p>
    <w:p w:rsidR="00C30B65" w:rsidRPr="00DC4C78" w:rsidRDefault="00C30B65" w:rsidP="00C30B65"/>
    <w:p w:rsidR="00C30B65" w:rsidRPr="00DC4C78" w:rsidRDefault="00C30B65" w:rsidP="00C30B65">
      <w:r w:rsidRPr="00DC4C78">
        <w:t xml:space="preserve">Data </w:t>
      </w:r>
      <w:r>
        <w:t>was</w:t>
      </w:r>
      <w:r w:rsidRPr="00DC4C78">
        <w:t xml:space="preserve"> not collected </w:t>
      </w:r>
      <w:r>
        <w:t xml:space="preserve">on </w:t>
      </w:r>
      <w:r w:rsidRPr="00DC4C78">
        <w:t>deprivation level for the oral health indicators (16 and 17).</w:t>
      </w:r>
    </w:p>
    <w:p w:rsidR="00C30B65" w:rsidRPr="00DC4C78" w:rsidRDefault="00C30B65" w:rsidP="00C30B65"/>
    <w:p w:rsidR="00C30B65" w:rsidRPr="00DC4C78" w:rsidRDefault="00C30B65" w:rsidP="00C30B65">
      <w:pPr>
        <w:pStyle w:val="Heading3"/>
      </w:pPr>
      <w:r w:rsidRPr="00DC4C78">
        <w:lastRenderedPageBreak/>
        <w:t>By ethnicity</w:t>
      </w:r>
    </w:p>
    <w:p w:rsidR="00700141" w:rsidRDefault="00C30B65" w:rsidP="00B82827">
      <w:pPr>
        <w:keepLines/>
      </w:pPr>
      <w:r w:rsidRPr="00DC4C78">
        <w:t xml:space="preserve">Outcomes for Māori and Pacific families are </w:t>
      </w:r>
      <w:r>
        <w:t xml:space="preserve">generally </w:t>
      </w:r>
      <w:r w:rsidRPr="00DC4C78">
        <w:t xml:space="preserve">significantly poorer across a range of indicators. </w:t>
      </w:r>
      <w:r>
        <w:t xml:space="preserve">This </w:t>
      </w:r>
      <w:r w:rsidRPr="00DC4C78">
        <w:t>particular</w:t>
      </w:r>
      <w:r>
        <w:t>ly applies to</w:t>
      </w:r>
      <w:r w:rsidRPr="00DC4C78">
        <w:t xml:space="preserve"> the oral health indicators (16 and 17)</w:t>
      </w:r>
      <w:r>
        <w:t xml:space="preserve"> – in the September results, </w:t>
      </w:r>
      <w:r w:rsidRPr="00DC4C78">
        <w:t xml:space="preserve">only 40 percent of </w:t>
      </w:r>
      <w:r>
        <w:t>Māori</w:t>
      </w:r>
      <w:r w:rsidRPr="00DC4C78">
        <w:t xml:space="preserve"> and 36 percent of Pacific children </w:t>
      </w:r>
      <w:r>
        <w:t xml:space="preserve">were </w:t>
      </w:r>
      <w:r w:rsidRPr="00DC4C78">
        <w:t xml:space="preserve">caries free at </w:t>
      </w:r>
      <w:r>
        <w:t xml:space="preserve">age </w:t>
      </w:r>
      <w:r w:rsidRPr="00DC4C78">
        <w:t>five</w:t>
      </w:r>
      <w:r>
        <w:t>,</w:t>
      </w:r>
      <w:r w:rsidRPr="00DC4C78">
        <w:t xml:space="preserve"> compared to 59 percent </w:t>
      </w:r>
      <w:r>
        <w:t xml:space="preserve">of children </w:t>
      </w:r>
      <w:r w:rsidRPr="00DC4C78">
        <w:t xml:space="preserve">nationwide. Even more concerning </w:t>
      </w:r>
      <w:r>
        <w:t xml:space="preserve">are </w:t>
      </w:r>
      <w:r w:rsidRPr="00DC4C78">
        <w:t xml:space="preserve">the DHBs </w:t>
      </w:r>
      <w:r>
        <w:t xml:space="preserve">in which </w:t>
      </w:r>
      <w:r w:rsidRPr="00DC4C78">
        <w:t xml:space="preserve">less than </w:t>
      </w:r>
      <w:r>
        <w:t>one-</w:t>
      </w:r>
      <w:r w:rsidRPr="00DC4C78">
        <w:t xml:space="preserve">third of the </w:t>
      </w:r>
      <w:r>
        <w:t>Māori</w:t>
      </w:r>
      <w:r w:rsidRPr="00DC4C78">
        <w:t xml:space="preserve"> and Pacific children </w:t>
      </w:r>
      <w:r>
        <w:t xml:space="preserve">were </w:t>
      </w:r>
      <w:r w:rsidRPr="00DC4C78">
        <w:t>caries free. Oral health is often an indicator for other issues within a family – poverty</w:t>
      </w:r>
      <w:r>
        <w:t>,</w:t>
      </w:r>
      <w:r w:rsidRPr="00DC4C78">
        <w:t xml:space="preserve"> for example</w:t>
      </w:r>
      <w:r>
        <w:t xml:space="preserve">. Therefore, </w:t>
      </w:r>
      <w:r w:rsidRPr="00DC4C78">
        <w:t xml:space="preserve">to improve these indicators, and the health of their </w:t>
      </w:r>
      <w:r>
        <w:t>region</w:t>
      </w:r>
      <w:r w:rsidR="00700141">
        <w:t>’</w:t>
      </w:r>
      <w:r>
        <w:t xml:space="preserve">s </w:t>
      </w:r>
      <w:r w:rsidRPr="00DC4C78">
        <w:t>children, DHBs need to focus on wider services for families.</w:t>
      </w:r>
    </w:p>
    <w:p w:rsidR="00C30B65" w:rsidRPr="00DC4C78" w:rsidRDefault="00C30B65" w:rsidP="00C30B65"/>
    <w:p w:rsidR="00700141" w:rsidRDefault="00C30B65" w:rsidP="00C30B65">
      <w:r w:rsidRPr="00DC4C78">
        <w:t xml:space="preserve">Pacific children are significantly less likely to be a healthy weight at four years of age than </w:t>
      </w:r>
      <w:r>
        <w:t xml:space="preserve">children within </w:t>
      </w:r>
      <w:r w:rsidRPr="00DC4C78">
        <w:t>the total population</w:t>
      </w:r>
      <w:r>
        <w:t>. A</w:t>
      </w:r>
      <w:r w:rsidRPr="00DC4C78">
        <w:t xml:space="preserve">lthough the gap decreased by two percentage points </w:t>
      </w:r>
      <w:r>
        <w:t xml:space="preserve">between </w:t>
      </w:r>
      <w:r w:rsidRPr="00DC4C78">
        <w:t xml:space="preserve">the </w:t>
      </w:r>
      <w:r>
        <w:t xml:space="preserve">March and September </w:t>
      </w:r>
      <w:r w:rsidRPr="00DC4C78">
        <w:t>report</w:t>
      </w:r>
      <w:r>
        <w:t>s</w:t>
      </w:r>
      <w:r w:rsidRPr="00DC4C78">
        <w:t>, there has been no further improvement in this reporting period. The Minister</w:t>
      </w:r>
      <w:r w:rsidR="00700141">
        <w:t>’</w:t>
      </w:r>
      <w:r w:rsidRPr="00DC4C78">
        <w:t xml:space="preserve">s childhood obesity package </w:t>
      </w:r>
      <w:r>
        <w:t xml:space="preserve">will </w:t>
      </w:r>
      <w:r w:rsidRPr="00DC4C78">
        <w:t>provide DHBs with some tools and ideas to improve the number of Pacific children who are a healthy weight.</w:t>
      </w:r>
    </w:p>
    <w:p w:rsidR="00700141" w:rsidRDefault="00700141" w:rsidP="00C30B65"/>
    <w:p w:rsidR="00700141" w:rsidRDefault="00C30B65" w:rsidP="00C30B65">
      <w:r>
        <w:t>In the September results, b</w:t>
      </w:r>
      <w:r w:rsidRPr="00DC4C78">
        <w:t>reastfeeding rates remain</w:t>
      </w:r>
      <w:r>
        <w:t>ed</w:t>
      </w:r>
      <w:r w:rsidRPr="00DC4C78">
        <w:t xml:space="preserve"> lower among </w:t>
      </w:r>
      <w:r>
        <w:t>Māori</w:t>
      </w:r>
      <w:r w:rsidRPr="00DC4C78">
        <w:t xml:space="preserve"> and Pacific communities at later </w:t>
      </w:r>
      <w:r>
        <w:t xml:space="preserve">ages </w:t>
      </w:r>
      <w:r w:rsidRPr="00DC4C78">
        <w:t>(three and six months).</w:t>
      </w:r>
    </w:p>
    <w:p w:rsidR="00C30B65" w:rsidRPr="00DC4C78" w:rsidRDefault="00C30B65" w:rsidP="00C30B65"/>
    <w:p w:rsidR="00C30B65" w:rsidRPr="00DC4C78" w:rsidRDefault="00C30B65" w:rsidP="00C30B65">
      <w:r>
        <w:t xml:space="preserve">Rates of </w:t>
      </w:r>
      <w:r w:rsidRPr="00DC4C78">
        <w:t>maternal tobacco use remain</w:t>
      </w:r>
      <w:r>
        <w:t>ed</w:t>
      </w:r>
      <w:r w:rsidRPr="00DC4C78">
        <w:t xml:space="preserve"> significantly higher </w:t>
      </w:r>
      <w:r>
        <w:t xml:space="preserve">among </w:t>
      </w:r>
      <w:r w:rsidRPr="00DC4C78">
        <w:t xml:space="preserve">Māori than </w:t>
      </w:r>
      <w:r>
        <w:t xml:space="preserve">among </w:t>
      </w:r>
      <w:r w:rsidRPr="00DC4C78">
        <w:t>the total population</w:t>
      </w:r>
      <w:r>
        <w:t>. September rates showed that o</w:t>
      </w:r>
      <w:r w:rsidRPr="00DC4C78">
        <w:t xml:space="preserve">nly 66 percent of Māori </w:t>
      </w:r>
      <w:r>
        <w:t xml:space="preserve">mothers were </w:t>
      </w:r>
      <w:proofErr w:type="spellStart"/>
      <w:r w:rsidRPr="00DC4C78">
        <w:t>smokefree</w:t>
      </w:r>
      <w:proofErr w:type="spellEnd"/>
      <w:r w:rsidRPr="00DC4C78">
        <w:t xml:space="preserve"> at two weeks postnatal, compared to 87 percent of </w:t>
      </w:r>
      <w:r>
        <w:t xml:space="preserve">mothers in </w:t>
      </w:r>
      <w:r w:rsidRPr="00DC4C78">
        <w:t>the total population.</w:t>
      </w:r>
    </w:p>
    <w:p w:rsidR="00C30B65" w:rsidRPr="00DC4C78" w:rsidRDefault="00C30B65" w:rsidP="00B82827"/>
    <w:p w:rsidR="00C30B65" w:rsidRPr="00DC4C78" w:rsidRDefault="00C30B65" w:rsidP="00C30B65">
      <w:pPr>
        <w:pStyle w:val="Heading2"/>
        <w:spacing w:before="0"/>
      </w:pPr>
      <w:bookmarkStart w:id="220" w:name="_Toc365618453"/>
      <w:bookmarkStart w:id="221" w:name="_Toc384620276"/>
      <w:bookmarkStart w:id="222" w:name="_Toc418322786"/>
      <w:bookmarkStart w:id="223" w:name="_Toc419099454"/>
      <w:bookmarkStart w:id="224" w:name="_Toc440387800"/>
      <w:r w:rsidRPr="00DC4C78">
        <w:lastRenderedPageBreak/>
        <w:t>WCTO Quality Improvement Framework Indicator 11</w:t>
      </w:r>
      <w:bookmarkEnd w:id="220"/>
      <w:bookmarkEnd w:id="221"/>
      <w:bookmarkEnd w:id="222"/>
      <w:bookmarkEnd w:id="223"/>
      <w:bookmarkEnd w:id="224"/>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701"/>
        <w:gridCol w:w="7655"/>
      </w:tblGrid>
      <w:tr w:rsidR="00C30B65" w:rsidRPr="00DC4C78" w:rsidTr="00C30B65">
        <w:trPr>
          <w:cantSplit/>
        </w:trPr>
        <w:tc>
          <w:tcPr>
            <w:tcW w:w="1701" w:type="dxa"/>
            <w:tcBorders>
              <w:top w:val="single" w:sz="4" w:space="0" w:color="auto"/>
              <w:bottom w:val="nil"/>
            </w:tcBorders>
            <w:shd w:val="clear" w:color="auto" w:fill="F2F2F2"/>
          </w:tcPr>
          <w:p w:rsidR="00C30B65" w:rsidRPr="00DC4C78" w:rsidRDefault="00C30B65" w:rsidP="00B82827">
            <w:pPr>
              <w:pStyle w:val="TableText"/>
              <w:keepNext/>
              <w:rPr>
                <w:b/>
              </w:rPr>
            </w:pPr>
            <w:r w:rsidRPr="00DC4C78">
              <w:rPr>
                <w:b/>
              </w:rPr>
              <w:t>Standard</w:t>
            </w:r>
          </w:p>
        </w:tc>
        <w:tc>
          <w:tcPr>
            <w:tcW w:w="7655" w:type="dxa"/>
            <w:tcBorders>
              <w:top w:val="single" w:sz="4" w:space="0" w:color="auto"/>
              <w:bottom w:val="nil"/>
            </w:tcBorders>
            <w:shd w:val="clear" w:color="auto" w:fill="F2F2F2"/>
          </w:tcPr>
          <w:p w:rsidR="00C30B65" w:rsidRPr="00DC4C78" w:rsidRDefault="00C30B65" w:rsidP="00B82827">
            <w:pPr>
              <w:pStyle w:val="TableText"/>
              <w:keepNext/>
            </w:pPr>
            <w:r w:rsidRPr="00DC4C78">
              <w:t xml:space="preserve">WCTO providers use evidence-based interventions and education to promote child, family and </w:t>
            </w:r>
            <w:proofErr w:type="spellStart"/>
            <w:r w:rsidRPr="00DC4C78">
              <w:t>whānau</w:t>
            </w:r>
            <w:proofErr w:type="spellEnd"/>
            <w:r w:rsidRPr="00DC4C78">
              <w:t xml:space="preserve"> health and wellbeing.</w:t>
            </w:r>
          </w:p>
        </w:tc>
      </w:tr>
      <w:tr w:rsidR="00C30B65" w:rsidRPr="00DC4C78" w:rsidTr="00C30B65">
        <w:trPr>
          <w:cantSplit/>
        </w:trPr>
        <w:tc>
          <w:tcPr>
            <w:tcW w:w="1701" w:type="dxa"/>
            <w:tcBorders>
              <w:top w:val="nil"/>
              <w:bottom w:val="nil"/>
            </w:tcBorders>
            <w:shd w:val="clear" w:color="auto" w:fill="auto"/>
          </w:tcPr>
          <w:p w:rsidR="00C30B65" w:rsidRPr="00DC4C78" w:rsidRDefault="00C30B65" w:rsidP="00B82827">
            <w:pPr>
              <w:pStyle w:val="TableText"/>
              <w:keepNext/>
              <w:rPr>
                <w:b/>
              </w:rPr>
            </w:pPr>
            <w:r w:rsidRPr="00DC4C78">
              <w:rPr>
                <w:b/>
              </w:rPr>
              <w:t>Indicator</w:t>
            </w:r>
          </w:p>
        </w:tc>
        <w:tc>
          <w:tcPr>
            <w:tcW w:w="7655" w:type="dxa"/>
            <w:tcBorders>
              <w:top w:val="nil"/>
              <w:bottom w:val="nil"/>
            </w:tcBorders>
          </w:tcPr>
          <w:p w:rsidR="00C30B65" w:rsidRPr="00DC4C78" w:rsidRDefault="00C30B65" w:rsidP="00B82827">
            <w:pPr>
              <w:pStyle w:val="TableText"/>
              <w:keepNext/>
            </w:pPr>
            <w:r w:rsidRPr="00DC4C78">
              <w:t>Infants are exclusively or fully breastfed at two weeks.</w:t>
            </w:r>
          </w:p>
        </w:tc>
      </w:tr>
      <w:tr w:rsidR="00C30B65" w:rsidRPr="00DC4C78" w:rsidTr="00C30B65">
        <w:trPr>
          <w:cantSplit/>
        </w:trPr>
        <w:tc>
          <w:tcPr>
            <w:tcW w:w="1701" w:type="dxa"/>
            <w:tcBorders>
              <w:top w:val="nil"/>
              <w:bottom w:val="nil"/>
            </w:tcBorders>
            <w:shd w:val="clear" w:color="auto" w:fill="F2F2F2"/>
          </w:tcPr>
          <w:p w:rsidR="00C30B65" w:rsidRPr="00DC4C78" w:rsidRDefault="00C30B65" w:rsidP="00B82827">
            <w:pPr>
              <w:pStyle w:val="TableText"/>
              <w:keepNext/>
              <w:rPr>
                <w:b/>
              </w:rPr>
            </w:pPr>
            <w:r w:rsidRPr="00DC4C78">
              <w:rPr>
                <w:b/>
              </w:rPr>
              <w:t>Target by December 2014</w:t>
            </w:r>
          </w:p>
        </w:tc>
        <w:tc>
          <w:tcPr>
            <w:tcW w:w="7655" w:type="dxa"/>
            <w:tcBorders>
              <w:top w:val="nil"/>
              <w:bottom w:val="nil"/>
            </w:tcBorders>
            <w:shd w:val="clear" w:color="auto" w:fill="F2F2F2"/>
          </w:tcPr>
          <w:p w:rsidR="00C30B65" w:rsidRPr="00DC4C78" w:rsidRDefault="00C30B65" w:rsidP="00B82827">
            <w:pPr>
              <w:pStyle w:val="TableText"/>
              <w:keepNext/>
            </w:pPr>
            <w:r w:rsidRPr="00DC4C78">
              <w:t>72 percent</w:t>
            </w:r>
          </w:p>
        </w:tc>
      </w:tr>
      <w:tr w:rsidR="00C30B65" w:rsidRPr="00DC4C78" w:rsidTr="00C30B65">
        <w:trPr>
          <w:cantSplit/>
        </w:trPr>
        <w:tc>
          <w:tcPr>
            <w:tcW w:w="1701" w:type="dxa"/>
            <w:tcBorders>
              <w:top w:val="nil"/>
            </w:tcBorders>
            <w:shd w:val="clear" w:color="auto" w:fill="auto"/>
          </w:tcPr>
          <w:p w:rsidR="00C30B65" w:rsidRPr="00DC4C78" w:rsidRDefault="00C30B65" w:rsidP="00B82827">
            <w:pPr>
              <w:pStyle w:val="TableText"/>
              <w:keepNext/>
              <w:rPr>
                <w:b/>
              </w:rPr>
            </w:pPr>
            <w:r w:rsidRPr="00DC4C78">
              <w:rPr>
                <w:b/>
              </w:rPr>
              <w:t>Target by June 2016</w:t>
            </w:r>
          </w:p>
        </w:tc>
        <w:tc>
          <w:tcPr>
            <w:tcW w:w="7655" w:type="dxa"/>
            <w:tcBorders>
              <w:top w:val="nil"/>
            </w:tcBorders>
          </w:tcPr>
          <w:p w:rsidR="00C30B65" w:rsidRPr="00DC4C78" w:rsidRDefault="00C30B65" w:rsidP="00B82827">
            <w:pPr>
              <w:pStyle w:val="TableText"/>
              <w:keepNext/>
            </w:pPr>
            <w:r w:rsidRPr="00DC4C78">
              <w:t>80 percent</w:t>
            </w:r>
          </w:p>
        </w:tc>
      </w:tr>
    </w:tbl>
    <w:p w:rsidR="00C30B65" w:rsidRPr="00DC4C78" w:rsidRDefault="00C30B65" w:rsidP="00B82827">
      <w:pPr>
        <w:keepNext/>
      </w:pPr>
    </w:p>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93"/>
        <w:gridCol w:w="1843"/>
        <w:gridCol w:w="1701"/>
        <w:gridCol w:w="1458"/>
        <w:gridCol w:w="1660"/>
      </w:tblGrid>
      <w:tr w:rsidR="00C30B65" w:rsidRPr="00DC4C78" w:rsidTr="00C30B65">
        <w:trPr>
          <w:cantSplit/>
        </w:trPr>
        <w:tc>
          <w:tcPr>
            <w:tcW w:w="1439" w:type="pct"/>
            <w:shd w:val="clear" w:color="auto" w:fill="F2F2F2"/>
          </w:tcPr>
          <w:p w:rsidR="00C30B65" w:rsidRPr="00DC4C78" w:rsidRDefault="00C30B65" w:rsidP="00B82827">
            <w:pPr>
              <w:pStyle w:val="TableText"/>
              <w:keepNext/>
              <w:rPr>
                <w:b/>
              </w:rPr>
            </w:pPr>
          </w:p>
        </w:tc>
        <w:tc>
          <w:tcPr>
            <w:tcW w:w="985" w:type="pct"/>
            <w:shd w:val="clear" w:color="auto" w:fill="F2F2F2"/>
          </w:tcPr>
          <w:p w:rsidR="00C30B65" w:rsidRPr="00DC4C78" w:rsidRDefault="00C30B65" w:rsidP="00B82827">
            <w:pPr>
              <w:pStyle w:val="TableText"/>
              <w:keepNext/>
              <w:jc w:val="center"/>
              <w:rPr>
                <w:b/>
              </w:rPr>
            </w:pPr>
            <w:r w:rsidRPr="00DC4C78">
              <w:rPr>
                <w:b/>
              </w:rPr>
              <w:t>Total New Zealand</w:t>
            </w:r>
          </w:p>
        </w:tc>
        <w:tc>
          <w:tcPr>
            <w:tcW w:w="909" w:type="pct"/>
            <w:shd w:val="clear" w:color="auto" w:fill="F2F2F2"/>
          </w:tcPr>
          <w:p w:rsidR="00C30B65" w:rsidRPr="00DC4C78" w:rsidRDefault="00C30B65" w:rsidP="00B82827">
            <w:pPr>
              <w:pStyle w:val="TableText"/>
              <w:keepNext/>
              <w:jc w:val="center"/>
              <w:rPr>
                <w:b/>
              </w:rPr>
            </w:pPr>
            <w:r w:rsidRPr="00DC4C78">
              <w:rPr>
                <w:b/>
              </w:rPr>
              <w:t>High deprivation</w:t>
            </w:r>
          </w:p>
        </w:tc>
        <w:tc>
          <w:tcPr>
            <w:tcW w:w="779" w:type="pct"/>
            <w:shd w:val="clear" w:color="auto" w:fill="F2F2F2"/>
          </w:tcPr>
          <w:p w:rsidR="00C30B65" w:rsidRPr="00DC4C78" w:rsidRDefault="00C30B65" w:rsidP="00B82827">
            <w:pPr>
              <w:pStyle w:val="TableText"/>
              <w:keepNext/>
              <w:jc w:val="center"/>
              <w:rPr>
                <w:b/>
              </w:rPr>
            </w:pPr>
            <w:r w:rsidRPr="00DC4C78">
              <w:rPr>
                <w:b/>
              </w:rPr>
              <w:t>Māori</w:t>
            </w:r>
          </w:p>
        </w:tc>
        <w:tc>
          <w:tcPr>
            <w:tcW w:w="887" w:type="pct"/>
            <w:shd w:val="clear" w:color="auto" w:fill="F2F2F2"/>
          </w:tcPr>
          <w:p w:rsidR="00C30B65" w:rsidRPr="00DC4C78" w:rsidRDefault="00C30B65" w:rsidP="00B82827">
            <w:pPr>
              <w:pStyle w:val="TableText"/>
              <w:keepNext/>
              <w:jc w:val="center"/>
              <w:rPr>
                <w:b/>
              </w:rPr>
            </w:pPr>
            <w:r w:rsidRPr="00DC4C78">
              <w:rPr>
                <w:b/>
              </w:rPr>
              <w:t>Pacific peoples</w:t>
            </w:r>
          </w:p>
        </w:tc>
      </w:tr>
      <w:tr w:rsidR="00C30B65" w:rsidRPr="00DC4C78" w:rsidTr="00C30B65">
        <w:trPr>
          <w:cantSplit/>
        </w:trPr>
        <w:tc>
          <w:tcPr>
            <w:tcW w:w="1439" w:type="pct"/>
            <w:shd w:val="clear" w:color="auto" w:fill="auto"/>
          </w:tcPr>
          <w:p w:rsidR="00C30B65" w:rsidRPr="00DC4C78" w:rsidRDefault="00C30B65" w:rsidP="00B82827">
            <w:pPr>
              <w:pStyle w:val="TableText"/>
              <w:keepNext/>
            </w:pPr>
            <w:r w:rsidRPr="00DC4C78">
              <w:t>September 2015 mean (range)</w:t>
            </w:r>
          </w:p>
        </w:tc>
        <w:tc>
          <w:tcPr>
            <w:tcW w:w="985" w:type="pct"/>
            <w:shd w:val="clear" w:color="auto" w:fill="auto"/>
            <w:vAlign w:val="center"/>
          </w:tcPr>
          <w:p w:rsidR="00C30B65" w:rsidRPr="00DC4C78" w:rsidRDefault="00C30B65" w:rsidP="00B82827">
            <w:pPr>
              <w:pStyle w:val="TableText"/>
              <w:keepNext/>
              <w:jc w:val="center"/>
            </w:pPr>
            <w:r w:rsidRPr="00DC4C78">
              <w:t>78% (72–85)</w:t>
            </w:r>
          </w:p>
        </w:tc>
        <w:tc>
          <w:tcPr>
            <w:tcW w:w="909" w:type="pct"/>
            <w:shd w:val="clear" w:color="auto" w:fill="auto"/>
            <w:vAlign w:val="center"/>
          </w:tcPr>
          <w:p w:rsidR="00C30B65" w:rsidRPr="00DC4C78" w:rsidRDefault="00C30B65" w:rsidP="00B82827">
            <w:pPr>
              <w:pStyle w:val="TableText"/>
              <w:keepNext/>
              <w:jc w:val="center"/>
            </w:pPr>
            <w:r w:rsidRPr="00DC4C78">
              <w:t>74% (60–87)</w:t>
            </w:r>
          </w:p>
        </w:tc>
        <w:tc>
          <w:tcPr>
            <w:tcW w:w="779" w:type="pct"/>
            <w:shd w:val="clear" w:color="auto" w:fill="auto"/>
            <w:vAlign w:val="center"/>
          </w:tcPr>
          <w:p w:rsidR="00C30B65" w:rsidRPr="00DC4C78" w:rsidRDefault="00C30B65" w:rsidP="00B82827">
            <w:pPr>
              <w:pStyle w:val="TableText"/>
              <w:keepNext/>
              <w:jc w:val="center"/>
            </w:pPr>
            <w:r w:rsidRPr="00DC4C78">
              <w:t>76% (58–82)</w:t>
            </w:r>
          </w:p>
        </w:tc>
        <w:tc>
          <w:tcPr>
            <w:tcW w:w="887" w:type="pct"/>
            <w:shd w:val="clear" w:color="auto" w:fill="auto"/>
            <w:vAlign w:val="center"/>
          </w:tcPr>
          <w:p w:rsidR="00C30B65" w:rsidRPr="00DC4C78" w:rsidRDefault="00C30B65" w:rsidP="00B82827">
            <w:pPr>
              <w:pStyle w:val="TableText"/>
              <w:keepNext/>
              <w:jc w:val="center"/>
            </w:pPr>
            <w:r w:rsidRPr="00DC4C78">
              <w:t>72% (60–100)</w:t>
            </w:r>
          </w:p>
        </w:tc>
      </w:tr>
      <w:tr w:rsidR="00C30B65" w:rsidRPr="00DC4C78" w:rsidTr="00C30B65">
        <w:trPr>
          <w:cantSplit/>
        </w:trPr>
        <w:tc>
          <w:tcPr>
            <w:tcW w:w="1439" w:type="pct"/>
            <w:shd w:val="clear" w:color="auto" w:fill="auto"/>
          </w:tcPr>
          <w:p w:rsidR="00C30B65" w:rsidRPr="00DC4C78" w:rsidRDefault="00C30B65" w:rsidP="00B82827">
            <w:pPr>
              <w:pStyle w:val="TableText"/>
              <w:keepNext/>
            </w:pPr>
            <w:r w:rsidRPr="00DC4C78">
              <w:t>March 2015 mean (range)</w:t>
            </w:r>
          </w:p>
        </w:tc>
        <w:tc>
          <w:tcPr>
            <w:tcW w:w="985" w:type="pct"/>
            <w:shd w:val="clear" w:color="auto" w:fill="auto"/>
            <w:vAlign w:val="center"/>
          </w:tcPr>
          <w:p w:rsidR="00C30B65" w:rsidRPr="00DC4C78" w:rsidRDefault="00C30B65" w:rsidP="00B82827">
            <w:pPr>
              <w:pStyle w:val="TableText"/>
              <w:keepNext/>
              <w:jc w:val="center"/>
            </w:pPr>
            <w:r w:rsidRPr="00DC4C78">
              <w:t>79% (71–90)</w:t>
            </w:r>
          </w:p>
        </w:tc>
        <w:tc>
          <w:tcPr>
            <w:tcW w:w="909" w:type="pct"/>
            <w:shd w:val="clear" w:color="auto" w:fill="auto"/>
            <w:vAlign w:val="center"/>
          </w:tcPr>
          <w:p w:rsidR="00C30B65" w:rsidRPr="00DC4C78" w:rsidRDefault="00C30B65" w:rsidP="00B82827">
            <w:pPr>
              <w:pStyle w:val="TableText"/>
              <w:keepNext/>
              <w:jc w:val="center"/>
            </w:pPr>
            <w:r w:rsidRPr="00DC4C78">
              <w:t>76% (68–90)</w:t>
            </w:r>
          </w:p>
        </w:tc>
        <w:tc>
          <w:tcPr>
            <w:tcW w:w="779" w:type="pct"/>
            <w:shd w:val="clear" w:color="auto" w:fill="auto"/>
            <w:vAlign w:val="center"/>
          </w:tcPr>
          <w:p w:rsidR="00C30B65" w:rsidRPr="00DC4C78" w:rsidRDefault="00C30B65" w:rsidP="00B82827">
            <w:pPr>
              <w:pStyle w:val="TableText"/>
              <w:keepNext/>
              <w:jc w:val="center"/>
            </w:pPr>
            <w:r w:rsidRPr="00DC4C78">
              <w:t>77% (69–94)</w:t>
            </w:r>
          </w:p>
        </w:tc>
        <w:tc>
          <w:tcPr>
            <w:tcW w:w="887" w:type="pct"/>
            <w:shd w:val="clear" w:color="auto" w:fill="auto"/>
            <w:vAlign w:val="center"/>
          </w:tcPr>
          <w:p w:rsidR="00C30B65" w:rsidRPr="00DC4C78" w:rsidRDefault="00C30B65" w:rsidP="00B82827">
            <w:pPr>
              <w:pStyle w:val="TableText"/>
              <w:keepNext/>
              <w:jc w:val="center"/>
            </w:pPr>
            <w:r w:rsidRPr="00DC4C78">
              <w:t>74% (44–90)</w:t>
            </w:r>
          </w:p>
        </w:tc>
      </w:tr>
    </w:tbl>
    <w:p w:rsidR="00C30B65" w:rsidRPr="00DC4C78" w:rsidRDefault="00C30B65" w:rsidP="00B82827">
      <w:pPr>
        <w:keepNext/>
      </w:pPr>
    </w:p>
    <w:p w:rsidR="00C30B65" w:rsidRPr="00DC4C78" w:rsidRDefault="00C30B65" w:rsidP="00C30B65">
      <w:pPr>
        <w:pStyle w:val="Figure"/>
      </w:pPr>
      <w:bookmarkStart w:id="225" w:name="_Toc405447444"/>
      <w:bookmarkStart w:id="226" w:name="_Toc417554795"/>
      <w:bookmarkStart w:id="227" w:name="_Toc436750530"/>
      <w:bookmarkStart w:id="228" w:name="_Toc440387853"/>
      <w:r w:rsidRPr="00DC4C78">
        <w:t xml:space="preserve">Figure 33: </w:t>
      </w:r>
      <w:r>
        <w:t>Infants e</w:t>
      </w:r>
      <w:r w:rsidRPr="00DC4C78">
        <w:t>xclusively or fully breastfed at two weeks, total New Zealand</w:t>
      </w:r>
      <w:bookmarkEnd w:id="225"/>
      <w:bookmarkEnd w:id="226"/>
      <w:bookmarkEnd w:id="227"/>
      <w:bookmarkEnd w:id="228"/>
    </w:p>
    <w:p w:rsidR="00C30B65" w:rsidRPr="00DC4C78" w:rsidRDefault="00442B0E" w:rsidP="00442B0E">
      <w:r>
        <w:rPr>
          <w:noProof/>
          <w:lang w:eastAsia="en-NZ"/>
        </w:rPr>
        <w:drawing>
          <wp:inline distT="0" distB="0" distL="0" distR="0" wp14:anchorId="5CE2A719">
            <wp:extent cx="4320000" cy="2520000"/>
            <wp:effectExtent l="0" t="0" r="4445" b="0"/>
            <wp:docPr id="89" name="Picture 89" title="Figure 33: Infants exclusively or fully breastfed at two weeks, total New Zeala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inline>
        </w:drawing>
      </w:r>
    </w:p>
    <w:p w:rsidR="00C30B65" w:rsidRPr="00DC4C78" w:rsidRDefault="00C30B65" w:rsidP="00C30B65"/>
    <w:p w:rsidR="00C30B65" w:rsidRPr="00DC4C78" w:rsidRDefault="00C30B65" w:rsidP="00C30B65">
      <w:pPr>
        <w:pStyle w:val="Figure"/>
      </w:pPr>
      <w:bookmarkStart w:id="229" w:name="_Toc405447445"/>
      <w:bookmarkStart w:id="230" w:name="_Toc417554796"/>
      <w:bookmarkStart w:id="231" w:name="_Toc436750531"/>
      <w:bookmarkStart w:id="232" w:name="_Toc440387854"/>
      <w:r w:rsidRPr="00DC4C78">
        <w:t xml:space="preserve">Figure 34: </w:t>
      </w:r>
      <w:r>
        <w:t>Infants e</w:t>
      </w:r>
      <w:r w:rsidRPr="00DC4C78">
        <w:t>xclusively or fully breastfed at two weeks, high deprivation</w:t>
      </w:r>
      <w:bookmarkEnd w:id="229"/>
      <w:bookmarkEnd w:id="230"/>
      <w:bookmarkEnd w:id="231"/>
      <w:r>
        <w:t xml:space="preserve"> population</w:t>
      </w:r>
      <w:bookmarkEnd w:id="232"/>
    </w:p>
    <w:p w:rsidR="00C30B65" w:rsidRPr="00DC4C78" w:rsidRDefault="00442B0E" w:rsidP="00442B0E">
      <w:r>
        <w:rPr>
          <w:noProof/>
          <w:lang w:eastAsia="en-NZ"/>
        </w:rPr>
        <w:drawing>
          <wp:inline distT="0" distB="0" distL="0" distR="0" wp14:anchorId="327779F0">
            <wp:extent cx="4320000" cy="2520000"/>
            <wp:effectExtent l="0" t="0" r="4445" b="0"/>
            <wp:docPr id="90" name="Picture 90" title="Figure 34: Infants exclusively or fully breastfed at two weeks, high deprivation popul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inline>
        </w:drawing>
      </w:r>
    </w:p>
    <w:p w:rsidR="00C30B65" w:rsidRPr="00DC4C78" w:rsidRDefault="00C30B65" w:rsidP="00C30B65">
      <w:bookmarkStart w:id="233" w:name="_Toc405447446"/>
    </w:p>
    <w:p w:rsidR="00C30B65" w:rsidRPr="00DC4C78" w:rsidRDefault="00C30B65" w:rsidP="00C30B65">
      <w:pPr>
        <w:pStyle w:val="Figure"/>
      </w:pPr>
      <w:bookmarkStart w:id="234" w:name="_Toc417554797"/>
      <w:bookmarkStart w:id="235" w:name="_Toc436750532"/>
      <w:bookmarkStart w:id="236" w:name="_Toc440387855"/>
      <w:r w:rsidRPr="00DC4C78">
        <w:lastRenderedPageBreak/>
        <w:t xml:space="preserve">Figure 35: </w:t>
      </w:r>
      <w:r>
        <w:t>Infants e</w:t>
      </w:r>
      <w:r w:rsidRPr="00DC4C78">
        <w:t>xclusively or fully breastfed at two weeks, Māori</w:t>
      </w:r>
      <w:bookmarkEnd w:id="233"/>
      <w:bookmarkEnd w:id="234"/>
      <w:bookmarkEnd w:id="235"/>
      <w:bookmarkEnd w:id="236"/>
    </w:p>
    <w:p w:rsidR="00C30B65" w:rsidRPr="00DC4C78" w:rsidRDefault="00442B0E" w:rsidP="00442B0E">
      <w:r>
        <w:rPr>
          <w:noProof/>
          <w:lang w:eastAsia="en-NZ"/>
        </w:rPr>
        <w:drawing>
          <wp:inline distT="0" distB="0" distL="0" distR="0" wp14:anchorId="3D4DC5FA">
            <wp:extent cx="4320000" cy="2520000"/>
            <wp:effectExtent l="0" t="0" r="4445" b="0"/>
            <wp:docPr id="91" name="Picture 91" title="Figure 35: Infants exclusively or fully breastfed at two weeks, Māor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inline>
        </w:drawing>
      </w:r>
    </w:p>
    <w:p w:rsidR="00C30B65" w:rsidRPr="00DC4C78" w:rsidRDefault="00C30B65" w:rsidP="00C30B65">
      <w:bookmarkStart w:id="237" w:name="_Toc405447447"/>
    </w:p>
    <w:p w:rsidR="00C30B65" w:rsidRPr="00DC4C78" w:rsidRDefault="00C30B65" w:rsidP="00C30B65">
      <w:pPr>
        <w:pStyle w:val="Figure"/>
      </w:pPr>
      <w:bookmarkStart w:id="238" w:name="_Toc417554798"/>
      <w:bookmarkStart w:id="239" w:name="_Toc436750533"/>
      <w:bookmarkStart w:id="240" w:name="_Toc440387856"/>
      <w:r w:rsidRPr="00DC4C78">
        <w:t xml:space="preserve">Figure 36: </w:t>
      </w:r>
      <w:r>
        <w:t>Infants e</w:t>
      </w:r>
      <w:r w:rsidRPr="00DC4C78">
        <w:t>xclusively or fully breastfed at two weeks, Pacific peoples</w:t>
      </w:r>
      <w:bookmarkEnd w:id="237"/>
      <w:bookmarkEnd w:id="238"/>
      <w:bookmarkEnd w:id="239"/>
      <w:bookmarkEnd w:id="240"/>
    </w:p>
    <w:p w:rsidR="00C30B65" w:rsidRPr="00DC4C78" w:rsidRDefault="00FB4131" w:rsidP="00442B0E">
      <w:r>
        <w:rPr>
          <w:noProof/>
          <w:lang w:eastAsia="en-NZ"/>
        </w:rPr>
        <w:drawing>
          <wp:inline distT="0" distB="0" distL="0" distR="0" wp14:anchorId="0066D113">
            <wp:extent cx="4320000" cy="2520000"/>
            <wp:effectExtent l="0" t="0" r="4445" b="0"/>
            <wp:docPr id="12" name="Picture 12" descr="Figure 36: Infants exclusively or fully breastfed at two weeks, Pacific peop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inline>
        </w:drawing>
      </w:r>
    </w:p>
    <w:p w:rsidR="00C30B65" w:rsidRPr="00DC4C78" w:rsidRDefault="00C30B65" w:rsidP="00C30B65"/>
    <w:p w:rsidR="00C30B65" w:rsidRPr="00DC4C78" w:rsidRDefault="00C30B65" w:rsidP="00C30B65">
      <w:pPr>
        <w:pStyle w:val="Heading3"/>
      </w:pPr>
      <w:r w:rsidRPr="00DC4C78">
        <w:t>Data notes</w:t>
      </w:r>
    </w:p>
    <w:p w:rsidR="00C30B65" w:rsidRPr="00DC4C78" w:rsidRDefault="00C30B65" w:rsidP="00C30B65">
      <w:pPr>
        <w:pStyle w:val="Bullet"/>
      </w:pPr>
      <w:r w:rsidRPr="00DC4C78">
        <w:t>Time period: babies born between 1 July 2014 and 31 December 2014.</w:t>
      </w:r>
    </w:p>
    <w:p w:rsidR="00C30B65" w:rsidRPr="00DC4C78" w:rsidRDefault="00C30B65" w:rsidP="00C30B65">
      <w:pPr>
        <w:pStyle w:val="Bullet"/>
      </w:pPr>
      <w:r w:rsidRPr="00DC4C78">
        <w:t>Excludes overseas DHB and undefined DHB.</w:t>
      </w:r>
    </w:p>
    <w:p w:rsidR="00C30B65" w:rsidRPr="00DC4C78" w:rsidRDefault="00C30B65" w:rsidP="00C30B65">
      <w:pPr>
        <w:pStyle w:val="Bullet"/>
      </w:pPr>
      <w:r w:rsidRPr="00DC4C78">
        <w:t>Numerator: breastfeeding at two weeks = exclusive or fully (source: MAT).</w:t>
      </w:r>
    </w:p>
    <w:p w:rsidR="00C30B65" w:rsidRPr="00DC4C78" w:rsidRDefault="00C30B65" w:rsidP="00C30B65">
      <w:pPr>
        <w:pStyle w:val="Bullet"/>
      </w:pPr>
      <w:r w:rsidRPr="00DC4C78">
        <w:t>Denominator: breastfeeding at two weeks = not null (source: MAT).</w:t>
      </w:r>
    </w:p>
    <w:p w:rsidR="00C30B65" w:rsidRPr="00DC4C78" w:rsidRDefault="00C30B65" w:rsidP="00C30B65"/>
    <w:p w:rsidR="00C30B65" w:rsidRPr="00DC4C78" w:rsidRDefault="00C30B65" w:rsidP="00C30B65">
      <w:pPr>
        <w:pStyle w:val="Heading2"/>
        <w:spacing w:before="0"/>
      </w:pPr>
      <w:bookmarkStart w:id="241" w:name="_Toc365618454"/>
      <w:bookmarkStart w:id="242" w:name="_Toc405453777"/>
      <w:bookmarkStart w:id="243" w:name="_Toc418322787"/>
      <w:bookmarkStart w:id="244" w:name="_Toc419099455"/>
      <w:bookmarkStart w:id="245" w:name="_Toc440387801"/>
      <w:r w:rsidRPr="00DC4C78">
        <w:lastRenderedPageBreak/>
        <w:t>WCTO Quality Improvement Framework Indicator 12</w:t>
      </w:r>
      <w:bookmarkEnd w:id="241"/>
      <w:bookmarkEnd w:id="242"/>
      <w:bookmarkEnd w:id="243"/>
      <w:bookmarkEnd w:id="244"/>
      <w:bookmarkEnd w:id="245"/>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701"/>
        <w:gridCol w:w="7655"/>
      </w:tblGrid>
      <w:tr w:rsidR="00C30B65" w:rsidRPr="00DC4C78" w:rsidTr="00C30B65">
        <w:trPr>
          <w:cantSplit/>
        </w:trPr>
        <w:tc>
          <w:tcPr>
            <w:tcW w:w="1701" w:type="dxa"/>
            <w:tcBorders>
              <w:top w:val="single" w:sz="4" w:space="0" w:color="auto"/>
              <w:bottom w:val="nil"/>
            </w:tcBorders>
            <w:shd w:val="clear" w:color="auto" w:fill="F2F2F2"/>
          </w:tcPr>
          <w:p w:rsidR="00C30B65" w:rsidRPr="00DC4C78" w:rsidRDefault="00C30B65" w:rsidP="00CE2369">
            <w:pPr>
              <w:pStyle w:val="TableText"/>
              <w:keepNext/>
              <w:rPr>
                <w:b/>
              </w:rPr>
            </w:pPr>
            <w:r w:rsidRPr="00DC4C78">
              <w:rPr>
                <w:b/>
              </w:rPr>
              <w:t>Standard</w:t>
            </w:r>
          </w:p>
        </w:tc>
        <w:tc>
          <w:tcPr>
            <w:tcW w:w="7655" w:type="dxa"/>
            <w:tcBorders>
              <w:top w:val="single" w:sz="4" w:space="0" w:color="auto"/>
              <w:bottom w:val="nil"/>
            </w:tcBorders>
            <w:shd w:val="clear" w:color="auto" w:fill="F2F2F2"/>
          </w:tcPr>
          <w:p w:rsidR="00C30B65" w:rsidRPr="00DC4C78" w:rsidRDefault="00C30B65" w:rsidP="00CE2369">
            <w:pPr>
              <w:pStyle w:val="TableText"/>
              <w:keepNext/>
            </w:pPr>
            <w:r w:rsidRPr="00DC4C78">
              <w:t xml:space="preserve">WCTO providers use evidence-based interventions and education to promote child, family and </w:t>
            </w:r>
            <w:proofErr w:type="spellStart"/>
            <w:r w:rsidRPr="00DC4C78">
              <w:t>whānau</w:t>
            </w:r>
            <w:proofErr w:type="spellEnd"/>
            <w:r w:rsidRPr="00DC4C78">
              <w:t xml:space="preserve"> health and wellbeing.</w:t>
            </w:r>
          </w:p>
        </w:tc>
      </w:tr>
      <w:tr w:rsidR="00C30B65" w:rsidRPr="00DC4C78" w:rsidTr="00C30B65">
        <w:trPr>
          <w:cantSplit/>
        </w:trPr>
        <w:tc>
          <w:tcPr>
            <w:tcW w:w="1701" w:type="dxa"/>
            <w:tcBorders>
              <w:top w:val="nil"/>
              <w:bottom w:val="nil"/>
            </w:tcBorders>
            <w:shd w:val="clear" w:color="auto" w:fill="auto"/>
          </w:tcPr>
          <w:p w:rsidR="00C30B65" w:rsidRPr="00DC4C78" w:rsidRDefault="00C30B65" w:rsidP="00CE2369">
            <w:pPr>
              <w:pStyle w:val="TableText"/>
              <w:keepNext/>
              <w:rPr>
                <w:b/>
              </w:rPr>
            </w:pPr>
            <w:r w:rsidRPr="00DC4C78">
              <w:rPr>
                <w:b/>
              </w:rPr>
              <w:t>Indicator</w:t>
            </w:r>
          </w:p>
        </w:tc>
        <w:tc>
          <w:tcPr>
            <w:tcW w:w="7655" w:type="dxa"/>
            <w:tcBorders>
              <w:top w:val="nil"/>
              <w:bottom w:val="nil"/>
            </w:tcBorders>
          </w:tcPr>
          <w:p w:rsidR="00C30B65" w:rsidRPr="00DC4C78" w:rsidRDefault="00C30B65" w:rsidP="00CE2369">
            <w:pPr>
              <w:pStyle w:val="TableText"/>
              <w:keepNext/>
            </w:pPr>
            <w:r w:rsidRPr="00DC4C78">
              <w:t xml:space="preserve">Infants are exclusively or fully breastfed </w:t>
            </w:r>
            <w:r>
              <w:t xml:space="preserve">at </w:t>
            </w:r>
            <w:r w:rsidRPr="00DC4C78">
              <w:t xml:space="preserve">discharge </w:t>
            </w:r>
            <w:r w:rsidR="00CE2369">
              <w:t>from lead maternity carer (LMC)</w:t>
            </w:r>
          </w:p>
        </w:tc>
      </w:tr>
      <w:tr w:rsidR="00C30B65" w:rsidRPr="00DC4C78" w:rsidTr="00C30B65">
        <w:trPr>
          <w:cantSplit/>
        </w:trPr>
        <w:tc>
          <w:tcPr>
            <w:tcW w:w="1701" w:type="dxa"/>
            <w:tcBorders>
              <w:top w:val="nil"/>
              <w:bottom w:val="nil"/>
            </w:tcBorders>
            <w:shd w:val="clear" w:color="auto" w:fill="F2F2F2"/>
          </w:tcPr>
          <w:p w:rsidR="00C30B65" w:rsidRPr="00DC4C78" w:rsidRDefault="00C30B65" w:rsidP="00CE2369">
            <w:pPr>
              <w:pStyle w:val="TableText"/>
              <w:keepNext/>
              <w:rPr>
                <w:b/>
              </w:rPr>
            </w:pPr>
            <w:r w:rsidRPr="00DC4C78">
              <w:rPr>
                <w:b/>
              </w:rPr>
              <w:t>Target by December 2014</w:t>
            </w:r>
          </w:p>
        </w:tc>
        <w:tc>
          <w:tcPr>
            <w:tcW w:w="7655" w:type="dxa"/>
            <w:tcBorders>
              <w:top w:val="nil"/>
              <w:bottom w:val="nil"/>
            </w:tcBorders>
            <w:shd w:val="clear" w:color="auto" w:fill="F2F2F2"/>
          </w:tcPr>
          <w:p w:rsidR="00C30B65" w:rsidRPr="00DC4C78" w:rsidRDefault="00C30B65" w:rsidP="00CE2369">
            <w:pPr>
              <w:pStyle w:val="TableText"/>
              <w:keepNext/>
            </w:pPr>
            <w:r w:rsidRPr="00DC4C78">
              <w:t>68 percent</w:t>
            </w:r>
          </w:p>
        </w:tc>
      </w:tr>
      <w:tr w:rsidR="00C30B65" w:rsidRPr="00DC4C78" w:rsidTr="00C30B65">
        <w:trPr>
          <w:cantSplit/>
        </w:trPr>
        <w:tc>
          <w:tcPr>
            <w:tcW w:w="1701" w:type="dxa"/>
            <w:tcBorders>
              <w:top w:val="nil"/>
            </w:tcBorders>
            <w:shd w:val="clear" w:color="auto" w:fill="auto"/>
          </w:tcPr>
          <w:p w:rsidR="00C30B65" w:rsidRPr="00DC4C78" w:rsidRDefault="00C30B65" w:rsidP="00CE2369">
            <w:pPr>
              <w:pStyle w:val="TableText"/>
              <w:keepNext/>
              <w:rPr>
                <w:b/>
              </w:rPr>
            </w:pPr>
            <w:r w:rsidRPr="00DC4C78">
              <w:rPr>
                <w:b/>
              </w:rPr>
              <w:t>Target by June 2016</w:t>
            </w:r>
          </w:p>
        </w:tc>
        <w:tc>
          <w:tcPr>
            <w:tcW w:w="7655" w:type="dxa"/>
            <w:tcBorders>
              <w:top w:val="nil"/>
            </w:tcBorders>
          </w:tcPr>
          <w:p w:rsidR="00C30B65" w:rsidRPr="00DC4C78" w:rsidRDefault="00C30B65" w:rsidP="00CE2369">
            <w:pPr>
              <w:pStyle w:val="TableText"/>
              <w:keepNext/>
            </w:pPr>
            <w:r w:rsidRPr="00DC4C78">
              <w:t>75 percent</w:t>
            </w:r>
          </w:p>
        </w:tc>
      </w:tr>
    </w:tbl>
    <w:p w:rsidR="00C30B65" w:rsidRPr="00DC4C78" w:rsidRDefault="00C30B65" w:rsidP="00CE2369">
      <w:pPr>
        <w:keepNext/>
      </w:pPr>
    </w:p>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93"/>
        <w:gridCol w:w="1843"/>
        <w:gridCol w:w="1701"/>
        <w:gridCol w:w="1458"/>
        <w:gridCol w:w="1660"/>
      </w:tblGrid>
      <w:tr w:rsidR="00C30B65" w:rsidRPr="00DC4C78" w:rsidTr="00C30B65">
        <w:trPr>
          <w:cantSplit/>
        </w:trPr>
        <w:tc>
          <w:tcPr>
            <w:tcW w:w="1439" w:type="pct"/>
            <w:shd w:val="clear" w:color="auto" w:fill="F2F2F2"/>
          </w:tcPr>
          <w:p w:rsidR="00C30B65" w:rsidRPr="00DC4C78" w:rsidRDefault="00C30B65" w:rsidP="00C30B65">
            <w:pPr>
              <w:pStyle w:val="TableText"/>
              <w:rPr>
                <w:b/>
              </w:rPr>
            </w:pPr>
          </w:p>
        </w:tc>
        <w:tc>
          <w:tcPr>
            <w:tcW w:w="985" w:type="pct"/>
            <w:shd w:val="clear" w:color="auto" w:fill="F2F2F2"/>
          </w:tcPr>
          <w:p w:rsidR="00C30B65" w:rsidRPr="00DC4C78" w:rsidRDefault="00C30B65" w:rsidP="00C30B65">
            <w:pPr>
              <w:pStyle w:val="TableText"/>
              <w:jc w:val="center"/>
              <w:rPr>
                <w:b/>
              </w:rPr>
            </w:pPr>
            <w:r w:rsidRPr="00DC4C78">
              <w:rPr>
                <w:b/>
              </w:rPr>
              <w:t>Total New Zealand</w:t>
            </w:r>
          </w:p>
        </w:tc>
        <w:tc>
          <w:tcPr>
            <w:tcW w:w="909" w:type="pct"/>
            <w:shd w:val="clear" w:color="auto" w:fill="F2F2F2"/>
          </w:tcPr>
          <w:p w:rsidR="00C30B65" w:rsidRPr="00DC4C78" w:rsidRDefault="00C30B65" w:rsidP="00C30B65">
            <w:pPr>
              <w:pStyle w:val="TableText"/>
              <w:jc w:val="center"/>
              <w:rPr>
                <w:b/>
              </w:rPr>
            </w:pPr>
            <w:r w:rsidRPr="00DC4C78">
              <w:rPr>
                <w:b/>
              </w:rPr>
              <w:t>High deprivation</w:t>
            </w:r>
          </w:p>
        </w:tc>
        <w:tc>
          <w:tcPr>
            <w:tcW w:w="779" w:type="pct"/>
            <w:shd w:val="clear" w:color="auto" w:fill="F2F2F2"/>
          </w:tcPr>
          <w:p w:rsidR="00C30B65" w:rsidRPr="00DC4C78" w:rsidRDefault="00C30B65" w:rsidP="00C30B65">
            <w:pPr>
              <w:pStyle w:val="TableText"/>
              <w:jc w:val="center"/>
              <w:rPr>
                <w:b/>
              </w:rPr>
            </w:pPr>
            <w:r w:rsidRPr="00DC4C78">
              <w:rPr>
                <w:b/>
              </w:rPr>
              <w:t>Māori</w:t>
            </w:r>
          </w:p>
        </w:tc>
        <w:tc>
          <w:tcPr>
            <w:tcW w:w="887" w:type="pct"/>
            <w:shd w:val="clear" w:color="auto" w:fill="F2F2F2"/>
          </w:tcPr>
          <w:p w:rsidR="00C30B65" w:rsidRPr="00DC4C78" w:rsidRDefault="00C30B65" w:rsidP="00C30B65">
            <w:pPr>
              <w:pStyle w:val="TableText"/>
              <w:jc w:val="center"/>
              <w:rPr>
                <w:b/>
              </w:rPr>
            </w:pPr>
            <w:r w:rsidRPr="00DC4C78">
              <w:rPr>
                <w:b/>
              </w:rPr>
              <w:t>Pacific peoples</w:t>
            </w:r>
          </w:p>
        </w:tc>
      </w:tr>
      <w:tr w:rsidR="00C30B65" w:rsidRPr="00DC4C78" w:rsidTr="00C30B65">
        <w:trPr>
          <w:cantSplit/>
        </w:trPr>
        <w:tc>
          <w:tcPr>
            <w:tcW w:w="1439" w:type="pct"/>
            <w:shd w:val="clear" w:color="auto" w:fill="auto"/>
          </w:tcPr>
          <w:p w:rsidR="00C30B65" w:rsidRPr="00DC4C78" w:rsidRDefault="00C30B65" w:rsidP="00C30B65">
            <w:pPr>
              <w:pStyle w:val="TableText"/>
            </w:pPr>
            <w:r w:rsidRPr="00DC4C78">
              <w:t>September 2015 mean (range)</w:t>
            </w:r>
          </w:p>
        </w:tc>
        <w:tc>
          <w:tcPr>
            <w:tcW w:w="985" w:type="pct"/>
            <w:shd w:val="clear" w:color="auto" w:fill="auto"/>
            <w:vAlign w:val="center"/>
          </w:tcPr>
          <w:p w:rsidR="00C30B65" w:rsidRPr="00DC4C78" w:rsidRDefault="00C30B65" w:rsidP="00C30B65">
            <w:pPr>
              <w:pStyle w:val="TableText"/>
              <w:jc w:val="center"/>
            </w:pPr>
            <w:r w:rsidRPr="00DC4C78">
              <w:t>66% (40–73)</w:t>
            </w:r>
          </w:p>
        </w:tc>
        <w:tc>
          <w:tcPr>
            <w:tcW w:w="909" w:type="pct"/>
            <w:shd w:val="clear" w:color="auto" w:fill="auto"/>
            <w:vAlign w:val="center"/>
          </w:tcPr>
          <w:p w:rsidR="00C30B65" w:rsidRPr="00DC4C78" w:rsidRDefault="00C30B65" w:rsidP="00C30B65">
            <w:pPr>
              <w:pStyle w:val="TableText"/>
              <w:jc w:val="center"/>
            </w:pPr>
            <w:r w:rsidRPr="00DC4C78">
              <w:t>59% (0–73)</w:t>
            </w:r>
          </w:p>
        </w:tc>
        <w:tc>
          <w:tcPr>
            <w:tcW w:w="779" w:type="pct"/>
            <w:shd w:val="clear" w:color="auto" w:fill="auto"/>
            <w:vAlign w:val="center"/>
          </w:tcPr>
          <w:p w:rsidR="00C30B65" w:rsidRPr="00DC4C78" w:rsidRDefault="00C30B65" w:rsidP="00C30B65">
            <w:pPr>
              <w:pStyle w:val="TableText"/>
              <w:jc w:val="center"/>
            </w:pPr>
            <w:r w:rsidRPr="00DC4C78">
              <w:t>62% (41–71)</w:t>
            </w:r>
          </w:p>
        </w:tc>
        <w:tc>
          <w:tcPr>
            <w:tcW w:w="887" w:type="pct"/>
            <w:shd w:val="clear" w:color="auto" w:fill="auto"/>
            <w:vAlign w:val="center"/>
          </w:tcPr>
          <w:p w:rsidR="00C30B65" w:rsidRPr="00DC4C78" w:rsidRDefault="00C30B65" w:rsidP="00C30B65">
            <w:pPr>
              <w:pStyle w:val="TableText"/>
              <w:jc w:val="center"/>
            </w:pPr>
            <w:r w:rsidRPr="00DC4C78">
              <w:t>57% (49–80)</w:t>
            </w:r>
          </w:p>
        </w:tc>
      </w:tr>
      <w:tr w:rsidR="00C30B65" w:rsidRPr="00DC4C78" w:rsidTr="00C30B65">
        <w:trPr>
          <w:cantSplit/>
        </w:trPr>
        <w:tc>
          <w:tcPr>
            <w:tcW w:w="1439" w:type="pct"/>
            <w:shd w:val="clear" w:color="auto" w:fill="auto"/>
          </w:tcPr>
          <w:p w:rsidR="00C30B65" w:rsidRPr="00DC4C78" w:rsidRDefault="00C30B65" w:rsidP="00C30B65">
            <w:pPr>
              <w:pStyle w:val="TableText"/>
            </w:pPr>
            <w:r w:rsidRPr="00DC4C78">
              <w:t>March 2015 mean (range)</w:t>
            </w:r>
          </w:p>
        </w:tc>
        <w:tc>
          <w:tcPr>
            <w:tcW w:w="985" w:type="pct"/>
            <w:shd w:val="clear" w:color="auto" w:fill="auto"/>
            <w:vAlign w:val="center"/>
          </w:tcPr>
          <w:p w:rsidR="00C30B65" w:rsidRPr="00DC4C78" w:rsidRDefault="00C30B65" w:rsidP="00C30B65">
            <w:pPr>
              <w:pStyle w:val="TableText"/>
              <w:jc w:val="center"/>
            </w:pPr>
            <w:r w:rsidRPr="00DC4C78">
              <w:t>74% (65–85)</w:t>
            </w:r>
          </w:p>
        </w:tc>
        <w:tc>
          <w:tcPr>
            <w:tcW w:w="909" w:type="pct"/>
            <w:shd w:val="clear" w:color="auto" w:fill="auto"/>
            <w:vAlign w:val="center"/>
          </w:tcPr>
          <w:p w:rsidR="00C30B65" w:rsidRPr="00DC4C78" w:rsidRDefault="00C30B65" w:rsidP="00C30B65">
            <w:pPr>
              <w:pStyle w:val="TableText"/>
              <w:jc w:val="center"/>
            </w:pPr>
            <w:r w:rsidRPr="00DC4C78">
              <w:t>71% (61–83)</w:t>
            </w:r>
          </w:p>
        </w:tc>
        <w:tc>
          <w:tcPr>
            <w:tcW w:w="779" w:type="pct"/>
            <w:shd w:val="clear" w:color="auto" w:fill="auto"/>
            <w:vAlign w:val="center"/>
          </w:tcPr>
          <w:p w:rsidR="00C30B65" w:rsidRPr="00DC4C78" w:rsidRDefault="00C30B65" w:rsidP="00C30B65">
            <w:pPr>
              <w:pStyle w:val="TableText"/>
              <w:jc w:val="center"/>
            </w:pPr>
            <w:r w:rsidRPr="00DC4C78">
              <w:t>69% (55–94)</w:t>
            </w:r>
          </w:p>
        </w:tc>
        <w:tc>
          <w:tcPr>
            <w:tcW w:w="887" w:type="pct"/>
            <w:shd w:val="clear" w:color="auto" w:fill="auto"/>
            <w:vAlign w:val="center"/>
          </w:tcPr>
          <w:p w:rsidR="00C30B65" w:rsidRPr="00DC4C78" w:rsidRDefault="00C30B65" w:rsidP="00C30B65">
            <w:pPr>
              <w:pStyle w:val="TableText"/>
              <w:jc w:val="center"/>
            </w:pPr>
            <w:r w:rsidRPr="00DC4C78">
              <w:t>72% (44–86)</w:t>
            </w:r>
          </w:p>
        </w:tc>
      </w:tr>
    </w:tbl>
    <w:p w:rsidR="00C30B65" w:rsidRPr="00DC4C78" w:rsidRDefault="00C30B65" w:rsidP="00C30B65"/>
    <w:p w:rsidR="00C30B65" w:rsidRPr="00DC4C78" w:rsidRDefault="00C30B65" w:rsidP="00C30B65">
      <w:pPr>
        <w:pStyle w:val="Figure"/>
      </w:pPr>
      <w:bookmarkStart w:id="246" w:name="_Toc405447448"/>
      <w:bookmarkStart w:id="247" w:name="_Toc417554799"/>
      <w:bookmarkStart w:id="248" w:name="_Toc436750534"/>
      <w:bookmarkStart w:id="249" w:name="_Toc440387857"/>
      <w:r w:rsidRPr="00DC4C78">
        <w:t xml:space="preserve">Figure 37: </w:t>
      </w:r>
      <w:r>
        <w:t>Infants e</w:t>
      </w:r>
      <w:r w:rsidRPr="00DC4C78">
        <w:t>xclusively or fully breastfed at LMC discharge, total New Zealand</w:t>
      </w:r>
      <w:bookmarkEnd w:id="246"/>
      <w:bookmarkEnd w:id="247"/>
      <w:bookmarkEnd w:id="248"/>
      <w:bookmarkEnd w:id="249"/>
    </w:p>
    <w:p w:rsidR="00C30B65" w:rsidRPr="00DC4C78" w:rsidRDefault="00442B0E" w:rsidP="00442B0E">
      <w:r>
        <w:rPr>
          <w:noProof/>
          <w:lang w:eastAsia="en-NZ"/>
        </w:rPr>
        <w:drawing>
          <wp:inline distT="0" distB="0" distL="0" distR="0" wp14:anchorId="79DD0A4B">
            <wp:extent cx="4320000" cy="2520000"/>
            <wp:effectExtent l="0" t="0" r="4445" b="0"/>
            <wp:docPr id="93" name="Picture 93" title="Figure 37: Infants exclusively or fully breastfed at LMC discharge, total New Zeala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inline>
        </w:drawing>
      </w:r>
    </w:p>
    <w:p w:rsidR="00C30B65" w:rsidRPr="00DC4C78" w:rsidRDefault="00C30B65" w:rsidP="00C30B65"/>
    <w:p w:rsidR="00C30B65" w:rsidRPr="00DC4C78" w:rsidRDefault="00C30B65" w:rsidP="00C30B65">
      <w:pPr>
        <w:pStyle w:val="Figure"/>
      </w:pPr>
      <w:bookmarkStart w:id="250" w:name="_Toc405447449"/>
      <w:bookmarkStart w:id="251" w:name="_Toc417554800"/>
      <w:bookmarkStart w:id="252" w:name="_Toc436750535"/>
      <w:bookmarkStart w:id="253" w:name="_Toc440387858"/>
      <w:r w:rsidRPr="00DC4C78">
        <w:t>Figure 38:</w:t>
      </w:r>
      <w:r w:rsidRPr="00DC2C72">
        <w:t xml:space="preserve"> Infants exclusively or fully breastfed at LMC discharge</w:t>
      </w:r>
      <w:r w:rsidRPr="00DC4C78">
        <w:t>, high deprivation</w:t>
      </w:r>
      <w:bookmarkEnd w:id="250"/>
      <w:bookmarkEnd w:id="251"/>
      <w:bookmarkEnd w:id="252"/>
      <w:r>
        <w:t xml:space="preserve"> population</w:t>
      </w:r>
      <w:bookmarkEnd w:id="253"/>
    </w:p>
    <w:p w:rsidR="00C30B65" w:rsidRPr="00DC4C78" w:rsidRDefault="00FB4131" w:rsidP="00377582">
      <w:r>
        <w:rPr>
          <w:noProof/>
          <w:lang w:eastAsia="en-NZ"/>
        </w:rPr>
        <w:drawing>
          <wp:inline distT="0" distB="0" distL="0" distR="0" wp14:anchorId="63833701">
            <wp:extent cx="4320000" cy="2520000"/>
            <wp:effectExtent l="0" t="0" r="4445" b="0"/>
            <wp:docPr id="13" name="Picture 13" descr="Figure 38: Infants exclusively or fully breastfed at LMC discharge, high deprivation popul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inline>
        </w:drawing>
      </w:r>
    </w:p>
    <w:p w:rsidR="00C30B65" w:rsidRPr="00DC4C78" w:rsidRDefault="00C30B65" w:rsidP="00C30B65"/>
    <w:p w:rsidR="00C30B65" w:rsidRPr="00DC4C78" w:rsidRDefault="00C30B65" w:rsidP="00C30B65">
      <w:pPr>
        <w:pStyle w:val="Figure"/>
      </w:pPr>
      <w:bookmarkStart w:id="254" w:name="_Toc405447450"/>
      <w:bookmarkStart w:id="255" w:name="_Toc417554801"/>
      <w:bookmarkStart w:id="256" w:name="_Toc436750536"/>
      <w:bookmarkStart w:id="257" w:name="_Toc440387859"/>
      <w:r w:rsidRPr="00DC4C78">
        <w:lastRenderedPageBreak/>
        <w:t xml:space="preserve">Figure 39: </w:t>
      </w:r>
      <w:r w:rsidRPr="00DC2C72">
        <w:t>Infants exclusively or fully breastfed at LMC discharge</w:t>
      </w:r>
      <w:r w:rsidRPr="00DC4C78">
        <w:t>, Māori</w:t>
      </w:r>
      <w:bookmarkEnd w:id="254"/>
      <w:bookmarkEnd w:id="255"/>
      <w:bookmarkEnd w:id="256"/>
      <w:bookmarkEnd w:id="257"/>
    </w:p>
    <w:p w:rsidR="00C30B65" w:rsidRPr="00DC4C78" w:rsidRDefault="0028403B" w:rsidP="0028403B">
      <w:r>
        <w:rPr>
          <w:noProof/>
          <w:lang w:eastAsia="en-NZ"/>
        </w:rPr>
        <w:drawing>
          <wp:inline distT="0" distB="0" distL="0" distR="0" wp14:anchorId="7206AC1A">
            <wp:extent cx="4320000" cy="2520000"/>
            <wp:effectExtent l="0" t="0" r="4445" b="0"/>
            <wp:docPr id="116" name="Picture 116" title="Figure 39: Infants exclusively or fully breastfed at LMC discharge, Māor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inline>
        </w:drawing>
      </w:r>
    </w:p>
    <w:p w:rsidR="00C30B65" w:rsidRPr="00DC4C78" w:rsidRDefault="00C30B65" w:rsidP="00C30B65"/>
    <w:p w:rsidR="00C30B65" w:rsidRPr="00DC4C78" w:rsidRDefault="00C30B65" w:rsidP="00C30B65">
      <w:pPr>
        <w:pStyle w:val="Figure"/>
      </w:pPr>
      <w:bookmarkStart w:id="258" w:name="_Toc405447451"/>
      <w:bookmarkStart w:id="259" w:name="_Toc417554802"/>
      <w:bookmarkStart w:id="260" w:name="_Toc436750537"/>
      <w:bookmarkStart w:id="261" w:name="_Toc440387860"/>
      <w:r w:rsidRPr="00DC4C78">
        <w:t xml:space="preserve">Figure 40: </w:t>
      </w:r>
      <w:r w:rsidRPr="00DC2C72">
        <w:t>Infants exclusively or fully breastfed at LMC discharge</w:t>
      </w:r>
      <w:r w:rsidRPr="00DC4C78">
        <w:t>, Pacific peoples</w:t>
      </w:r>
      <w:bookmarkEnd w:id="258"/>
      <w:bookmarkEnd w:id="259"/>
      <w:bookmarkEnd w:id="260"/>
      <w:bookmarkEnd w:id="261"/>
    </w:p>
    <w:p w:rsidR="00C30B65" w:rsidRPr="00DC4C78" w:rsidRDefault="0028403B" w:rsidP="0028403B">
      <w:r>
        <w:rPr>
          <w:noProof/>
          <w:lang w:eastAsia="en-NZ"/>
        </w:rPr>
        <w:drawing>
          <wp:inline distT="0" distB="0" distL="0" distR="0" wp14:anchorId="5508AE79">
            <wp:extent cx="4320000" cy="2520000"/>
            <wp:effectExtent l="0" t="0" r="4445" b="0"/>
            <wp:docPr id="142" name="Picture 142" title="Figure 40: Infants exclusively or fully breastfed at LMC discharge, Pacific peop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inline>
        </w:drawing>
      </w:r>
    </w:p>
    <w:p w:rsidR="00C30B65" w:rsidRPr="00DC4C78" w:rsidRDefault="00C30B65" w:rsidP="00C30B65"/>
    <w:p w:rsidR="00C30B65" w:rsidRPr="00DC4C78" w:rsidRDefault="00C30B65" w:rsidP="00C30B65">
      <w:pPr>
        <w:pStyle w:val="Heading3"/>
      </w:pPr>
      <w:r w:rsidRPr="00DC4C78">
        <w:t>Data notes</w:t>
      </w:r>
    </w:p>
    <w:p w:rsidR="00C30B65" w:rsidRPr="00DC4C78" w:rsidRDefault="00C30B65" w:rsidP="00C30B65">
      <w:pPr>
        <w:pStyle w:val="Bullet"/>
      </w:pPr>
      <w:r w:rsidRPr="00DC4C78">
        <w:t>Time period: babies born between 1 July 2014 and 31 December 2014.</w:t>
      </w:r>
    </w:p>
    <w:p w:rsidR="00C30B65" w:rsidRPr="00DC4C78" w:rsidRDefault="00C30B65" w:rsidP="00C30B65">
      <w:pPr>
        <w:pStyle w:val="Bullet"/>
      </w:pPr>
      <w:r w:rsidRPr="00DC4C78">
        <w:t>Excludes overseas DHB and undefined DHB.</w:t>
      </w:r>
    </w:p>
    <w:p w:rsidR="00C30B65" w:rsidRPr="00DC4C78" w:rsidRDefault="00C30B65" w:rsidP="00C30B65">
      <w:pPr>
        <w:pStyle w:val="Bullet"/>
      </w:pPr>
      <w:r w:rsidRPr="00DC4C78">
        <w:t>Numerator: breastfeeding at discharge = exclusive or fully (source: MAT).</w:t>
      </w:r>
    </w:p>
    <w:p w:rsidR="00C30B65" w:rsidRPr="00DC4C78" w:rsidRDefault="00C30B65" w:rsidP="00C30B65">
      <w:pPr>
        <w:pStyle w:val="Bullet"/>
      </w:pPr>
      <w:r w:rsidRPr="00DC4C78">
        <w:t>Denominator: breastfeeding at discharge = not null (source: MAT).</w:t>
      </w:r>
    </w:p>
    <w:p w:rsidR="00C30B65" w:rsidRPr="00DC4C78" w:rsidRDefault="00C30B65" w:rsidP="00C30B65"/>
    <w:p w:rsidR="00C30B65" w:rsidRPr="00DC4C78" w:rsidRDefault="00C30B65" w:rsidP="00C30B65">
      <w:pPr>
        <w:pStyle w:val="Heading2"/>
        <w:spacing w:before="0"/>
      </w:pPr>
      <w:bookmarkStart w:id="262" w:name="_Toc365618455"/>
      <w:bookmarkStart w:id="263" w:name="_Toc405453778"/>
      <w:bookmarkStart w:id="264" w:name="_Toc418322788"/>
      <w:bookmarkStart w:id="265" w:name="_Toc419099456"/>
      <w:bookmarkStart w:id="266" w:name="_Toc440387802"/>
      <w:r w:rsidRPr="00DC4C78">
        <w:lastRenderedPageBreak/>
        <w:t>WCTO Quality Improvement Framework Indicator 13</w:t>
      </w:r>
      <w:bookmarkEnd w:id="262"/>
      <w:bookmarkEnd w:id="263"/>
      <w:bookmarkEnd w:id="264"/>
      <w:bookmarkEnd w:id="265"/>
      <w:bookmarkEnd w:id="266"/>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701"/>
        <w:gridCol w:w="7655"/>
      </w:tblGrid>
      <w:tr w:rsidR="00C30B65" w:rsidRPr="00DC4C78" w:rsidTr="00C30B65">
        <w:trPr>
          <w:cantSplit/>
        </w:trPr>
        <w:tc>
          <w:tcPr>
            <w:tcW w:w="1701" w:type="dxa"/>
            <w:tcBorders>
              <w:top w:val="single" w:sz="4" w:space="0" w:color="auto"/>
              <w:bottom w:val="nil"/>
            </w:tcBorders>
            <w:shd w:val="clear" w:color="auto" w:fill="F2F2F2"/>
          </w:tcPr>
          <w:p w:rsidR="00C30B65" w:rsidRPr="00DC4C78" w:rsidRDefault="00C30B65" w:rsidP="00CE2369">
            <w:pPr>
              <w:pStyle w:val="TableText"/>
              <w:keepNext/>
              <w:rPr>
                <w:b/>
              </w:rPr>
            </w:pPr>
            <w:r w:rsidRPr="00DC4C78">
              <w:rPr>
                <w:b/>
              </w:rPr>
              <w:t>Standard</w:t>
            </w:r>
          </w:p>
        </w:tc>
        <w:tc>
          <w:tcPr>
            <w:tcW w:w="7655" w:type="dxa"/>
            <w:tcBorders>
              <w:top w:val="single" w:sz="4" w:space="0" w:color="auto"/>
              <w:bottom w:val="nil"/>
            </w:tcBorders>
            <w:shd w:val="clear" w:color="auto" w:fill="F2F2F2"/>
          </w:tcPr>
          <w:p w:rsidR="00C30B65" w:rsidRPr="00DC4C78" w:rsidRDefault="00C30B65" w:rsidP="00CE2369">
            <w:pPr>
              <w:pStyle w:val="TableText"/>
              <w:keepNext/>
            </w:pPr>
            <w:r w:rsidRPr="00DC4C78">
              <w:t xml:space="preserve">WCTO providers use evidence-based interventions and education to promote child, family and </w:t>
            </w:r>
            <w:proofErr w:type="spellStart"/>
            <w:r w:rsidRPr="00DC4C78">
              <w:t>whānau</w:t>
            </w:r>
            <w:proofErr w:type="spellEnd"/>
            <w:r w:rsidRPr="00DC4C78">
              <w:t xml:space="preserve"> health and wellbeing.</w:t>
            </w:r>
          </w:p>
        </w:tc>
      </w:tr>
      <w:tr w:rsidR="00C30B65" w:rsidRPr="00DC4C78" w:rsidTr="00C30B65">
        <w:trPr>
          <w:cantSplit/>
        </w:trPr>
        <w:tc>
          <w:tcPr>
            <w:tcW w:w="1701" w:type="dxa"/>
            <w:tcBorders>
              <w:top w:val="nil"/>
              <w:bottom w:val="nil"/>
            </w:tcBorders>
            <w:shd w:val="clear" w:color="auto" w:fill="auto"/>
          </w:tcPr>
          <w:p w:rsidR="00C30B65" w:rsidRPr="00DC4C78" w:rsidRDefault="00C30B65" w:rsidP="00CE2369">
            <w:pPr>
              <w:pStyle w:val="TableText"/>
              <w:keepNext/>
              <w:rPr>
                <w:b/>
              </w:rPr>
            </w:pPr>
            <w:r w:rsidRPr="00DC4C78">
              <w:rPr>
                <w:b/>
              </w:rPr>
              <w:t>Indicator</w:t>
            </w:r>
          </w:p>
        </w:tc>
        <w:tc>
          <w:tcPr>
            <w:tcW w:w="7655" w:type="dxa"/>
            <w:tcBorders>
              <w:top w:val="nil"/>
              <w:bottom w:val="nil"/>
            </w:tcBorders>
          </w:tcPr>
          <w:p w:rsidR="00C30B65" w:rsidRPr="00DC4C78" w:rsidRDefault="00C30B65" w:rsidP="00CE2369">
            <w:pPr>
              <w:pStyle w:val="TableText"/>
              <w:keepNext/>
            </w:pPr>
            <w:r w:rsidRPr="00DC4C78">
              <w:t>Infants are exclusively or fully breastfed at three months.</w:t>
            </w:r>
          </w:p>
        </w:tc>
      </w:tr>
      <w:tr w:rsidR="00C30B65" w:rsidRPr="00DC4C78" w:rsidTr="00C30B65">
        <w:trPr>
          <w:cantSplit/>
        </w:trPr>
        <w:tc>
          <w:tcPr>
            <w:tcW w:w="1701" w:type="dxa"/>
            <w:tcBorders>
              <w:top w:val="nil"/>
              <w:bottom w:val="nil"/>
            </w:tcBorders>
            <w:shd w:val="clear" w:color="auto" w:fill="F2F2F2"/>
          </w:tcPr>
          <w:p w:rsidR="00C30B65" w:rsidRPr="00DC4C78" w:rsidRDefault="00C30B65" w:rsidP="00CE2369">
            <w:pPr>
              <w:pStyle w:val="TableText"/>
              <w:keepNext/>
              <w:rPr>
                <w:b/>
              </w:rPr>
            </w:pPr>
            <w:r w:rsidRPr="00DC4C78">
              <w:rPr>
                <w:b/>
              </w:rPr>
              <w:t>Target by December 2014</w:t>
            </w:r>
          </w:p>
        </w:tc>
        <w:tc>
          <w:tcPr>
            <w:tcW w:w="7655" w:type="dxa"/>
            <w:tcBorders>
              <w:top w:val="nil"/>
              <w:bottom w:val="nil"/>
            </w:tcBorders>
            <w:shd w:val="clear" w:color="auto" w:fill="F2F2F2"/>
          </w:tcPr>
          <w:p w:rsidR="00C30B65" w:rsidRPr="00DC4C78" w:rsidRDefault="00C30B65" w:rsidP="00CE2369">
            <w:pPr>
              <w:pStyle w:val="TableText"/>
              <w:keepNext/>
            </w:pPr>
            <w:r w:rsidRPr="00DC4C78">
              <w:t>54 percent</w:t>
            </w:r>
          </w:p>
        </w:tc>
      </w:tr>
      <w:tr w:rsidR="00C30B65" w:rsidRPr="00DC4C78" w:rsidTr="00C30B65">
        <w:trPr>
          <w:cantSplit/>
        </w:trPr>
        <w:tc>
          <w:tcPr>
            <w:tcW w:w="1701" w:type="dxa"/>
            <w:tcBorders>
              <w:top w:val="nil"/>
            </w:tcBorders>
            <w:shd w:val="clear" w:color="auto" w:fill="auto"/>
          </w:tcPr>
          <w:p w:rsidR="00C30B65" w:rsidRPr="00DC4C78" w:rsidRDefault="00C30B65" w:rsidP="00CE2369">
            <w:pPr>
              <w:pStyle w:val="TableText"/>
              <w:keepNext/>
              <w:rPr>
                <w:b/>
              </w:rPr>
            </w:pPr>
            <w:r w:rsidRPr="00DC4C78">
              <w:rPr>
                <w:b/>
              </w:rPr>
              <w:t>Target by June 2016</w:t>
            </w:r>
          </w:p>
        </w:tc>
        <w:tc>
          <w:tcPr>
            <w:tcW w:w="7655" w:type="dxa"/>
            <w:tcBorders>
              <w:top w:val="nil"/>
            </w:tcBorders>
          </w:tcPr>
          <w:p w:rsidR="00C30B65" w:rsidRPr="00DC4C78" w:rsidRDefault="00C30B65" w:rsidP="00CE2369">
            <w:pPr>
              <w:pStyle w:val="TableText"/>
              <w:keepNext/>
            </w:pPr>
            <w:r w:rsidRPr="00DC4C78">
              <w:t>60 percent</w:t>
            </w:r>
          </w:p>
        </w:tc>
      </w:tr>
    </w:tbl>
    <w:p w:rsidR="00C30B65" w:rsidRPr="00DC4C78" w:rsidRDefault="00C30B65" w:rsidP="00C30B65"/>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93"/>
        <w:gridCol w:w="1843"/>
        <w:gridCol w:w="1701"/>
        <w:gridCol w:w="1458"/>
        <w:gridCol w:w="1660"/>
      </w:tblGrid>
      <w:tr w:rsidR="00C30B65" w:rsidRPr="00DC4C78" w:rsidTr="00C30B65">
        <w:trPr>
          <w:cantSplit/>
        </w:trPr>
        <w:tc>
          <w:tcPr>
            <w:tcW w:w="1439" w:type="pct"/>
            <w:shd w:val="clear" w:color="auto" w:fill="F2F2F2"/>
          </w:tcPr>
          <w:p w:rsidR="00C30B65" w:rsidRPr="00DC4C78" w:rsidRDefault="00C30B65" w:rsidP="00C30B65">
            <w:pPr>
              <w:pStyle w:val="TableText"/>
              <w:rPr>
                <w:b/>
              </w:rPr>
            </w:pPr>
          </w:p>
        </w:tc>
        <w:tc>
          <w:tcPr>
            <w:tcW w:w="985" w:type="pct"/>
            <w:shd w:val="clear" w:color="auto" w:fill="F2F2F2"/>
          </w:tcPr>
          <w:p w:rsidR="00C30B65" w:rsidRPr="00DC4C78" w:rsidRDefault="00C30B65" w:rsidP="00C30B65">
            <w:pPr>
              <w:pStyle w:val="TableText"/>
              <w:jc w:val="center"/>
              <w:rPr>
                <w:b/>
              </w:rPr>
            </w:pPr>
            <w:r w:rsidRPr="00DC4C78">
              <w:rPr>
                <w:b/>
              </w:rPr>
              <w:t>Total New Zealand</w:t>
            </w:r>
          </w:p>
        </w:tc>
        <w:tc>
          <w:tcPr>
            <w:tcW w:w="909" w:type="pct"/>
            <w:shd w:val="clear" w:color="auto" w:fill="F2F2F2"/>
          </w:tcPr>
          <w:p w:rsidR="00C30B65" w:rsidRPr="00DC4C78" w:rsidRDefault="00C30B65" w:rsidP="00C30B65">
            <w:pPr>
              <w:pStyle w:val="TableText"/>
              <w:jc w:val="center"/>
              <w:rPr>
                <w:b/>
              </w:rPr>
            </w:pPr>
            <w:r w:rsidRPr="00DC4C78">
              <w:rPr>
                <w:b/>
              </w:rPr>
              <w:t>High deprivation</w:t>
            </w:r>
          </w:p>
        </w:tc>
        <w:tc>
          <w:tcPr>
            <w:tcW w:w="779" w:type="pct"/>
            <w:shd w:val="clear" w:color="auto" w:fill="F2F2F2"/>
          </w:tcPr>
          <w:p w:rsidR="00C30B65" w:rsidRPr="00DC4C78" w:rsidRDefault="00C30B65" w:rsidP="00C30B65">
            <w:pPr>
              <w:pStyle w:val="TableText"/>
              <w:jc w:val="center"/>
              <w:rPr>
                <w:b/>
              </w:rPr>
            </w:pPr>
            <w:r w:rsidRPr="00DC4C78">
              <w:rPr>
                <w:b/>
              </w:rPr>
              <w:t>Māori</w:t>
            </w:r>
          </w:p>
        </w:tc>
        <w:tc>
          <w:tcPr>
            <w:tcW w:w="887" w:type="pct"/>
            <w:shd w:val="clear" w:color="auto" w:fill="F2F2F2"/>
          </w:tcPr>
          <w:p w:rsidR="00C30B65" w:rsidRPr="00DC4C78" w:rsidRDefault="00C30B65" w:rsidP="00C30B65">
            <w:pPr>
              <w:pStyle w:val="TableText"/>
              <w:jc w:val="center"/>
              <w:rPr>
                <w:b/>
              </w:rPr>
            </w:pPr>
            <w:r w:rsidRPr="00DC4C78">
              <w:rPr>
                <w:b/>
              </w:rPr>
              <w:t>Pacific peoples</w:t>
            </w:r>
          </w:p>
        </w:tc>
      </w:tr>
      <w:tr w:rsidR="00C30B65" w:rsidRPr="00DC4C78" w:rsidTr="00C30B65">
        <w:trPr>
          <w:cantSplit/>
        </w:trPr>
        <w:tc>
          <w:tcPr>
            <w:tcW w:w="1439" w:type="pct"/>
            <w:shd w:val="clear" w:color="auto" w:fill="auto"/>
          </w:tcPr>
          <w:p w:rsidR="00C30B65" w:rsidRPr="00DC4C78" w:rsidRDefault="00C30B65" w:rsidP="00C30B65">
            <w:pPr>
              <w:pStyle w:val="TableText"/>
            </w:pPr>
            <w:r w:rsidRPr="00DC4C78">
              <w:t>September 2015 mean (range)</w:t>
            </w:r>
          </w:p>
        </w:tc>
        <w:tc>
          <w:tcPr>
            <w:tcW w:w="985" w:type="pct"/>
            <w:shd w:val="clear" w:color="auto" w:fill="auto"/>
            <w:vAlign w:val="center"/>
          </w:tcPr>
          <w:p w:rsidR="00C30B65" w:rsidRPr="00DC4C78" w:rsidRDefault="00C30B65" w:rsidP="00C30B65">
            <w:pPr>
              <w:pStyle w:val="TableText"/>
              <w:jc w:val="center"/>
            </w:pPr>
            <w:r w:rsidRPr="00DC4C78">
              <w:t>55% (46–63)</w:t>
            </w:r>
          </w:p>
        </w:tc>
        <w:tc>
          <w:tcPr>
            <w:tcW w:w="909" w:type="pct"/>
            <w:shd w:val="clear" w:color="auto" w:fill="auto"/>
            <w:vAlign w:val="center"/>
          </w:tcPr>
          <w:p w:rsidR="00C30B65" w:rsidRPr="00DC4C78" w:rsidRDefault="00C30B65" w:rsidP="00C30B65">
            <w:pPr>
              <w:pStyle w:val="TableText"/>
              <w:jc w:val="center"/>
            </w:pPr>
            <w:r w:rsidRPr="00DC4C78">
              <w:t>45% (38–64)</w:t>
            </w:r>
          </w:p>
        </w:tc>
        <w:tc>
          <w:tcPr>
            <w:tcW w:w="779" w:type="pct"/>
            <w:shd w:val="clear" w:color="auto" w:fill="auto"/>
            <w:vAlign w:val="center"/>
          </w:tcPr>
          <w:p w:rsidR="00C30B65" w:rsidRPr="00DC4C78" w:rsidRDefault="00C30B65" w:rsidP="00C30B65">
            <w:pPr>
              <w:pStyle w:val="TableText"/>
              <w:jc w:val="center"/>
            </w:pPr>
            <w:r w:rsidRPr="00DC4C78">
              <w:t>45% (38–57)</w:t>
            </w:r>
          </w:p>
        </w:tc>
        <w:tc>
          <w:tcPr>
            <w:tcW w:w="887" w:type="pct"/>
            <w:shd w:val="clear" w:color="auto" w:fill="auto"/>
            <w:vAlign w:val="center"/>
          </w:tcPr>
          <w:p w:rsidR="00C30B65" w:rsidRPr="00DC4C78" w:rsidRDefault="00C30B65" w:rsidP="00C30B65">
            <w:pPr>
              <w:pStyle w:val="TableText"/>
              <w:jc w:val="center"/>
            </w:pPr>
            <w:r w:rsidRPr="00DC4C78">
              <w:t>47% (35–62)</w:t>
            </w:r>
          </w:p>
        </w:tc>
      </w:tr>
      <w:tr w:rsidR="00C30B65" w:rsidRPr="00DC4C78" w:rsidTr="00C30B65">
        <w:trPr>
          <w:cantSplit/>
        </w:trPr>
        <w:tc>
          <w:tcPr>
            <w:tcW w:w="1439" w:type="pct"/>
            <w:shd w:val="clear" w:color="auto" w:fill="auto"/>
          </w:tcPr>
          <w:p w:rsidR="00C30B65" w:rsidRPr="00DC4C78" w:rsidRDefault="00C30B65" w:rsidP="00C30B65">
            <w:pPr>
              <w:pStyle w:val="TableText"/>
            </w:pPr>
            <w:r w:rsidRPr="00DC4C78">
              <w:t>March 2015 mean (range)</w:t>
            </w:r>
          </w:p>
        </w:tc>
        <w:tc>
          <w:tcPr>
            <w:tcW w:w="985" w:type="pct"/>
            <w:shd w:val="clear" w:color="auto" w:fill="auto"/>
            <w:vAlign w:val="center"/>
          </w:tcPr>
          <w:p w:rsidR="00C30B65" w:rsidRPr="00DC4C78" w:rsidRDefault="00C30B65" w:rsidP="00C30B65">
            <w:pPr>
              <w:pStyle w:val="TableText"/>
              <w:jc w:val="center"/>
            </w:pPr>
            <w:r w:rsidRPr="00DC4C78">
              <w:t>55% (46–61)</w:t>
            </w:r>
          </w:p>
        </w:tc>
        <w:tc>
          <w:tcPr>
            <w:tcW w:w="909" w:type="pct"/>
            <w:shd w:val="clear" w:color="auto" w:fill="auto"/>
            <w:vAlign w:val="center"/>
          </w:tcPr>
          <w:p w:rsidR="00C30B65" w:rsidRPr="00DC4C78" w:rsidRDefault="00C30B65" w:rsidP="00C30B65">
            <w:pPr>
              <w:pStyle w:val="TableText"/>
              <w:jc w:val="center"/>
            </w:pPr>
            <w:r w:rsidRPr="00DC4C78">
              <w:t>44% (31–56)</w:t>
            </w:r>
          </w:p>
        </w:tc>
        <w:tc>
          <w:tcPr>
            <w:tcW w:w="779" w:type="pct"/>
            <w:shd w:val="clear" w:color="auto" w:fill="auto"/>
            <w:vAlign w:val="center"/>
          </w:tcPr>
          <w:p w:rsidR="00C30B65" w:rsidRPr="00DC4C78" w:rsidRDefault="00C30B65" w:rsidP="00C30B65">
            <w:pPr>
              <w:pStyle w:val="TableText"/>
              <w:jc w:val="center"/>
            </w:pPr>
            <w:r w:rsidRPr="00DC4C78">
              <w:t>45% (33–58)</w:t>
            </w:r>
          </w:p>
        </w:tc>
        <w:tc>
          <w:tcPr>
            <w:tcW w:w="887" w:type="pct"/>
            <w:shd w:val="clear" w:color="auto" w:fill="auto"/>
            <w:vAlign w:val="center"/>
          </w:tcPr>
          <w:p w:rsidR="00C30B65" w:rsidRPr="00DC4C78" w:rsidRDefault="00C30B65" w:rsidP="00C30B65">
            <w:pPr>
              <w:pStyle w:val="TableText"/>
              <w:jc w:val="center"/>
            </w:pPr>
            <w:r w:rsidRPr="00DC4C78">
              <w:t>45% (37–57)</w:t>
            </w:r>
          </w:p>
        </w:tc>
      </w:tr>
    </w:tbl>
    <w:p w:rsidR="00C30B65" w:rsidRPr="00DC4C78" w:rsidRDefault="00C30B65" w:rsidP="00C30B65"/>
    <w:p w:rsidR="00C30B65" w:rsidRPr="00DC4C78" w:rsidRDefault="00C30B65" w:rsidP="00C30B65">
      <w:pPr>
        <w:pStyle w:val="Figure"/>
      </w:pPr>
      <w:bookmarkStart w:id="267" w:name="_Toc405447452"/>
      <w:bookmarkStart w:id="268" w:name="_Toc417554803"/>
      <w:bookmarkStart w:id="269" w:name="_Toc436750538"/>
      <w:bookmarkStart w:id="270" w:name="_Toc440387861"/>
      <w:r w:rsidRPr="00DC4C78">
        <w:t xml:space="preserve">Figure 41: </w:t>
      </w:r>
      <w:r>
        <w:t>Infants e</w:t>
      </w:r>
      <w:r w:rsidRPr="00DC4C78">
        <w:t>xclusively or fully breastfed at three months, total New Zealand</w:t>
      </w:r>
      <w:bookmarkEnd w:id="267"/>
      <w:bookmarkEnd w:id="268"/>
      <w:bookmarkEnd w:id="269"/>
      <w:bookmarkEnd w:id="270"/>
    </w:p>
    <w:p w:rsidR="00C30B65" w:rsidRPr="00DC4C78" w:rsidRDefault="0028403B" w:rsidP="0028403B">
      <w:r>
        <w:rPr>
          <w:noProof/>
          <w:lang w:eastAsia="en-NZ"/>
        </w:rPr>
        <w:drawing>
          <wp:inline distT="0" distB="0" distL="0" distR="0" wp14:anchorId="2E726D31">
            <wp:extent cx="4320000" cy="2520000"/>
            <wp:effectExtent l="0" t="0" r="4445" b="0"/>
            <wp:docPr id="144" name="Picture 144" title="Figure 41: Infants exclusively or fully breastfed at three months, total New Zeala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inline>
        </w:drawing>
      </w:r>
    </w:p>
    <w:p w:rsidR="00C30B65" w:rsidRPr="00DC4C78" w:rsidRDefault="00C30B65" w:rsidP="00C30B65"/>
    <w:p w:rsidR="00C30B65" w:rsidRPr="00DC4C78" w:rsidRDefault="00C30B65" w:rsidP="00C30B65">
      <w:pPr>
        <w:pStyle w:val="Figure"/>
      </w:pPr>
      <w:bookmarkStart w:id="271" w:name="_Toc405447453"/>
      <w:bookmarkStart w:id="272" w:name="_Toc417554804"/>
      <w:bookmarkStart w:id="273" w:name="_Toc436750539"/>
      <w:bookmarkStart w:id="274" w:name="_Toc440387862"/>
      <w:r w:rsidRPr="00DC4C78">
        <w:t xml:space="preserve">Figure 42: </w:t>
      </w:r>
      <w:r>
        <w:t>Infants e</w:t>
      </w:r>
      <w:r w:rsidRPr="00DC4C78">
        <w:t>xclusively or fully breastfed at three months, high deprivation</w:t>
      </w:r>
      <w:bookmarkEnd w:id="271"/>
      <w:bookmarkEnd w:id="272"/>
      <w:bookmarkEnd w:id="273"/>
      <w:r>
        <w:t xml:space="preserve"> population</w:t>
      </w:r>
      <w:bookmarkEnd w:id="274"/>
    </w:p>
    <w:p w:rsidR="00C30B65" w:rsidRPr="00DC4C78" w:rsidRDefault="0028403B" w:rsidP="0028403B">
      <w:r>
        <w:rPr>
          <w:noProof/>
          <w:lang w:eastAsia="en-NZ"/>
        </w:rPr>
        <w:drawing>
          <wp:inline distT="0" distB="0" distL="0" distR="0" wp14:anchorId="119C4500">
            <wp:extent cx="4320000" cy="2520000"/>
            <wp:effectExtent l="0" t="0" r="4445" b="0"/>
            <wp:docPr id="147" name="Picture 147" title="Figure 42: Infants exclusively or fully breastfed at three months, high deprivation popul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inline>
        </w:drawing>
      </w:r>
    </w:p>
    <w:p w:rsidR="00C30B65" w:rsidRPr="00DC4C78" w:rsidRDefault="00C30B65" w:rsidP="00C30B65"/>
    <w:p w:rsidR="00C30B65" w:rsidRPr="00DC4C78" w:rsidRDefault="00C30B65" w:rsidP="00C30B65">
      <w:pPr>
        <w:pStyle w:val="Figure"/>
      </w:pPr>
      <w:bookmarkStart w:id="275" w:name="_Toc405447454"/>
      <w:bookmarkStart w:id="276" w:name="_Toc417554805"/>
      <w:bookmarkStart w:id="277" w:name="_Toc436750540"/>
      <w:bookmarkStart w:id="278" w:name="_Toc440387863"/>
      <w:r w:rsidRPr="00DC4C78">
        <w:lastRenderedPageBreak/>
        <w:t xml:space="preserve">Figure 43: </w:t>
      </w:r>
      <w:r>
        <w:t>Infants e</w:t>
      </w:r>
      <w:r w:rsidRPr="00DC4C78">
        <w:t>xclusively or fully breastfed at three months, Māori</w:t>
      </w:r>
      <w:bookmarkEnd w:id="275"/>
      <w:bookmarkEnd w:id="276"/>
      <w:bookmarkEnd w:id="277"/>
      <w:bookmarkEnd w:id="278"/>
    </w:p>
    <w:p w:rsidR="00C30B65" w:rsidRPr="00DC4C78" w:rsidRDefault="0028403B" w:rsidP="0028403B">
      <w:r>
        <w:rPr>
          <w:noProof/>
          <w:lang w:eastAsia="en-NZ"/>
        </w:rPr>
        <w:drawing>
          <wp:inline distT="0" distB="0" distL="0" distR="0" wp14:anchorId="1D5C9AD6">
            <wp:extent cx="4320000" cy="2520000"/>
            <wp:effectExtent l="0" t="0" r="4445" b="0"/>
            <wp:docPr id="149" name="Picture 149" title="Figure 43: Infants exclusively or fully breastfed at three months, Māor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inline>
        </w:drawing>
      </w:r>
    </w:p>
    <w:p w:rsidR="00C30B65" w:rsidRPr="00DC4C78" w:rsidRDefault="00C30B65" w:rsidP="00C30B65"/>
    <w:p w:rsidR="00C30B65" w:rsidRPr="00DC4C78" w:rsidRDefault="00C30B65" w:rsidP="00C30B65">
      <w:pPr>
        <w:pStyle w:val="Figure"/>
      </w:pPr>
      <w:bookmarkStart w:id="279" w:name="_Toc405447455"/>
      <w:bookmarkStart w:id="280" w:name="_Toc417554806"/>
      <w:bookmarkStart w:id="281" w:name="_Toc436750541"/>
      <w:bookmarkStart w:id="282" w:name="_Toc440387864"/>
      <w:r w:rsidRPr="00DC4C78">
        <w:t xml:space="preserve">Figure 44: </w:t>
      </w:r>
      <w:r>
        <w:t>Infants e</w:t>
      </w:r>
      <w:r w:rsidRPr="00DC4C78">
        <w:t>xclusively or fully breastfed at three months, Pacific peoples</w:t>
      </w:r>
      <w:bookmarkEnd w:id="279"/>
      <w:bookmarkEnd w:id="280"/>
      <w:bookmarkEnd w:id="281"/>
      <w:bookmarkEnd w:id="282"/>
    </w:p>
    <w:p w:rsidR="00C30B65" w:rsidRPr="00DC4C78" w:rsidRDefault="0028403B" w:rsidP="0028403B">
      <w:r>
        <w:rPr>
          <w:noProof/>
          <w:lang w:eastAsia="en-NZ"/>
        </w:rPr>
        <w:drawing>
          <wp:inline distT="0" distB="0" distL="0" distR="0" wp14:anchorId="7A446442">
            <wp:extent cx="4320000" cy="2520000"/>
            <wp:effectExtent l="0" t="0" r="4445" b="0"/>
            <wp:docPr id="151" name="Picture 151" descr="Figure 44: Infants exclusively or fully breastfed at three months, Pacific peop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inline>
        </w:drawing>
      </w:r>
    </w:p>
    <w:p w:rsidR="00C30B65" w:rsidRPr="00DC4C78" w:rsidRDefault="00C30B65" w:rsidP="00C30B65"/>
    <w:p w:rsidR="00C30B65" w:rsidRPr="00DC4C78" w:rsidRDefault="00C30B65" w:rsidP="00C30B65">
      <w:pPr>
        <w:pStyle w:val="Heading3"/>
      </w:pPr>
      <w:r w:rsidRPr="00DC4C78">
        <w:t>Data notes</w:t>
      </w:r>
    </w:p>
    <w:p w:rsidR="00C30B65" w:rsidRPr="00DC4C78" w:rsidRDefault="00C30B65" w:rsidP="00C30B65">
      <w:pPr>
        <w:pStyle w:val="Bullet"/>
      </w:pPr>
      <w:r w:rsidRPr="00DC4C78">
        <w:t>No bar on graph = fewer than 20 infants in this category.</w:t>
      </w:r>
    </w:p>
    <w:p w:rsidR="00C30B65" w:rsidRPr="00DC4C78" w:rsidRDefault="00C30B65" w:rsidP="00C30B65">
      <w:pPr>
        <w:pStyle w:val="Bullet"/>
      </w:pPr>
      <w:r w:rsidRPr="00DC4C78">
        <w:t>Time period: infants aged three months between 1 January 2015 t0 30 June 2015.</w:t>
      </w:r>
    </w:p>
    <w:p w:rsidR="00C30B65" w:rsidRPr="00DC4C78" w:rsidRDefault="00C30B65" w:rsidP="00C30B65">
      <w:pPr>
        <w:pStyle w:val="Bullet"/>
      </w:pPr>
      <w:r>
        <w:rPr>
          <w:rFonts w:cs="Arial"/>
          <w:bCs/>
          <w:color w:val="000000"/>
        </w:rPr>
        <w:t>As explained in the Introduction,</w:t>
      </w:r>
      <w:r w:rsidRPr="00DC4C78">
        <w:rPr>
          <w:rFonts w:cs="Arial"/>
          <w:bCs/>
          <w:color w:val="000000"/>
        </w:rPr>
        <w:t xml:space="preserve"> results for </w:t>
      </w:r>
      <w:r>
        <w:rPr>
          <w:rFonts w:cs="Arial"/>
          <w:bCs/>
          <w:color w:val="000000"/>
        </w:rPr>
        <w:t>I</w:t>
      </w:r>
      <w:r w:rsidRPr="00DC4C78">
        <w:rPr>
          <w:rFonts w:cs="Arial"/>
          <w:bCs/>
          <w:color w:val="000000"/>
        </w:rPr>
        <w:t xml:space="preserve">ndicator </w:t>
      </w:r>
      <w:r>
        <w:rPr>
          <w:rFonts w:cs="Arial"/>
          <w:bCs/>
          <w:color w:val="000000"/>
        </w:rPr>
        <w:t>1</w:t>
      </w:r>
      <w:r w:rsidRPr="00DC4C78">
        <w:rPr>
          <w:rFonts w:cs="Arial"/>
          <w:bCs/>
          <w:color w:val="000000"/>
        </w:rPr>
        <w:t>3 for th</w:t>
      </w:r>
      <w:r>
        <w:rPr>
          <w:rFonts w:cs="Arial"/>
          <w:bCs/>
          <w:color w:val="000000"/>
        </w:rPr>
        <w:t>is</w:t>
      </w:r>
      <w:r w:rsidRPr="00DC4C78">
        <w:rPr>
          <w:rFonts w:cs="Arial"/>
          <w:bCs/>
          <w:color w:val="000000"/>
        </w:rPr>
        <w:t xml:space="preserve"> period are not directly comparable with results from earlier periods</w:t>
      </w:r>
      <w:r>
        <w:rPr>
          <w:rFonts w:cs="Arial"/>
          <w:bCs/>
          <w:color w:val="000000"/>
        </w:rPr>
        <w:t xml:space="preserve">, because of the inclusion of data from </w:t>
      </w:r>
      <w:proofErr w:type="spellStart"/>
      <w:r>
        <w:rPr>
          <w:rFonts w:cs="Arial"/>
          <w:bCs/>
          <w:color w:val="000000"/>
        </w:rPr>
        <w:t>Tamariki</w:t>
      </w:r>
      <w:proofErr w:type="spellEnd"/>
      <w:r>
        <w:rPr>
          <w:rFonts w:cs="Arial"/>
          <w:bCs/>
          <w:color w:val="000000"/>
        </w:rPr>
        <w:t xml:space="preserve"> </w:t>
      </w:r>
      <w:proofErr w:type="spellStart"/>
      <w:r>
        <w:rPr>
          <w:rFonts w:cs="Arial"/>
          <w:bCs/>
          <w:color w:val="000000"/>
        </w:rPr>
        <w:t>Ora</w:t>
      </w:r>
      <w:proofErr w:type="spellEnd"/>
      <w:r>
        <w:rPr>
          <w:rFonts w:cs="Arial"/>
          <w:bCs/>
          <w:color w:val="000000"/>
        </w:rPr>
        <w:t xml:space="preserve"> providers in addition to Plunket data</w:t>
      </w:r>
      <w:r w:rsidRPr="00DC4C78">
        <w:rPr>
          <w:rFonts w:cs="Arial"/>
          <w:bCs/>
          <w:color w:val="000000"/>
        </w:rPr>
        <w:t>.</w:t>
      </w:r>
    </w:p>
    <w:p w:rsidR="00C30B65" w:rsidRPr="00DC4C78" w:rsidRDefault="00C30B65" w:rsidP="00C30B65">
      <w:pPr>
        <w:pStyle w:val="Bullet"/>
      </w:pPr>
      <w:r w:rsidRPr="00DC4C78">
        <w:t>The data excludes overseas DHB and undefined DHB.</w:t>
      </w:r>
    </w:p>
    <w:p w:rsidR="00C30B65" w:rsidRPr="00DC4C78" w:rsidRDefault="00C30B65" w:rsidP="00C30B65">
      <w:pPr>
        <w:pStyle w:val="Bullet"/>
      </w:pPr>
      <w:r w:rsidRPr="00DC4C78">
        <w:t>Numerator: breastfeeding at three months = exclusive or fully (source: WCTO NHI dataset).</w:t>
      </w:r>
    </w:p>
    <w:p w:rsidR="00C30B65" w:rsidRPr="00DC4C78" w:rsidRDefault="00C30B65" w:rsidP="00C30B65">
      <w:pPr>
        <w:pStyle w:val="Bullet"/>
      </w:pPr>
      <w:r w:rsidRPr="00DC4C78">
        <w:t>Denominator: breastfeeding at three months = not null (source: WCTO NHI dataset).</w:t>
      </w:r>
    </w:p>
    <w:p w:rsidR="00C30B65" w:rsidRPr="00DC4C78" w:rsidRDefault="00C30B65" w:rsidP="00C30B65"/>
    <w:p w:rsidR="00C30B65" w:rsidRPr="00DC4C78" w:rsidRDefault="00C30B65" w:rsidP="00C30B65">
      <w:pPr>
        <w:pStyle w:val="Heading2"/>
        <w:spacing w:before="0"/>
      </w:pPr>
      <w:bookmarkStart w:id="283" w:name="_Toc365618456"/>
      <w:bookmarkStart w:id="284" w:name="_Toc405453779"/>
      <w:bookmarkStart w:id="285" w:name="_Toc418322789"/>
      <w:bookmarkStart w:id="286" w:name="_Toc419099457"/>
      <w:bookmarkStart w:id="287" w:name="_Toc440387803"/>
      <w:r w:rsidRPr="00DC4C78">
        <w:lastRenderedPageBreak/>
        <w:t>WCTO Quality Improvement Framework Indicator 14</w:t>
      </w:r>
      <w:bookmarkEnd w:id="283"/>
      <w:bookmarkEnd w:id="284"/>
      <w:bookmarkEnd w:id="285"/>
      <w:bookmarkEnd w:id="286"/>
      <w:bookmarkEnd w:id="287"/>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701"/>
        <w:gridCol w:w="7655"/>
      </w:tblGrid>
      <w:tr w:rsidR="00C30B65" w:rsidRPr="00DC4C78" w:rsidTr="00C30B65">
        <w:trPr>
          <w:cantSplit/>
        </w:trPr>
        <w:tc>
          <w:tcPr>
            <w:tcW w:w="1701" w:type="dxa"/>
            <w:tcBorders>
              <w:top w:val="single" w:sz="4" w:space="0" w:color="auto"/>
              <w:bottom w:val="nil"/>
            </w:tcBorders>
            <w:shd w:val="clear" w:color="auto" w:fill="F2F2F2"/>
          </w:tcPr>
          <w:p w:rsidR="00C30B65" w:rsidRPr="00DC4C78" w:rsidRDefault="00C30B65" w:rsidP="00781033">
            <w:pPr>
              <w:pStyle w:val="TableText"/>
              <w:keepNext/>
              <w:rPr>
                <w:b/>
              </w:rPr>
            </w:pPr>
            <w:r w:rsidRPr="00DC4C78">
              <w:rPr>
                <w:b/>
              </w:rPr>
              <w:t>Standard</w:t>
            </w:r>
          </w:p>
        </w:tc>
        <w:tc>
          <w:tcPr>
            <w:tcW w:w="7655" w:type="dxa"/>
            <w:tcBorders>
              <w:top w:val="single" w:sz="4" w:space="0" w:color="auto"/>
              <w:bottom w:val="nil"/>
            </w:tcBorders>
            <w:shd w:val="clear" w:color="auto" w:fill="F2F2F2"/>
          </w:tcPr>
          <w:p w:rsidR="00C30B65" w:rsidRPr="00DC4C78" w:rsidRDefault="00C30B65" w:rsidP="00781033">
            <w:pPr>
              <w:pStyle w:val="TableText"/>
              <w:keepNext/>
            </w:pPr>
            <w:r w:rsidRPr="00DC4C78">
              <w:t xml:space="preserve">WCTO providers use evidence-based interventions and education to promote child, family and </w:t>
            </w:r>
            <w:proofErr w:type="spellStart"/>
            <w:r w:rsidRPr="00DC4C78">
              <w:t>whānau</w:t>
            </w:r>
            <w:proofErr w:type="spellEnd"/>
            <w:r w:rsidRPr="00DC4C78">
              <w:t xml:space="preserve"> health and wellbeing.</w:t>
            </w:r>
          </w:p>
        </w:tc>
      </w:tr>
      <w:tr w:rsidR="00C30B65" w:rsidRPr="00DC4C78" w:rsidTr="00C30B65">
        <w:trPr>
          <w:cantSplit/>
        </w:trPr>
        <w:tc>
          <w:tcPr>
            <w:tcW w:w="1701" w:type="dxa"/>
            <w:tcBorders>
              <w:top w:val="nil"/>
              <w:bottom w:val="nil"/>
            </w:tcBorders>
            <w:shd w:val="clear" w:color="auto" w:fill="auto"/>
          </w:tcPr>
          <w:p w:rsidR="00C30B65" w:rsidRPr="00DC4C78" w:rsidRDefault="00C30B65" w:rsidP="00781033">
            <w:pPr>
              <w:pStyle w:val="TableText"/>
              <w:keepNext/>
              <w:rPr>
                <w:b/>
              </w:rPr>
            </w:pPr>
            <w:r w:rsidRPr="00DC4C78">
              <w:rPr>
                <w:b/>
              </w:rPr>
              <w:t>Indicator</w:t>
            </w:r>
          </w:p>
        </w:tc>
        <w:tc>
          <w:tcPr>
            <w:tcW w:w="7655" w:type="dxa"/>
            <w:tcBorders>
              <w:top w:val="nil"/>
              <w:bottom w:val="nil"/>
            </w:tcBorders>
          </w:tcPr>
          <w:p w:rsidR="00C30B65" w:rsidRPr="00DC4C78" w:rsidRDefault="00C30B65" w:rsidP="00781033">
            <w:pPr>
              <w:pStyle w:val="TableText"/>
              <w:keepNext/>
            </w:pPr>
            <w:r w:rsidRPr="00DC4C78">
              <w:t>Infants are receiving breast milk at six months (exclusively, fully or partially).</w:t>
            </w:r>
          </w:p>
        </w:tc>
      </w:tr>
      <w:tr w:rsidR="00C30B65" w:rsidRPr="00DC4C78" w:rsidTr="00C30B65">
        <w:trPr>
          <w:cantSplit/>
        </w:trPr>
        <w:tc>
          <w:tcPr>
            <w:tcW w:w="1701" w:type="dxa"/>
            <w:tcBorders>
              <w:top w:val="nil"/>
              <w:bottom w:val="nil"/>
            </w:tcBorders>
            <w:shd w:val="clear" w:color="auto" w:fill="F2F2F2"/>
          </w:tcPr>
          <w:p w:rsidR="00C30B65" w:rsidRPr="00DC4C78" w:rsidRDefault="00C30B65" w:rsidP="00C30B65">
            <w:pPr>
              <w:pStyle w:val="TableText"/>
              <w:rPr>
                <w:b/>
              </w:rPr>
            </w:pPr>
            <w:r w:rsidRPr="00DC4C78">
              <w:rPr>
                <w:b/>
              </w:rPr>
              <w:t>Target by December 2014</w:t>
            </w:r>
          </w:p>
        </w:tc>
        <w:tc>
          <w:tcPr>
            <w:tcW w:w="7655" w:type="dxa"/>
            <w:tcBorders>
              <w:top w:val="nil"/>
              <w:bottom w:val="nil"/>
            </w:tcBorders>
            <w:shd w:val="clear" w:color="auto" w:fill="F2F2F2"/>
          </w:tcPr>
          <w:p w:rsidR="00C30B65" w:rsidRPr="00DC4C78" w:rsidRDefault="00C30B65" w:rsidP="00C30B65">
            <w:pPr>
              <w:pStyle w:val="TableText"/>
            </w:pPr>
            <w:r w:rsidRPr="00DC4C78">
              <w:t>59 percent</w:t>
            </w:r>
          </w:p>
        </w:tc>
      </w:tr>
      <w:tr w:rsidR="00C30B65" w:rsidRPr="00DC4C78" w:rsidTr="00C30B65">
        <w:trPr>
          <w:cantSplit/>
        </w:trPr>
        <w:tc>
          <w:tcPr>
            <w:tcW w:w="1701" w:type="dxa"/>
            <w:tcBorders>
              <w:top w:val="nil"/>
            </w:tcBorders>
            <w:shd w:val="clear" w:color="auto" w:fill="auto"/>
          </w:tcPr>
          <w:p w:rsidR="00C30B65" w:rsidRPr="00DC4C78" w:rsidRDefault="00C30B65" w:rsidP="00C30B65">
            <w:pPr>
              <w:pStyle w:val="TableText"/>
              <w:rPr>
                <w:b/>
              </w:rPr>
            </w:pPr>
            <w:r w:rsidRPr="00DC4C78">
              <w:rPr>
                <w:b/>
              </w:rPr>
              <w:t>Target by June 2016</w:t>
            </w:r>
          </w:p>
        </w:tc>
        <w:tc>
          <w:tcPr>
            <w:tcW w:w="7655" w:type="dxa"/>
            <w:tcBorders>
              <w:top w:val="nil"/>
            </w:tcBorders>
          </w:tcPr>
          <w:p w:rsidR="00C30B65" w:rsidRPr="00DC4C78" w:rsidRDefault="00C30B65" w:rsidP="00C30B65">
            <w:pPr>
              <w:pStyle w:val="TableText"/>
            </w:pPr>
            <w:r w:rsidRPr="00DC4C78">
              <w:t>65 percent</w:t>
            </w:r>
          </w:p>
        </w:tc>
      </w:tr>
    </w:tbl>
    <w:p w:rsidR="00C30B65" w:rsidRPr="00DC4C78" w:rsidRDefault="00C30B65" w:rsidP="00C30B65"/>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93"/>
        <w:gridCol w:w="1843"/>
        <w:gridCol w:w="1701"/>
        <w:gridCol w:w="1458"/>
        <w:gridCol w:w="1660"/>
      </w:tblGrid>
      <w:tr w:rsidR="00C30B65" w:rsidRPr="00DC4C78" w:rsidTr="00C30B65">
        <w:trPr>
          <w:cantSplit/>
        </w:trPr>
        <w:tc>
          <w:tcPr>
            <w:tcW w:w="1439" w:type="pct"/>
            <w:shd w:val="clear" w:color="auto" w:fill="F2F2F2"/>
          </w:tcPr>
          <w:p w:rsidR="00C30B65" w:rsidRPr="00DC4C78" w:rsidRDefault="00C30B65" w:rsidP="00C30B65">
            <w:pPr>
              <w:pStyle w:val="TableText"/>
              <w:rPr>
                <w:b/>
              </w:rPr>
            </w:pPr>
          </w:p>
        </w:tc>
        <w:tc>
          <w:tcPr>
            <w:tcW w:w="985" w:type="pct"/>
            <w:shd w:val="clear" w:color="auto" w:fill="F2F2F2"/>
          </w:tcPr>
          <w:p w:rsidR="00C30B65" w:rsidRPr="00DC4C78" w:rsidRDefault="00C30B65" w:rsidP="00C30B65">
            <w:pPr>
              <w:pStyle w:val="TableText"/>
              <w:jc w:val="center"/>
              <w:rPr>
                <w:b/>
              </w:rPr>
            </w:pPr>
            <w:r w:rsidRPr="00DC4C78">
              <w:rPr>
                <w:b/>
              </w:rPr>
              <w:t>Total New Zealand</w:t>
            </w:r>
          </w:p>
        </w:tc>
        <w:tc>
          <w:tcPr>
            <w:tcW w:w="909" w:type="pct"/>
            <w:shd w:val="clear" w:color="auto" w:fill="F2F2F2"/>
          </w:tcPr>
          <w:p w:rsidR="00C30B65" w:rsidRPr="00DC4C78" w:rsidRDefault="00C30B65" w:rsidP="00C30B65">
            <w:pPr>
              <w:pStyle w:val="TableText"/>
              <w:jc w:val="center"/>
              <w:rPr>
                <w:b/>
              </w:rPr>
            </w:pPr>
            <w:r w:rsidRPr="00DC4C78">
              <w:rPr>
                <w:b/>
              </w:rPr>
              <w:t>High deprivation</w:t>
            </w:r>
          </w:p>
        </w:tc>
        <w:tc>
          <w:tcPr>
            <w:tcW w:w="779" w:type="pct"/>
            <w:shd w:val="clear" w:color="auto" w:fill="F2F2F2"/>
          </w:tcPr>
          <w:p w:rsidR="00C30B65" w:rsidRPr="00DC4C78" w:rsidRDefault="00C30B65" w:rsidP="00C30B65">
            <w:pPr>
              <w:pStyle w:val="TableText"/>
              <w:jc w:val="center"/>
              <w:rPr>
                <w:b/>
              </w:rPr>
            </w:pPr>
            <w:r w:rsidRPr="00DC4C78">
              <w:rPr>
                <w:b/>
              </w:rPr>
              <w:t>Māori</w:t>
            </w:r>
          </w:p>
        </w:tc>
        <w:tc>
          <w:tcPr>
            <w:tcW w:w="887" w:type="pct"/>
            <w:shd w:val="clear" w:color="auto" w:fill="F2F2F2"/>
          </w:tcPr>
          <w:p w:rsidR="00C30B65" w:rsidRPr="00DC4C78" w:rsidRDefault="00C30B65" w:rsidP="00C30B65">
            <w:pPr>
              <w:pStyle w:val="TableText"/>
              <w:jc w:val="center"/>
              <w:rPr>
                <w:b/>
              </w:rPr>
            </w:pPr>
            <w:r w:rsidRPr="00DC4C78">
              <w:rPr>
                <w:b/>
              </w:rPr>
              <w:t>Pacific peoples</w:t>
            </w:r>
          </w:p>
        </w:tc>
      </w:tr>
      <w:tr w:rsidR="00C30B65" w:rsidRPr="00DC4C78" w:rsidTr="00C30B65">
        <w:trPr>
          <w:cantSplit/>
        </w:trPr>
        <w:tc>
          <w:tcPr>
            <w:tcW w:w="1439" w:type="pct"/>
            <w:shd w:val="clear" w:color="auto" w:fill="auto"/>
            <w:vAlign w:val="center"/>
          </w:tcPr>
          <w:p w:rsidR="00C30B65" w:rsidRPr="00DC4C78" w:rsidRDefault="00C30B65" w:rsidP="00C30B65">
            <w:pPr>
              <w:pStyle w:val="TableText"/>
              <w:jc w:val="center"/>
            </w:pPr>
            <w:r w:rsidRPr="00DC4C78">
              <w:t>September 2015 mean (range)</w:t>
            </w:r>
          </w:p>
        </w:tc>
        <w:tc>
          <w:tcPr>
            <w:tcW w:w="985" w:type="pct"/>
            <w:shd w:val="clear" w:color="auto" w:fill="auto"/>
            <w:vAlign w:val="center"/>
          </w:tcPr>
          <w:p w:rsidR="00C30B65" w:rsidRPr="00DC4C78" w:rsidRDefault="00C30B65" w:rsidP="00C30B65">
            <w:pPr>
              <w:pStyle w:val="TableText"/>
              <w:jc w:val="center"/>
            </w:pPr>
            <w:r w:rsidRPr="00DC4C78">
              <w:t>66% (56–75)</w:t>
            </w:r>
          </w:p>
        </w:tc>
        <w:tc>
          <w:tcPr>
            <w:tcW w:w="909" w:type="pct"/>
            <w:shd w:val="clear" w:color="auto" w:fill="auto"/>
            <w:vAlign w:val="center"/>
          </w:tcPr>
          <w:p w:rsidR="00C30B65" w:rsidRPr="00DC4C78" w:rsidRDefault="00C30B65" w:rsidP="00C30B65">
            <w:pPr>
              <w:pStyle w:val="TableText"/>
              <w:jc w:val="center"/>
            </w:pPr>
            <w:r w:rsidRPr="00DC4C78">
              <w:t>56% (44–69)</w:t>
            </w:r>
          </w:p>
        </w:tc>
        <w:tc>
          <w:tcPr>
            <w:tcW w:w="779" w:type="pct"/>
            <w:shd w:val="clear" w:color="auto" w:fill="auto"/>
            <w:vAlign w:val="center"/>
          </w:tcPr>
          <w:p w:rsidR="00C30B65" w:rsidRPr="00DC4C78" w:rsidRDefault="00C30B65" w:rsidP="00C30B65">
            <w:pPr>
              <w:pStyle w:val="TableText"/>
              <w:jc w:val="center"/>
            </w:pPr>
            <w:r w:rsidRPr="00DC4C78">
              <w:t>54% (46–65)</w:t>
            </w:r>
          </w:p>
        </w:tc>
        <w:tc>
          <w:tcPr>
            <w:tcW w:w="887" w:type="pct"/>
            <w:shd w:val="clear" w:color="auto" w:fill="auto"/>
            <w:vAlign w:val="center"/>
          </w:tcPr>
          <w:p w:rsidR="00C30B65" w:rsidRPr="00DC4C78" w:rsidRDefault="00C30B65" w:rsidP="00C30B65">
            <w:pPr>
              <w:pStyle w:val="TableText"/>
              <w:jc w:val="center"/>
            </w:pPr>
            <w:r w:rsidRPr="00DC4C78">
              <w:t>59% (47–70)</w:t>
            </w:r>
          </w:p>
        </w:tc>
      </w:tr>
      <w:tr w:rsidR="00C30B65" w:rsidRPr="00DC4C78" w:rsidTr="00C30B65">
        <w:trPr>
          <w:cantSplit/>
        </w:trPr>
        <w:tc>
          <w:tcPr>
            <w:tcW w:w="1439" w:type="pct"/>
            <w:shd w:val="clear" w:color="auto" w:fill="auto"/>
          </w:tcPr>
          <w:p w:rsidR="00C30B65" w:rsidRPr="00DC4C78" w:rsidRDefault="00C30B65" w:rsidP="00C30B65">
            <w:pPr>
              <w:pStyle w:val="TableText"/>
            </w:pPr>
            <w:r w:rsidRPr="00DC4C78">
              <w:t>March 2015 mean (range)</w:t>
            </w:r>
          </w:p>
        </w:tc>
        <w:tc>
          <w:tcPr>
            <w:tcW w:w="985" w:type="pct"/>
            <w:shd w:val="clear" w:color="auto" w:fill="auto"/>
            <w:vAlign w:val="center"/>
          </w:tcPr>
          <w:p w:rsidR="00C30B65" w:rsidRPr="00DC4C78" w:rsidRDefault="00C30B65" w:rsidP="00C30B65">
            <w:pPr>
              <w:pStyle w:val="TableText"/>
              <w:jc w:val="center"/>
            </w:pPr>
            <w:r w:rsidRPr="00DC4C78">
              <w:t>66% (57–76)</w:t>
            </w:r>
          </w:p>
        </w:tc>
        <w:tc>
          <w:tcPr>
            <w:tcW w:w="909" w:type="pct"/>
            <w:shd w:val="clear" w:color="auto" w:fill="auto"/>
            <w:vAlign w:val="center"/>
          </w:tcPr>
          <w:p w:rsidR="00C30B65" w:rsidRPr="00DC4C78" w:rsidRDefault="00C30B65" w:rsidP="00C30B65">
            <w:pPr>
              <w:pStyle w:val="TableText"/>
              <w:jc w:val="center"/>
            </w:pPr>
            <w:r w:rsidRPr="00DC4C78">
              <w:t>56% (40–68)</w:t>
            </w:r>
          </w:p>
        </w:tc>
        <w:tc>
          <w:tcPr>
            <w:tcW w:w="779" w:type="pct"/>
            <w:shd w:val="clear" w:color="auto" w:fill="auto"/>
            <w:vAlign w:val="center"/>
          </w:tcPr>
          <w:p w:rsidR="00C30B65" w:rsidRPr="00DC4C78" w:rsidRDefault="00C30B65" w:rsidP="00C30B65">
            <w:pPr>
              <w:pStyle w:val="TableText"/>
              <w:jc w:val="center"/>
            </w:pPr>
            <w:r w:rsidRPr="00DC4C78">
              <w:t>55% (47–69)</w:t>
            </w:r>
          </w:p>
        </w:tc>
        <w:tc>
          <w:tcPr>
            <w:tcW w:w="887" w:type="pct"/>
            <w:shd w:val="clear" w:color="auto" w:fill="auto"/>
            <w:vAlign w:val="center"/>
          </w:tcPr>
          <w:p w:rsidR="00C30B65" w:rsidRPr="00DC4C78" w:rsidRDefault="00C30B65" w:rsidP="00C30B65">
            <w:pPr>
              <w:pStyle w:val="TableText"/>
              <w:jc w:val="center"/>
            </w:pPr>
            <w:r w:rsidRPr="00DC4C78">
              <w:t>59% (45–71)</w:t>
            </w:r>
          </w:p>
        </w:tc>
      </w:tr>
    </w:tbl>
    <w:p w:rsidR="00C30B65" w:rsidRPr="00DC4C78" w:rsidRDefault="00C30B65" w:rsidP="00C30B65"/>
    <w:p w:rsidR="00C30B65" w:rsidRPr="00DC4C78" w:rsidRDefault="00C30B65" w:rsidP="00C30B65">
      <w:pPr>
        <w:pStyle w:val="Figure"/>
      </w:pPr>
      <w:bookmarkStart w:id="288" w:name="_Toc405447456"/>
      <w:bookmarkStart w:id="289" w:name="_Toc417554807"/>
      <w:bookmarkStart w:id="290" w:name="_Toc436750542"/>
      <w:bookmarkStart w:id="291" w:name="_Toc440387865"/>
      <w:r w:rsidRPr="00DC4C78">
        <w:t>Figure 45: Infants receiv</w:t>
      </w:r>
      <w:r>
        <w:t>ing</w:t>
      </w:r>
      <w:r w:rsidRPr="00DC4C78">
        <w:t xml:space="preserve"> breast milk at six months, total New Zealand</w:t>
      </w:r>
      <w:bookmarkEnd w:id="288"/>
      <w:bookmarkEnd w:id="289"/>
      <w:bookmarkEnd w:id="290"/>
      <w:bookmarkEnd w:id="291"/>
    </w:p>
    <w:p w:rsidR="00C30B65" w:rsidRPr="00DC4C78" w:rsidRDefault="0028403B" w:rsidP="0028403B">
      <w:r>
        <w:rPr>
          <w:noProof/>
          <w:lang w:eastAsia="en-NZ"/>
        </w:rPr>
        <w:drawing>
          <wp:inline distT="0" distB="0" distL="0" distR="0" wp14:anchorId="6B96294D">
            <wp:extent cx="4320000" cy="2520000"/>
            <wp:effectExtent l="0" t="0" r="4445" b="0"/>
            <wp:docPr id="152" name="Picture 152" title="Figure 45: Infants receiving breast milk at six months, total New Zeala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inline>
        </w:drawing>
      </w:r>
    </w:p>
    <w:p w:rsidR="00C30B65" w:rsidRPr="00DC4C78" w:rsidRDefault="00C30B65" w:rsidP="00C30B65"/>
    <w:p w:rsidR="00C30B65" w:rsidRPr="00DC4C78" w:rsidRDefault="00C30B65" w:rsidP="00C30B65">
      <w:pPr>
        <w:pStyle w:val="Figure"/>
      </w:pPr>
      <w:bookmarkStart w:id="292" w:name="_Toc405447457"/>
      <w:bookmarkStart w:id="293" w:name="_Toc417554808"/>
      <w:bookmarkStart w:id="294" w:name="_Toc436750543"/>
      <w:bookmarkStart w:id="295" w:name="_Toc440387866"/>
      <w:r w:rsidRPr="00DC4C78">
        <w:t>Figure 46: Infants receiv</w:t>
      </w:r>
      <w:r>
        <w:t>ing</w:t>
      </w:r>
      <w:r w:rsidRPr="00DC4C78">
        <w:t xml:space="preserve"> breast milk at six months, high deprivation</w:t>
      </w:r>
      <w:bookmarkEnd w:id="292"/>
      <w:bookmarkEnd w:id="293"/>
      <w:bookmarkEnd w:id="294"/>
      <w:r>
        <w:t xml:space="preserve"> population</w:t>
      </w:r>
      <w:bookmarkEnd w:id="295"/>
    </w:p>
    <w:p w:rsidR="00C30B65" w:rsidRPr="00DC4C78" w:rsidRDefault="0028403B" w:rsidP="0028403B">
      <w:r>
        <w:rPr>
          <w:noProof/>
          <w:lang w:eastAsia="en-NZ"/>
        </w:rPr>
        <w:drawing>
          <wp:inline distT="0" distB="0" distL="0" distR="0" wp14:anchorId="693991AF">
            <wp:extent cx="4320000" cy="2520000"/>
            <wp:effectExtent l="0" t="0" r="4445" b="0"/>
            <wp:docPr id="153" name="Picture 153" title="Figure 46: Infants receiving breast milk at six months, high deprivation popul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inline>
        </w:drawing>
      </w:r>
    </w:p>
    <w:p w:rsidR="00C30B65" w:rsidRPr="00DC4C78" w:rsidRDefault="00C30B65" w:rsidP="00C30B65"/>
    <w:p w:rsidR="00C30B65" w:rsidRPr="00DC4C78" w:rsidRDefault="00C30B65" w:rsidP="00C30B65">
      <w:pPr>
        <w:pStyle w:val="Figure"/>
      </w:pPr>
      <w:bookmarkStart w:id="296" w:name="_Toc405447458"/>
      <w:bookmarkStart w:id="297" w:name="_Toc417554809"/>
      <w:bookmarkStart w:id="298" w:name="_Toc436750544"/>
      <w:bookmarkStart w:id="299" w:name="_Toc440387867"/>
      <w:r w:rsidRPr="00DC4C78">
        <w:lastRenderedPageBreak/>
        <w:t>Figure 47: Infants receiv</w:t>
      </w:r>
      <w:r>
        <w:t>ing</w:t>
      </w:r>
      <w:r w:rsidRPr="00DC4C78">
        <w:t xml:space="preserve"> breast milk at six months, Māori</w:t>
      </w:r>
      <w:bookmarkEnd w:id="296"/>
      <w:bookmarkEnd w:id="297"/>
      <w:bookmarkEnd w:id="298"/>
      <w:bookmarkEnd w:id="299"/>
    </w:p>
    <w:p w:rsidR="00C30B65" w:rsidRPr="00DC4C78" w:rsidRDefault="0028403B" w:rsidP="0028403B">
      <w:r>
        <w:rPr>
          <w:noProof/>
          <w:lang w:eastAsia="en-NZ"/>
        </w:rPr>
        <w:drawing>
          <wp:inline distT="0" distB="0" distL="0" distR="0" wp14:anchorId="6105C926">
            <wp:extent cx="4320000" cy="2520000"/>
            <wp:effectExtent l="0" t="0" r="4445" b="0"/>
            <wp:docPr id="154" name="Picture 154" title="Figure 47: Infants receiving breast milk at six months, Māor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inline>
        </w:drawing>
      </w:r>
    </w:p>
    <w:p w:rsidR="00C30B65" w:rsidRPr="00DC4C78" w:rsidRDefault="00C30B65" w:rsidP="00C30B65"/>
    <w:p w:rsidR="00C30B65" w:rsidRPr="00DC4C78" w:rsidRDefault="00C30B65" w:rsidP="00C30B65">
      <w:pPr>
        <w:pStyle w:val="Figure"/>
        <w:rPr>
          <w:noProof/>
        </w:rPr>
      </w:pPr>
      <w:bookmarkStart w:id="300" w:name="_Toc405447459"/>
      <w:bookmarkStart w:id="301" w:name="_Toc417554810"/>
      <w:bookmarkStart w:id="302" w:name="_Toc436750545"/>
      <w:bookmarkStart w:id="303" w:name="_Toc440387868"/>
      <w:r w:rsidRPr="00DC4C78">
        <w:rPr>
          <w:noProof/>
          <w:lang w:eastAsia="en-NZ"/>
        </w:rPr>
        <w:t xml:space="preserve">Figure 48: </w:t>
      </w:r>
      <w:r w:rsidRPr="00DC4C78">
        <w:rPr>
          <w:noProof/>
        </w:rPr>
        <w:t>Infants receiv</w:t>
      </w:r>
      <w:r>
        <w:rPr>
          <w:noProof/>
        </w:rPr>
        <w:t>ing</w:t>
      </w:r>
      <w:r w:rsidRPr="00DC4C78">
        <w:rPr>
          <w:noProof/>
        </w:rPr>
        <w:t xml:space="preserve"> breast milk at six months, Pacific peoples</w:t>
      </w:r>
      <w:bookmarkEnd w:id="300"/>
      <w:bookmarkEnd w:id="301"/>
      <w:bookmarkEnd w:id="302"/>
      <w:bookmarkEnd w:id="303"/>
    </w:p>
    <w:p w:rsidR="00C30B65" w:rsidRPr="00DC4C78" w:rsidRDefault="0028403B" w:rsidP="0028403B">
      <w:r>
        <w:rPr>
          <w:noProof/>
          <w:lang w:eastAsia="en-NZ"/>
        </w:rPr>
        <w:drawing>
          <wp:inline distT="0" distB="0" distL="0" distR="0" wp14:anchorId="7E6F2252">
            <wp:extent cx="4320000" cy="2520000"/>
            <wp:effectExtent l="0" t="0" r="4445" b="0"/>
            <wp:docPr id="155" name="Picture 155" title="Figure 48: Infants receiving breast milk at six months, Pacific peop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inline>
        </w:drawing>
      </w:r>
    </w:p>
    <w:p w:rsidR="00C30B65" w:rsidRPr="00DC4C78" w:rsidRDefault="00C30B65" w:rsidP="00C30B65"/>
    <w:p w:rsidR="00C30B65" w:rsidRPr="00DC4C78" w:rsidRDefault="00C30B65" w:rsidP="00C30B65">
      <w:pPr>
        <w:pStyle w:val="Heading3"/>
      </w:pPr>
      <w:r w:rsidRPr="00DC4C78">
        <w:t>Data notes</w:t>
      </w:r>
    </w:p>
    <w:p w:rsidR="00C30B65" w:rsidRPr="00DC4C78" w:rsidRDefault="00C30B65" w:rsidP="00C30B65">
      <w:pPr>
        <w:pStyle w:val="Bullet"/>
      </w:pPr>
      <w:r w:rsidRPr="00DC4C78">
        <w:t>No bar on graph = fewer than 20 infants in this category.</w:t>
      </w:r>
    </w:p>
    <w:p w:rsidR="00C30B65" w:rsidRPr="00DC4C78" w:rsidRDefault="00C30B65" w:rsidP="00C30B65">
      <w:pPr>
        <w:pStyle w:val="Bullet"/>
      </w:pPr>
      <w:r w:rsidRPr="00DC4C78">
        <w:t xml:space="preserve">Time period: infants aged six months </w:t>
      </w:r>
      <w:proofErr w:type="gramStart"/>
      <w:r w:rsidRPr="00DC4C78">
        <w:t>between 1 January 2015 to 30 June 2015</w:t>
      </w:r>
      <w:proofErr w:type="gramEnd"/>
      <w:r w:rsidRPr="00DC4C78">
        <w:t>.</w:t>
      </w:r>
    </w:p>
    <w:p w:rsidR="00C30B65" w:rsidRPr="00DC4C78" w:rsidRDefault="00C30B65" w:rsidP="00C30B65">
      <w:pPr>
        <w:pStyle w:val="Bullet"/>
      </w:pPr>
      <w:r>
        <w:rPr>
          <w:rFonts w:cs="Arial"/>
          <w:bCs/>
          <w:color w:val="000000"/>
        </w:rPr>
        <w:t>As explained in the Introduction,</w:t>
      </w:r>
      <w:r w:rsidRPr="00DC4C78">
        <w:rPr>
          <w:rFonts w:cs="Arial"/>
          <w:bCs/>
          <w:color w:val="000000"/>
        </w:rPr>
        <w:t xml:space="preserve"> results for </w:t>
      </w:r>
      <w:r>
        <w:rPr>
          <w:rFonts w:cs="Arial"/>
          <w:bCs/>
          <w:color w:val="000000"/>
        </w:rPr>
        <w:t>I</w:t>
      </w:r>
      <w:r w:rsidRPr="00DC4C78">
        <w:rPr>
          <w:rFonts w:cs="Arial"/>
          <w:bCs/>
          <w:color w:val="000000"/>
        </w:rPr>
        <w:t>ndicator</w:t>
      </w:r>
      <w:r>
        <w:rPr>
          <w:rFonts w:cs="Arial"/>
          <w:bCs/>
          <w:color w:val="000000"/>
        </w:rPr>
        <w:t> 14</w:t>
      </w:r>
      <w:r w:rsidRPr="00DC4C78">
        <w:rPr>
          <w:rFonts w:cs="Arial"/>
          <w:bCs/>
          <w:color w:val="000000"/>
        </w:rPr>
        <w:t xml:space="preserve"> for th</w:t>
      </w:r>
      <w:r>
        <w:rPr>
          <w:rFonts w:cs="Arial"/>
          <w:bCs/>
          <w:color w:val="000000"/>
        </w:rPr>
        <w:t>is</w:t>
      </w:r>
      <w:r w:rsidRPr="00DC4C78">
        <w:rPr>
          <w:rFonts w:cs="Arial"/>
          <w:bCs/>
          <w:color w:val="000000"/>
        </w:rPr>
        <w:t xml:space="preserve"> period are not directly comparable with results from earlier periods</w:t>
      </w:r>
      <w:r>
        <w:rPr>
          <w:rFonts w:cs="Arial"/>
          <w:bCs/>
          <w:color w:val="000000"/>
        </w:rPr>
        <w:t xml:space="preserve">, because of the inclusion of data from </w:t>
      </w:r>
      <w:proofErr w:type="spellStart"/>
      <w:r>
        <w:rPr>
          <w:rFonts w:cs="Arial"/>
          <w:bCs/>
          <w:color w:val="000000"/>
        </w:rPr>
        <w:t>Tamariki</w:t>
      </w:r>
      <w:proofErr w:type="spellEnd"/>
      <w:r>
        <w:rPr>
          <w:rFonts w:cs="Arial"/>
          <w:bCs/>
          <w:color w:val="000000"/>
        </w:rPr>
        <w:t xml:space="preserve"> </w:t>
      </w:r>
      <w:proofErr w:type="spellStart"/>
      <w:r>
        <w:rPr>
          <w:rFonts w:cs="Arial"/>
          <w:bCs/>
          <w:color w:val="000000"/>
        </w:rPr>
        <w:t>Ora</w:t>
      </w:r>
      <w:proofErr w:type="spellEnd"/>
      <w:r>
        <w:rPr>
          <w:rFonts w:cs="Arial"/>
          <w:bCs/>
          <w:color w:val="000000"/>
        </w:rPr>
        <w:t xml:space="preserve"> providers in addition to Plunket data</w:t>
      </w:r>
      <w:r w:rsidRPr="00DC4C78">
        <w:rPr>
          <w:rFonts w:cs="Arial"/>
          <w:bCs/>
          <w:color w:val="000000"/>
        </w:rPr>
        <w:t>.</w:t>
      </w:r>
    </w:p>
    <w:p w:rsidR="00C30B65" w:rsidRPr="00DC4C78" w:rsidRDefault="00C30B65" w:rsidP="00C30B65">
      <w:pPr>
        <w:pStyle w:val="Bullet"/>
      </w:pPr>
      <w:r w:rsidRPr="00DC4C78">
        <w:t>The data excludes overseas DHB and undefined DHB.</w:t>
      </w:r>
    </w:p>
    <w:p w:rsidR="00C30B65" w:rsidRPr="00DC4C78" w:rsidRDefault="00C30B65" w:rsidP="00C30B65">
      <w:pPr>
        <w:pStyle w:val="Bullet"/>
      </w:pPr>
      <w:r w:rsidRPr="00DC4C78">
        <w:t>Numerator: breastfeeding at six months = exclusive, full or partial (source: WCTO NHI dataset).</w:t>
      </w:r>
    </w:p>
    <w:p w:rsidR="00C30B65" w:rsidRPr="00DC4C78" w:rsidRDefault="00C30B65" w:rsidP="00C30B65">
      <w:pPr>
        <w:pStyle w:val="Bullet"/>
      </w:pPr>
      <w:r w:rsidRPr="00DC4C78">
        <w:t>Denominator: breastfeeding at six months = not null (source: WCTO NHI dataset).</w:t>
      </w:r>
    </w:p>
    <w:p w:rsidR="00C30B65" w:rsidRPr="00DC4C78" w:rsidRDefault="00C30B65" w:rsidP="00C30B65"/>
    <w:p w:rsidR="00C30B65" w:rsidRPr="00DC4C78" w:rsidRDefault="00C30B65" w:rsidP="00C30B65">
      <w:pPr>
        <w:pStyle w:val="Heading2"/>
        <w:spacing w:before="0"/>
      </w:pPr>
      <w:bookmarkStart w:id="304" w:name="_Toc365618457"/>
      <w:bookmarkStart w:id="305" w:name="_Toc405453780"/>
      <w:bookmarkStart w:id="306" w:name="_Toc418322790"/>
      <w:bookmarkStart w:id="307" w:name="_Toc419099458"/>
      <w:bookmarkStart w:id="308" w:name="_Toc440387804"/>
      <w:r w:rsidRPr="00DC4C78">
        <w:lastRenderedPageBreak/>
        <w:t>WCTO Quality Improvement Framework Indicator 15</w:t>
      </w:r>
      <w:bookmarkEnd w:id="304"/>
      <w:bookmarkEnd w:id="305"/>
      <w:bookmarkEnd w:id="306"/>
      <w:bookmarkEnd w:id="307"/>
      <w:bookmarkEnd w:id="308"/>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701"/>
        <w:gridCol w:w="7655"/>
      </w:tblGrid>
      <w:tr w:rsidR="00C30B65" w:rsidRPr="00DC4C78" w:rsidTr="00C30B65">
        <w:trPr>
          <w:cantSplit/>
        </w:trPr>
        <w:tc>
          <w:tcPr>
            <w:tcW w:w="1701" w:type="dxa"/>
            <w:tcBorders>
              <w:top w:val="single" w:sz="4" w:space="0" w:color="auto"/>
              <w:bottom w:val="nil"/>
            </w:tcBorders>
            <w:shd w:val="clear" w:color="auto" w:fill="F2F2F2"/>
          </w:tcPr>
          <w:p w:rsidR="00C30B65" w:rsidRPr="00DC4C78" w:rsidRDefault="00C30B65" w:rsidP="00781033">
            <w:pPr>
              <w:pStyle w:val="TableText"/>
              <w:keepNext/>
              <w:rPr>
                <w:b/>
              </w:rPr>
            </w:pPr>
            <w:r w:rsidRPr="00DC4C78">
              <w:rPr>
                <w:b/>
              </w:rPr>
              <w:t>Standard</w:t>
            </w:r>
          </w:p>
        </w:tc>
        <w:tc>
          <w:tcPr>
            <w:tcW w:w="7655" w:type="dxa"/>
            <w:tcBorders>
              <w:top w:val="single" w:sz="4" w:space="0" w:color="auto"/>
              <w:bottom w:val="nil"/>
            </w:tcBorders>
            <w:shd w:val="clear" w:color="auto" w:fill="F2F2F2"/>
          </w:tcPr>
          <w:p w:rsidR="00C30B65" w:rsidRPr="00DC4C78" w:rsidRDefault="00C30B65" w:rsidP="00781033">
            <w:pPr>
              <w:pStyle w:val="TableText"/>
              <w:keepNext/>
            </w:pPr>
            <w:r w:rsidRPr="00DC4C78">
              <w:t xml:space="preserve">WCTO providers use evidence-based interventions and education to promote child, family and </w:t>
            </w:r>
            <w:proofErr w:type="spellStart"/>
            <w:r w:rsidRPr="00DC4C78">
              <w:t>whānau</w:t>
            </w:r>
            <w:proofErr w:type="spellEnd"/>
            <w:r w:rsidRPr="00DC4C78">
              <w:t xml:space="preserve"> health and wellbeing.</w:t>
            </w:r>
          </w:p>
        </w:tc>
      </w:tr>
      <w:tr w:rsidR="00C30B65" w:rsidRPr="00DC4C78" w:rsidTr="00C30B65">
        <w:trPr>
          <w:cantSplit/>
        </w:trPr>
        <w:tc>
          <w:tcPr>
            <w:tcW w:w="1701" w:type="dxa"/>
            <w:tcBorders>
              <w:top w:val="nil"/>
              <w:bottom w:val="nil"/>
            </w:tcBorders>
            <w:shd w:val="clear" w:color="auto" w:fill="auto"/>
          </w:tcPr>
          <w:p w:rsidR="00C30B65" w:rsidRPr="00DC4C78" w:rsidRDefault="00C30B65" w:rsidP="00781033">
            <w:pPr>
              <w:pStyle w:val="TableText"/>
              <w:keepNext/>
              <w:rPr>
                <w:b/>
              </w:rPr>
            </w:pPr>
            <w:r w:rsidRPr="00DC4C78">
              <w:rPr>
                <w:b/>
              </w:rPr>
              <w:t>Indicator</w:t>
            </w:r>
          </w:p>
        </w:tc>
        <w:tc>
          <w:tcPr>
            <w:tcW w:w="7655" w:type="dxa"/>
            <w:tcBorders>
              <w:top w:val="nil"/>
              <w:bottom w:val="nil"/>
            </w:tcBorders>
          </w:tcPr>
          <w:p w:rsidR="00C30B65" w:rsidRPr="00DC4C78" w:rsidRDefault="00C30B65" w:rsidP="00781033">
            <w:pPr>
              <w:pStyle w:val="TableText"/>
              <w:keepNext/>
            </w:pPr>
            <w:r w:rsidRPr="00DC4C78">
              <w:t>Children are a healthy weight at four years.</w:t>
            </w:r>
          </w:p>
        </w:tc>
      </w:tr>
      <w:tr w:rsidR="00C30B65" w:rsidRPr="00DC4C78" w:rsidTr="00C30B65">
        <w:trPr>
          <w:cantSplit/>
        </w:trPr>
        <w:tc>
          <w:tcPr>
            <w:tcW w:w="1701" w:type="dxa"/>
            <w:tcBorders>
              <w:top w:val="nil"/>
              <w:bottom w:val="nil"/>
            </w:tcBorders>
            <w:shd w:val="clear" w:color="auto" w:fill="F2F2F2"/>
          </w:tcPr>
          <w:p w:rsidR="00C30B65" w:rsidRPr="00DC4C78" w:rsidRDefault="00C30B65" w:rsidP="00C30B65">
            <w:pPr>
              <w:pStyle w:val="TableText"/>
              <w:rPr>
                <w:b/>
              </w:rPr>
            </w:pPr>
            <w:r w:rsidRPr="00DC4C78">
              <w:rPr>
                <w:b/>
              </w:rPr>
              <w:t>Target by December 2014</w:t>
            </w:r>
          </w:p>
        </w:tc>
        <w:tc>
          <w:tcPr>
            <w:tcW w:w="7655" w:type="dxa"/>
            <w:tcBorders>
              <w:top w:val="nil"/>
              <w:bottom w:val="nil"/>
            </w:tcBorders>
            <w:shd w:val="clear" w:color="auto" w:fill="F2F2F2"/>
          </w:tcPr>
          <w:p w:rsidR="00C30B65" w:rsidRPr="00DC4C78" w:rsidRDefault="00C30B65" w:rsidP="00C30B65">
            <w:pPr>
              <w:pStyle w:val="TableText"/>
            </w:pPr>
            <w:r w:rsidRPr="00DC4C78">
              <w:t>68 percent</w:t>
            </w:r>
          </w:p>
        </w:tc>
      </w:tr>
      <w:tr w:rsidR="00C30B65" w:rsidRPr="00DC4C78" w:rsidTr="00C30B65">
        <w:trPr>
          <w:cantSplit/>
        </w:trPr>
        <w:tc>
          <w:tcPr>
            <w:tcW w:w="1701" w:type="dxa"/>
            <w:tcBorders>
              <w:top w:val="nil"/>
            </w:tcBorders>
            <w:shd w:val="clear" w:color="auto" w:fill="auto"/>
          </w:tcPr>
          <w:p w:rsidR="00C30B65" w:rsidRPr="00DC4C78" w:rsidRDefault="00C30B65" w:rsidP="00C30B65">
            <w:pPr>
              <w:pStyle w:val="TableText"/>
              <w:rPr>
                <w:b/>
              </w:rPr>
            </w:pPr>
            <w:r w:rsidRPr="00DC4C78">
              <w:rPr>
                <w:b/>
              </w:rPr>
              <w:t>Target by June 2016</w:t>
            </w:r>
          </w:p>
        </w:tc>
        <w:tc>
          <w:tcPr>
            <w:tcW w:w="7655" w:type="dxa"/>
            <w:tcBorders>
              <w:top w:val="nil"/>
            </w:tcBorders>
          </w:tcPr>
          <w:p w:rsidR="00C30B65" w:rsidRPr="00DC4C78" w:rsidRDefault="00C30B65" w:rsidP="00C30B65">
            <w:pPr>
              <w:pStyle w:val="TableText"/>
            </w:pPr>
            <w:r w:rsidRPr="00DC4C78">
              <w:t>75 percent</w:t>
            </w:r>
          </w:p>
        </w:tc>
      </w:tr>
    </w:tbl>
    <w:p w:rsidR="00C30B65" w:rsidRPr="00DC4C78" w:rsidRDefault="00C30B65" w:rsidP="00C30B65"/>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93"/>
        <w:gridCol w:w="1843"/>
        <w:gridCol w:w="1701"/>
        <w:gridCol w:w="1458"/>
        <w:gridCol w:w="1660"/>
      </w:tblGrid>
      <w:tr w:rsidR="00C30B65" w:rsidRPr="00DC4C78" w:rsidTr="00C30B65">
        <w:trPr>
          <w:cantSplit/>
        </w:trPr>
        <w:tc>
          <w:tcPr>
            <w:tcW w:w="1439" w:type="pct"/>
            <w:shd w:val="clear" w:color="auto" w:fill="F2F2F2"/>
          </w:tcPr>
          <w:p w:rsidR="00C30B65" w:rsidRPr="00DC4C78" w:rsidRDefault="00C30B65" w:rsidP="00C30B65">
            <w:pPr>
              <w:pStyle w:val="TableText"/>
              <w:rPr>
                <w:b/>
              </w:rPr>
            </w:pPr>
          </w:p>
        </w:tc>
        <w:tc>
          <w:tcPr>
            <w:tcW w:w="985" w:type="pct"/>
            <w:shd w:val="clear" w:color="auto" w:fill="F2F2F2"/>
          </w:tcPr>
          <w:p w:rsidR="00C30B65" w:rsidRPr="00DC4C78" w:rsidRDefault="00C30B65" w:rsidP="00C30B65">
            <w:pPr>
              <w:pStyle w:val="TableText"/>
              <w:jc w:val="center"/>
              <w:rPr>
                <w:b/>
              </w:rPr>
            </w:pPr>
            <w:r w:rsidRPr="00DC4C78">
              <w:rPr>
                <w:b/>
              </w:rPr>
              <w:t>Total New Zealand</w:t>
            </w:r>
          </w:p>
        </w:tc>
        <w:tc>
          <w:tcPr>
            <w:tcW w:w="909" w:type="pct"/>
            <w:shd w:val="clear" w:color="auto" w:fill="F2F2F2"/>
          </w:tcPr>
          <w:p w:rsidR="00C30B65" w:rsidRPr="00DC4C78" w:rsidRDefault="00C30B65" w:rsidP="00C30B65">
            <w:pPr>
              <w:pStyle w:val="TableText"/>
              <w:jc w:val="center"/>
              <w:rPr>
                <w:b/>
              </w:rPr>
            </w:pPr>
            <w:r w:rsidRPr="00DC4C78">
              <w:rPr>
                <w:b/>
              </w:rPr>
              <w:t>High deprivation</w:t>
            </w:r>
          </w:p>
        </w:tc>
        <w:tc>
          <w:tcPr>
            <w:tcW w:w="779" w:type="pct"/>
            <w:shd w:val="clear" w:color="auto" w:fill="F2F2F2"/>
          </w:tcPr>
          <w:p w:rsidR="00C30B65" w:rsidRPr="00DC4C78" w:rsidRDefault="00C30B65" w:rsidP="00C30B65">
            <w:pPr>
              <w:pStyle w:val="TableText"/>
              <w:jc w:val="center"/>
              <w:rPr>
                <w:b/>
              </w:rPr>
            </w:pPr>
            <w:r w:rsidRPr="00DC4C78">
              <w:rPr>
                <w:b/>
              </w:rPr>
              <w:t>Māori</w:t>
            </w:r>
          </w:p>
        </w:tc>
        <w:tc>
          <w:tcPr>
            <w:tcW w:w="887" w:type="pct"/>
            <w:shd w:val="clear" w:color="auto" w:fill="F2F2F2"/>
          </w:tcPr>
          <w:p w:rsidR="00C30B65" w:rsidRPr="00DC4C78" w:rsidRDefault="00C30B65" w:rsidP="00C30B65">
            <w:pPr>
              <w:pStyle w:val="TableText"/>
              <w:jc w:val="center"/>
              <w:rPr>
                <w:b/>
              </w:rPr>
            </w:pPr>
            <w:r w:rsidRPr="00DC4C78">
              <w:rPr>
                <w:b/>
              </w:rPr>
              <w:t>Pacific peoples</w:t>
            </w:r>
          </w:p>
        </w:tc>
      </w:tr>
      <w:tr w:rsidR="00C30B65" w:rsidRPr="00DC4C78" w:rsidTr="00C30B65">
        <w:trPr>
          <w:cantSplit/>
        </w:trPr>
        <w:tc>
          <w:tcPr>
            <w:tcW w:w="1439" w:type="pct"/>
            <w:shd w:val="clear" w:color="auto" w:fill="auto"/>
          </w:tcPr>
          <w:p w:rsidR="00C30B65" w:rsidRPr="00DC4C78" w:rsidRDefault="00C30B65" w:rsidP="00C30B65">
            <w:pPr>
              <w:pStyle w:val="TableText"/>
            </w:pPr>
            <w:r w:rsidRPr="00DC4C78">
              <w:t>September 2015 mean (range)</w:t>
            </w:r>
          </w:p>
        </w:tc>
        <w:tc>
          <w:tcPr>
            <w:tcW w:w="985" w:type="pct"/>
            <w:shd w:val="clear" w:color="auto" w:fill="auto"/>
            <w:vAlign w:val="center"/>
          </w:tcPr>
          <w:p w:rsidR="00C30B65" w:rsidRPr="00DC4C78" w:rsidRDefault="00C30B65" w:rsidP="00C30B65">
            <w:pPr>
              <w:pStyle w:val="TableText"/>
              <w:jc w:val="center"/>
            </w:pPr>
            <w:r w:rsidRPr="00DC4C78">
              <w:t>75% (69–80)</w:t>
            </w:r>
          </w:p>
        </w:tc>
        <w:tc>
          <w:tcPr>
            <w:tcW w:w="909" w:type="pct"/>
            <w:shd w:val="clear" w:color="auto" w:fill="auto"/>
            <w:vAlign w:val="center"/>
          </w:tcPr>
          <w:p w:rsidR="00C30B65" w:rsidRPr="00DC4C78" w:rsidRDefault="00C30B65" w:rsidP="00C30B65">
            <w:pPr>
              <w:pStyle w:val="TableText"/>
              <w:jc w:val="center"/>
            </w:pPr>
            <w:r w:rsidRPr="00DC4C78">
              <w:t>68% (56–75)</w:t>
            </w:r>
          </w:p>
        </w:tc>
        <w:tc>
          <w:tcPr>
            <w:tcW w:w="779" w:type="pct"/>
            <w:shd w:val="clear" w:color="auto" w:fill="auto"/>
            <w:vAlign w:val="center"/>
          </w:tcPr>
          <w:p w:rsidR="00C30B65" w:rsidRPr="00DC4C78" w:rsidRDefault="00C30B65" w:rsidP="00C30B65">
            <w:pPr>
              <w:pStyle w:val="TableText"/>
              <w:jc w:val="center"/>
            </w:pPr>
            <w:r w:rsidRPr="00DC4C78">
              <w:t>72% (60–80)</w:t>
            </w:r>
          </w:p>
        </w:tc>
        <w:tc>
          <w:tcPr>
            <w:tcW w:w="887" w:type="pct"/>
            <w:shd w:val="clear" w:color="auto" w:fill="auto"/>
            <w:vAlign w:val="center"/>
          </w:tcPr>
          <w:p w:rsidR="00C30B65" w:rsidRPr="00DC4C78" w:rsidRDefault="00C30B65" w:rsidP="00C30B65">
            <w:pPr>
              <w:pStyle w:val="TableText"/>
              <w:jc w:val="center"/>
            </w:pPr>
            <w:r w:rsidRPr="00DC4C78">
              <w:t>60% (48–75)</w:t>
            </w:r>
          </w:p>
        </w:tc>
      </w:tr>
      <w:tr w:rsidR="00C30B65" w:rsidRPr="00DC4C78" w:rsidTr="00C30B65">
        <w:trPr>
          <w:cantSplit/>
        </w:trPr>
        <w:tc>
          <w:tcPr>
            <w:tcW w:w="1439" w:type="pct"/>
            <w:shd w:val="clear" w:color="auto" w:fill="auto"/>
          </w:tcPr>
          <w:p w:rsidR="00C30B65" w:rsidRPr="00DC4C78" w:rsidRDefault="00781033" w:rsidP="00C30B65">
            <w:pPr>
              <w:pStyle w:val="TableText"/>
            </w:pPr>
            <w:r>
              <w:t>March 2015 mean (range)</w:t>
            </w:r>
          </w:p>
        </w:tc>
        <w:tc>
          <w:tcPr>
            <w:tcW w:w="985" w:type="pct"/>
            <w:shd w:val="clear" w:color="auto" w:fill="auto"/>
            <w:vAlign w:val="center"/>
          </w:tcPr>
          <w:p w:rsidR="00C30B65" w:rsidRPr="00DC4C78" w:rsidRDefault="00C30B65" w:rsidP="00C30B65">
            <w:pPr>
              <w:pStyle w:val="TableText"/>
              <w:jc w:val="center"/>
            </w:pPr>
            <w:r w:rsidRPr="00DC4C78">
              <w:t>75% (70–81)</w:t>
            </w:r>
          </w:p>
        </w:tc>
        <w:tc>
          <w:tcPr>
            <w:tcW w:w="909" w:type="pct"/>
            <w:shd w:val="clear" w:color="auto" w:fill="auto"/>
            <w:vAlign w:val="center"/>
          </w:tcPr>
          <w:p w:rsidR="00C30B65" w:rsidRPr="00DC4C78" w:rsidRDefault="00C30B65" w:rsidP="00C30B65">
            <w:pPr>
              <w:pStyle w:val="TableText"/>
              <w:jc w:val="center"/>
            </w:pPr>
            <w:r w:rsidRPr="00DC4C78">
              <w:t>69% (63–80)</w:t>
            </w:r>
          </w:p>
        </w:tc>
        <w:tc>
          <w:tcPr>
            <w:tcW w:w="779" w:type="pct"/>
            <w:shd w:val="clear" w:color="auto" w:fill="auto"/>
            <w:vAlign w:val="center"/>
          </w:tcPr>
          <w:p w:rsidR="00C30B65" w:rsidRPr="00DC4C78" w:rsidRDefault="00C30B65" w:rsidP="00C30B65">
            <w:pPr>
              <w:pStyle w:val="TableText"/>
              <w:jc w:val="center"/>
            </w:pPr>
            <w:r w:rsidRPr="00DC4C78">
              <w:t>71% (58–79)</w:t>
            </w:r>
          </w:p>
        </w:tc>
        <w:tc>
          <w:tcPr>
            <w:tcW w:w="887" w:type="pct"/>
            <w:shd w:val="clear" w:color="auto" w:fill="auto"/>
            <w:vAlign w:val="center"/>
          </w:tcPr>
          <w:p w:rsidR="00C30B65" w:rsidRPr="00DC4C78" w:rsidRDefault="00C30B65" w:rsidP="00C30B65">
            <w:pPr>
              <w:pStyle w:val="TableText"/>
              <w:jc w:val="center"/>
            </w:pPr>
            <w:r w:rsidRPr="00DC4C78">
              <w:t>61% (42–94)</w:t>
            </w:r>
          </w:p>
        </w:tc>
      </w:tr>
    </w:tbl>
    <w:p w:rsidR="00C30B65" w:rsidRPr="00DC4C78" w:rsidRDefault="00C30B65" w:rsidP="00C30B65"/>
    <w:p w:rsidR="00C30B65" w:rsidRPr="00DC4C78" w:rsidRDefault="00C30B65" w:rsidP="00C30B65">
      <w:pPr>
        <w:pStyle w:val="Figure"/>
      </w:pPr>
      <w:bookmarkStart w:id="309" w:name="_Toc405447460"/>
      <w:bookmarkStart w:id="310" w:name="_Toc417554811"/>
      <w:bookmarkStart w:id="311" w:name="_Toc436750546"/>
      <w:bookmarkStart w:id="312" w:name="_Toc440387869"/>
      <w:r w:rsidRPr="00DC4C78">
        <w:t>Figure 49: Children are a healthy weight at age four years, total New Zealand</w:t>
      </w:r>
      <w:bookmarkEnd w:id="309"/>
      <w:bookmarkEnd w:id="310"/>
      <w:bookmarkEnd w:id="311"/>
      <w:bookmarkEnd w:id="312"/>
    </w:p>
    <w:p w:rsidR="00C30B65" w:rsidRPr="00DC4C78" w:rsidRDefault="0028403B" w:rsidP="0028403B">
      <w:r>
        <w:rPr>
          <w:noProof/>
          <w:lang w:eastAsia="en-NZ"/>
        </w:rPr>
        <w:drawing>
          <wp:inline distT="0" distB="0" distL="0" distR="0" wp14:anchorId="5B1FCB24">
            <wp:extent cx="4320000" cy="2520000"/>
            <wp:effectExtent l="0" t="0" r="4445" b="0"/>
            <wp:docPr id="180" name="Picture 180" title="Figure 49: Children are a healthy weight at age four years, total New Zeala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inline>
        </w:drawing>
      </w:r>
    </w:p>
    <w:p w:rsidR="00C30B65" w:rsidRPr="00DC4C78" w:rsidRDefault="00C30B65" w:rsidP="00C30B65"/>
    <w:p w:rsidR="00C30B65" w:rsidRPr="00DC4C78" w:rsidRDefault="00C30B65" w:rsidP="00C30B65">
      <w:pPr>
        <w:pStyle w:val="Figure"/>
      </w:pPr>
      <w:bookmarkStart w:id="313" w:name="_Toc405447461"/>
      <w:bookmarkStart w:id="314" w:name="_Toc417554812"/>
      <w:bookmarkStart w:id="315" w:name="_Toc436750547"/>
      <w:bookmarkStart w:id="316" w:name="_Toc440387870"/>
      <w:r w:rsidRPr="00DC4C78">
        <w:t>Figure 50: Children are a healthy weight at age four years, high deprivation</w:t>
      </w:r>
      <w:bookmarkEnd w:id="313"/>
      <w:bookmarkEnd w:id="314"/>
      <w:bookmarkEnd w:id="315"/>
      <w:r>
        <w:t xml:space="preserve"> population</w:t>
      </w:r>
      <w:bookmarkEnd w:id="316"/>
    </w:p>
    <w:p w:rsidR="00C30B65" w:rsidRPr="00DC4C78" w:rsidRDefault="0028403B" w:rsidP="0028403B">
      <w:r>
        <w:rPr>
          <w:noProof/>
          <w:lang w:eastAsia="en-NZ"/>
        </w:rPr>
        <w:drawing>
          <wp:inline distT="0" distB="0" distL="0" distR="0" wp14:anchorId="56E5E8EE">
            <wp:extent cx="4320000" cy="2520000"/>
            <wp:effectExtent l="0" t="0" r="4445" b="0"/>
            <wp:docPr id="181" name="Picture 181" title="Figure 50: Children are a healthy weight at age four years, high deprivation popul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inline>
        </w:drawing>
      </w:r>
    </w:p>
    <w:p w:rsidR="00C30B65" w:rsidRPr="00DC4C78" w:rsidRDefault="00C30B65" w:rsidP="00C30B65"/>
    <w:p w:rsidR="00C30B65" w:rsidRPr="00DC4C78" w:rsidRDefault="00C30B65" w:rsidP="00C30B65">
      <w:pPr>
        <w:pStyle w:val="Figure"/>
      </w:pPr>
      <w:bookmarkStart w:id="317" w:name="_Toc405447462"/>
      <w:bookmarkStart w:id="318" w:name="_Toc417554813"/>
      <w:bookmarkStart w:id="319" w:name="_Toc436750548"/>
      <w:bookmarkStart w:id="320" w:name="_Toc440387871"/>
      <w:r w:rsidRPr="00DC4C78">
        <w:lastRenderedPageBreak/>
        <w:t>Figure 51: Children are a healthy weight at age four years, Māori</w:t>
      </w:r>
      <w:bookmarkEnd w:id="317"/>
      <w:bookmarkEnd w:id="318"/>
      <w:bookmarkEnd w:id="319"/>
      <w:bookmarkEnd w:id="320"/>
    </w:p>
    <w:p w:rsidR="00C30B65" w:rsidRPr="00DC4C78" w:rsidRDefault="0028403B" w:rsidP="0028403B">
      <w:r>
        <w:rPr>
          <w:noProof/>
          <w:lang w:eastAsia="en-NZ"/>
        </w:rPr>
        <w:drawing>
          <wp:inline distT="0" distB="0" distL="0" distR="0" wp14:anchorId="06269D2E">
            <wp:extent cx="4320000" cy="2520000"/>
            <wp:effectExtent l="0" t="0" r="4445" b="0"/>
            <wp:docPr id="182" name="Picture 182" title="Figure 51: Children are a healthy weight at age four years, Māor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inline>
        </w:drawing>
      </w:r>
    </w:p>
    <w:p w:rsidR="00C30B65" w:rsidRPr="00DC4C78" w:rsidRDefault="00C30B65" w:rsidP="00C30B65"/>
    <w:p w:rsidR="00C30B65" w:rsidRPr="00DC4C78" w:rsidRDefault="00C30B65" w:rsidP="00C30B65">
      <w:pPr>
        <w:pStyle w:val="Figure"/>
      </w:pPr>
      <w:bookmarkStart w:id="321" w:name="_Toc405447463"/>
      <w:bookmarkStart w:id="322" w:name="_Toc417554814"/>
      <w:bookmarkStart w:id="323" w:name="_Toc436750549"/>
      <w:bookmarkStart w:id="324" w:name="_Toc440387872"/>
      <w:r w:rsidRPr="00DC4C78">
        <w:t>Figure 52: Children are a healthy weight at age four years, Pacific peoples</w:t>
      </w:r>
      <w:bookmarkEnd w:id="321"/>
      <w:bookmarkEnd w:id="322"/>
      <w:bookmarkEnd w:id="323"/>
      <w:bookmarkEnd w:id="324"/>
    </w:p>
    <w:p w:rsidR="00C30B65" w:rsidRPr="00DC4C78" w:rsidRDefault="00377582" w:rsidP="00377582">
      <w:r>
        <w:rPr>
          <w:noProof/>
          <w:lang w:eastAsia="en-NZ"/>
        </w:rPr>
        <w:drawing>
          <wp:inline distT="0" distB="0" distL="0" distR="0" wp14:anchorId="2604610D">
            <wp:extent cx="4320000" cy="2520000"/>
            <wp:effectExtent l="0" t="0" r="4445" b="0"/>
            <wp:docPr id="18" name="Picture 18" title="Figure 52: Children are a healthy weight at age four years, Pacific peop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inline>
        </w:drawing>
      </w:r>
    </w:p>
    <w:p w:rsidR="00C30B65" w:rsidRPr="00DC4C78" w:rsidRDefault="00C30B65" w:rsidP="00C30B65"/>
    <w:p w:rsidR="00C30B65" w:rsidRPr="00DC4C78" w:rsidRDefault="00C30B65" w:rsidP="00C30B65">
      <w:pPr>
        <w:pStyle w:val="Heading3"/>
      </w:pPr>
      <w:r w:rsidRPr="00DC4C78">
        <w:t>Data notes</w:t>
      </w:r>
    </w:p>
    <w:p w:rsidR="00C30B65" w:rsidRPr="00DC4C78" w:rsidRDefault="00C30B65" w:rsidP="00C30B65">
      <w:pPr>
        <w:pStyle w:val="Bullet"/>
      </w:pPr>
      <w:r w:rsidRPr="00DC4C78">
        <w:t>No bar on graph = fewer than 20 children in this category.</w:t>
      </w:r>
    </w:p>
    <w:p w:rsidR="00C30B65" w:rsidRPr="00DC4C78" w:rsidRDefault="00C30B65" w:rsidP="00C30B65">
      <w:pPr>
        <w:pStyle w:val="Bullet"/>
      </w:pPr>
      <w:r w:rsidRPr="00DC4C78">
        <w:t>Time period: children receiving a B4 School Check between 1 January 2015 and 30 June 2015.</w:t>
      </w:r>
    </w:p>
    <w:p w:rsidR="00C30B65" w:rsidRPr="00DC4C78" w:rsidRDefault="00C30B65" w:rsidP="00C30B65">
      <w:pPr>
        <w:pStyle w:val="Bullet"/>
      </w:pPr>
      <w:r w:rsidRPr="00DC4C78">
        <w:t>DHB is DHB of service.</w:t>
      </w:r>
    </w:p>
    <w:p w:rsidR="00C30B65" w:rsidRPr="00DC4C78" w:rsidRDefault="00C30B65" w:rsidP="00C30B65">
      <w:pPr>
        <w:pStyle w:val="Bullet"/>
      </w:pPr>
      <w:r w:rsidRPr="00DC4C78">
        <w:t>Numerator: children with a BMI between the 5th and 84th percentile at B4 School Check (source: B4 School Check).</w:t>
      </w:r>
    </w:p>
    <w:p w:rsidR="00C30B65" w:rsidRPr="00DC4C78" w:rsidRDefault="00C30B65" w:rsidP="00C30B65">
      <w:pPr>
        <w:pStyle w:val="Bullet"/>
      </w:pPr>
      <w:r w:rsidRPr="00DC4C78">
        <w:t>Denominator: children with a BMI recorded at B4 School Check (source: B4 School Check).</w:t>
      </w:r>
    </w:p>
    <w:p w:rsidR="00C30B65" w:rsidRPr="00DC4C78" w:rsidRDefault="00C30B65" w:rsidP="00C30B65"/>
    <w:p w:rsidR="00C30B65" w:rsidRPr="00DC4C78" w:rsidRDefault="00C30B65" w:rsidP="00C30B65">
      <w:pPr>
        <w:pStyle w:val="Heading2"/>
        <w:spacing w:before="0"/>
      </w:pPr>
      <w:bookmarkStart w:id="325" w:name="_Toc365618458"/>
      <w:bookmarkStart w:id="326" w:name="_Toc405453781"/>
      <w:bookmarkStart w:id="327" w:name="_Toc418322791"/>
      <w:bookmarkStart w:id="328" w:name="_Toc419099459"/>
      <w:bookmarkStart w:id="329" w:name="_Toc440387805"/>
      <w:r w:rsidRPr="00DC4C78">
        <w:lastRenderedPageBreak/>
        <w:t>WCTO Quality Improvement Framework Indicator 16</w:t>
      </w:r>
      <w:bookmarkEnd w:id="325"/>
      <w:bookmarkEnd w:id="326"/>
      <w:bookmarkEnd w:id="327"/>
      <w:bookmarkEnd w:id="328"/>
      <w:bookmarkEnd w:id="329"/>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701"/>
        <w:gridCol w:w="7655"/>
      </w:tblGrid>
      <w:tr w:rsidR="00C30B65" w:rsidRPr="00DC4C78" w:rsidTr="00C30B65">
        <w:trPr>
          <w:cantSplit/>
        </w:trPr>
        <w:tc>
          <w:tcPr>
            <w:tcW w:w="1701" w:type="dxa"/>
            <w:tcBorders>
              <w:top w:val="single" w:sz="4" w:space="0" w:color="auto"/>
              <w:bottom w:val="nil"/>
            </w:tcBorders>
            <w:shd w:val="clear" w:color="auto" w:fill="F2F2F2"/>
          </w:tcPr>
          <w:p w:rsidR="00C30B65" w:rsidRPr="00DC4C78" w:rsidRDefault="00C30B65" w:rsidP="00781033">
            <w:pPr>
              <w:pStyle w:val="TableText"/>
              <w:keepNext/>
              <w:rPr>
                <w:b/>
              </w:rPr>
            </w:pPr>
            <w:r w:rsidRPr="00DC4C78">
              <w:rPr>
                <w:b/>
              </w:rPr>
              <w:t>Standard</w:t>
            </w:r>
          </w:p>
        </w:tc>
        <w:tc>
          <w:tcPr>
            <w:tcW w:w="7655" w:type="dxa"/>
            <w:tcBorders>
              <w:top w:val="single" w:sz="4" w:space="0" w:color="auto"/>
              <w:bottom w:val="nil"/>
            </w:tcBorders>
            <w:shd w:val="clear" w:color="auto" w:fill="F2F2F2"/>
          </w:tcPr>
          <w:p w:rsidR="00C30B65" w:rsidRPr="00DC4C78" w:rsidRDefault="00C30B65" w:rsidP="00781033">
            <w:pPr>
              <w:pStyle w:val="TableText"/>
              <w:keepNext/>
            </w:pPr>
            <w:r w:rsidRPr="00DC4C78">
              <w:t xml:space="preserve">WCTO providers use evidence-based interventions and education to promote child, family and </w:t>
            </w:r>
            <w:proofErr w:type="spellStart"/>
            <w:r w:rsidRPr="00DC4C78">
              <w:t>whānau</w:t>
            </w:r>
            <w:proofErr w:type="spellEnd"/>
            <w:r w:rsidRPr="00DC4C78">
              <w:t xml:space="preserve"> health and wellbeing.</w:t>
            </w:r>
          </w:p>
        </w:tc>
      </w:tr>
      <w:tr w:rsidR="00C30B65" w:rsidRPr="00DC4C78" w:rsidTr="00C30B65">
        <w:trPr>
          <w:cantSplit/>
        </w:trPr>
        <w:tc>
          <w:tcPr>
            <w:tcW w:w="1701" w:type="dxa"/>
            <w:tcBorders>
              <w:top w:val="nil"/>
              <w:bottom w:val="nil"/>
            </w:tcBorders>
            <w:shd w:val="clear" w:color="auto" w:fill="auto"/>
          </w:tcPr>
          <w:p w:rsidR="00C30B65" w:rsidRPr="00DC4C78" w:rsidRDefault="00C30B65" w:rsidP="00781033">
            <w:pPr>
              <w:pStyle w:val="TableText"/>
              <w:keepNext/>
              <w:rPr>
                <w:b/>
              </w:rPr>
            </w:pPr>
            <w:r w:rsidRPr="00DC4C78">
              <w:rPr>
                <w:b/>
              </w:rPr>
              <w:t>Indicator</w:t>
            </w:r>
          </w:p>
        </w:tc>
        <w:tc>
          <w:tcPr>
            <w:tcW w:w="7655" w:type="dxa"/>
            <w:tcBorders>
              <w:top w:val="nil"/>
              <w:bottom w:val="nil"/>
            </w:tcBorders>
          </w:tcPr>
          <w:p w:rsidR="00C30B65" w:rsidRPr="00DC4C78" w:rsidRDefault="00C30B65" w:rsidP="00781033">
            <w:pPr>
              <w:pStyle w:val="TableText"/>
              <w:keepNext/>
            </w:pPr>
            <w:r w:rsidRPr="00DC4C78">
              <w:t>Children are caries free at five years.</w:t>
            </w:r>
          </w:p>
        </w:tc>
      </w:tr>
      <w:tr w:rsidR="00C30B65" w:rsidRPr="00DC4C78" w:rsidTr="00C30B65">
        <w:trPr>
          <w:cantSplit/>
        </w:trPr>
        <w:tc>
          <w:tcPr>
            <w:tcW w:w="1701" w:type="dxa"/>
            <w:tcBorders>
              <w:top w:val="nil"/>
              <w:bottom w:val="nil"/>
            </w:tcBorders>
            <w:shd w:val="clear" w:color="auto" w:fill="F2F2F2"/>
          </w:tcPr>
          <w:p w:rsidR="00C30B65" w:rsidRPr="00DC4C78" w:rsidRDefault="00C30B65" w:rsidP="00C30B65">
            <w:pPr>
              <w:pStyle w:val="TableText"/>
              <w:rPr>
                <w:b/>
              </w:rPr>
            </w:pPr>
            <w:r w:rsidRPr="00DC4C78">
              <w:rPr>
                <w:b/>
              </w:rPr>
              <w:t>Target by December 2014</w:t>
            </w:r>
          </w:p>
        </w:tc>
        <w:tc>
          <w:tcPr>
            <w:tcW w:w="7655" w:type="dxa"/>
            <w:tcBorders>
              <w:top w:val="nil"/>
              <w:bottom w:val="nil"/>
            </w:tcBorders>
            <w:shd w:val="clear" w:color="auto" w:fill="F2F2F2"/>
          </w:tcPr>
          <w:p w:rsidR="00C30B65" w:rsidRPr="00DC4C78" w:rsidRDefault="00C30B65" w:rsidP="00C30B65">
            <w:pPr>
              <w:pStyle w:val="TableText"/>
            </w:pPr>
            <w:r w:rsidRPr="00DC4C78">
              <w:t>65 percent</w:t>
            </w:r>
          </w:p>
        </w:tc>
      </w:tr>
      <w:tr w:rsidR="00C30B65" w:rsidRPr="00DC4C78" w:rsidTr="00C30B65">
        <w:trPr>
          <w:cantSplit/>
        </w:trPr>
        <w:tc>
          <w:tcPr>
            <w:tcW w:w="1701" w:type="dxa"/>
            <w:tcBorders>
              <w:top w:val="nil"/>
            </w:tcBorders>
            <w:shd w:val="clear" w:color="auto" w:fill="auto"/>
          </w:tcPr>
          <w:p w:rsidR="00C30B65" w:rsidRPr="00DC4C78" w:rsidRDefault="00C30B65" w:rsidP="00C30B65">
            <w:pPr>
              <w:pStyle w:val="TableText"/>
              <w:rPr>
                <w:b/>
              </w:rPr>
            </w:pPr>
            <w:r w:rsidRPr="00DC4C78">
              <w:rPr>
                <w:b/>
              </w:rPr>
              <w:t>Target by June 2016</w:t>
            </w:r>
          </w:p>
        </w:tc>
        <w:tc>
          <w:tcPr>
            <w:tcW w:w="7655" w:type="dxa"/>
            <w:tcBorders>
              <w:top w:val="nil"/>
            </w:tcBorders>
          </w:tcPr>
          <w:p w:rsidR="00C30B65" w:rsidRPr="00DC4C78" w:rsidRDefault="00C30B65" w:rsidP="00C30B65">
            <w:pPr>
              <w:pStyle w:val="TableText"/>
            </w:pPr>
            <w:r w:rsidRPr="00DC4C78">
              <w:t>65 percent</w:t>
            </w:r>
          </w:p>
        </w:tc>
      </w:tr>
    </w:tbl>
    <w:p w:rsidR="00C30B65" w:rsidRPr="00DC4C78" w:rsidRDefault="00C30B65" w:rsidP="00C30B65"/>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93"/>
        <w:gridCol w:w="1843"/>
        <w:gridCol w:w="1701"/>
        <w:gridCol w:w="142"/>
        <w:gridCol w:w="1315"/>
        <w:gridCol w:w="1661"/>
      </w:tblGrid>
      <w:tr w:rsidR="00C30B65" w:rsidRPr="00DC4C78" w:rsidTr="00C30B65">
        <w:trPr>
          <w:cantSplit/>
        </w:trPr>
        <w:tc>
          <w:tcPr>
            <w:tcW w:w="1439" w:type="pct"/>
            <w:tcBorders>
              <w:bottom w:val="single" w:sz="4" w:space="0" w:color="auto"/>
            </w:tcBorders>
            <w:shd w:val="clear" w:color="auto" w:fill="F2F2F2"/>
          </w:tcPr>
          <w:p w:rsidR="00C30B65" w:rsidRPr="00DC4C78" w:rsidRDefault="00C30B65" w:rsidP="00C30B65">
            <w:pPr>
              <w:pStyle w:val="TableText"/>
              <w:rPr>
                <w:b/>
              </w:rPr>
            </w:pPr>
          </w:p>
        </w:tc>
        <w:tc>
          <w:tcPr>
            <w:tcW w:w="985" w:type="pct"/>
            <w:tcBorders>
              <w:bottom w:val="single" w:sz="4" w:space="0" w:color="auto"/>
            </w:tcBorders>
            <w:shd w:val="clear" w:color="auto" w:fill="F2F2F2"/>
          </w:tcPr>
          <w:p w:rsidR="00C30B65" w:rsidRPr="00DC4C78" w:rsidRDefault="00C30B65" w:rsidP="00C30B65">
            <w:pPr>
              <w:pStyle w:val="TableText"/>
              <w:jc w:val="center"/>
              <w:rPr>
                <w:b/>
              </w:rPr>
            </w:pPr>
            <w:r w:rsidRPr="00DC4C78">
              <w:rPr>
                <w:b/>
              </w:rPr>
              <w:t>Total New Zealand</w:t>
            </w:r>
          </w:p>
        </w:tc>
        <w:tc>
          <w:tcPr>
            <w:tcW w:w="909" w:type="pct"/>
            <w:tcBorders>
              <w:bottom w:val="single" w:sz="4" w:space="0" w:color="auto"/>
            </w:tcBorders>
            <w:shd w:val="clear" w:color="auto" w:fill="F2F2F2"/>
          </w:tcPr>
          <w:p w:rsidR="00C30B65" w:rsidRPr="00DC4C78" w:rsidRDefault="00C30B65" w:rsidP="00C30B65">
            <w:pPr>
              <w:pStyle w:val="TableText"/>
              <w:jc w:val="center"/>
              <w:rPr>
                <w:b/>
              </w:rPr>
            </w:pPr>
            <w:r w:rsidRPr="00DC4C78">
              <w:rPr>
                <w:b/>
              </w:rPr>
              <w:t>High deprivation</w:t>
            </w:r>
          </w:p>
        </w:tc>
        <w:tc>
          <w:tcPr>
            <w:tcW w:w="779" w:type="pct"/>
            <w:gridSpan w:val="2"/>
            <w:tcBorders>
              <w:bottom w:val="single" w:sz="4" w:space="0" w:color="auto"/>
            </w:tcBorders>
            <w:shd w:val="clear" w:color="auto" w:fill="F2F2F2"/>
          </w:tcPr>
          <w:p w:rsidR="00C30B65" w:rsidRPr="00DC4C78" w:rsidRDefault="00C30B65" w:rsidP="00C30B65">
            <w:pPr>
              <w:pStyle w:val="TableText"/>
              <w:jc w:val="center"/>
              <w:rPr>
                <w:b/>
              </w:rPr>
            </w:pPr>
            <w:r w:rsidRPr="00DC4C78">
              <w:rPr>
                <w:b/>
              </w:rPr>
              <w:t>Māori</w:t>
            </w:r>
          </w:p>
        </w:tc>
        <w:tc>
          <w:tcPr>
            <w:tcW w:w="888" w:type="pct"/>
            <w:tcBorders>
              <w:bottom w:val="single" w:sz="4" w:space="0" w:color="auto"/>
            </w:tcBorders>
            <w:shd w:val="clear" w:color="auto" w:fill="F2F2F2"/>
          </w:tcPr>
          <w:p w:rsidR="00C30B65" w:rsidRPr="00DC4C78" w:rsidRDefault="00C30B65" w:rsidP="00C30B65">
            <w:pPr>
              <w:pStyle w:val="TableText"/>
              <w:jc w:val="center"/>
              <w:rPr>
                <w:b/>
              </w:rPr>
            </w:pPr>
            <w:r w:rsidRPr="00DC4C78">
              <w:rPr>
                <w:b/>
              </w:rPr>
              <w:t>Pacific peoples</w:t>
            </w:r>
          </w:p>
        </w:tc>
      </w:tr>
      <w:tr w:rsidR="00C30B65" w:rsidRPr="00DC4C78" w:rsidTr="00C30B65">
        <w:trPr>
          <w:cantSplit/>
        </w:trPr>
        <w:tc>
          <w:tcPr>
            <w:tcW w:w="1439" w:type="pct"/>
            <w:tcBorders>
              <w:right w:val="nil"/>
            </w:tcBorders>
            <w:shd w:val="clear" w:color="auto" w:fill="auto"/>
          </w:tcPr>
          <w:p w:rsidR="00C30B65" w:rsidRPr="00DC4C78" w:rsidRDefault="00C30B65" w:rsidP="00C30B65">
            <w:pPr>
              <w:pStyle w:val="TableText"/>
            </w:pPr>
            <w:r w:rsidRPr="00DC4C78">
              <w:t>September 2015 mean (range)</w:t>
            </w:r>
          </w:p>
        </w:tc>
        <w:tc>
          <w:tcPr>
            <w:tcW w:w="985" w:type="pct"/>
            <w:tcBorders>
              <w:left w:val="nil"/>
              <w:right w:val="nil"/>
            </w:tcBorders>
            <w:shd w:val="clear" w:color="auto" w:fill="auto"/>
            <w:vAlign w:val="center"/>
          </w:tcPr>
          <w:p w:rsidR="00C30B65" w:rsidRPr="00DC4C78" w:rsidRDefault="00C30B65" w:rsidP="00C30B65">
            <w:pPr>
              <w:pStyle w:val="TableText"/>
              <w:jc w:val="center"/>
            </w:pPr>
            <w:r w:rsidRPr="00DC4C78">
              <w:t>59% (34–68)</w:t>
            </w:r>
          </w:p>
        </w:tc>
        <w:tc>
          <w:tcPr>
            <w:tcW w:w="985" w:type="pct"/>
            <w:gridSpan w:val="2"/>
            <w:tcBorders>
              <w:left w:val="nil"/>
              <w:right w:val="nil"/>
            </w:tcBorders>
            <w:shd w:val="clear" w:color="auto" w:fill="auto"/>
            <w:vAlign w:val="center"/>
          </w:tcPr>
          <w:p w:rsidR="00C30B65" w:rsidRPr="00DC4C78" w:rsidRDefault="00C30B65" w:rsidP="00C30B65">
            <w:pPr>
              <w:pStyle w:val="TableText"/>
              <w:jc w:val="center"/>
            </w:pPr>
            <w:r>
              <w:t>N/A</w:t>
            </w:r>
          </w:p>
        </w:tc>
        <w:tc>
          <w:tcPr>
            <w:tcW w:w="703" w:type="pct"/>
            <w:tcBorders>
              <w:left w:val="nil"/>
              <w:right w:val="nil"/>
            </w:tcBorders>
            <w:shd w:val="clear" w:color="auto" w:fill="auto"/>
            <w:vAlign w:val="center"/>
          </w:tcPr>
          <w:p w:rsidR="00C30B65" w:rsidRPr="00DC4C78" w:rsidRDefault="00C30B65" w:rsidP="00C30B65">
            <w:pPr>
              <w:pStyle w:val="TableText"/>
              <w:jc w:val="center"/>
            </w:pPr>
            <w:r w:rsidRPr="00DC4C78">
              <w:t>40% (25–56)</w:t>
            </w:r>
          </w:p>
        </w:tc>
        <w:tc>
          <w:tcPr>
            <w:tcW w:w="888" w:type="pct"/>
            <w:tcBorders>
              <w:left w:val="nil"/>
              <w:right w:val="nil"/>
            </w:tcBorders>
            <w:shd w:val="clear" w:color="auto" w:fill="auto"/>
            <w:vAlign w:val="center"/>
          </w:tcPr>
          <w:p w:rsidR="00C30B65" w:rsidRPr="00DC4C78" w:rsidRDefault="00C30B65" w:rsidP="00C30B65">
            <w:pPr>
              <w:pStyle w:val="TableText"/>
              <w:jc w:val="center"/>
            </w:pPr>
            <w:r w:rsidRPr="00DC4C78">
              <w:t>36% (22–65)</w:t>
            </w:r>
          </w:p>
        </w:tc>
      </w:tr>
      <w:tr w:rsidR="00C30B65" w:rsidRPr="00DC4C78" w:rsidTr="00C30B65">
        <w:trPr>
          <w:cantSplit/>
        </w:trPr>
        <w:tc>
          <w:tcPr>
            <w:tcW w:w="1439" w:type="pct"/>
            <w:tcBorders>
              <w:right w:val="nil"/>
            </w:tcBorders>
            <w:shd w:val="clear" w:color="auto" w:fill="auto"/>
          </w:tcPr>
          <w:p w:rsidR="00C30B65" w:rsidRPr="00DC4C78" w:rsidRDefault="00C30B65" w:rsidP="00C30B65">
            <w:pPr>
              <w:pStyle w:val="TableText"/>
            </w:pPr>
            <w:r w:rsidRPr="00DC4C78">
              <w:t>September 2014 mean (range)</w:t>
            </w:r>
          </w:p>
        </w:tc>
        <w:tc>
          <w:tcPr>
            <w:tcW w:w="985" w:type="pct"/>
            <w:tcBorders>
              <w:left w:val="nil"/>
              <w:right w:val="nil"/>
            </w:tcBorders>
            <w:shd w:val="clear" w:color="auto" w:fill="auto"/>
            <w:vAlign w:val="center"/>
          </w:tcPr>
          <w:p w:rsidR="00C30B65" w:rsidRPr="00DC4C78" w:rsidRDefault="00C30B65" w:rsidP="00C30B65">
            <w:pPr>
              <w:pStyle w:val="TableText"/>
              <w:jc w:val="center"/>
            </w:pPr>
            <w:r w:rsidRPr="00DC4C78">
              <w:t>57% (34–68)</w:t>
            </w:r>
          </w:p>
        </w:tc>
        <w:tc>
          <w:tcPr>
            <w:tcW w:w="985" w:type="pct"/>
            <w:gridSpan w:val="2"/>
            <w:tcBorders>
              <w:left w:val="nil"/>
              <w:right w:val="nil"/>
            </w:tcBorders>
            <w:shd w:val="clear" w:color="auto" w:fill="auto"/>
            <w:vAlign w:val="center"/>
          </w:tcPr>
          <w:p w:rsidR="00C30B65" w:rsidRPr="00DC4C78" w:rsidRDefault="00C30B65" w:rsidP="00C30B65">
            <w:pPr>
              <w:pStyle w:val="TableText"/>
              <w:jc w:val="center"/>
            </w:pPr>
            <w:r>
              <w:t>N/A</w:t>
            </w:r>
          </w:p>
        </w:tc>
        <w:tc>
          <w:tcPr>
            <w:tcW w:w="703" w:type="pct"/>
            <w:tcBorders>
              <w:left w:val="nil"/>
              <w:right w:val="nil"/>
            </w:tcBorders>
            <w:shd w:val="clear" w:color="auto" w:fill="auto"/>
            <w:vAlign w:val="center"/>
          </w:tcPr>
          <w:p w:rsidR="00C30B65" w:rsidRPr="00DC4C78" w:rsidRDefault="00C30B65" w:rsidP="00C30B65">
            <w:pPr>
              <w:pStyle w:val="TableText"/>
              <w:jc w:val="center"/>
            </w:pPr>
            <w:r w:rsidRPr="00DC4C78">
              <w:t>37% (23–53)</w:t>
            </w:r>
          </w:p>
        </w:tc>
        <w:tc>
          <w:tcPr>
            <w:tcW w:w="888" w:type="pct"/>
            <w:tcBorders>
              <w:left w:val="nil"/>
              <w:right w:val="nil"/>
            </w:tcBorders>
            <w:shd w:val="clear" w:color="auto" w:fill="auto"/>
            <w:vAlign w:val="center"/>
          </w:tcPr>
          <w:p w:rsidR="00C30B65" w:rsidRPr="00DC4C78" w:rsidRDefault="00C30B65" w:rsidP="00C30B65">
            <w:pPr>
              <w:pStyle w:val="TableText"/>
              <w:jc w:val="center"/>
            </w:pPr>
            <w:r w:rsidRPr="00DC4C78">
              <w:t>36% (10–86)</w:t>
            </w:r>
          </w:p>
        </w:tc>
      </w:tr>
    </w:tbl>
    <w:p w:rsidR="00C30B65" w:rsidRPr="00DC4C78" w:rsidRDefault="00C30B65" w:rsidP="00C30B65"/>
    <w:p w:rsidR="00C30B65" w:rsidRPr="00DC4C78" w:rsidRDefault="00C30B65" w:rsidP="00C30B65">
      <w:pPr>
        <w:pStyle w:val="Figure"/>
      </w:pPr>
      <w:bookmarkStart w:id="330" w:name="_Toc436750550"/>
      <w:bookmarkStart w:id="331" w:name="_Toc440387873"/>
      <w:r w:rsidRPr="00DC4C78">
        <w:t>Figure 53: Children are caries free at five years, total New Zealand</w:t>
      </w:r>
      <w:bookmarkEnd w:id="330"/>
      <w:bookmarkEnd w:id="331"/>
    </w:p>
    <w:p w:rsidR="00C30B65" w:rsidRPr="00DC4C78" w:rsidRDefault="0094385A" w:rsidP="0094385A">
      <w:r>
        <w:rPr>
          <w:noProof/>
          <w:lang w:eastAsia="en-NZ"/>
        </w:rPr>
        <w:drawing>
          <wp:inline distT="0" distB="0" distL="0" distR="0" wp14:anchorId="5B262931">
            <wp:extent cx="4320000" cy="2520000"/>
            <wp:effectExtent l="0" t="0" r="4445" b="0"/>
            <wp:docPr id="184" name="Picture 184" title="Figure 53: Children are caries free at five years, total New Zeala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inline>
        </w:drawing>
      </w:r>
    </w:p>
    <w:p w:rsidR="00C30B65" w:rsidRPr="00DC4C78" w:rsidRDefault="00C30B65" w:rsidP="00C30B65"/>
    <w:p w:rsidR="00C30B65" w:rsidRPr="00DC4C78" w:rsidRDefault="00C30B65" w:rsidP="00C30B65">
      <w:pPr>
        <w:pStyle w:val="Figure"/>
      </w:pPr>
      <w:bookmarkStart w:id="332" w:name="_Toc436750551"/>
      <w:bookmarkStart w:id="333" w:name="_Toc440387874"/>
      <w:r w:rsidRPr="00DC4C78">
        <w:t xml:space="preserve">Figure 54: Children are caries free at five years, </w:t>
      </w:r>
      <w:r>
        <w:t>Māori</w:t>
      </w:r>
      <w:bookmarkEnd w:id="332"/>
      <w:bookmarkEnd w:id="333"/>
    </w:p>
    <w:p w:rsidR="00C30B65" w:rsidRPr="00DC4C78" w:rsidRDefault="0094385A" w:rsidP="0094385A">
      <w:r>
        <w:rPr>
          <w:noProof/>
          <w:lang w:eastAsia="en-NZ"/>
        </w:rPr>
        <w:drawing>
          <wp:inline distT="0" distB="0" distL="0" distR="0" wp14:anchorId="79694019">
            <wp:extent cx="4320000" cy="2520000"/>
            <wp:effectExtent l="0" t="0" r="4445" b="0"/>
            <wp:docPr id="185" name="Picture 185" title="Figure 54: Children are caries free at five years, Māor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inline>
        </w:drawing>
      </w:r>
    </w:p>
    <w:p w:rsidR="00C30B65" w:rsidRPr="00DC4C78" w:rsidRDefault="00C30B65" w:rsidP="001638E7"/>
    <w:p w:rsidR="00C30B65" w:rsidRPr="00DC4C78" w:rsidRDefault="00C30B65" w:rsidP="00C30B65">
      <w:pPr>
        <w:pStyle w:val="Figure"/>
      </w:pPr>
      <w:bookmarkStart w:id="334" w:name="_Toc436750552"/>
      <w:bookmarkStart w:id="335" w:name="_Toc440387875"/>
      <w:r w:rsidRPr="00DC4C78">
        <w:lastRenderedPageBreak/>
        <w:t>Figure 55: Children are caries free at five years, Pacific</w:t>
      </w:r>
      <w:bookmarkEnd w:id="334"/>
      <w:r>
        <w:t xml:space="preserve"> peoples</w:t>
      </w:r>
      <w:bookmarkEnd w:id="335"/>
    </w:p>
    <w:p w:rsidR="001638E7" w:rsidRPr="001638E7" w:rsidRDefault="0094385A" w:rsidP="0094385A">
      <w:r>
        <w:rPr>
          <w:noProof/>
          <w:lang w:eastAsia="en-NZ"/>
        </w:rPr>
        <w:drawing>
          <wp:inline distT="0" distB="0" distL="0" distR="0" wp14:anchorId="1F1A7A25">
            <wp:extent cx="4320000" cy="2520000"/>
            <wp:effectExtent l="0" t="0" r="4445" b="0"/>
            <wp:docPr id="186" name="Picture 186" title="Figure 55: Children are caries free at five years, Pacific peop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inline>
        </w:drawing>
      </w:r>
    </w:p>
    <w:p w:rsidR="001638E7" w:rsidRDefault="001638E7" w:rsidP="001638E7"/>
    <w:p w:rsidR="00C30B65" w:rsidRPr="00DC4C78" w:rsidRDefault="00C30B65" w:rsidP="00C30B65">
      <w:pPr>
        <w:pStyle w:val="Heading3"/>
      </w:pPr>
      <w:r w:rsidRPr="00DC4C78">
        <w:t>Data notes</w:t>
      </w:r>
    </w:p>
    <w:p w:rsidR="00C30B65" w:rsidRPr="00DC4C78" w:rsidRDefault="00C30B65" w:rsidP="00C30B65">
      <w:pPr>
        <w:pStyle w:val="Bullet"/>
      </w:pPr>
      <w:r w:rsidRPr="00DC4C78">
        <w:t>No bar on graph = no children in this category.</w:t>
      </w:r>
    </w:p>
    <w:p w:rsidR="00C30B65" w:rsidRPr="00DC4C78" w:rsidRDefault="00C30B65" w:rsidP="00C30B65">
      <w:pPr>
        <w:pStyle w:val="Bullet"/>
      </w:pPr>
      <w:r w:rsidRPr="00DC4C78">
        <w:t>Time period: children turning five years between 1 January 2014 and 31 December 2014.</w:t>
      </w:r>
    </w:p>
    <w:p w:rsidR="00C30B65" w:rsidRPr="00DC4C78" w:rsidRDefault="00C30B65" w:rsidP="00C30B65">
      <w:pPr>
        <w:pStyle w:val="Bullet"/>
      </w:pPr>
      <w:r w:rsidRPr="00DC4C78">
        <w:t>Excludes overseas DHB and undefined DHB.</w:t>
      </w:r>
    </w:p>
    <w:p w:rsidR="00C30B65" w:rsidRPr="00DC4C78" w:rsidRDefault="00C30B65" w:rsidP="00C30B65">
      <w:pPr>
        <w:pStyle w:val="Bullet"/>
      </w:pPr>
      <w:r w:rsidRPr="00DC4C78">
        <w:t>Data is not available by deprivation quintile.</w:t>
      </w:r>
    </w:p>
    <w:p w:rsidR="00C30B65" w:rsidRPr="00DC4C78" w:rsidRDefault="00C30B65" w:rsidP="00C30B65">
      <w:pPr>
        <w:pStyle w:val="Bullet"/>
      </w:pPr>
      <w:r w:rsidRPr="00DC4C78">
        <w:t>Numerator: number of five-year-old children caries free (source: community oral health services).</w:t>
      </w:r>
    </w:p>
    <w:p w:rsidR="00C30B65" w:rsidRPr="00DC4C78" w:rsidRDefault="00C30B65" w:rsidP="00C30B65">
      <w:pPr>
        <w:pStyle w:val="Bullet"/>
      </w:pPr>
      <w:r w:rsidRPr="00DC4C78">
        <w:t>Denominator: number of five-year-old children enrolled with oral health services (source: community oral health services).</w:t>
      </w:r>
    </w:p>
    <w:p w:rsidR="00C30B65" w:rsidRPr="00DC4C78" w:rsidRDefault="00C30B65" w:rsidP="00C30B65"/>
    <w:p w:rsidR="00C30B65" w:rsidRPr="00DC4C78" w:rsidRDefault="00C30B65" w:rsidP="00C30B65">
      <w:pPr>
        <w:pStyle w:val="Heading2"/>
        <w:spacing w:before="0"/>
      </w:pPr>
      <w:bookmarkStart w:id="336" w:name="_Toc365618459"/>
      <w:bookmarkStart w:id="337" w:name="_Toc405453782"/>
      <w:bookmarkStart w:id="338" w:name="_Toc419099460"/>
      <w:bookmarkStart w:id="339" w:name="_Toc440387806"/>
      <w:r w:rsidRPr="00DC4C78">
        <w:lastRenderedPageBreak/>
        <w:t>WCTO Quality Improvement Framework Indicator 17</w:t>
      </w:r>
      <w:bookmarkEnd w:id="336"/>
      <w:bookmarkEnd w:id="337"/>
      <w:bookmarkEnd w:id="338"/>
      <w:bookmarkEnd w:id="339"/>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701"/>
        <w:gridCol w:w="7655"/>
      </w:tblGrid>
      <w:tr w:rsidR="00C30B65" w:rsidRPr="00DC4C78" w:rsidTr="00C30B65">
        <w:trPr>
          <w:cantSplit/>
        </w:trPr>
        <w:tc>
          <w:tcPr>
            <w:tcW w:w="1701" w:type="dxa"/>
            <w:tcBorders>
              <w:top w:val="single" w:sz="4" w:space="0" w:color="auto"/>
              <w:bottom w:val="nil"/>
            </w:tcBorders>
            <w:shd w:val="clear" w:color="auto" w:fill="F2F2F2"/>
          </w:tcPr>
          <w:p w:rsidR="00C30B65" w:rsidRPr="00DC4C78" w:rsidRDefault="00C30B65" w:rsidP="001638E7">
            <w:pPr>
              <w:pStyle w:val="TableText"/>
              <w:keepNext/>
              <w:rPr>
                <w:b/>
              </w:rPr>
            </w:pPr>
            <w:r w:rsidRPr="00DC4C78">
              <w:rPr>
                <w:b/>
              </w:rPr>
              <w:t>Standard</w:t>
            </w:r>
          </w:p>
        </w:tc>
        <w:tc>
          <w:tcPr>
            <w:tcW w:w="7655" w:type="dxa"/>
            <w:tcBorders>
              <w:top w:val="single" w:sz="4" w:space="0" w:color="auto"/>
              <w:bottom w:val="nil"/>
            </w:tcBorders>
            <w:shd w:val="clear" w:color="auto" w:fill="F2F2F2"/>
          </w:tcPr>
          <w:p w:rsidR="00C30B65" w:rsidRPr="00DC4C78" w:rsidRDefault="00C30B65" w:rsidP="001638E7">
            <w:pPr>
              <w:pStyle w:val="TableText"/>
              <w:keepNext/>
            </w:pPr>
            <w:r w:rsidRPr="00DC4C78">
              <w:t xml:space="preserve">WCTO providers use evidence-based interventions and education to promote child, family and </w:t>
            </w:r>
            <w:proofErr w:type="spellStart"/>
            <w:r w:rsidRPr="00DC4C78">
              <w:t>whānau</w:t>
            </w:r>
            <w:proofErr w:type="spellEnd"/>
            <w:r w:rsidRPr="00DC4C78">
              <w:t xml:space="preserve"> health and wellbeing.</w:t>
            </w:r>
          </w:p>
        </w:tc>
      </w:tr>
      <w:tr w:rsidR="00C30B65" w:rsidRPr="00DC4C78" w:rsidTr="00C30B65">
        <w:trPr>
          <w:cantSplit/>
        </w:trPr>
        <w:tc>
          <w:tcPr>
            <w:tcW w:w="1701" w:type="dxa"/>
            <w:tcBorders>
              <w:top w:val="nil"/>
              <w:bottom w:val="nil"/>
            </w:tcBorders>
            <w:shd w:val="clear" w:color="auto" w:fill="auto"/>
          </w:tcPr>
          <w:p w:rsidR="00C30B65" w:rsidRPr="00DC4C78" w:rsidRDefault="00C30B65" w:rsidP="001638E7">
            <w:pPr>
              <w:pStyle w:val="TableText"/>
              <w:keepNext/>
              <w:rPr>
                <w:b/>
              </w:rPr>
            </w:pPr>
            <w:r w:rsidRPr="00DC4C78">
              <w:rPr>
                <w:b/>
              </w:rPr>
              <w:t>Indicator</w:t>
            </w:r>
          </w:p>
        </w:tc>
        <w:tc>
          <w:tcPr>
            <w:tcW w:w="7655" w:type="dxa"/>
            <w:tcBorders>
              <w:top w:val="nil"/>
              <w:bottom w:val="nil"/>
            </w:tcBorders>
          </w:tcPr>
          <w:p w:rsidR="00C30B65" w:rsidRPr="00DC4C78" w:rsidRDefault="00C30B65" w:rsidP="001638E7">
            <w:pPr>
              <w:pStyle w:val="TableText"/>
              <w:keepNext/>
            </w:pPr>
            <w:r w:rsidRPr="00DC4C78">
              <w:t xml:space="preserve">The burden of dental decay among children with one or more decayed, missing </w:t>
            </w:r>
            <w:r>
              <w:t>or</w:t>
            </w:r>
            <w:r w:rsidRPr="00DC4C78">
              <w:t xml:space="preserve"> filled </w:t>
            </w:r>
            <w:r>
              <w:t>(</w:t>
            </w:r>
            <w:proofErr w:type="spellStart"/>
            <w:r>
              <w:t>dmft</w:t>
            </w:r>
            <w:proofErr w:type="spellEnd"/>
            <w:r>
              <w:t xml:space="preserve">) deciduous (baby) </w:t>
            </w:r>
            <w:r w:rsidRPr="00DC4C78">
              <w:t>teeth is minimised.</w:t>
            </w:r>
          </w:p>
        </w:tc>
      </w:tr>
      <w:tr w:rsidR="00C30B65" w:rsidRPr="00DC4C78" w:rsidTr="00C30B65">
        <w:trPr>
          <w:cantSplit/>
        </w:trPr>
        <w:tc>
          <w:tcPr>
            <w:tcW w:w="1701" w:type="dxa"/>
            <w:tcBorders>
              <w:top w:val="nil"/>
              <w:bottom w:val="nil"/>
            </w:tcBorders>
            <w:shd w:val="clear" w:color="auto" w:fill="F2F2F2"/>
          </w:tcPr>
          <w:p w:rsidR="00C30B65" w:rsidRPr="00DC4C78" w:rsidRDefault="00C30B65" w:rsidP="001638E7">
            <w:pPr>
              <w:pStyle w:val="TableText"/>
              <w:keepNext/>
              <w:rPr>
                <w:b/>
              </w:rPr>
            </w:pPr>
            <w:r w:rsidRPr="00DC4C78">
              <w:rPr>
                <w:b/>
              </w:rPr>
              <w:t>Target by December 2014</w:t>
            </w:r>
          </w:p>
        </w:tc>
        <w:tc>
          <w:tcPr>
            <w:tcW w:w="7655" w:type="dxa"/>
            <w:tcBorders>
              <w:top w:val="nil"/>
              <w:bottom w:val="nil"/>
            </w:tcBorders>
            <w:shd w:val="clear" w:color="auto" w:fill="F2F2F2"/>
          </w:tcPr>
          <w:p w:rsidR="00C30B65" w:rsidRPr="00DC4C78" w:rsidRDefault="00C30B65" w:rsidP="001638E7">
            <w:pPr>
              <w:pStyle w:val="TableText"/>
              <w:keepNext/>
            </w:pPr>
            <w:r w:rsidRPr="00DC4C78">
              <w:t xml:space="preserve">4.4 </w:t>
            </w:r>
            <w:r>
              <w:t xml:space="preserve">average </w:t>
            </w:r>
            <w:proofErr w:type="spellStart"/>
            <w:r>
              <w:t>dmft</w:t>
            </w:r>
            <w:proofErr w:type="spellEnd"/>
          </w:p>
        </w:tc>
      </w:tr>
      <w:tr w:rsidR="00C30B65" w:rsidRPr="00DC4C78" w:rsidTr="00C30B65">
        <w:trPr>
          <w:cantSplit/>
        </w:trPr>
        <w:tc>
          <w:tcPr>
            <w:tcW w:w="1701" w:type="dxa"/>
            <w:tcBorders>
              <w:top w:val="nil"/>
            </w:tcBorders>
            <w:shd w:val="clear" w:color="auto" w:fill="auto"/>
          </w:tcPr>
          <w:p w:rsidR="00C30B65" w:rsidRPr="00DC4C78" w:rsidRDefault="00C30B65" w:rsidP="001638E7">
            <w:pPr>
              <w:pStyle w:val="TableText"/>
              <w:keepNext/>
              <w:rPr>
                <w:b/>
              </w:rPr>
            </w:pPr>
            <w:r w:rsidRPr="00DC4C78">
              <w:rPr>
                <w:b/>
              </w:rPr>
              <w:t>Target by June 2016</w:t>
            </w:r>
          </w:p>
        </w:tc>
        <w:tc>
          <w:tcPr>
            <w:tcW w:w="7655" w:type="dxa"/>
            <w:tcBorders>
              <w:top w:val="nil"/>
            </w:tcBorders>
          </w:tcPr>
          <w:p w:rsidR="00C30B65" w:rsidRPr="00DC4C78" w:rsidRDefault="00C30B65" w:rsidP="001638E7">
            <w:pPr>
              <w:pStyle w:val="TableText"/>
              <w:keepNext/>
            </w:pPr>
            <w:r w:rsidRPr="00DC4C78">
              <w:t xml:space="preserve">4 </w:t>
            </w:r>
            <w:r>
              <w:t xml:space="preserve">average </w:t>
            </w:r>
            <w:proofErr w:type="spellStart"/>
            <w:r>
              <w:t>dmft</w:t>
            </w:r>
            <w:proofErr w:type="spellEnd"/>
          </w:p>
        </w:tc>
      </w:tr>
    </w:tbl>
    <w:p w:rsidR="00C30B65" w:rsidRPr="00DC4C78" w:rsidRDefault="00C30B65" w:rsidP="001638E7">
      <w:pPr>
        <w:keepNext/>
      </w:pPr>
    </w:p>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93"/>
        <w:gridCol w:w="1665"/>
        <w:gridCol w:w="178"/>
        <w:gridCol w:w="1487"/>
        <w:gridCol w:w="213"/>
        <w:gridCol w:w="1458"/>
        <w:gridCol w:w="1661"/>
      </w:tblGrid>
      <w:tr w:rsidR="00C30B65" w:rsidRPr="00DC4C78" w:rsidTr="00C30B65">
        <w:trPr>
          <w:cantSplit/>
        </w:trPr>
        <w:tc>
          <w:tcPr>
            <w:tcW w:w="1439" w:type="pct"/>
            <w:tcBorders>
              <w:bottom w:val="single" w:sz="4" w:space="0" w:color="auto"/>
            </w:tcBorders>
            <w:shd w:val="clear" w:color="auto" w:fill="F2F2F2"/>
          </w:tcPr>
          <w:p w:rsidR="00C30B65" w:rsidRPr="00DC4C78" w:rsidRDefault="00C30B65" w:rsidP="001638E7">
            <w:pPr>
              <w:pStyle w:val="TableText"/>
              <w:keepNext/>
              <w:rPr>
                <w:b/>
              </w:rPr>
            </w:pPr>
          </w:p>
        </w:tc>
        <w:tc>
          <w:tcPr>
            <w:tcW w:w="985" w:type="pct"/>
            <w:gridSpan w:val="2"/>
            <w:tcBorders>
              <w:bottom w:val="single" w:sz="4" w:space="0" w:color="auto"/>
            </w:tcBorders>
            <w:shd w:val="clear" w:color="auto" w:fill="F2F2F2"/>
          </w:tcPr>
          <w:p w:rsidR="00C30B65" w:rsidRPr="00DC4C78" w:rsidRDefault="00C30B65" w:rsidP="001638E7">
            <w:pPr>
              <w:pStyle w:val="TableText"/>
              <w:keepNext/>
              <w:jc w:val="center"/>
              <w:rPr>
                <w:b/>
              </w:rPr>
            </w:pPr>
            <w:r w:rsidRPr="00DC4C78">
              <w:rPr>
                <w:b/>
              </w:rPr>
              <w:t>Total New Zealand</w:t>
            </w:r>
          </w:p>
        </w:tc>
        <w:tc>
          <w:tcPr>
            <w:tcW w:w="909" w:type="pct"/>
            <w:gridSpan w:val="2"/>
            <w:tcBorders>
              <w:bottom w:val="single" w:sz="4" w:space="0" w:color="auto"/>
            </w:tcBorders>
            <w:shd w:val="clear" w:color="auto" w:fill="F2F2F2"/>
          </w:tcPr>
          <w:p w:rsidR="00C30B65" w:rsidRPr="00DC4C78" w:rsidRDefault="00C30B65" w:rsidP="001638E7">
            <w:pPr>
              <w:pStyle w:val="TableText"/>
              <w:keepNext/>
              <w:jc w:val="center"/>
              <w:rPr>
                <w:b/>
              </w:rPr>
            </w:pPr>
            <w:r w:rsidRPr="00DC4C78">
              <w:rPr>
                <w:b/>
              </w:rPr>
              <w:t>High deprivation</w:t>
            </w:r>
          </w:p>
        </w:tc>
        <w:tc>
          <w:tcPr>
            <w:tcW w:w="779" w:type="pct"/>
            <w:tcBorders>
              <w:bottom w:val="single" w:sz="4" w:space="0" w:color="auto"/>
            </w:tcBorders>
            <w:shd w:val="clear" w:color="auto" w:fill="F2F2F2"/>
          </w:tcPr>
          <w:p w:rsidR="00C30B65" w:rsidRPr="00DC4C78" w:rsidRDefault="00C30B65" w:rsidP="001638E7">
            <w:pPr>
              <w:pStyle w:val="TableText"/>
              <w:keepNext/>
              <w:jc w:val="center"/>
              <w:rPr>
                <w:b/>
              </w:rPr>
            </w:pPr>
            <w:r w:rsidRPr="00DC4C78">
              <w:rPr>
                <w:b/>
              </w:rPr>
              <w:t>Māori</w:t>
            </w:r>
          </w:p>
        </w:tc>
        <w:tc>
          <w:tcPr>
            <w:tcW w:w="888" w:type="pct"/>
            <w:tcBorders>
              <w:bottom w:val="single" w:sz="4" w:space="0" w:color="auto"/>
            </w:tcBorders>
            <w:shd w:val="clear" w:color="auto" w:fill="F2F2F2"/>
          </w:tcPr>
          <w:p w:rsidR="00C30B65" w:rsidRPr="00DC4C78" w:rsidRDefault="00C30B65" w:rsidP="001638E7">
            <w:pPr>
              <w:pStyle w:val="TableText"/>
              <w:keepNext/>
              <w:jc w:val="center"/>
              <w:rPr>
                <w:b/>
              </w:rPr>
            </w:pPr>
            <w:r w:rsidRPr="00DC4C78">
              <w:rPr>
                <w:b/>
              </w:rPr>
              <w:t>Pacific peoples</w:t>
            </w:r>
          </w:p>
        </w:tc>
      </w:tr>
      <w:tr w:rsidR="00C30B65" w:rsidRPr="00DC4C78" w:rsidTr="00C30B65">
        <w:trPr>
          <w:cantSplit/>
        </w:trPr>
        <w:tc>
          <w:tcPr>
            <w:tcW w:w="1439" w:type="pct"/>
            <w:tcBorders>
              <w:right w:val="nil"/>
            </w:tcBorders>
            <w:shd w:val="clear" w:color="auto" w:fill="auto"/>
          </w:tcPr>
          <w:p w:rsidR="00C30B65" w:rsidRPr="00DC4C78" w:rsidRDefault="00C30B65" w:rsidP="001638E7">
            <w:pPr>
              <w:pStyle w:val="TableText"/>
              <w:keepNext/>
            </w:pPr>
            <w:r w:rsidRPr="00DC4C78">
              <w:t>September 2015 mean (range)</w:t>
            </w:r>
          </w:p>
        </w:tc>
        <w:tc>
          <w:tcPr>
            <w:tcW w:w="890" w:type="pct"/>
            <w:tcBorders>
              <w:left w:val="nil"/>
              <w:bottom w:val="single" w:sz="4" w:space="0" w:color="auto"/>
              <w:right w:val="nil"/>
            </w:tcBorders>
            <w:shd w:val="clear" w:color="auto" w:fill="auto"/>
            <w:vAlign w:val="center"/>
          </w:tcPr>
          <w:p w:rsidR="00C30B65" w:rsidRPr="00DC4C78" w:rsidRDefault="00C30B65" w:rsidP="001638E7">
            <w:pPr>
              <w:pStyle w:val="TableText"/>
              <w:keepNext/>
              <w:jc w:val="center"/>
            </w:pPr>
            <w:r w:rsidRPr="00DC4C78">
              <w:t>4.42 (3.3–5.2)</w:t>
            </w:r>
          </w:p>
        </w:tc>
        <w:tc>
          <w:tcPr>
            <w:tcW w:w="890" w:type="pct"/>
            <w:gridSpan w:val="2"/>
            <w:tcBorders>
              <w:left w:val="nil"/>
              <w:bottom w:val="single" w:sz="4" w:space="0" w:color="auto"/>
              <w:right w:val="nil"/>
            </w:tcBorders>
            <w:shd w:val="clear" w:color="auto" w:fill="auto"/>
            <w:vAlign w:val="center"/>
          </w:tcPr>
          <w:p w:rsidR="00C30B65" w:rsidRPr="00DC4C78" w:rsidRDefault="00C30B65" w:rsidP="001638E7">
            <w:pPr>
              <w:pStyle w:val="TableText"/>
              <w:keepNext/>
              <w:jc w:val="center"/>
            </w:pPr>
            <w:r>
              <w:t>N/A</w:t>
            </w:r>
          </w:p>
        </w:tc>
        <w:tc>
          <w:tcPr>
            <w:tcW w:w="893" w:type="pct"/>
            <w:gridSpan w:val="2"/>
            <w:tcBorders>
              <w:left w:val="nil"/>
              <w:bottom w:val="single" w:sz="4" w:space="0" w:color="auto"/>
              <w:right w:val="nil"/>
            </w:tcBorders>
            <w:shd w:val="clear" w:color="auto" w:fill="auto"/>
            <w:vAlign w:val="center"/>
          </w:tcPr>
          <w:p w:rsidR="00C30B65" w:rsidRPr="00DC4C78" w:rsidRDefault="00C30B65" w:rsidP="001638E7">
            <w:pPr>
              <w:pStyle w:val="TableText"/>
              <w:keepNext/>
              <w:jc w:val="center"/>
            </w:pPr>
            <w:r w:rsidRPr="00DC4C78">
              <w:t>4.91 (4.0–5.9)</w:t>
            </w:r>
          </w:p>
        </w:tc>
        <w:tc>
          <w:tcPr>
            <w:tcW w:w="888" w:type="pct"/>
            <w:tcBorders>
              <w:left w:val="nil"/>
              <w:bottom w:val="single" w:sz="4" w:space="0" w:color="auto"/>
              <w:right w:val="nil"/>
            </w:tcBorders>
            <w:shd w:val="clear" w:color="auto" w:fill="auto"/>
            <w:vAlign w:val="center"/>
          </w:tcPr>
          <w:p w:rsidR="00C30B65" w:rsidRPr="00DC4C78" w:rsidRDefault="00C30B65" w:rsidP="001638E7">
            <w:pPr>
              <w:pStyle w:val="TableText"/>
              <w:keepNext/>
              <w:jc w:val="center"/>
            </w:pPr>
            <w:r w:rsidRPr="00DC4C78">
              <w:t>5.10 (3.11–8.0)</w:t>
            </w:r>
          </w:p>
        </w:tc>
      </w:tr>
      <w:tr w:rsidR="00C30B65" w:rsidRPr="00DC4C78" w:rsidTr="00C30B65">
        <w:trPr>
          <w:cantSplit/>
        </w:trPr>
        <w:tc>
          <w:tcPr>
            <w:tcW w:w="1439" w:type="pct"/>
            <w:tcBorders>
              <w:right w:val="nil"/>
            </w:tcBorders>
            <w:shd w:val="clear" w:color="auto" w:fill="auto"/>
          </w:tcPr>
          <w:p w:rsidR="00C30B65" w:rsidRPr="00DC4C78" w:rsidRDefault="00C30B65" w:rsidP="001638E7">
            <w:pPr>
              <w:pStyle w:val="TableText"/>
              <w:keepNext/>
            </w:pPr>
            <w:r w:rsidRPr="00DC4C78">
              <w:t>September 2014 mean (range)</w:t>
            </w:r>
          </w:p>
        </w:tc>
        <w:tc>
          <w:tcPr>
            <w:tcW w:w="890" w:type="pct"/>
            <w:tcBorders>
              <w:top w:val="single" w:sz="4" w:space="0" w:color="auto"/>
              <w:left w:val="nil"/>
              <w:right w:val="nil"/>
            </w:tcBorders>
            <w:shd w:val="clear" w:color="auto" w:fill="auto"/>
            <w:vAlign w:val="center"/>
          </w:tcPr>
          <w:p w:rsidR="00C30B65" w:rsidRPr="00DC4C78" w:rsidRDefault="00C30B65" w:rsidP="001638E7">
            <w:pPr>
              <w:pStyle w:val="TableText"/>
              <w:keepNext/>
              <w:jc w:val="center"/>
            </w:pPr>
            <w:r w:rsidRPr="00DC4C78">
              <w:t>4.4 (3.6–5.5)</w:t>
            </w:r>
          </w:p>
        </w:tc>
        <w:tc>
          <w:tcPr>
            <w:tcW w:w="890" w:type="pct"/>
            <w:gridSpan w:val="2"/>
            <w:tcBorders>
              <w:top w:val="single" w:sz="4" w:space="0" w:color="auto"/>
              <w:left w:val="nil"/>
              <w:right w:val="nil"/>
            </w:tcBorders>
            <w:shd w:val="clear" w:color="auto" w:fill="auto"/>
            <w:vAlign w:val="center"/>
          </w:tcPr>
          <w:p w:rsidR="00C30B65" w:rsidRPr="00DC4C78" w:rsidRDefault="00C30B65" w:rsidP="001638E7">
            <w:pPr>
              <w:pStyle w:val="TableText"/>
              <w:keepNext/>
              <w:jc w:val="center"/>
            </w:pPr>
            <w:r>
              <w:t>N/A</w:t>
            </w:r>
          </w:p>
        </w:tc>
        <w:tc>
          <w:tcPr>
            <w:tcW w:w="890" w:type="pct"/>
            <w:gridSpan w:val="2"/>
            <w:tcBorders>
              <w:top w:val="single" w:sz="4" w:space="0" w:color="auto"/>
              <w:left w:val="nil"/>
              <w:right w:val="nil"/>
            </w:tcBorders>
            <w:shd w:val="clear" w:color="auto" w:fill="auto"/>
            <w:vAlign w:val="center"/>
          </w:tcPr>
          <w:p w:rsidR="00C30B65" w:rsidRPr="00DC4C78" w:rsidRDefault="00C30B65" w:rsidP="001638E7">
            <w:pPr>
              <w:pStyle w:val="TableText"/>
              <w:keepNext/>
              <w:jc w:val="center"/>
            </w:pPr>
            <w:r w:rsidRPr="00DC4C78">
              <w:t>5.0 (3.9–6.2)</w:t>
            </w:r>
          </w:p>
        </w:tc>
        <w:tc>
          <w:tcPr>
            <w:tcW w:w="890" w:type="pct"/>
            <w:tcBorders>
              <w:top w:val="single" w:sz="4" w:space="0" w:color="auto"/>
              <w:left w:val="nil"/>
              <w:right w:val="nil"/>
            </w:tcBorders>
            <w:shd w:val="clear" w:color="auto" w:fill="auto"/>
            <w:vAlign w:val="center"/>
          </w:tcPr>
          <w:p w:rsidR="00C30B65" w:rsidRPr="00DC4C78" w:rsidRDefault="00C30B65" w:rsidP="001638E7">
            <w:pPr>
              <w:pStyle w:val="TableText"/>
              <w:keepNext/>
              <w:jc w:val="center"/>
            </w:pPr>
            <w:r w:rsidRPr="00DC4C78">
              <w:t>5.1 (4.0–7.8)</w:t>
            </w:r>
          </w:p>
        </w:tc>
      </w:tr>
    </w:tbl>
    <w:p w:rsidR="00C30B65" w:rsidRPr="00DC4C78" w:rsidRDefault="00C30B65" w:rsidP="001638E7">
      <w:pPr>
        <w:keepNext/>
      </w:pPr>
    </w:p>
    <w:p w:rsidR="00C30B65" w:rsidRPr="00DC4C78" w:rsidRDefault="00C30B65" w:rsidP="00C30B65">
      <w:pPr>
        <w:pStyle w:val="Figure"/>
      </w:pPr>
      <w:bookmarkStart w:id="340" w:name="_Toc436750553"/>
      <w:bookmarkStart w:id="341" w:name="_Toc440387876"/>
      <w:r w:rsidRPr="00DC4C78">
        <w:t>Figure 56: Burden of dental decay</w:t>
      </w:r>
      <w:r>
        <w:t xml:space="preserve"> among children</w:t>
      </w:r>
      <w:r w:rsidRPr="00DC4C78">
        <w:t>, total New Zealand</w:t>
      </w:r>
      <w:bookmarkEnd w:id="340"/>
      <w:bookmarkEnd w:id="341"/>
    </w:p>
    <w:p w:rsidR="00C30B65" w:rsidRPr="00DC4C78" w:rsidRDefault="00C633BC" w:rsidP="00C633BC">
      <w:r>
        <w:rPr>
          <w:noProof/>
          <w:lang w:eastAsia="en-NZ"/>
        </w:rPr>
        <w:drawing>
          <wp:inline distT="0" distB="0" distL="0" distR="0" wp14:anchorId="52315548">
            <wp:extent cx="4320000" cy="2520000"/>
            <wp:effectExtent l="0" t="0" r="4445" b="0"/>
            <wp:docPr id="187" name="Picture 187" title="Figure 56: Burden of dental decay among children, total New Zeala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inline>
        </w:drawing>
      </w:r>
    </w:p>
    <w:p w:rsidR="00C30B65" w:rsidRPr="00DC4C78" w:rsidRDefault="00C30B65" w:rsidP="001638E7">
      <w:bookmarkStart w:id="342" w:name="_Toc365618460"/>
    </w:p>
    <w:p w:rsidR="00C30B65" w:rsidRPr="00DC4C78" w:rsidRDefault="00C30B65" w:rsidP="001638E7">
      <w:pPr>
        <w:pStyle w:val="Figure"/>
      </w:pPr>
      <w:bookmarkStart w:id="343" w:name="_Toc436750554"/>
      <w:bookmarkStart w:id="344" w:name="_Toc440387877"/>
      <w:r w:rsidRPr="00DC4C78">
        <w:t>Figure 57: Burden of dental decay</w:t>
      </w:r>
      <w:r>
        <w:t xml:space="preserve"> among children</w:t>
      </w:r>
      <w:r w:rsidRPr="00DC4C78">
        <w:t xml:space="preserve">, total New Zealand, </w:t>
      </w:r>
      <w:r>
        <w:t>Māori</w:t>
      </w:r>
      <w:bookmarkEnd w:id="343"/>
      <w:bookmarkEnd w:id="344"/>
    </w:p>
    <w:p w:rsidR="00C30B65" w:rsidRDefault="004D70F2" w:rsidP="004D70F2">
      <w:r>
        <w:rPr>
          <w:noProof/>
          <w:lang w:eastAsia="en-NZ"/>
        </w:rPr>
        <w:drawing>
          <wp:inline distT="0" distB="0" distL="0" distR="0" wp14:anchorId="3504C5F6">
            <wp:extent cx="4320000" cy="2520000"/>
            <wp:effectExtent l="0" t="0" r="4445" b="0"/>
            <wp:docPr id="22" name="Picture 22" title="Figure 57: Burden of dental decay among children, total New Zealand, Māor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inline>
        </w:drawing>
      </w:r>
    </w:p>
    <w:p w:rsidR="001638E7" w:rsidRPr="00DC4C78" w:rsidRDefault="001638E7" w:rsidP="001638E7"/>
    <w:p w:rsidR="00C30B65" w:rsidRPr="00DC4C78" w:rsidRDefault="00C30B65" w:rsidP="00C30B65">
      <w:pPr>
        <w:pStyle w:val="Figure"/>
      </w:pPr>
      <w:bookmarkStart w:id="345" w:name="_Toc436750555"/>
      <w:bookmarkStart w:id="346" w:name="_Toc440387878"/>
      <w:r w:rsidRPr="00DC4C78">
        <w:lastRenderedPageBreak/>
        <w:t>Figure 58: Burden of dental decay</w:t>
      </w:r>
      <w:r>
        <w:t xml:space="preserve"> among children</w:t>
      </w:r>
      <w:r w:rsidRPr="00DC4C78">
        <w:t>, total New Zealand, Pacific</w:t>
      </w:r>
      <w:bookmarkEnd w:id="345"/>
      <w:r>
        <w:t xml:space="preserve"> peoples</w:t>
      </w:r>
      <w:bookmarkEnd w:id="346"/>
    </w:p>
    <w:p w:rsidR="00C30B65" w:rsidRDefault="004D70F2" w:rsidP="004D70F2">
      <w:r>
        <w:rPr>
          <w:noProof/>
          <w:lang w:eastAsia="en-NZ"/>
        </w:rPr>
        <w:drawing>
          <wp:inline distT="0" distB="0" distL="0" distR="0" wp14:anchorId="3486B023">
            <wp:extent cx="4320000" cy="2520000"/>
            <wp:effectExtent l="0" t="0" r="4445" b="0"/>
            <wp:docPr id="26" name="Picture 26" title="Figure 58: Burden of dental decay among children, total New Zealand, Pacific peop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inline>
        </w:drawing>
      </w:r>
    </w:p>
    <w:p w:rsidR="001638E7" w:rsidRPr="00DC4C78" w:rsidRDefault="001638E7" w:rsidP="001638E7"/>
    <w:p w:rsidR="00C30B65" w:rsidRPr="00DC4C78" w:rsidRDefault="00C30B65" w:rsidP="00C30B65">
      <w:pPr>
        <w:pStyle w:val="Heading3"/>
      </w:pPr>
      <w:r w:rsidRPr="00DC4C78">
        <w:t>Data notes</w:t>
      </w:r>
    </w:p>
    <w:p w:rsidR="00C30B65" w:rsidRPr="00DC4C78" w:rsidRDefault="00C30B65" w:rsidP="00C30B65">
      <w:pPr>
        <w:pStyle w:val="Bullet"/>
      </w:pPr>
      <w:r w:rsidRPr="00DC4C78">
        <w:t>No bar on graph = no children in this category.</w:t>
      </w:r>
    </w:p>
    <w:p w:rsidR="00C30B65" w:rsidRPr="00DC4C78" w:rsidRDefault="00C30B65" w:rsidP="00C30B65">
      <w:pPr>
        <w:pStyle w:val="Bullet"/>
      </w:pPr>
      <w:r w:rsidRPr="00DC4C78">
        <w:t>Time period: children turning five years old between 1 January 2014 and 31 December 2014.</w:t>
      </w:r>
    </w:p>
    <w:p w:rsidR="00C30B65" w:rsidRPr="00DC4C78" w:rsidRDefault="00C30B65" w:rsidP="00C30B65">
      <w:pPr>
        <w:pStyle w:val="Bullet"/>
      </w:pPr>
      <w:r w:rsidRPr="00DC4C78">
        <w:t>Excludes overseas DHB and undefined DHB.</w:t>
      </w:r>
    </w:p>
    <w:p w:rsidR="00C30B65" w:rsidRPr="00DC4C78" w:rsidRDefault="00C30B65" w:rsidP="00C30B65">
      <w:pPr>
        <w:pStyle w:val="Bullet"/>
      </w:pPr>
      <w:r w:rsidRPr="00DC4C78">
        <w:t>Data is not available by deprivation quintile.</w:t>
      </w:r>
    </w:p>
    <w:p w:rsidR="00C30B65" w:rsidRPr="00DC4C78" w:rsidRDefault="00C30B65" w:rsidP="00C30B65">
      <w:pPr>
        <w:pStyle w:val="Bullet"/>
      </w:pPr>
      <w:r w:rsidRPr="00DC4C78">
        <w:t xml:space="preserve">Numerator: sum of </w:t>
      </w:r>
      <w:proofErr w:type="spellStart"/>
      <w:r w:rsidRPr="00DC4C78">
        <w:t>dmft</w:t>
      </w:r>
      <w:proofErr w:type="spellEnd"/>
      <w:r w:rsidRPr="00DC4C78">
        <w:t xml:space="preserve"> scores at five years old (source: community oral health services).</w:t>
      </w:r>
    </w:p>
    <w:p w:rsidR="00C30B65" w:rsidRDefault="00C30B65" w:rsidP="00C30B65">
      <w:pPr>
        <w:pStyle w:val="Bullet"/>
      </w:pPr>
      <w:r w:rsidRPr="00DC4C78">
        <w:t xml:space="preserve">Denominator: number of five-year-olds with a </w:t>
      </w:r>
      <w:proofErr w:type="spellStart"/>
      <w:r w:rsidRPr="00DC4C78">
        <w:t>dmft</w:t>
      </w:r>
      <w:proofErr w:type="spellEnd"/>
      <w:r w:rsidRPr="00DC4C78">
        <w:t xml:space="preserve"> score greater than zero (source: community oral health services).</w:t>
      </w:r>
    </w:p>
    <w:p w:rsidR="001638E7" w:rsidRPr="00DC4C78" w:rsidRDefault="001638E7" w:rsidP="001638E7"/>
    <w:p w:rsidR="00C30B65" w:rsidRPr="00DC4C78" w:rsidRDefault="00C30B65" w:rsidP="00C30B65">
      <w:pPr>
        <w:pStyle w:val="Heading2"/>
        <w:spacing w:before="0"/>
      </w:pPr>
      <w:bookmarkStart w:id="347" w:name="_Toc405453783"/>
      <w:bookmarkStart w:id="348" w:name="_Toc418322792"/>
      <w:bookmarkStart w:id="349" w:name="_Toc419099461"/>
      <w:bookmarkStart w:id="350" w:name="_Toc440387807"/>
      <w:r w:rsidRPr="00DC4C78">
        <w:lastRenderedPageBreak/>
        <w:t>WCTO Quality Improvement Framework Indicator 18</w:t>
      </w:r>
      <w:bookmarkEnd w:id="342"/>
      <w:bookmarkEnd w:id="347"/>
      <w:bookmarkEnd w:id="348"/>
      <w:bookmarkEnd w:id="349"/>
      <w:bookmarkEnd w:id="350"/>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701"/>
        <w:gridCol w:w="7655"/>
      </w:tblGrid>
      <w:tr w:rsidR="00C30B65" w:rsidRPr="00DC4C78" w:rsidTr="00C30B65">
        <w:trPr>
          <w:cantSplit/>
        </w:trPr>
        <w:tc>
          <w:tcPr>
            <w:tcW w:w="1701" w:type="dxa"/>
            <w:tcBorders>
              <w:top w:val="single" w:sz="4" w:space="0" w:color="auto"/>
              <w:bottom w:val="nil"/>
            </w:tcBorders>
            <w:shd w:val="clear" w:color="auto" w:fill="F2F2F2"/>
          </w:tcPr>
          <w:p w:rsidR="00C30B65" w:rsidRPr="00DC4C78" w:rsidRDefault="00C30B65" w:rsidP="001638E7">
            <w:pPr>
              <w:pStyle w:val="TableText"/>
              <w:keepNext/>
              <w:rPr>
                <w:b/>
              </w:rPr>
            </w:pPr>
            <w:r w:rsidRPr="00DC4C78">
              <w:rPr>
                <w:b/>
              </w:rPr>
              <w:t>Standard</w:t>
            </w:r>
          </w:p>
        </w:tc>
        <w:tc>
          <w:tcPr>
            <w:tcW w:w="7655" w:type="dxa"/>
            <w:tcBorders>
              <w:top w:val="single" w:sz="4" w:space="0" w:color="auto"/>
              <w:bottom w:val="nil"/>
            </w:tcBorders>
            <w:shd w:val="clear" w:color="auto" w:fill="F2F2F2"/>
          </w:tcPr>
          <w:p w:rsidR="00C30B65" w:rsidRPr="00DC4C78" w:rsidRDefault="00C30B65" w:rsidP="001638E7">
            <w:pPr>
              <w:pStyle w:val="TableText"/>
              <w:keepNext/>
            </w:pPr>
            <w:r w:rsidRPr="00DC4C78">
              <w:t xml:space="preserve">WCTO providers use evidence-based interventions and education to promote child, family and </w:t>
            </w:r>
            <w:proofErr w:type="spellStart"/>
            <w:r w:rsidRPr="00DC4C78">
              <w:t>whānau</w:t>
            </w:r>
            <w:proofErr w:type="spellEnd"/>
            <w:r w:rsidRPr="00DC4C78">
              <w:t xml:space="preserve"> health and wellbeing.</w:t>
            </w:r>
          </w:p>
        </w:tc>
      </w:tr>
      <w:tr w:rsidR="00C30B65" w:rsidRPr="00DC4C78" w:rsidTr="00C30B65">
        <w:trPr>
          <w:cantSplit/>
        </w:trPr>
        <w:tc>
          <w:tcPr>
            <w:tcW w:w="1701" w:type="dxa"/>
            <w:tcBorders>
              <w:top w:val="nil"/>
              <w:bottom w:val="nil"/>
            </w:tcBorders>
            <w:shd w:val="clear" w:color="auto" w:fill="auto"/>
          </w:tcPr>
          <w:p w:rsidR="00C30B65" w:rsidRPr="00DC4C78" w:rsidRDefault="00C30B65" w:rsidP="001638E7">
            <w:pPr>
              <w:pStyle w:val="TableText"/>
              <w:keepNext/>
              <w:rPr>
                <w:b/>
              </w:rPr>
            </w:pPr>
            <w:r w:rsidRPr="00DC4C78">
              <w:rPr>
                <w:b/>
              </w:rPr>
              <w:t>Indicator</w:t>
            </w:r>
          </w:p>
        </w:tc>
        <w:tc>
          <w:tcPr>
            <w:tcW w:w="7655" w:type="dxa"/>
            <w:tcBorders>
              <w:top w:val="nil"/>
              <w:bottom w:val="nil"/>
            </w:tcBorders>
          </w:tcPr>
          <w:p w:rsidR="00C30B65" w:rsidRPr="00DC4C78" w:rsidRDefault="00C30B65" w:rsidP="001638E7">
            <w:pPr>
              <w:pStyle w:val="TableText"/>
              <w:keepNext/>
            </w:pPr>
            <w:r w:rsidRPr="00DC4C78">
              <w:t>Child mental health is supported (children</w:t>
            </w:r>
            <w:r w:rsidR="00700141">
              <w:t>’</w:t>
            </w:r>
            <w:r w:rsidRPr="00DC4C78">
              <w:t>s SDQ-P scores are within the normal range at the B4 School Check).</w:t>
            </w:r>
            <w:r w:rsidRPr="00DC4C78">
              <w:rPr>
                <w:rStyle w:val="FootnoteReference"/>
                <w:rFonts w:cs="Calibri"/>
              </w:rPr>
              <w:footnoteReference w:id="2"/>
            </w:r>
          </w:p>
        </w:tc>
      </w:tr>
      <w:tr w:rsidR="00C30B65" w:rsidRPr="00DC4C78" w:rsidTr="00C30B65">
        <w:trPr>
          <w:cantSplit/>
        </w:trPr>
        <w:tc>
          <w:tcPr>
            <w:tcW w:w="1701" w:type="dxa"/>
            <w:tcBorders>
              <w:top w:val="nil"/>
              <w:bottom w:val="nil"/>
            </w:tcBorders>
            <w:shd w:val="clear" w:color="auto" w:fill="F2F2F2"/>
          </w:tcPr>
          <w:p w:rsidR="00C30B65" w:rsidRPr="00DC4C78" w:rsidRDefault="00C30B65" w:rsidP="001638E7">
            <w:pPr>
              <w:pStyle w:val="TableText"/>
              <w:keepNext/>
              <w:rPr>
                <w:b/>
              </w:rPr>
            </w:pPr>
            <w:r w:rsidRPr="00DC4C78">
              <w:rPr>
                <w:b/>
              </w:rPr>
              <w:t>Target by December 2014</w:t>
            </w:r>
          </w:p>
        </w:tc>
        <w:tc>
          <w:tcPr>
            <w:tcW w:w="7655" w:type="dxa"/>
            <w:tcBorders>
              <w:top w:val="nil"/>
              <w:bottom w:val="nil"/>
            </w:tcBorders>
            <w:shd w:val="clear" w:color="auto" w:fill="F2F2F2"/>
          </w:tcPr>
          <w:p w:rsidR="00C30B65" w:rsidRPr="00DC4C78" w:rsidRDefault="00C30B65" w:rsidP="001638E7">
            <w:pPr>
              <w:pStyle w:val="TableText"/>
              <w:keepNext/>
            </w:pPr>
            <w:r w:rsidRPr="00DC4C78">
              <w:t>86 percent</w:t>
            </w:r>
          </w:p>
        </w:tc>
      </w:tr>
      <w:tr w:rsidR="00C30B65" w:rsidRPr="00DC4C78" w:rsidTr="00C30B65">
        <w:trPr>
          <w:cantSplit/>
        </w:trPr>
        <w:tc>
          <w:tcPr>
            <w:tcW w:w="1701" w:type="dxa"/>
            <w:tcBorders>
              <w:top w:val="nil"/>
            </w:tcBorders>
            <w:shd w:val="clear" w:color="auto" w:fill="auto"/>
          </w:tcPr>
          <w:p w:rsidR="00C30B65" w:rsidRPr="00DC4C78" w:rsidRDefault="00C30B65" w:rsidP="001638E7">
            <w:pPr>
              <w:pStyle w:val="TableText"/>
              <w:keepNext/>
              <w:rPr>
                <w:b/>
              </w:rPr>
            </w:pPr>
            <w:r w:rsidRPr="00DC4C78">
              <w:rPr>
                <w:b/>
              </w:rPr>
              <w:t>Target by June 2016</w:t>
            </w:r>
          </w:p>
        </w:tc>
        <w:tc>
          <w:tcPr>
            <w:tcW w:w="7655" w:type="dxa"/>
            <w:tcBorders>
              <w:top w:val="nil"/>
            </w:tcBorders>
          </w:tcPr>
          <w:p w:rsidR="00C30B65" w:rsidRPr="00DC4C78" w:rsidRDefault="00C30B65" w:rsidP="001638E7">
            <w:pPr>
              <w:pStyle w:val="TableText"/>
              <w:keepNext/>
            </w:pPr>
            <w:r w:rsidRPr="00DC4C78">
              <w:t>95 percent</w:t>
            </w:r>
          </w:p>
        </w:tc>
      </w:tr>
    </w:tbl>
    <w:p w:rsidR="00C30B65" w:rsidRPr="00DC4C78" w:rsidRDefault="00C30B65" w:rsidP="001638E7">
      <w:pPr>
        <w:keepNext/>
      </w:pPr>
    </w:p>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93"/>
        <w:gridCol w:w="1843"/>
        <w:gridCol w:w="1701"/>
        <w:gridCol w:w="1458"/>
        <w:gridCol w:w="1660"/>
      </w:tblGrid>
      <w:tr w:rsidR="00C30B65" w:rsidRPr="00DC4C78" w:rsidTr="00C30B65">
        <w:trPr>
          <w:cantSplit/>
        </w:trPr>
        <w:tc>
          <w:tcPr>
            <w:tcW w:w="1439" w:type="pct"/>
            <w:shd w:val="clear" w:color="auto" w:fill="F2F2F2"/>
          </w:tcPr>
          <w:p w:rsidR="00C30B65" w:rsidRPr="00DC4C78" w:rsidRDefault="00C30B65" w:rsidP="001638E7">
            <w:pPr>
              <w:pStyle w:val="TableText"/>
              <w:keepNext/>
              <w:rPr>
                <w:b/>
              </w:rPr>
            </w:pPr>
          </w:p>
        </w:tc>
        <w:tc>
          <w:tcPr>
            <w:tcW w:w="985" w:type="pct"/>
            <w:shd w:val="clear" w:color="auto" w:fill="F2F2F2"/>
          </w:tcPr>
          <w:p w:rsidR="00C30B65" w:rsidRPr="00DC4C78" w:rsidRDefault="00C30B65" w:rsidP="001638E7">
            <w:pPr>
              <w:pStyle w:val="TableText"/>
              <w:keepNext/>
              <w:jc w:val="center"/>
              <w:rPr>
                <w:b/>
              </w:rPr>
            </w:pPr>
            <w:r w:rsidRPr="00DC4C78">
              <w:rPr>
                <w:b/>
              </w:rPr>
              <w:t>Total New Zealand</w:t>
            </w:r>
          </w:p>
        </w:tc>
        <w:tc>
          <w:tcPr>
            <w:tcW w:w="909" w:type="pct"/>
            <w:shd w:val="clear" w:color="auto" w:fill="F2F2F2"/>
          </w:tcPr>
          <w:p w:rsidR="00C30B65" w:rsidRPr="00DC4C78" w:rsidRDefault="00C30B65" w:rsidP="001638E7">
            <w:pPr>
              <w:pStyle w:val="TableText"/>
              <w:keepNext/>
              <w:jc w:val="center"/>
              <w:rPr>
                <w:b/>
              </w:rPr>
            </w:pPr>
            <w:r w:rsidRPr="00DC4C78">
              <w:rPr>
                <w:b/>
              </w:rPr>
              <w:t>High deprivation</w:t>
            </w:r>
          </w:p>
        </w:tc>
        <w:tc>
          <w:tcPr>
            <w:tcW w:w="779" w:type="pct"/>
            <w:shd w:val="clear" w:color="auto" w:fill="F2F2F2"/>
          </w:tcPr>
          <w:p w:rsidR="00C30B65" w:rsidRPr="00DC4C78" w:rsidRDefault="00C30B65" w:rsidP="001638E7">
            <w:pPr>
              <w:pStyle w:val="TableText"/>
              <w:keepNext/>
              <w:jc w:val="center"/>
              <w:rPr>
                <w:b/>
              </w:rPr>
            </w:pPr>
            <w:r w:rsidRPr="00DC4C78">
              <w:rPr>
                <w:b/>
              </w:rPr>
              <w:t>Māori</w:t>
            </w:r>
          </w:p>
        </w:tc>
        <w:tc>
          <w:tcPr>
            <w:tcW w:w="887" w:type="pct"/>
            <w:shd w:val="clear" w:color="auto" w:fill="F2F2F2"/>
          </w:tcPr>
          <w:p w:rsidR="00C30B65" w:rsidRPr="00DC4C78" w:rsidRDefault="00C30B65" w:rsidP="001638E7">
            <w:pPr>
              <w:pStyle w:val="TableText"/>
              <w:keepNext/>
              <w:jc w:val="center"/>
              <w:rPr>
                <w:b/>
              </w:rPr>
            </w:pPr>
            <w:r w:rsidRPr="00DC4C78">
              <w:rPr>
                <w:b/>
              </w:rPr>
              <w:t>Pacific peoples</w:t>
            </w:r>
          </w:p>
        </w:tc>
      </w:tr>
      <w:tr w:rsidR="00C30B65" w:rsidRPr="00DC4C78" w:rsidTr="00C30B65">
        <w:trPr>
          <w:cantSplit/>
        </w:trPr>
        <w:tc>
          <w:tcPr>
            <w:tcW w:w="1439" w:type="pct"/>
            <w:shd w:val="clear" w:color="auto" w:fill="auto"/>
          </w:tcPr>
          <w:p w:rsidR="00C30B65" w:rsidRPr="00DC4C78" w:rsidRDefault="00C30B65" w:rsidP="001638E7">
            <w:pPr>
              <w:pStyle w:val="TableText"/>
              <w:keepNext/>
            </w:pPr>
            <w:r w:rsidRPr="00DC4C78">
              <w:t>September 2015 mean (range)</w:t>
            </w:r>
          </w:p>
        </w:tc>
        <w:tc>
          <w:tcPr>
            <w:tcW w:w="985" w:type="pct"/>
            <w:shd w:val="clear" w:color="auto" w:fill="auto"/>
            <w:vAlign w:val="center"/>
          </w:tcPr>
          <w:p w:rsidR="00C30B65" w:rsidRPr="00DC4C78" w:rsidRDefault="00C30B65" w:rsidP="001638E7">
            <w:pPr>
              <w:pStyle w:val="TableText"/>
              <w:keepNext/>
              <w:jc w:val="center"/>
            </w:pPr>
            <w:r w:rsidRPr="00DC4C78">
              <w:t>96% (93–98)</w:t>
            </w:r>
          </w:p>
        </w:tc>
        <w:tc>
          <w:tcPr>
            <w:tcW w:w="909" w:type="pct"/>
            <w:shd w:val="clear" w:color="auto" w:fill="auto"/>
            <w:vAlign w:val="center"/>
          </w:tcPr>
          <w:p w:rsidR="00C30B65" w:rsidRPr="00DC4C78" w:rsidRDefault="00C30B65" w:rsidP="001638E7">
            <w:pPr>
              <w:pStyle w:val="TableText"/>
              <w:keepNext/>
              <w:jc w:val="center"/>
            </w:pPr>
            <w:r w:rsidRPr="00DC4C78">
              <w:t>94% (91–97)</w:t>
            </w:r>
          </w:p>
        </w:tc>
        <w:tc>
          <w:tcPr>
            <w:tcW w:w="779" w:type="pct"/>
            <w:shd w:val="clear" w:color="auto" w:fill="auto"/>
            <w:vAlign w:val="center"/>
          </w:tcPr>
          <w:p w:rsidR="00C30B65" w:rsidRPr="00DC4C78" w:rsidRDefault="00C30B65" w:rsidP="001638E7">
            <w:pPr>
              <w:pStyle w:val="TableText"/>
              <w:keepNext/>
              <w:jc w:val="center"/>
            </w:pPr>
            <w:r w:rsidRPr="00DC4C78">
              <w:t>94% (87–97)</w:t>
            </w:r>
          </w:p>
        </w:tc>
        <w:tc>
          <w:tcPr>
            <w:tcW w:w="887" w:type="pct"/>
            <w:shd w:val="clear" w:color="auto" w:fill="auto"/>
            <w:vAlign w:val="center"/>
          </w:tcPr>
          <w:p w:rsidR="00C30B65" w:rsidRPr="00DC4C78" w:rsidRDefault="00C30B65" w:rsidP="001638E7">
            <w:pPr>
              <w:pStyle w:val="TableText"/>
              <w:keepNext/>
              <w:jc w:val="center"/>
            </w:pPr>
            <w:r w:rsidRPr="00DC4C78">
              <w:t>95% (71</w:t>
            </w:r>
            <w:r>
              <w:t>–</w:t>
            </w:r>
            <w:r w:rsidRPr="00DC4C78">
              <w:t>100)</w:t>
            </w:r>
          </w:p>
        </w:tc>
      </w:tr>
      <w:tr w:rsidR="00C30B65" w:rsidRPr="00DC4C78" w:rsidTr="00C30B65">
        <w:trPr>
          <w:cantSplit/>
        </w:trPr>
        <w:tc>
          <w:tcPr>
            <w:tcW w:w="1439" w:type="pct"/>
            <w:shd w:val="clear" w:color="auto" w:fill="auto"/>
          </w:tcPr>
          <w:p w:rsidR="00C30B65" w:rsidRPr="00DC4C78" w:rsidRDefault="00C30B65" w:rsidP="001638E7">
            <w:pPr>
              <w:pStyle w:val="TableText"/>
              <w:keepNext/>
            </w:pPr>
            <w:r w:rsidRPr="00DC4C78">
              <w:t>March 2015 mean (range)</w:t>
            </w:r>
          </w:p>
        </w:tc>
        <w:tc>
          <w:tcPr>
            <w:tcW w:w="985" w:type="pct"/>
            <w:shd w:val="clear" w:color="auto" w:fill="auto"/>
            <w:vAlign w:val="center"/>
          </w:tcPr>
          <w:p w:rsidR="00C30B65" w:rsidRPr="00DC4C78" w:rsidRDefault="00C30B65" w:rsidP="001638E7">
            <w:pPr>
              <w:pStyle w:val="TableText"/>
              <w:keepNext/>
              <w:jc w:val="center"/>
            </w:pPr>
            <w:r w:rsidRPr="00DC4C78">
              <w:t>96% (91–99)</w:t>
            </w:r>
          </w:p>
        </w:tc>
        <w:tc>
          <w:tcPr>
            <w:tcW w:w="909" w:type="pct"/>
            <w:shd w:val="clear" w:color="auto" w:fill="auto"/>
            <w:vAlign w:val="center"/>
          </w:tcPr>
          <w:p w:rsidR="00C30B65" w:rsidRPr="00DC4C78" w:rsidRDefault="00C30B65" w:rsidP="001638E7">
            <w:pPr>
              <w:pStyle w:val="TableText"/>
              <w:keepNext/>
              <w:jc w:val="center"/>
            </w:pPr>
            <w:r w:rsidRPr="00DC4C78">
              <w:t>93% (84–100)</w:t>
            </w:r>
          </w:p>
        </w:tc>
        <w:tc>
          <w:tcPr>
            <w:tcW w:w="779" w:type="pct"/>
            <w:shd w:val="clear" w:color="auto" w:fill="auto"/>
            <w:vAlign w:val="center"/>
          </w:tcPr>
          <w:p w:rsidR="00C30B65" w:rsidRPr="00DC4C78" w:rsidRDefault="00C30B65" w:rsidP="001638E7">
            <w:pPr>
              <w:pStyle w:val="TableText"/>
              <w:keepNext/>
              <w:jc w:val="center"/>
            </w:pPr>
            <w:r w:rsidRPr="00DC4C78">
              <w:t>94% (88–100)</w:t>
            </w:r>
          </w:p>
        </w:tc>
        <w:tc>
          <w:tcPr>
            <w:tcW w:w="887" w:type="pct"/>
            <w:shd w:val="clear" w:color="auto" w:fill="auto"/>
            <w:vAlign w:val="center"/>
          </w:tcPr>
          <w:p w:rsidR="00C30B65" w:rsidRPr="00DC4C78" w:rsidRDefault="00C30B65" w:rsidP="001638E7">
            <w:pPr>
              <w:pStyle w:val="TableText"/>
              <w:keepNext/>
              <w:jc w:val="center"/>
            </w:pPr>
            <w:r w:rsidRPr="00DC4C78">
              <w:t>95% (84–100)</w:t>
            </w:r>
          </w:p>
        </w:tc>
      </w:tr>
    </w:tbl>
    <w:p w:rsidR="00C30B65" w:rsidRPr="00DC4C78" w:rsidRDefault="00C30B65" w:rsidP="001638E7">
      <w:pPr>
        <w:keepNext/>
      </w:pPr>
    </w:p>
    <w:p w:rsidR="00C30B65" w:rsidRPr="00DC4C78" w:rsidRDefault="00C30B65" w:rsidP="001239B0">
      <w:pPr>
        <w:pStyle w:val="Figure"/>
        <w:spacing w:before="0" w:after="60"/>
      </w:pPr>
      <w:bookmarkStart w:id="351" w:name="_Toc405447470"/>
      <w:bookmarkStart w:id="352" w:name="_Toc417554815"/>
      <w:bookmarkStart w:id="353" w:name="_Toc436750556"/>
      <w:bookmarkStart w:id="354" w:name="_Toc440387879"/>
      <w:r w:rsidRPr="00DC4C78">
        <w:t xml:space="preserve">Figure 59: Children </w:t>
      </w:r>
      <w:r>
        <w:t>with</w:t>
      </w:r>
      <w:r w:rsidRPr="00DC4C78">
        <w:t xml:space="preserve"> a normal SDQ-P score at four years, total New Zealand</w:t>
      </w:r>
      <w:bookmarkEnd w:id="351"/>
      <w:bookmarkEnd w:id="352"/>
      <w:bookmarkEnd w:id="353"/>
      <w:bookmarkEnd w:id="354"/>
    </w:p>
    <w:p w:rsidR="00C30B65" w:rsidRPr="00DC4C78" w:rsidRDefault="004D70F2" w:rsidP="004D70F2">
      <w:r>
        <w:rPr>
          <w:noProof/>
          <w:lang w:eastAsia="en-NZ"/>
        </w:rPr>
        <w:drawing>
          <wp:inline distT="0" distB="0" distL="0" distR="0" wp14:anchorId="66E046A8">
            <wp:extent cx="4320000" cy="2520000"/>
            <wp:effectExtent l="0" t="0" r="4445" b="0"/>
            <wp:docPr id="68" name="Picture 68" title="Figure 59: Children with a normal SDQ-P score at four years, total New Zeala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inline>
        </w:drawing>
      </w:r>
    </w:p>
    <w:p w:rsidR="00C30B65" w:rsidRPr="00DC4C78" w:rsidRDefault="00C30B65" w:rsidP="00C30B65"/>
    <w:p w:rsidR="00C30B65" w:rsidRPr="00DC4C78" w:rsidRDefault="00C30B65" w:rsidP="001239B0">
      <w:pPr>
        <w:pStyle w:val="Figure"/>
        <w:spacing w:before="0" w:after="60"/>
      </w:pPr>
      <w:bookmarkStart w:id="355" w:name="_Toc405447471"/>
      <w:bookmarkStart w:id="356" w:name="_Toc417554816"/>
      <w:bookmarkStart w:id="357" w:name="_Toc436750557"/>
      <w:bookmarkStart w:id="358" w:name="_Toc440387880"/>
      <w:r w:rsidRPr="00DC4C78">
        <w:t xml:space="preserve">Figure 60: Children </w:t>
      </w:r>
      <w:r>
        <w:t>with</w:t>
      </w:r>
      <w:r w:rsidRPr="00DC4C78">
        <w:t xml:space="preserve"> a normal SDQ-P score at four years, high deprivation</w:t>
      </w:r>
      <w:bookmarkEnd w:id="355"/>
      <w:bookmarkEnd w:id="356"/>
      <w:bookmarkEnd w:id="357"/>
      <w:r>
        <w:t xml:space="preserve"> population</w:t>
      </w:r>
      <w:bookmarkEnd w:id="358"/>
    </w:p>
    <w:p w:rsidR="00C30B65" w:rsidRDefault="004D70F2" w:rsidP="004D70F2">
      <w:r>
        <w:rPr>
          <w:noProof/>
          <w:lang w:eastAsia="en-NZ"/>
        </w:rPr>
        <w:drawing>
          <wp:inline distT="0" distB="0" distL="0" distR="0" wp14:anchorId="1B01AEDE">
            <wp:extent cx="4320000" cy="2520000"/>
            <wp:effectExtent l="0" t="0" r="4445" b="0"/>
            <wp:docPr id="94" name="Picture 94" title="Figure 60: Children with a normal SDQ-P score at four years, high deprivation popul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inline>
        </w:drawing>
      </w:r>
    </w:p>
    <w:p w:rsidR="00C30B65" w:rsidRPr="00DC4C78" w:rsidRDefault="00C30B65" w:rsidP="001239B0">
      <w:pPr>
        <w:pStyle w:val="Figure"/>
        <w:spacing w:before="360"/>
      </w:pPr>
      <w:bookmarkStart w:id="359" w:name="_Toc405447472"/>
      <w:bookmarkStart w:id="360" w:name="_Toc417554817"/>
      <w:bookmarkStart w:id="361" w:name="_Toc436750558"/>
      <w:bookmarkStart w:id="362" w:name="_Toc440387881"/>
      <w:r w:rsidRPr="00DC4C78">
        <w:lastRenderedPageBreak/>
        <w:t xml:space="preserve">Figure 61: Children </w:t>
      </w:r>
      <w:r>
        <w:t>with</w:t>
      </w:r>
      <w:r w:rsidRPr="00DC4C78">
        <w:t xml:space="preserve"> a normal SDQ-P score at four years, Māori</w:t>
      </w:r>
      <w:bookmarkEnd w:id="359"/>
      <w:bookmarkEnd w:id="360"/>
      <w:bookmarkEnd w:id="361"/>
      <w:bookmarkEnd w:id="362"/>
    </w:p>
    <w:p w:rsidR="00C30B65" w:rsidRPr="00DC4C78" w:rsidRDefault="004D70F2" w:rsidP="004D70F2">
      <w:r>
        <w:rPr>
          <w:noProof/>
          <w:lang w:eastAsia="en-NZ"/>
        </w:rPr>
        <w:drawing>
          <wp:inline distT="0" distB="0" distL="0" distR="0" wp14:anchorId="77E35B81">
            <wp:extent cx="4320000" cy="2520000"/>
            <wp:effectExtent l="0" t="0" r="4445" b="0"/>
            <wp:docPr id="95" name="Picture 95" title="Figure 61: Children with a normal SDQ-P score at four years, Māor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inline>
        </w:drawing>
      </w:r>
    </w:p>
    <w:p w:rsidR="00C30B65" w:rsidRPr="00DC4C78" w:rsidRDefault="00C30B65" w:rsidP="00C30B65"/>
    <w:p w:rsidR="00C30B65" w:rsidRPr="00DC4C78" w:rsidRDefault="00C30B65" w:rsidP="00C30B65">
      <w:pPr>
        <w:pStyle w:val="Figure"/>
      </w:pPr>
      <w:bookmarkStart w:id="363" w:name="_Toc405447473"/>
      <w:bookmarkStart w:id="364" w:name="_Toc417554818"/>
      <w:bookmarkStart w:id="365" w:name="_Toc436750559"/>
      <w:bookmarkStart w:id="366" w:name="_Toc440387882"/>
      <w:r w:rsidRPr="00DC4C78">
        <w:t xml:space="preserve">Figure 62: Children </w:t>
      </w:r>
      <w:r>
        <w:t>with</w:t>
      </w:r>
      <w:r w:rsidRPr="00DC4C78">
        <w:t xml:space="preserve"> a normal SDQ-P score at four years, Pacific peoples</w:t>
      </w:r>
      <w:bookmarkEnd w:id="363"/>
      <w:bookmarkEnd w:id="364"/>
      <w:bookmarkEnd w:id="365"/>
      <w:bookmarkEnd w:id="366"/>
    </w:p>
    <w:p w:rsidR="00C30B65" w:rsidRPr="00DC4C78" w:rsidRDefault="004D70F2" w:rsidP="004D70F2">
      <w:r>
        <w:rPr>
          <w:noProof/>
          <w:lang w:eastAsia="en-NZ"/>
        </w:rPr>
        <w:drawing>
          <wp:inline distT="0" distB="0" distL="0" distR="0" wp14:anchorId="5516558A">
            <wp:extent cx="4320000" cy="2520000"/>
            <wp:effectExtent l="0" t="0" r="4445" b="0"/>
            <wp:docPr id="101" name="Picture 101" title="Figure 62: Children with a normal SDQ-P score at four years, Pacific peop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inline>
        </w:drawing>
      </w:r>
    </w:p>
    <w:p w:rsidR="00C30B65" w:rsidRPr="00DC4C78" w:rsidRDefault="00C30B65" w:rsidP="00C30B65"/>
    <w:p w:rsidR="00C30B65" w:rsidRPr="00DC4C78" w:rsidRDefault="00C30B65" w:rsidP="00C30B65">
      <w:pPr>
        <w:pStyle w:val="Heading3"/>
      </w:pPr>
      <w:r w:rsidRPr="00DC4C78">
        <w:t>Data notes</w:t>
      </w:r>
    </w:p>
    <w:p w:rsidR="00C30B65" w:rsidRPr="00DC4C78" w:rsidRDefault="00C30B65" w:rsidP="00C30B65">
      <w:pPr>
        <w:pStyle w:val="Bullet"/>
      </w:pPr>
      <w:r w:rsidRPr="00DC4C78">
        <w:t>Time period: children receiving a B4 School Check between 1 January 2015 and 30 June 2015.</w:t>
      </w:r>
    </w:p>
    <w:p w:rsidR="00C30B65" w:rsidRPr="00DC4C78" w:rsidRDefault="00C30B65" w:rsidP="00C30B65">
      <w:pPr>
        <w:pStyle w:val="Bullet"/>
      </w:pPr>
      <w:r w:rsidRPr="00DC4C78">
        <w:t>DHB is DHB of service.</w:t>
      </w:r>
    </w:p>
    <w:p w:rsidR="00C30B65" w:rsidRPr="00DC4C78" w:rsidRDefault="00C30B65" w:rsidP="00C30B65">
      <w:pPr>
        <w:pStyle w:val="Bullet"/>
      </w:pPr>
      <w:r w:rsidRPr="00DC4C78">
        <w:t>Numerator: children with an SDQ-P score that is within the normal range (source: B4 School Check).</w:t>
      </w:r>
    </w:p>
    <w:p w:rsidR="00C30B65" w:rsidRPr="00DC4C78" w:rsidRDefault="00C30B65" w:rsidP="00C30B65">
      <w:pPr>
        <w:pStyle w:val="Bullet"/>
      </w:pPr>
      <w:r w:rsidRPr="00DC4C78">
        <w:t>Denominator: children with an SDQ-P score recorded at the B4 School Check (source: B4 School Check).</w:t>
      </w:r>
    </w:p>
    <w:p w:rsidR="00C30B65" w:rsidRPr="00DC4C78" w:rsidRDefault="00C30B65" w:rsidP="00C30B65"/>
    <w:p w:rsidR="00C30B65" w:rsidRPr="00DC4C78" w:rsidRDefault="00C30B65" w:rsidP="00C30B65">
      <w:pPr>
        <w:pStyle w:val="Heading2"/>
      </w:pPr>
      <w:bookmarkStart w:id="367" w:name="_Toc365618461"/>
      <w:bookmarkStart w:id="368" w:name="_Toc405453784"/>
      <w:bookmarkStart w:id="369" w:name="_Toc418322793"/>
      <w:bookmarkStart w:id="370" w:name="_Toc419099462"/>
      <w:bookmarkStart w:id="371" w:name="_Toc440387808"/>
      <w:r w:rsidRPr="00DC4C78">
        <w:lastRenderedPageBreak/>
        <w:t>WCTO Quality Improvement Framework Indicator 19</w:t>
      </w:r>
      <w:bookmarkEnd w:id="367"/>
      <w:bookmarkEnd w:id="368"/>
      <w:bookmarkEnd w:id="369"/>
      <w:bookmarkEnd w:id="370"/>
      <w:bookmarkEnd w:id="371"/>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701"/>
        <w:gridCol w:w="7655"/>
      </w:tblGrid>
      <w:tr w:rsidR="00C30B65" w:rsidRPr="00DC4C78" w:rsidTr="00C30B65">
        <w:trPr>
          <w:cantSplit/>
        </w:trPr>
        <w:tc>
          <w:tcPr>
            <w:tcW w:w="1701" w:type="dxa"/>
            <w:tcBorders>
              <w:top w:val="single" w:sz="4" w:space="0" w:color="auto"/>
              <w:bottom w:val="nil"/>
            </w:tcBorders>
            <w:shd w:val="clear" w:color="auto" w:fill="F2F2F2"/>
          </w:tcPr>
          <w:p w:rsidR="00C30B65" w:rsidRPr="00DC4C78" w:rsidRDefault="00C30B65" w:rsidP="001638E7">
            <w:pPr>
              <w:pStyle w:val="TableText"/>
              <w:keepNext/>
              <w:rPr>
                <w:b/>
              </w:rPr>
            </w:pPr>
            <w:r w:rsidRPr="00DC4C78">
              <w:rPr>
                <w:b/>
              </w:rPr>
              <w:t>Standard</w:t>
            </w:r>
          </w:p>
        </w:tc>
        <w:tc>
          <w:tcPr>
            <w:tcW w:w="7655" w:type="dxa"/>
            <w:tcBorders>
              <w:top w:val="single" w:sz="4" w:space="0" w:color="auto"/>
              <w:bottom w:val="nil"/>
            </w:tcBorders>
            <w:shd w:val="clear" w:color="auto" w:fill="F2F2F2"/>
          </w:tcPr>
          <w:p w:rsidR="00C30B65" w:rsidRPr="00DC4C78" w:rsidRDefault="00C30B65" w:rsidP="001638E7">
            <w:pPr>
              <w:pStyle w:val="TableText"/>
              <w:keepNext/>
            </w:pPr>
            <w:r w:rsidRPr="00DC4C78">
              <w:t xml:space="preserve">WCTO providers use evidence-based interventions and education to promote child, family and </w:t>
            </w:r>
            <w:proofErr w:type="spellStart"/>
            <w:r w:rsidRPr="00DC4C78">
              <w:t>whānau</w:t>
            </w:r>
            <w:proofErr w:type="spellEnd"/>
            <w:r w:rsidRPr="00DC4C78">
              <w:t xml:space="preserve"> health and wellbeing.</w:t>
            </w:r>
          </w:p>
        </w:tc>
      </w:tr>
      <w:tr w:rsidR="00C30B65" w:rsidRPr="00DC4C78" w:rsidTr="00C30B65">
        <w:trPr>
          <w:cantSplit/>
        </w:trPr>
        <w:tc>
          <w:tcPr>
            <w:tcW w:w="1701" w:type="dxa"/>
            <w:tcBorders>
              <w:top w:val="nil"/>
              <w:bottom w:val="nil"/>
            </w:tcBorders>
            <w:shd w:val="clear" w:color="auto" w:fill="auto"/>
          </w:tcPr>
          <w:p w:rsidR="00C30B65" w:rsidRPr="00DC4C78" w:rsidRDefault="00C30B65" w:rsidP="001638E7">
            <w:pPr>
              <w:pStyle w:val="TableText"/>
              <w:keepNext/>
              <w:rPr>
                <w:b/>
              </w:rPr>
            </w:pPr>
            <w:r w:rsidRPr="00DC4C78">
              <w:rPr>
                <w:b/>
              </w:rPr>
              <w:t>Indicator</w:t>
            </w:r>
          </w:p>
        </w:tc>
        <w:tc>
          <w:tcPr>
            <w:tcW w:w="7655" w:type="dxa"/>
            <w:tcBorders>
              <w:top w:val="nil"/>
              <w:bottom w:val="nil"/>
            </w:tcBorders>
          </w:tcPr>
          <w:p w:rsidR="00C30B65" w:rsidRPr="00DC4C78" w:rsidRDefault="00C30B65" w:rsidP="001638E7">
            <w:pPr>
              <w:pStyle w:val="TableText"/>
              <w:keepNext/>
            </w:pPr>
            <w:r w:rsidRPr="00DC4C78">
              <w:t xml:space="preserve">Mothers are </w:t>
            </w:r>
            <w:proofErr w:type="spellStart"/>
            <w:r w:rsidRPr="00DC4C78">
              <w:t>smokefree</w:t>
            </w:r>
            <w:proofErr w:type="spellEnd"/>
            <w:r w:rsidRPr="00DC4C78">
              <w:t xml:space="preserve"> at two weeks postnatal.</w:t>
            </w:r>
          </w:p>
        </w:tc>
      </w:tr>
      <w:tr w:rsidR="00C30B65" w:rsidRPr="00DC4C78" w:rsidTr="00C30B65">
        <w:trPr>
          <w:cantSplit/>
        </w:trPr>
        <w:tc>
          <w:tcPr>
            <w:tcW w:w="1701" w:type="dxa"/>
            <w:tcBorders>
              <w:top w:val="nil"/>
              <w:bottom w:val="nil"/>
            </w:tcBorders>
            <w:shd w:val="clear" w:color="auto" w:fill="F2F2F2"/>
          </w:tcPr>
          <w:p w:rsidR="00C30B65" w:rsidRPr="00DC4C78" w:rsidRDefault="00C30B65" w:rsidP="001638E7">
            <w:pPr>
              <w:pStyle w:val="TableText"/>
              <w:keepNext/>
              <w:rPr>
                <w:b/>
              </w:rPr>
            </w:pPr>
            <w:r w:rsidRPr="00DC4C78">
              <w:rPr>
                <w:b/>
              </w:rPr>
              <w:t>Target by December 2014</w:t>
            </w:r>
          </w:p>
        </w:tc>
        <w:tc>
          <w:tcPr>
            <w:tcW w:w="7655" w:type="dxa"/>
            <w:tcBorders>
              <w:top w:val="nil"/>
              <w:bottom w:val="nil"/>
            </w:tcBorders>
            <w:shd w:val="clear" w:color="auto" w:fill="F2F2F2"/>
          </w:tcPr>
          <w:p w:rsidR="00C30B65" w:rsidRPr="00DC4C78" w:rsidRDefault="00C30B65" w:rsidP="001638E7">
            <w:pPr>
              <w:pStyle w:val="TableText"/>
              <w:keepNext/>
            </w:pPr>
            <w:r w:rsidRPr="00DC4C78">
              <w:t>86 percent</w:t>
            </w:r>
          </w:p>
        </w:tc>
      </w:tr>
      <w:tr w:rsidR="00C30B65" w:rsidRPr="00DC4C78" w:rsidTr="00C30B65">
        <w:trPr>
          <w:cantSplit/>
        </w:trPr>
        <w:tc>
          <w:tcPr>
            <w:tcW w:w="1701" w:type="dxa"/>
            <w:tcBorders>
              <w:top w:val="nil"/>
            </w:tcBorders>
            <w:shd w:val="clear" w:color="auto" w:fill="auto"/>
          </w:tcPr>
          <w:p w:rsidR="00C30B65" w:rsidRPr="00DC4C78" w:rsidRDefault="00C30B65" w:rsidP="00C30B65">
            <w:pPr>
              <w:pStyle w:val="TableText"/>
              <w:rPr>
                <w:b/>
              </w:rPr>
            </w:pPr>
            <w:r w:rsidRPr="00DC4C78">
              <w:rPr>
                <w:b/>
              </w:rPr>
              <w:t>Target by June 2016</w:t>
            </w:r>
          </w:p>
        </w:tc>
        <w:tc>
          <w:tcPr>
            <w:tcW w:w="7655" w:type="dxa"/>
            <w:tcBorders>
              <w:top w:val="nil"/>
            </w:tcBorders>
          </w:tcPr>
          <w:p w:rsidR="00C30B65" w:rsidRPr="00DC4C78" w:rsidRDefault="00C30B65" w:rsidP="00C30B65">
            <w:pPr>
              <w:pStyle w:val="TableText"/>
            </w:pPr>
            <w:r w:rsidRPr="00DC4C78">
              <w:t>95 percent</w:t>
            </w:r>
          </w:p>
        </w:tc>
      </w:tr>
    </w:tbl>
    <w:p w:rsidR="00C30B65" w:rsidRPr="00DC4C78" w:rsidRDefault="00C30B65" w:rsidP="00C30B65"/>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93"/>
        <w:gridCol w:w="1843"/>
        <w:gridCol w:w="1701"/>
        <w:gridCol w:w="1458"/>
        <w:gridCol w:w="1660"/>
      </w:tblGrid>
      <w:tr w:rsidR="00C30B65" w:rsidRPr="00DC4C78" w:rsidTr="00C30B65">
        <w:trPr>
          <w:cantSplit/>
        </w:trPr>
        <w:tc>
          <w:tcPr>
            <w:tcW w:w="1439" w:type="pct"/>
            <w:shd w:val="clear" w:color="auto" w:fill="F2F2F2"/>
          </w:tcPr>
          <w:p w:rsidR="00C30B65" w:rsidRPr="00DC4C78" w:rsidRDefault="00C30B65" w:rsidP="00C30B65">
            <w:pPr>
              <w:pStyle w:val="TableText"/>
              <w:rPr>
                <w:b/>
              </w:rPr>
            </w:pPr>
          </w:p>
        </w:tc>
        <w:tc>
          <w:tcPr>
            <w:tcW w:w="985" w:type="pct"/>
            <w:shd w:val="clear" w:color="auto" w:fill="F2F2F2"/>
          </w:tcPr>
          <w:p w:rsidR="00C30B65" w:rsidRPr="00DC4C78" w:rsidRDefault="00C30B65" w:rsidP="00C30B65">
            <w:pPr>
              <w:pStyle w:val="TableText"/>
              <w:jc w:val="center"/>
              <w:rPr>
                <w:b/>
              </w:rPr>
            </w:pPr>
            <w:r w:rsidRPr="00DC4C78">
              <w:rPr>
                <w:b/>
              </w:rPr>
              <w:t>Total New Zealand</w:t>
            </w:r>
          </w:p>
        </w:tc>
        <w:tc>
          <w:tcPr>
            <w:tcW w:w="909" w:type="pct"/>
            <w:shd w:val="clear" w:color="auto" w:fill="F2F2F2"/>
          </w:tcPr>
          <w:p w:rsidR="00C30B65" w:rsidRPr="00DC4C78" w:rsidRDefault="00C30B65" w:rsidP="00C30B65">
            <w:pPr>
              <w:pStyle w:val="TableText"/>
              <w:jc w:val="center"/>
              <w:rPr>
                <w:b/>
              </w:rPr>
            </w:pPr>
            <w:r w:rsidRPr="00DC4C78">
              <w:rPr>
                <w:b/>
              </w:rPr>
              <w:t>High deprivation</w:t>
            </w:r>
          </w:p>
        </w:tc>
        <w:tc>
          <w:tcPr>
            <w:tcW w:w="779" w:type="pct"/>
            <w:shd w:val="clear" w:color="auto" w:fill="F2F2F2"/>
          </w:tcPr>
          <w:p w:rsidR="00C30B65" w:rsidRPr="00DC4C78" w:rsidRDefault="00C30B65" w:rsidP="00C30B65">
            <w:pPr>
              <w:pStyle w:val="TableText"/>
              <w:jc w:val="center"/>
              <w:rPr>
                <w:b/>
              </w:rPr>
            </w:pPr>
            <w:r w:rsidRPr="00DC4C78">
              <w:rPr>
                <w:b/>
              </w:rPr>
              <w:t>Māori</w:t>
            </w:r>
          </w:p>
        </w:tc>
        <w:tc>
          <w:tcPr>
            <w:tcW w:w="887" w:type="pct"/>
            <w:shd w:val="clear" w:color="auto" w:fill="F2F2F2"/>
          </w:tcPr>
          <w:p w:rsidR="00C30B65" w:rsidRPr="00DC4C78" w:rsidRDefault="00C30B65" w:rsidP="00C30B65">
            <w:pPr>
              <w:pStyle w:val="TableText"/>
              <w:jc w:val="center"/>
              <w:rPr>
                <w:b/>
              </w:rPr>
            </w:pPr>
            <w:r w:rsidRPr="00DC4C78">
              <w:rPr>
                <w:b/>
              </w:rPr>
              <w:t>Pacific peoples</w:t>
            </w:r>
          </w:p>
        </w:tc>
      </w:tr>
      <w:tr w:rsidR="00C30B65" w:rsidRPr="00DC4C78" w:rsidTr="00C30B65">
        <w:trPr>
          <w:cantSplit/>
        </w:trPr>
        <w:tc>
          <w:tcPr>
            <w:tcW w:w="1439" w:type="pct"/>
            <w:shd w:val="clear" w:color="auto" w:fill="auto"/>
          </w:tcPr>
          <w:p w:rsidR="00C30B65" w:rsidRPr="00DC4C78" w:rsidRDefault="00C30B65" w:rsidP="00C30B65">
            <w:pPr>
              <w:pStyle w:val="TableText"/>
            </w:pPr>
            <w:r w:rsidRPr="00DC4C78">
              <w:t>September 2015 mean (range)</w:t>
            </w:r>
          </w:p>
        </w:tc>
        <w:tc>
          <w:tcPr>
            <w:tcW w:w="985" w:type="pct"/>
            <w:shd w:val="clear" w:color="auto" w:fill="auto"/>
            <w:vAlign w:val="center"/>
          </w:tcPr>
          <w:p w:rsidR="00C30B65" w:rsidRPr="00DC4C78" w:rsidRDefault="00C30B65" w:rsidP="00C30B65">
            <w:pPr>
              <w:pStyle w:val="TableText"/>
              <w:jc w:val="center"/>
            </w:pPr>
            <w:r w:rsidRPr="00DC4C78">
              <w:t>87% (72–98)</w:t>
            </w:r>
          </w:p>
        </w:tc>
        <w:tc>
          <w:tcPr>
            <w:tcW w:w="909" w:type="pct"/>
            <w:shd w:val="clear" w:color="auto" w:fill="auto"/>
            <w:vAlign w:val="center"/>
          </w:tcPr>
          <w:p w:rsidR="00C30B65" w:rsidRPr="00DC4C78" w:rsidRDefault="00C30B65" w:rsidP="00C30B65">
            <w:pPr>
              <w:pStyle w:val="TableText"/>
              <w:jc w:val="center"/>
            </w:pPr>
            <w:r w:rsidRPr="00DC4C78">
              <w:t>78% (61–95)</w:t>
            </w:r>
          </w:p>
        </w:tc>
        <w:tc>
          <w:tcPr>
            <w:tcW w:w="779" w:type="pct"/>
            <w:shd w:val="clear" w:color="auto" w:fill="auto"/>
            <w:vAlign w:val="center"/>
          </w:tcPr>
          <w:p w:rsidR="00C30B65" w:rsidRPr="00DC4C78" w:rsidRDefault="00C30B65" w:rsidP="00C30B65">
            <w:pPr>
              <w:pStyle w:val="TableText"/>
              <w:jc w:val="center"/>
            </w:pPr>
            <w:r w:rsidRPr="00DC4C78">
              <w:t>66% (58–89)</w:t>
            </w:r>
          </w:p>
        </w:tc>
        <w:tc>
          <w:tcPr>
            <w:tcW w:w="887" w:type="pct"/>
            <w:shd w:val="clear" w:color="auto" w:fill="auto"/>
            <w:vAlign w:val="center"/>
          </w:tcPr>
          <w:p w:rsidR="00C30B65" w:rsidRPr="00DC4C78" w:rsidRDefault="00C30B65" w:rsidP="00C30B65">
            <w:pPr>
              <w:pStyle w:val="TableText"/>
              <w:jc w:val="center"/>
            </w:pPr>
            <w:r w:rsidRPr="00DC4C78">
              <w:t>92% (67–100)</w:t>
            </w:r>
          </w:p>
        </w:tc>
      </w:tr>
      <w:tr w:rsidR="00C30B65" w:rsidRPr="00DC4C78" w:rsidTr="00C30B65">
        <w:trPr>
          <w:cantSplit/>
        </w:trPr>
        <w:tc>
          <w:tcPr>
            <w:tcW w:w="1439" w:type="pct"/>
            <w:shd w:val="clear" w:color="auto" w:fill="auto"/>
          </w:tcPr>
          <w:p w:rsidR="00C30B65" w:rsidRPr="00DC4C78" w:rsidRDefault="00C30B65" w:rsidP="00C30B65">
            <w:pPr>
              <w:pStyle w:val="TableText"/>
            </w:pPr>
            <w:r w:rsidRPr="00DC4C78">
              <w:t>March 2015 mean (range)</w:t>
            </w:r>
          </w:p>
        </w:tc>
        <w:tc>
          <w:tcPr>
            <w:tcW w:w="985" w:type="pct"/>
            <w:shd w:val="clear" w:color="auto" w:fill="auto"/>
            <w:vAlign w:val="center"/>
          </w:tcPr>
          <w:p w:rsidR="00C30B65" w:rsidRPr="00DC4C78" w:rsidRDefault="00C30B65" w:rsidP="00C30B65">
            <w:pPr>
              <w:pStyle w:val="TableText"/>
              <w:jc w:val="center"/>
            </w:pPr>
            <w:r w:rsidRPr="00DC4C78">
              <w:t>87% (72–96)</w:t>
            </w:r>
          </w:p>
        </w:tc>
        <w:tc>
          <w:tcPr>
            <w:tcW w:w="909" w:type="pct"/>
            <w:shd w:val="clear" w:color="auto" w:fill="auto"/>
            <w:vAlign w:val="center"/>
          </w:tcPr>
          <w:p w:rsidR="00C30B65" w:rsidRPr="00DC4C78" w:rsidRDefault="00C30B65" w:rsidP="00C30B65">
            <w:pPr>
              <w:pStyle w:val="TableText"/>
              <w:jc w:val="center"/>
            </w:pPr>
            <w:r w:rsidRPr="00DC4C78">
              <w:t>76% (61–94)</w:t>
            </w:r>
          </w:p>
        </w:tc>
        <w:tc>
          <w:tcPr>
            <w:tcW w:w="779" w:type="pct"/>
            <w:shd w:val="clear" w:color="auto" w:fill="auto"/>
            <w:vAlign w:val="center"/>
          </w:tcPr>
          <w:p w:rsidR="00C30B65" w:rsidRPr="00DC4C78" w:rsidRDefault="00C30B65" w:rsidP="00C30B65">
            <w:pPr>
              <w:pStyle w:val="TableText"/>
              <w:jc w:val="center"/>
            </w:pPr>
            <w:r w:rsidRPr="00DC4C78">
              <w:t>65% (56–83)</w:t>
            </w:r>
          </w:p>
        </w:tc>
        <w:tc>
          <w:tcPr>
            <w:tcW w:w="887" w:type="pct"/>
            <w:shd w:val="clear" w:color="auto" w:fill="auto"/>
            <w:vAlign w:val="center"/>
          </w:tcPr>
          <w:p w:rsidR="00C30B65" w:rsidRPr="00DC4C78" w:rsidRDefault="00C30B65" w:rsidP="00C30B65">
            <w:pPr>
              <w:pStyle w:val="TableText"/>
              <w:jc w:val="center"/>
            </w:pPr>
            <w:r w:rsidRPr="00DC4C78">
              <w:t>91% (71–100)</w:t>
            </w:r>
          </w:p>
        </w:tc>
      </w:tr>
    </w:tbl>
    <w:p w:rsidR="00C30B65" w:rsidRPr="00DC4C78" w:rsidRDefault="00C30B65" w:rsidP="00C30B65"/>
    <w:p w:rsidR="00C30B65" w:rsidRPr="00DC4C78" w:rsidRDefault="00C30B65" w:rsidP="00C30B65">
      <w:pPr>
        <w:pStyle w:val="Figure"/>
      </w:pPr>
      <w:bookmarkStart w:id="372" w:name="_Toc405447474"/>
      <w:bookmarkStart w:id="373" w:name="_Toc417554819"/>
      <w:bookmarkStart w:id="374" w:name="_Toc436750560"/>
      <w:bookmarkStart w:id="375" w:name="_Toc440387883"/>
      <w:r w:rsidRPr="00DC4C78">
        <w:t>Figure 63: Mother</w:t>
      </w:r>
      <w:r>
        <w:t>s</w:t>
      </w:r>
      <w:r w:rsidRPr="00DC4C78">
        <w:t xml:space="preserve"> </w:t>
      </w:r>
      <w:proofErr w:type="spellStart"/>
      <w:r w:rsidRPr="00DC4C78">
        <w:t>smokefree</w:t>
      </w:r>
      <w:proofErr w:type="spellEnd"/>
      <w:r w:rsidRPr="00DC4C78">
        <w:t xml:space="preserve"> at two weeks postnatal, total New Zealand</w:t>
      </w:r>
      <w:bookmarkEnd w:id="372"/>
      <w:bookmarkEnd w:id="373"/>
      <w:bookmarkEnd w:id="374"/>
      <w:bookmarkEnd w:id="375"/>
    </w:p>
    <w:p w:rsidR="00C30B65" w:rsidRPr="00DC4C78" w:rsidRDefault="001239B0" w:rsidP="001239B0">
      <w:r>
        <w:rPr>
          <w:noProof/>
          <w:lang w:eastAsia="en-NZ"/>
        </w:rPr>
        <w:drawing>
          <wp:inline distT="0" distB="0" distL="0" distR="0" wp14:anchorId="7BD97B69">
            <wp:extent cx="4320000" cy="2520000"/>
            <wp:effectExtent l="0" t="0" r="4445" b="0"/>
            <wp:docPr id="104" name="Picture 104" title="Figure 63: Mothers smokefree at two weeks postnatal, total New Zeala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inline>
        </w:drawing>
      </w:r>
    </w:p>
    <w:p w:rsidR="00C30B65" w:rsidRPr="00DC4C78" w:rsidRDefault="00C30B65" w:rsidP="00C30B65"/>
    <w:p w:rsidR="00C30B65" w:rsidRPr="00DC4C78" w:rsidRDefault="00C30B65" w:rsidP="00C30B65">
      <w:pPr>
        <w:pStyle w:val="Figure"/>
      </w:pPr>
      <w:bookmarkStart w:id="376" w:name="_Toc405447475"/>
      <w:bookmarkStart w:id="377" w:name="_Toc417554820"/>
      <w:bookmarkStart w:id="378" w:name="_Toc436750561"/>
      <w:bookmarkStart w:id="379" w:name="_Toc440387884"/>
      <w:r w:rsidRPr="00DC4C78">
        <w:t>Figure 64: Mother</w:t>
      </w:r>
      <w:r>
        <w:t>s</w:t>
      </w:r>
      <w:r w:rsidRPr="00DC4C78">
        <w:t xml:space="preserve"> </w:t>
      </w:r>
      <w:proofErr w:type="spellStart"/>
      <w:r w:rsidRPr="00DC4C78">
        <w:t>smokefree</w:t>
      </w:r>
      <w:proofErr w:type="spellEnd"/>
      <w:r w:rsidRPr="00DC4C78">
        <w:t xml:space="preserve"> at two weeks postnatal, high deprivation</w:t>
      </w:r>
      <w:bookmarkEnd w:id="376"/>
      <w:bookmarkEnd w:id="377"/>
      <w:bookmarkEnd w:id="378"/>
      <w:r>
        <w:t xml:space="preserve"> population</w:t>
      </w:r>
      <w:bookmarkEnd w:id="379"/>
    </w:p>
    <w:p w:rsidR="00C30B65" w:rsidRPr="00DC4C78" w:rsidRDefault="001239B0" w:rsidP="001239B0">
      <w:r>
        <w:rPr>
          <w:noProof/>
          <w:lang w:eastAsia="en-NZ"/>
        </w:rPr>
        <w:drawing>
          <wp:inline distT="0" distB="0" distL="0" distR="0" wp14:anchorId="052032F3">
            <wp:extent cx="4320000" cy="2520000"/>
            <wp:effectExtent l="0" t="0" r="4445" b="0"/>
            <wp:docPr id="105" name="Picture 105" title="Figure 64: Mothers smokefree at two weeks postnatal, high deprivation popul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inline>
        </w:drawing>
      </w:r>
    </w:p>
    <w:p w:rsidR="00C30B65" w:rsidRPr="00DC4C78" w:rsidRDefault="00C30B65" w:rsidP="00C30B65"/>
    <w:p w:rsidR="00C30B65" w:rsidRPr="00DC4C78" w:rsidRDefault="00C30B65" w:rsidP="00C30B65">
      <w:pPr>
        <w:pStyle w:val="Figure"/>
      </w:pPr>
      <w:bookmarkStart w:id="380" w:name="_Toc405447476"/>
      <w:bookmarkStart w:id="381" w:name="_Toc417554821"/>
      <w:bookmarkStart w:id="382" w:name="_Toc436750562"/>
      <w:bookmarkStart w:id="383" w:name="_Toc440387885"/>
      <w:r w:rsidRPr="00DC4C78">
        <w:lastRenderedPageBreak/>
        <w:t>Figure 65: Mother</w:t>
      </w:r>
      <w:r>
        <w:t>s</w:t>
      </w:r>
      <w:r w:rsidRPr="00DC4C78">
        <w:t xml:space="preserve"> </w:t>
      </w:r>
      <w:proofErr w:type="spellStart"/>
      <w:r w:rsidRPr="00DC4C78">
        <w:t>smokefree</w:t>
      </w:r>
      <w:proofErr w:type="spellEnd"/>
      <w:r w:rsidRPr="00DC4C78">
        <w:t xml:space="preserve"> at two weeks postnatal, Māori</w:t>
      </w:r>
      <w:bookmarkEnd w:id="380"/>
      <w:bookmarkEnd w:id="381"/>
      <w:bookmarkEnd w:id="382"/>
      <w:bookmarkEnd w:id="383"/>
    </w:p>
    <w:p w:rsidR="00C30B65" w:rsidRPr="00DC4C78" w:rsidRDefault="001239B0" w:rsidP="001239B0">
      <w:r>
        <w:rPr>
          <w:noProof/>
          <w:lang w:eastAsia="en-NZ"/>
        </w:rPr>
        <w:drawing>
          <wp:inline distT="0" distB="0" distL="0" distR="0" wp14:anchorId="484552D5">
            <wp:extent cx="4320000" cy="2520000"/>
            <wp:effectExtent l="0" t="0" r="4445" b="0"/>
            <wp:docPr id="106" name="Picture 106" title="Figure 65: Mothers smokefree at two weeks postnatal, Māor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inline>
        </w:drawing>
      </w:r>
    </w:p>
    <w:p w:rsidR="00C30B65" w:rsidRPr="00DC4C78" w:rsidRDefault="00C30B65" w:rsidP="00C30B65"/>
    <w:p w:rsidR="00C30B65" w:rsidRPr="00DC4C78" w:rsidRDefault="00C30B65" w:rsidP="00C30B65">
      <w:pPr>
        <w:pStyle w:val="Figure"/>
      </w:pPr>
      <w:bookmarkStart w:id="384" w:name="_Toc436750563"/>
      <w:bookmarkStart w:id="385" w:name="_Toc405447477"/>
      <w:bookmarkStart w:id="386" w:name="_Toc417554822"/>
      <w:bookmarkStart w:id="387" w:name="_Toc440387886"/>
      <w:r w:rsidRPr="00DC4C78">
        <w:t>Figure 66: Mother</w:t>
      </w:r>
      <w:r>
        <w:t>s</w:t>
      </w:r>
      <w:r w:rsidRPr="00DC4C78">
        <w:t xml:space="preserve"> </w:t>
      </w:r>
      <w:proofErr w:type="spellStart"/>
      <w:r w:rsidRPr="00DC4C78">
        <w:t>smokefree</w:t>
      </w:r>
      <w:proofErr w:type="spellEnd"/>
      <w:r w:rsidRPr="00DC4C78">
        <w:t xml:space="preserve"> at two weeks postnatal, Pacific</w:t>
      </w:r>
      <w:bookmarkEnd w:id="384"/>
      <w:r w:rsidRPr="00DC4C78">
        <w:t xml:space="preserve"> </w:t>
      </w:r>
      <w:bookmarkEnd w:id="385"/>
      <w:bookmarkEnd w:id="386"/>
      <w:r>
        <w:t>peoples</w:t>
      </w:r>
      <w:bookmarkEnd w:id="387"/>
    </w:p>
    <w:p w:rsidR="00C30B65" w:rsidRPr="00DC4C78" w:rsidRDefault="00FB4131" w:rsidP="001239B0">
      <w:r>
        <w:rPr>
          <w:noProof/>
          <w:lang w:eastAsia="en-NZ"/>
        </w:rPr>
        <w:drawing>
          <wp:inline distT="0" distB="0" distL="0" distR="0" wp14:anchorId="2991F767">
            <wp:extent cx="4320000" cy="2520000"/>
            <wp:effectExtent l="0" t="0" r="4445" b="0"/>
            <wp:docPr id="14" name="Picture 14" descr="Figure 66: Mothers smokefree at two weeks postnatal, Pacific peop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inline>
        </w:drawing>
      </w:r>
    </w:p>
    <w:p w:rsidR="00C30B65" w:rsidRPr="00DC4C78" w:rsidRDefault="00C30B65" w:rsidP="00C30B65"/>
    <w:p w:rsidR="00C30B65" w:rsidRPr="00DC4C78" w:rsidRDefault="00C30B65" w:rsidP="00FB4131">
      <w:pPr>
        <w:pStyle w:val="Heading3"/>
      </w:pPr>
      <w:r w:rsidRPr="00DC4C78">
        <w:t>Data notes</w:t>
      </w:r>
    </w:p>
    <w:p w:rsidR="00C30B65" w:rsidRPr="00DC4C78" w:rsidRDefault="00C30B65" w:rsidP="00C30B65">
      <w:pPr>
        <w:pStyle w:val="Bullet"/>
      </w:pPr>
      <w:r w:rsidRPr="00DC4C78">
        <w:t>Time period: births between 1 July 2014 and 31 December 2014.</w:t>
      </w:r>
    </w:p>
    <w:p w:rsidR="00C30B65" w:rsidRPr="00DC4C78" w:rsidRDefault="00C30B65" w:rsidP="00C30B65">
      <w:pPr>
        <w:pStyle w:val="Bullet"/>
      </w:pPr>
      <w:r w:rsidRPr="00DC4C78">
        <w:t>The data excludes overseas DHB and undefined DHB.</w:t>
      </w:r>
    </w:p>
    <w:p w:rsidR="00C30B65" w:rsidRPr="00DC4C78" w:rsidRDefault="00C30B65" w:rsidP="00C30B65">
      <w:pPr>
        <w:pStyle w:val="Bullet"/>
      </w:pPr>
      <w:r w:rsidRPr="00DC4C78">
        <w:t>Numerator: maternal tobacco use (two weeks) = Yes (source: MAT).</w:t>
      </w:r>
    </w:p>
    <w:p w:rsidR="00C30B65" w:rsidRPr="00DC4C78" w:rsidRDefault="00C30B65" w:rsidP="00C30B65">
      <w:pPr>
        <w:pStyle w:val="Bullet"/>
      </w:pPr>
      <w:r w:rsidRPr="00DC4C78">
        <w:t>Denominator: maternal tobacco use (two weeks) = Yes or No (source: MAT).</w:t>
      </w:r>
    </w:p>
    <w:p w:rsidR="00C30B65" w:rsidRPr="00DC4C78" w:rsidRDefault="00C30B65" w:rsidP="00C30B65"/>
    <w:p w:rsidR="00C30B65" w:rsidRPr="00DC4C78" w:rsidRDefault="00C30B65" w:rsidP="00C30B65">
      <w:pPr>
        <w:pStyle w:val="Heading2"/>
        <w:spacing w:before="0"/>
      </w:pPr>
      <w:bookmarkStart w:id="388" w:name="_Toc365618462"/>
      <w:bookmarkStart w:id="389" w:name="_Toc405453785"/>
      <w:bookmarkStart w:id="390" w:name="_Toc418322794"/>
      <w:bookmarkStart w:id="391" w:name="_Toc419099463"/>
      <w:bookmarkStart w:id="392" w:name="_Toc440387809"/>
      <w:r w:rsidRPr="00DC4C78">
        <w:lastRenderedPageBreak/>
        <w:t>WCTO Quality Improvement Framework Indicator 20</w:t>
      </w:r>
      <w:bookmarkEnd w:id="388"/>
      <w:bookmarkEnd w:id="389"/>
      <w:bookmarkEnd w:id="390"/>
      <w:bookmarkEnd w:id="391"/>
      <w:bookmarkEnd w:id="392"/>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701"/>
        <w:gridCol w:w="7655"/>
      </w:tblGrid>
      <w:tr w:rsidR="00C30B65" w:rsidRPr="00DC4C78" w:rsidTr="00C30B65">
        <w:trPr>
          <w:cantSplit/>
        </w:trPr>
        <w:tc>
          <w:tcPr>
            <w:tcW w:w="1701" w:type="dxa"/>
            <w:tcBorders>
              <w:top w:val="single" w:sz="4" w:space="0" w:color="auto"/>
              <w:bottom w:val="nil"/>
            </w:tcBorders>
            <w:shd w:val="clear" w:color="auto" w:fill="F2F2F2"/>
          </w:tcPr>
          <w:p w:rsidR="00C30B65" w:rsidRPr="00DC4C78" w:rsidRDefault="00C30B65" w:rsidP="000E3662">
            <w:pPr>
              <w:pStyle w:val="TableText"/>
              <w:keepNext/>
              <w:rPr>
                <w:b/>
              </w:rPr>
            </w:pPr>
            <w:r w:rsidRPr="00DC4C78">
              <w:rPr>
                <w:b/>
              </w:rPr>
              <w:t>Standard</w:t>
            </w:r>
          </w:p>
        </w:tc>
        <w:tc>
          <w:tcPr>
            <w:tcW w:w="7655" w:type="dxa"/>
            <w:tcBorders>
              <w:top w:val="single" w:sz="4" w:space="0" w:color="auto"/>
              <w:bottom w:val="nil"/>
            </w:tcBorders>
            <w:shd w:val="clear" w:color="auto" w:fill="F2F2F2"/>
          </w:tcPr>
          <w:p w:rsidR="00C30B65" w:rsidRPr="00DC4C78" w:rsidRDefault="00C30B65" w:rsidP="000E3662">
            <w:pPr>
              <w:pStyle w:val="TableText"/>
              <w:keepNext/>
            </w:pPr>
            <w:r w:rsidRPr="00DC4C78">
              <w:t xml:space="preserve">WCTO providers use evidence-based interventions and education to promote child, family and </w:t>
            </w:r>
            <w:proofErr w:type="spellStart"/>
            <w:r w:rsidRPr="00DC4C78">
              <w:t>whānau</w:t>
            </w:r>
            <w:proofErr w:type="spellEnd"/>
            <w:r w:rsidRPr="00DC4C78">
              <w:t xml:space="preserve"> health and wellbeing.</w:t>
            </w:r>
          </w:p>
        </w:tc>
      </w:tr>
      <w:tr w:rsidR="00C30B65" w:rsidRPr="00DC4C78" w:rsidTr="00C30B65">
        <w:trPr>
          <w:cantSplit/>
        </w:trPr>
        <w:tc>
          <w:tcPr>
            <w:tcW w:w="1701" w:type="dxa"/>
            <w:tcBorders>
              <w:top w:val="nil"/>
              <w:bottom w:val="nil"/>
            </w:tcBorders>
            <w:shd w:val="clear" w:color="auto" w:fill="auto"/>
          </w:tcPr>
          <w:p w:rsidR="00C30B65" w:rsidRPr="00DC4C78" w:rsidRDefault="00C30B65" w:rsidP="000E3662">
            <w:pPr>
              <w:pStyle w:val="TableText"/>
              <w:keepNext/>
              <w:rPr>
                <w:b/>
              </w:rPr>
            </w:pPr>
            <w:r w:rsidRPr="00DC4C78">
              <w:rPr>
                <w:b/>
              </w:rPr>
              <w:t>Indicator</w:t>
            </w:r>
          </w:p>
        </w:tc>
        <w:tc>
          <w:tcPr>
            <w:tcW w:w="7655" w:type="dxa"/>
            <w:tcBorders>
              <w:top w:val="nil"/>
              <w:bottom w:val="nil"/>
            </w:tcBorders>
          </w:tcPr>
          <w:p w:rsidR="00C30B65" w:rsidRPr="00DC4C78" w:rsidRDefault="00C30B65" w:rsidP="000E3662">
            <w:pPr>
              <w:pStyle w:val="TableText"/>
              <w:keepNext/>
            </w:pPr>
            <w:r w:rsidRPr="00DC4C78">
              <w:t xml:space="preserve">Children live in a </w:t>
            </w:r>
            <w:proofErr w:type="spellStart"/>
            <w:r w:rsidRPr="00DC4C78">
              <w:t>smokefree</w:t>
            </w:r>
            <w:proofErr w:type="spellEnd"/>
            <w:r w:rsidRPr="00DC4C78">
              <w:t xml:space="preserve"> home (age four years).</w:t>
            </w:r>
            <w:r>
              <w:rPr>
                <w:rStyle w:val="FootnoteReference"/>
              </w:rPr>
              <w:footnoteReference w:id="3"/>
            </w:r>
          </w:p>
        </w:tc>
      </w:tr>
      <w:tr w:rsidR="00C30B65" w:rsidRPr="00DC4C78" w:rsidTr="00C30B65">
        <w:trPr>
          <w:cantSplit/>
        </w:trPr>
        <w:tc>
          <w:tcPr>
            <w:tcW w:w="1701" w:type="dxa"/>
            <w:tcBorders>
              <w:top w:val="nil"/>
              <w:bottom w:val="nil"/>
            </w:tcBorders>
            <w:shd w:val="clear" w:color="auto" w:fill="F2F2F2"/>
          </w:tcPr>
          <w:p w:rsidR="00C30B65" w:rsidRPr="00DC4C78" w:rsidRDefault="00C30B65" w:rsidP="000E3662">
            <w:pPr>
              <w:pStyle w:val="TableText"/>
              <w:keepNext/>
              <w:rPr>
                <w:b/>
              </w:rPr>
            </w:pPr>
            <w:r w:rsidRPr="00DC4C78">
              <w:rPr>
                <w:b/>
              </w:rPr>
              <w:t>Target by December 2014</w:t>
            </w:r>
          </w:p>
        </w:tc>
        <w:tc>
          <w:tcPr>
            <w:tcW w:w="7655" w:type="dxa"/>
            <w:tcBorders>
              <w:top w:val="nil"/>
              <w:bottom w:val="nil"/>
            </w:tcBorders>
            <w:shd w:val="clear" w:color="auto" w:fill="F2F2F2"/>
          </w:tcPr>
          <w:p w:rsidR="00C30B65" w:rsidRPr="00DC4C78" w:rsidRDefault="00C30B65" w:rsidP="000E3662">
            <w:pPr>
              <w:pStyle w:val="TableText"/>
              <w:keepNext/>
            </w:pPr>
            <w:r w:rsidRPr="00DC4C78">
              <w:t>90 percent</w:t>
            </w:r>
          </w:p>
        </w:tc>
      </w:tr>
      <w:tr w:rsidR="00C30B65" w:rsidRPr="00DC4C78" w:rsidTr="00C30B65">
        <w:trPr>
          <w:cantSplit/>
        </w:trPr>
        <w:tc>
          <w:tcPr>
            <w:tcW w:w="1701" w:type="dxa"/>
            <w:tcBorders>
              <w:top w:val="nil"/>
            </w:tcBorders>
            <w:shd w:val="clear" w:color="auto" w:fill="auto"/>
          </w:tcPr>
          <w:p w:rsidR="00C30B65" w:rsidRPr="00DC4C78" w:rsidRDefault="00C30B65" w:rsidP="00C30B65">
            <w:pPr>
              <w:pStyle w:val="TableText"/>
              <w:rPr>
                <w:b/>
              </w:rPr>
            </w:pPr>
            <w:r w:rsidRPr="00DC4C78">
              <w:rPr>
                <w:b/>
              </w:rPr>
              <w:t>Target by June 2016</w:t>
            </w:r>
          </w:p>
        </w:tc>
        <w:tc>
          <w:tcPr>
            <w:tcW w:w="7655" w:type="dxa"/>
            <w:tcBorders>
              <w:top w:val="nil"/>
            </w:tcBorders>
          </w:tcPr>
          <w:p w:rsidR="00C30B65" w:rsidRPr="00DC4C78" w:rsidRDefault="00C30B65" w:rsidP="00C30B65">
            <w:pPr>
              <w:pStyle w:val="TableText"/>
            </w:pPr>
            <w:r w:rsidRPr="00DC4C78">
              <w:t>100 percent</w:t>
            </w:r>
          </w:p>
        </w:tc>
      </w:tr>
    </w:tbl>
    <w:p w:rsidR="00C30B65" w:rsidRPr="00DC4C78" w:rsidRDefault="00C30B65" w:rsidP="00C30B65"/>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93"/>
        <w:gridCol w:w="1843"/>
        <w:gridCol w:w="1701"/>
        <w:gridCol w:w="1458"/>
        <w:gridCol w:w="1660"/>
      </w:tblGrid>
      <w:tr w:rsidR="00C30B65" w:rsidRPr="00DC4C78" w:rsidTr="00C30B65">
        <w:trPr>
          <w:cantSplit/>
        </w:trPr>
        <w:tc>
          <w:tcPr>
            <w:tcW w:w="1439" w:type="pct"/>
            <w:shd w:val="clear" w:color="auto" w:fill="F2F2F2"/>
          </w:tcPr>
          <w:p w:rsidR="00C30B65" w:rsidRPr="00DC4C78" w:rsidRDefault="00C30B65" w:rsidP="00C30B65">
            <w:pPr>
              <w:pStyle w:val="TableText"/>
              <w:rPr>
                <w:b/>
              </w:rPr>
            </w:pPr>
          </w:p>
        </w:tc>
        <w:tc>
          <w:tcPr>
            <w:tcW w:w="985" w:type="pct"/>
            <w:shd w:val="clear" w:color="auto" w:fill="F2F2F2"/>
          </w:tcPr>
          <w:p w:rsidR="00C30B65" w:rsidRPr="00DC4C78" w:rsidRDefault="00C30B65" w:rsidP="00C30B65">
            <w:pPr>
              <w:pStyle w:val="TableText"/>
              <w:jc w:val="center"/>
              <w:rPr>
                <w:b/>
              </w:rPr>
            </w:pPr>
            <w:r w:rsidRPr="00DC4C78">
              <w:rPr>
                <w:b/>
              </w:rPr>
              <w:t>Total New Zealand</w:t>
            </w:r>
          </w:p>
        </w:tc>
        <w:tc>
          <w:tcPr>
            <w:tcW w:w="909" w:type="pct"/>
            <w:shd w:val="clear" w:color="auto" w:fill="F2F2F2"/>
          </w:tcPr>
          <w:p w:rsidR="00C30B65" w:rsidRPr="00DC4C78" w:rsidRDefault="00C30B65" w:rsidP="00C30B65">
            <w:pPr>
              <w:pStyle w:val="TableText"/>
              <w:jc w:val="center"/>
              <w:rPr>
                <w:b/>
              </w:rPr>
            </w:pPr>
            <w:r w:rsidRPr="00DC4C78">
              <w:rPr>
                <w:b/>
              </w:rPr>
              <w:t>High deprivation</w:t>
            </w:r>
          </w:p>
        </w:tc>
        <w:tc>
          <w:tcPr>
            <w:tcW w:w="779" w:type="pct"/>
            <w:shd w:val="clear" w:color="auto" w:fill="F2F2F2"/>
          </w:tcPr>
          <w:p w:rsidR="00C30B65" w:rsidRPr="00DC4C78" w:rsidRDefault="00C30B65" w:rsidP="00C30B65">
            <w:pPr>
              <w:pStyle w:val="TableText"/>
              <w:jc w:val="center"/>
              <w:rPr>
                <w:b/>
              </w:rPr>
            </w:pPr>
            <w:r w:rsidRPr="00DC4C78">
              <w:rPr>
                <w:b/>
              </w:rPr>
              <w:t>Māori</w:t>
            </w:r>
          </w:p>
        </w:tc>
        <w:tc>
          <w:tcPr>
            <w:tcW w:w="887" w:type="pct"/>
            <w:shd w:val="clear" w:color="auto" w:fill="F2F2F2"/>
          </w:tcPr>
          <w:p w:rsidR="00C30B65" w:rsidRPr="00DC4C78" w:rsidRDefault="00C30B65" w:rsidP="00C30B65">
            <w:pPr>
              <w:pStyle w:val="TableText"/>
              <w:jc w:val="center"/>
              <w:rPr>
                <w:b/>
              </w:rPr>
            </w:pPr>
            <w:r w:rsidRPr="00DC4C78">
              <w:rPr>
                <w:b/>
              </w:rPr>
              <w:t>Pacific peoples</w:t>
            </w:r>
          </w:p>
        </w:tc>
      </w:tr>
      <w:tr w:rsidR="00C30B65" w:rsidRPr="00DC4C78" w:rsidTr="00C30B65">
        <w:trPr>
          <w:cantSplit/>
        </w:trPr>
        <w:tc>
          <w:tcPr>
            <w:tcW w:w="1439" w:type="pct"/>
            <w:shd w:val="clear" w:color="auto" w:fill="auto"/>
          </w:tcPr>
          <w:p w:rsidR="00C30B65" w:rsidRPr="00DC4C78" w:rsidRDefault="00C30B65" w:rsidP="00C30B65">
            <w:pPr>
              <w:pStyle w:val="TableText"/>
            </w:pPr>
            <w:r w:rsidRPr="00DC4C78">
              <w:t>September 2015 mean (range)</w:t>
            </w:r>
          </w:p>
        </w:tc>
        <w:tc>
          <w:tcPr>
            <w:tcW w:w="985" w:type="pct"/>
            <w:shd w:val="clear" w:color="auto" w:fill="auto"/>
            <w:vAlign w:val="center"/>
          </w:tcPr>
          <w:p w:rsidR="00C30B65" w:rsidRPr="00DC4C78" w:rsidRDefault="00C30B65" w:rsidP="00C30B65">
            <w:pPr>
              <w:pStyle w:val="TableText"/>
              <w:jc w:val="center"/>
            </w:pPr>
            <w:r w:rsidRPr="00DC4C78">
              <w:t>98% (74–100)</w:t>
            </w:r>
          </w:p>
        </w:tc>
        <w:tc>
          <w:tcPr>
            <w:tcW w:w="909" w:type="pct"/>
            <w:shd w:val="clear" w:color="auto" w:fill="auto"/>
            <w:vAlign w:val="center"/>
          </w:tcPr>
          <w:p w:rsidR="00C30B65" w:rsidRPr="00DC4C78" w:rsidRDefault="00C30B65" w:rsidP="00C30B65">
            <w:pPr>
              <w:pStyle w:val="TableText"/>
              <w:jc w:val="center"/>
            </w:pPr>
            <w:r w:rsidRPr="00DC4C78">
              <w:t>97% (91–100)</w:t>
            </w:r>
          </w:p>
        </w:tc>
        <w:tc>
          <w:tcPr>
            <w:tcW w:w="779" w:type="pct"/>
            <w:shd w:val="clear" w:color="auto" w:fill="auto"/>
            <w:vAlign w:val="center"/>
          </w:tcPr>
          <w:p w:rsidR="00C30B65" w:rsidRPr="00DC4C78" w:rsidRDefault="00C30B65" w:rsidP="00C30B65">
            <w:pPr>
              <w:pStyle w:val="TableText"/>
              <w:jc w:val="center"/>
            </w:pPr>
            <w:r w:rsidRPr="00DC4C78">
              <w:t>97% (92–100)</w:t>
            </w:r>
          </w:p>
        </w:tc>
        <w:tc>
          <w:tcPr>
            <w:tcW w:w="887" w:type="pct"/>
            <w:shd w:val="clear" w:color="auto" w:fill="auto"/>
            <w:vAlign w:val="center"/>
          </w:tcPr>
          <w:p w:rsidR="00C30B65" w:rsidRPr="00DC4C78" w:rsidRDefault="00C30B65" w:rsidP="00C30B65">
            <w:pPr>
              <w:pStyle w:val="TableText"/>
              <w:jc w:val="center"/>
            </w:pPr>
            <w:r w:rsidRPr="00DC4C78">
              <w:t>97% (0–100)</w:t>
            </w:r>
          </w:p>
        </w:tc>
      </w:tr>
      <w:tr w:rsidR="00C30B65" w:rsidRPr="00DC4C78" w:rsidTr="00C30B65">
        <w:trPr>
          <w:cantSplit/>
        </w:trPr>
        <w:tc>
          <w:tcPr>
            <w:tcW w:w="1439" w:type="pct"/>
            <w:shd w:val="clear" w:color="auto" w:fill="auto"/>
          </w:tcPr>
          <w:p w:rsidR="00C30B65" w:rsidRPr="00DC4C78" w:rsidRDefault="00C30B65" w:rsidP="00C30B65">
            <w:pPr>
              <w:pStyle w:val="TableText"/>
            </w:pPr>
            <w:r w:rsidRPr="00DC4C78">
              <w:t>March 2015 mean (range)</w:t>
            </w:r>
          </w:p>
        </w:tc>
        <w:tc>
          <w:tcPr>
            <w:tcW w:w="985" w:type="pct"/>
            <w:shd w:val="clear" w:color="auto" w:fill="auto"/>
            <w:vAlign w:val="center"/>
          </w:tcPr>
          <w:p w:rsidR="00C30B65" w:rsidRPr="00DC4C78" w:rsidRDefault="00C30B65" w:rsidP="00C30B65">
            <w:pPr>
              <w:pStyle w:val="TableText"/>
              <w:jc w:val="center"/>
            </w:pPr>
            <w:r w:rsidRPr="00DC4C78">
              <w:t>98% (94–100)</w:t>
            </w:r>
          </w:p>
        </w:tc>
        <w:tc>
          <w:tcPr>
            <w:tcW w:w="909" w:type="pct"/>
            <w:shd w:val="clear" w:color="auto" w:fill="auto"/>
            <w:vAlign w:val="center"/>
          </w:tcPr>
          <w:p w:rsidR="00C30B65" w:rsidRPr="00DC4C78" w:rsidRDefault="00C30B65" w:rsidP="00C30B65">
            <w:pPr>
              <w:pStyle w:val="TableText"/>
              <w:jc w:val="center"/>
            </w:pPr>
            <w:r w:rsidRPr="00DC4C78">
              <w:t>97% (91–100)</w:t>
            </w:r>
          </w:p>
        </w:tc>
        <w:tc>
          <w:tcPr>
            <w:tcW w:w="779" w:type="pct"/>
            <w:shd w:val="clear" w:color="auto" w:fill="auto"/>
            <w:vAlign w:val="center"/>
          </w:tcPr>
          <w:p w:rsidR="00C30B65" w:rsidRPr="00DC4C78" w:rsidRDefault="00C30B65" w:rsidP="00C30B65">
            <w:pPr>
              <w:pStyle w:val="TableText"/>
              <w:jc w:val="center"/>
            </w:pPr>
            <w:r w:rsidRPr="00DC4C78">
              <w:t>97% (86–100)</w:t>
            </w:r>
          </w:p>
        </w:tc>
        <w:tc>
          <w:tcPr>
            <w:tcW w:w="887" w:type="pct"/>
            <w:shd w:val="clear" w:color="auto" w:fill="auto"/>
            <w:vAlign w:val="center"/>
          </w:tcPr>
          <w:p w:rsidR="00C30B65" w:rsidRPr="00DC4C78" w:rsidRDefault="00C30B65" w:rsidP="00C30B65">
            <w:pPr>
              <w:pStyle w:val="TableText"/>
              <w:jc w:val="center"/>
            </w:pPr>
            <w:r w:rsidRPr="00DC4C78">
              <w:t>97% (86–100)</w:t>
            </w:r>
          </w:p>
        </w:tc>
      </w:tr>
    </w:tbl>
    <w:p w:rsidR="00C30B65" w:rsidRPr="00DC4C78" w:rsidRDefault="00C30B65" w:rsidP="00C30B65"/>
    <w:p w:rsidR="00C30B65" w:rsidRPr="00DC4C78" w:rsidRDefault="00C30B65" w:rsidP="00C30B65">
      <w:pPr>
        <w:pStyle w:val="Figure"/>
      </w:pPr>
      <w:bookmarkStart w:id="393" w:name="_Toc405447478"/>
      <w:bookmarkStart w:id="394" w:name="_Toc417554823"/>
      <w:bookmarkStart w:id="395" w:name="_Toc436750564"/>
      <w:bookmarkStart w:id="396" w:name="_Toc440387887"/>
      <w:r w:rsidRPr="00DC4C78">
        <w:t>Figure 67: Children liv</w:t>
      </w:r>
      <w:r>
        <w:t>ing</w:t>
      </w:r>
      <w:r w:rsidRPr="00DC4C78">
        <w:t xml:space="preserve"> in a </w:t>
      </w:r>
      <w:proofErr w:type="spellStart"/>
      <w:r w:rsidRPr="00DC4C78">
        <w:t>smokefree</w:t>
      </w:r>
      <w:proofErr w:type="spellEnd"/>
      <w:r w:rsidRPr="00DC4C78">
        <w:t xml:space="preserve"> home (age four years), total New Zealand</w:t>
      </w:r>
      <w:bookmarkEnd w:id="393"/>
      <w:bookmarkEnd w:id="394"/>
      <w:bookmarkEnd w:id="395"/>
      <w:bookmarkEnd w:id="396"/>
    </w:p>
    <w:p w:rsidR="00C30B65" w:rsidRPr="00DC4C78" w:rsidRDefault="00667863" w:rsidP="00667863">
      <w:r>
        <w:rPr>
          <w:noProof/>
          <w:lang w:eastAsia="en-NZ"/>
        </w:rPr>
        <w:drawing>
          <wp:inline distT="0" distB="0" distL="0" distR="0" wp14:anchorId="09235663">
            <wp:extent cx="4320000" cy="2520000"/>
            <wp:effectExtent l="0" t="0" r="4445" b="0"/>
            <wp:docPr id="108" name="Picture 108" title="Figure 67: Children living in a smokefree home (age four years), total New Zeala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inline>
        </w:drawing>
      </w:r>
    </w:p>
    <w:p w:rsidR="00C30B65" w:rsidRPr="00DC4C78" w:rsidRDefault="00C30B65" w:rsidP="00C30B65"/>
    <w:p w:rsidR="00C30B65" w:rsidRPr="00667863" w:rsidRDefault="00C30B65" w:rsidP="00C30B65">
      <w:pPr>
        <w:pStyle w:val="Figure"/>
        <w:rPr>
          <w:spacing w:val="-2"/>
        </w:rPr>
      </w:pPr>
      <w:bookmarkStart w:id="397" w:name="_Toc405447479"/>
      <w:bookmarkStart w:id="398" w:name="_Toc417554824"/>
      <w:bookmarkStart w:id="399" w:name="_Toc436750565"/>
      <w:bookmarkStart w:id="400" w:name="_Toc440387888"/>
      <w:r w:rsidRPr="00667863">
        <w:rPr>
          <w:spacing w:val="-2"/>
        </w:rPr>
        <w:t xml:space="preserve">Figure 68: Children living in a </w:t>
      </w:r>
      <w:proofErr w:type="spellStart"/>
      <w:r w:rsidRPr="00667863">
        <w:rPr>
          <w:spacing w:val="-2"/>
        </w:rPr>
        <w:t>smokefree</w:t>
      </w:r>
      <w:proofErr w:type="spellEnd"/>
      <w:r w:rsidRPr="00667863">
        <w:rPr>
          <w:spacing w:val="-2"/>
        </w:rPr>
        <w:t xml:space="preserve"> home (age four years), high deprivation</w:t>
      </w:r>
      <w:bookmarkEnd w:id="397"/>
      <w:bookmarkEnd w:id="398"/>
      <w:bookmarkEnd w:id="399"/>
      <w:r w:rsidRPr="00667863">
        <w:rPr>
          <w:spacing w:val="-2"/>
        </w:rPr>
        <w:t xml:space="preserve"> population</w:t>
      </w:r>
      <w:bookmarkEnd w:id="400"/>
    </w:p>
    <w:p w:rsidR="00C30B65" w:rsidRPr="00DC4C78" w:rsidRDefault="00667863" w:rsidP="00667863">
      <w:r>
        <w:rPr>
          <w:noProof/>
          <w:lang w:eastAsia="en-NZ"/>
        </w:rPr>
        <w:drawing>
          <wp:inline distT="0" distB="0" distL="0" distR="0" wp14:anchorId="7BCECB23">
            <wp:extent cx="4320000" cy="2520000"/>
            <wp:effectExtent l="0" t="0" r="4445" b="0"/>
            <wp:docPr id="109" name="Picture 109" title="Figure 68: Children living in a smokefree home (age four years), high depriv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inline>
        </w:drawing>
      </w:r>
    </w:p>
    <w:p w:rsidR="00C30B65" w:rsidRPr="00DC4C78" w:rsidRDefault="00C30B65" w:rsidP="00667863">
      <w:pPr>
        <w:pStyle w:val="Figure"/>
        <w:spacing w:before="360"/>
      </w:pPr>
      <w:bookmarkStart w:id="401" w:name="_Toc405447480"/>
      <w:bookmarkStart w:id="402" w:name="_Toc417554825"/>
      <w:bookmarkStart w:id="403" w:name="_Toc436750566"/>
      <w:bookmarkStart w:id="404" w:name="_Toc440387889"/>
      <w:r w:rsidRPr="00DC4C78">
        <w:lastRenderedPageBreak/>
        <w:t>Figure 69: Children liv</w:t>
      </w:r>
      <w:r>
        <w:t>ing</w:t>
      </w:r>
      <w:r w:rsidRPr="00DC4C78">
        <w:t xml:space="preserve"> in a </w:t>
      </w:r>
      <w:proofErr w:type="spellStart"/>
      <w:r w:rsidRPr="00DC4C78">
        <w:t>smokefree</w:t>
      </w:r>
      <w:proofErr w:type="spellEnd"/>
      <w:r w:rsidRPr="00DC4C78">
        <w:t xml:space="preserve"> home (age four years), Māori</w:t>
      </w:r>
      <w:bookmarkEnd w:id="401"/>
      <w:bookmarkEnd w:id="402"/>
      <w:bookmarkEnd w:id="403"/>
      <w:bookmarkEnd w:id="404"/>
    </w:p>
    <w:p w:rsidR="00C30B65" w:rsidRPr="00DC4C78" w:rsidRDefault="00667863" w:rsidP="00667863">
      <w:r>
        <w:rPr>
          <w:noProof/>
          <w:lang w:eastAsia="en-NZ"/>
        </w:rPr>
        <w:drawing>
          <wp:inline distT="0" distB="0" distL="0" distR="0" wp14:anchorId="04A48310">
            <wp:extent cx="4320000" cy="2520000"/>
            <wp:effectExtent l="0" t="0" r="4445" b="0"/>
            <wp:docPr id="110" name="Picture 110" title="Figure 69: Children living in a smokefree home (age four years), Māor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inline>
        </w:drawing>
      </w:r>
    </w:p>
    <w:p w:rsidR="00C30B65" w:rsidRPr="00DC4C78" w:rsidRDefault="00C30B65" w:rsidP="00C30B65"/>
    <w:p w:rsidR="00C30B65" w:rsidRPr="00DC4C78" w:rsidRDefault="00C30B65" w:rsidP="00C30B65">
      <w:pPr>
        <w:pStyle w:val="Figure"/>
      </w:pPr>
      <w:bookmarkStart w:id="405" w:name="_Toc405447481"/>
      <w:bookmarkStart w:id="406" w:name="_Toc417554826"/>
      <w:bookmarkStart w:id="407" w:name="_Toc436750567"/>
      <w:bookmarkStart w:id="408" w:name="_Toc440387890"/>
      <w:r w:rsidRPr="00DC4C78">
        <w:t>Figure 70: Children liv</w:t>
      </w:r>
      <w:r>
        <w:t>ing</w:t>
      </w:r>
      <w:r w:rsidRPr="00DC4C78">
        <w:t xml:space="preserve"> in a </w:t>
      </w:r>
      <w:proofErr w:type="spellStart"/>
      <w:r w:rsidRPr="00DC4C78">
        <w:t>smokefree</w:t>
      </w:r>
      <w:proofErr w:type="spellEnd"/>
      <w:r w:rsidRPr="00DC4C78">
        <w:t xml:space="preserve"> home (age four years), Pacific peoples</w:t>
      </w:r>
      <w:bookmarkEnd w:id="405"/>
      <w:bookmarkEnd w:id="406"/>
      <w:bookmarkEnd w:id="407"/>
      <w:bookmarkEnd w:id="408"/>
    </w:p>
    <w:p w:rsidR="00C30B65" w:rsidRPr="00DC4C78" w:rsidRDefault="00667863" w:rsidP="00667863">
      <w:r>
        <w:rPr>
          <w:noProof/>
          <w:lang w:eastAsia="en-NZ"/>
        </w:rPr>
        <w:drawing>
          <wp:inline distT="0" distB="0" distL="0" distR="0" wp14:anchorId="144991A9">
            <wp:extent cx="4320000" cy="2520000"/>
            <wp:effectExtent l="0" t="0" r="4445" b="0"/>
            <wp:docPr id="111" name="Picture 111" title="Figure 70: Children living in a smokefree home (age four years), Pacific peop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inline>
        </w:drawing>
      </w:r>
    </w:p>
    <w:p w:rsidR="00C30B65" w:rsidRPr="00DC4C78" w:rsidRDefault="00C30B65" w:rsidP="00C30B65"/>
    <w:p w:rsidR="00C30B65" w:rsidRPr="00DC4C78" w:rsidRDefault="00C30B65" w:rsidP="00C30B65">
      <w:pPr>
        <w:pStyle w:val="Heading3"/>
      </w:pPr>
      <w:r w:rsidRPr="00DC4C78">
        <w:t>Data notes</w:t>
      </w:r>
    </w:p>
    <w:p w:rsidR="00FB4131" w:rsidRDefault="00C30B65" w:rsidP="00C30B65">
      <w:pPr>
        <w:pStyle w:val="Bullet"/>
      </w:pPr>
      <w:r w:rsidRPr="00DC4C78">
        <w:t xml:space="preserve">No bar on graph = the </w:t>
      </w:r>
      <w:proofErr w:type="spellStart"/>
      <w:r w:rsidRPr="00DC4C78">
        <w:t>smokefree</w:t>
      </w:r>
      <w:proofErr w:type="spellEnd"/>
      <w:r w:rsidRPr="00DC4C78">
        <w:t xml:space="preserve"> at-home status is not reported </w:t>
      </w:r>
    </w:p>
    <w:p w:rsidR="00C30B65" w:rsidRPr="00DC4C78" w:rsidRDefault="00C30B65" w:rsidP="00C30B65">
      <w:pPr>
        <w:pStyle w:val="Bullet"/>
      </w:pPr>
      <w:r w:rsidRPr="00DC4C78">
        <w:t>Time period: children receiving a B4 School Check between 1 January 2014 and 30 June 2014.</w:t>
      </w:r>
    </w:p>
    <w:p w:rsidR="00C30B65" w:rsidRPr="00DC4C78" w:rsidRDefault="00C30B65" w:rsidP="00C30B65">
      <w:pPr>
        <w:pStyle w:val="Bullet"/>
      </w:pPr>
      <w:r w:rsidRPr="00DC4C78">
        <w:t>DHB is DHB of service.</w:t>
      </w:r>
    </w:p>
    <w:p w:rsidR="00C30B65" w:rsidRPr="00DC4C78" w:rsidRDefault="00C30B65" w:rsidP="00C30B65">
      <w:pPr>
        <w:pStyle w:val="Bullet"/>
      </w:pPr>
      <w:r w:rsidRPr="00DC4C78">
        <w:t xml:space="preserve">Numerator: children with </w:t>
      </w:r>
      <w:proofErr w:type="spellStart"/>
      <w:r w:rsidRPr="00DC4C78">
        <w:t>smokefree</w:t>
      </w:r>
      <w:proofErr w:type="spellEnd"/>
      <w:r w:rsidRPr="00DC4C78">
        <w:t xml:space="preserve"> home = </w:t>
      </w:r>
      <w:proofErr w:type="gramStart"/>
      <w:r w:rsidRPr="00DC4C78">
        <w:t>Yes</w:t>
      </w:r>
      <w:proofErr w:type="gramEnd"/>
      <w:r w:rsidRPr="00DC4C78">
        <w:t xml:space="preserve"> (source: B4 School Check).</w:t>
      </w:r>
    </w:p>
    <w:p w:rsidR="00C30B65" w:rsidRDefault="00C30B65" w:rsidP="00C30B65">
      <w:pPr>
        <w:pStyle w:val="Bullet"/>
      </w:pPr>
      <w:r w:rsidRPr="00DC4C78">
        <w:t xml:space="preserve">Denominator: children with </w:t>
      </w:r>
      <w:proofErr w:type="spellStart"/>
      <w:r w:rsidRPr="00DC4C78">
        <w:t>smokefree</w:t>
      </w:r>
      <w:proofErr w:type="spellEnd"/>
      <w:r w:rsidRPr="00DC4C78">
        <w:t xml:space="preserve"> home = Yes or No (source: B4 School Check).</w:t>
      </w:r>
    </w:p>
    <w:p w:rsidR="000E3662" w:rsidRPr="00DC4C78" w:rsidRDefault="000E3662" w:rsidP="000E3662"/>
    <w:p w:rsidR="000E3662" w:rsidRDefault="000E3662" w:rsidP="000E3662">
      <w:pPr>
        <w:rPr>
          <w:lang w:eastAsia="en-NZ"/>
        </w:rPr>
      </w:pPr>
      <w:bookmarkStart w:id="409" w:name="_Toc365618463"/>
      <w:bookmarkStart w:id="410" w:name="_Toc384620286"/>
      <w:bookmarkStart w:id="411" w:name="_Toc418322795"/>
      <w:bookmarkStart w:id="412" w:name="_Toc419099464"/>
      <w:r>
        <w:rPr>
          <w:lang w:eastAsia="en-NZ"/>
        </w:rPr>
        <w:br w:type="page"/>
      </w:r>
    </w:p>
    <w:p w:rsidR="00C30B65" w:rsidRPr="00DC4C78" w:rsidRDefault="00C30B65" w:rsidP="00C30B65">
      <w:pPr>
        <w:pStyle w:val="Heading1"/>
        <w:rPr>
          <w:lang w:eastAsia="en-NZ"/>
        </w:rPr>
      </w:pPr>
      <w:bookmarkStart w:id="413" w:name="_Toc440387810"/>
      <w:r w:rsidRPr="00DC4C78">
        <w:rPr>
          <w:lang w:eastAsia="en-NZ"/>
        </w:rPr>
        <w:lastRenderedPageBreak/>
        <w:t>Indicators 21–27: Quality</w:t>
      </w:r>
      <w:bookmarkEnd w:id="409"/>
      <w:bookmarkEnd w:id="410"/>
      <w:bookmarkEnd w:id="411"/>
      <w:bookmarkEnd w:id="412"/>
      <w:bookmarkEnd w:id="413"/>
    </w:p>
    <w:p w:rsidR="00C30B65" w:rsidRPr="00DC4C78" w:rsidRDefault="00C30B65" w:rsidP="00C30B65">
      <w:pPr>
        <w:rPr>
          <w:lang w:eastAsia="en-NZ"/>
        </w:rPr>
      </w:pPr>
      <w:r w:rsidRPr="00DC4C78">
        <w:rPr>
          <w:lang w:eastAsia="en-NZ"/>
        </w:rPr>
        <w:t xml:space="preserve">Aim 3 of the WCTO Quality Improvement Framework </w:t>
      </w:r>
      <w:r>
        <w:rPr>
          <w:lang w:eastAsia="en-NZ"/>
        </w:rPr>
        <w:t>is</w:t>
      </w:r>
      <w:r w:rsidRPr="00DC4C78">
        <w:t xml:space="preserve"> </w:t>
      </w:r>
      <w:r w:rsidRPr="00DC4C78">
        <w:rPr>
          <w:b/>
          <w:lang w:eastAsia="en-NZ"/>
        </w:rPr>
        <w:t>b</w:t>
      </w:r>
      <w:r w:rsidRPr="00DC4C78">
        <w:rPr>
          <w:rFonts w:cs="Arial"/>
          <w:b/>
          <w:szCs w:val="24"/>
          <w:lang w:eastAsia="en-NZ"/>
        </w:rPr>
        <w:t>est value for health system resource</w:t>
      </w:r>
      <w:r w:rsidRPr="00DC4C78">
        <w:t xml:space="preserve">. </w:t>
      </w:r>
      <w:r w:rsidRPr="00DC4C78">
        <w:rPr>
          <w:lang w:eastAsia="en-NZ"/>
        </w:rPr>
        <w:t xml:space="preserve">To achieve this aim, </w:t>
      </w:r>
      <w:r>
        <w:rPr>
          <w:lang w:eastAsia="en-NZ"/>
        </w:rPr>
        <w:t xml:space="preserve">providers must base </w:t>
      </w:r>
      <w:r w:rsidRPr="00DC4C78">
        <w:rPr>
          <w:lang w:eastAsia="en-NZ"/>
        </w:rPr>
        <w:t>advice, screening and interventions on the best available evidence</w:t>
      </w:r>
      <w:r>
        <w:rPr>
          <w:lang w:eastAsia="en-NZ"/>
        </w:rPr>
        <w:t>,</w:t>
      </w:r>
      <w:r w:rsidRPr="00DC4C78">
        <w:rPr>
          <w:lang w:eastAsia="en-NZ"/>
        </w:rPr>
        <w:t xml:space="preserve"> and deliver </w:t>
      </w:r>
      <w:r>
        <w:rPr>
          <w:lang w:eastAsia="en-NZ"/>
        </w:rPr>
        <w:t xml:space="preserve">them </w:t>
      </w:r>
      <w:r w:rsidRPr="00DC4C78">
        <w:rPr>
          <w:lang w:eastAsia="en-NZ"/>
        </w:rPr>
        <w:t xml:space="preserve">to a consistently high quality. </w:t>
      </w:r>
      <w:r>
        <w:rPr>
          <w:lang w:eastAsia="en-NZ"/>
        </w:rPr>
        <w:t xml:space="preserve">Providers can achieve the </w:t>
      </w:r>
      <w:r w:rsidRPr="00DC4C78">
        <w:rPr>
          <w:lang w:eastAsia="en-NZ"/>
        </w:rPr>
        <w:t>best value for money</w:t>
      </w:r>
      <w:r>
        <w:rPr>
          <w:lang w:eastAsia="en-NZ"/>
        </w:rPr>
        <w:t xml:space="preserve"> by</w:t>
      </w:r>
      <w:r w:rsidRPr="00DC4C78">
        <w:rPr>
          <w:lang w:eastAsia="en-NZ"/>
        </w:rPr>
        <w:t>:</w:t>
      </w:r>
    </w:p>
    <w:p w:rsidR="00C30B65" w:rsidRPr="00DC4C78" w:rsidRDefault="00C30B65" w:rsidP="00C30B65">
      <w:pPr>
        <w:pStyle w:val="Bullet"/>
        <w:rPr>
          <w:lang w:eastAsia="en-NZ"/>
        </w:rPr>
      </w:pPr>
      <w:r w:rsidRPr="00DC4C78">
        <w:rPr>
          <w:lang w:eastAsia="en-NZ"/>
        </w:rPr>
        <w:t>identif</w:t>
      </w:r>
      <w:r>
        <w:rPr>
          <w:lang w:eastAsia="en-NZ"/>
        </w:rPr>
        <w:t>ying</w:t>
      </w:r>
      <w:r w:rsidRPr="00DC4C78">
        <w:rPr>
          <w:lang w:eastAsia="en-NZ"/>
        </w:rPr>
        <w:t xml:space="preserve"> </w:t>
      </w:r>
      <w:r>
        <w:rPr>
          <w:lang w:eastAsia="en-NZ"/>
        </w:rPr>
        <w:t xml:space="preserve">health and development problems </w:t>
      </w:r>
      <w:r w:rsidRPr="00DC4C78">
        <w:rPr>
          <w:lang w:eastAsia="en-NZ"/>
        </w:rPr>
        <w:t>accurately (reducing downstream costs related to poor sensitivity, and wastage due to poor specificity)</w:t>
      </w:r>
    </w:p>
    <w:p w:rsidR="00C30B65" w:rsidRPr="00DC4C78" w:rsidRDefault="00C30B65" w:rsidP="00C30B65">
      <w:pPr>
        <w:pStyle w:val="Bullet"/>
        <w:rPr>
          <w:lang w:eastAsia="en-NZ"/>
        </w:rPr>
      </w:pPr>
      <w:proofErr w:type="gramStart"/>
      <w:r w:rsidRPr="00DC4C78">
        <w:rPr>
          <w:lang w:eastAsia="en-NZ"/>
        </w:rPr>
        <w:t>treat</w:t>
      </w:r>
      <w:r>
        <w:rPr>
          <w:lang w:eastAsia="en-NZ"/>
        </w:rPr>
        <w:t>ing</w:t>
      </w:r>
      <w:proofErr w:type="gramEnd"/>
      <w:r>
        <w:rPr>
          <w:lang w:eastAsia="en-NZ"/>
        </w:rPr>
        <w:t xml:space="preserve"> health and development issues</w:t>
      </w:r>
      <w:r w:rsidRPr="00DC4C78">
        <w:rPr>
          <w:lang w:eastAsia="en-NZ"/>
        </w:rPr>
        <w:t xml:space="preserve"> early (reducing the intensity of the intervention required) through </w:t>
      </w:r>
      <w:r>
        <w:rPr>
          <w:lang w:eastAsia="en-NZ"/>
        </w:rPr>
        <w:t>interventio</w:t>
      </w:r>
      <w:r w:rsidRPr="00DC4C78">
        <w:rPr>
          <w:lang w:eastAsia="en-NZ"/>
        </w:rPr>
        <w:t>ns that have the best evidence of success (maximising health gain for investment).</w:t>
      </w:r>
    </w:p>
    <w:p w:rsidR="00C30B65" w:rsidRPr="00DC4C78" w:rsidRDefault="00C30B65" w:rsidP="00C30B65">
      <w:pPr>
        <w:rPr>
          <w:lang w:eastAsia="en-NZ"/>
        </w:rPr>
      </w:pPr>
    </w:p>
    <w:p w:rsidR="00C30B65" w:rsidRPr="00DC4C78" w:rsidRDefault="00C30B65" w:rsidP="00C30B65">
      <w:pPr>
        <w:rPr>
          <w:lang w:eastAsia="en-NZ"/>
        </w:rPr>
      </w:pPr>
      <w:r w:rsidRPr="00DC4C78">
        <w:rPr>
          <w:lang w:eastAsia="en-NZ"/>
        </w:rPr>
        <w:t>Indicators 21–27 measure the quality of service delivery</w:t>
      </w:r>
      <w:r>
        <w:rPr>
          <w:lang w:eastAsia="en-NZ"/>
        </w:rPr>
        <w:t xml:space="preserve"> within the WCTO programme</w:t>
      </w:r>
      <w:r w:rsidRPr="00DC4C78">
        <w:rPr>
          <w:lang w:eastAsia="en-NZ"/>
        </w:rPr>
        <w:t xml:space="preserve">; in other words, </w:t>
      </w:r>
      <w:proofErr w:type="gramStart"/>
      <w:r w:rsidRPr="00DC4C78">
        <w:rPr>
          <w:lang w:eastAsia="en-NZ"/>
        </w:rPr>
        <w:t>adherence to best practice</w:t>
      </w:r>
      <w:proofErr w:type="gramEnd"/>
      <w:r w:rsidRPr="00DC4C78">
        <w:rPr>
          <w:lang w:eastAsia="en-NZ"/>
        </w:rPr>
        <w:t xml:space="preserve"> (either in </w:t>
      </w:r>
      <w:r>
        <w:rPr>
          <w:lang w:eastAsia="en-NZ"/>
        </w:rPr>
        <w:t xml:space="preserve">terms of </w:t>
      </w:r>
      <w:r w:rsidRPr="00DC4C78">
        <w:rPr>
          <w:lang w:eastAsia="en-NZ"/>
        </w:rPr>
        <w:t xml:space="preserve">the timing of the intervention or adherence to screening protocol). The current indicators </w:t>
      </w:r>
      <w:r>
        <w:rPr>
          <w:lang w:eastAsia="en-NZ"/>
        </w:rPr>
        <w:t xml:space="preserve">within this section </w:t>
      </w:r>
      <w:r w:rsidRPr="00DC4C78">
        <w:rPr>
          <w:lang w:eastAsia="en-NZ"/>
        </w:rPr>
        <w:t>focus exclusively on the B4SC</w:t>
      </w:r>
      <w:r>
        <w:rPr>
          <w:lang w:eastAsia="en-NZ"/>
        </w:rPr>
        <w:t>,</w:t>
      </w:r>
      <w:r w:rsidRPr="00DC4C78">
        <w:rPr>
          <w:lang w:eastAsia="en-NZ"/>
        </w:rPr>
        <w:t xml:space="preserve"> due to the limited availability of data for other parts of the WCTO programme. </w:t>
      </w:r>
      <w:r>
        <w:rPr>
          <w:lang w:eastAsia="en-NZ"/>
        </w:rPr>
        <w:t xml:space="preserve">The Ministry of Health </w:t>
      </w:r>
      <w:r w:rsidRPr="00DC4C78">
        <w:rPr>
          <w:lang w:eastAsia="en-NZ"/>
        </w:rPr>
        <w:t>expect</w:t>
      </w:r>
      <w:r>
        <w:rPr>
          <w:lang w:eastAsia="en-NZ"/>
        </w:rPr>
        <w:t>s</w:t>
      </w:r>
      <w:r w:rsidRPr="00DC4C78">
        <w:rPr>
          <w:lang w:eastAsia="en-NZ"/>
        </w:rPr>
        <w:t xml:space="preserve"> </w:t>
      </w:r>
      <w:r>
        <w:rPr>
          <w:lang w:eastAsia="en-NZ"/>
        </w:rPr>
        <w:t xml:space="preserve">to add </w:t>
      </w:r>
      <w:r w:rsidRPr="00DC4C78">
        <w:rPr>
          <w:lang w:eastAsia="en-NZ"/>
        </w:rPr>
        <w:t>other indicators over time.</w:t>
      </w:r>
    </w:p>
    <w:p w:rsidR="00C30B65" w:rsidRPr="00DC4C78" w:rsidRDefault="00C30B65" w:rsidP="00C30B65">
      <w:pPr>
        <w:rPr>
          <w:lang w:eastAsia="en-NZ"/>
        </w:rPr>
      </w:pPr>
    </w:p>
    <w:p w:rsidR="00C30B65" w:rsidRPr="00DC4C78" w:rsidRDefault="00C30B65" w:rsidP="00C30B65">
      <w:pPr>
        <w:pStyle w:val="Heading2"/>
      </w:pPr>
      <w:bookmarkStart w:id="414" w:name="_Toc365618464"/>
      <w:bookmarkStart w:id="415" w:name="_Toc405453787"/>
      <w:bookmarkStart w:id="416" w:name="_Toc418322796"/>
      <w:bookmarkStart w:id="417" w:name="_Toc419099465"/>
      <w:bookmarkStart w:id="418" w:name="_Toc440387811"/>
      <w:r w:rsidRPr="00DC4C78">
        <w:t>Summary of results for this period</w:t>
      </w:r>
      <w:bookmarkEnd w:id="414"/>
      <w:bookmarkEnd w:id="415"/>
      <w:bookmarkEnd w:id="416"/>
      <w:bookmarkEnd w:id="417"/>
      <w:bookmarkEnd w:id="418"/>
    </w:p>
    <w:p w:rsidR="00C30B65" w:rsidRPr="00DC4C78" w:rsidRDefault="00C30B65" w:rsidP="00C30B65">
      <w:pPr>
        <w:pStyle w:val="Heading3"/>
      </w:pPr>
      <w:r w:rsidRPr="00DC4C78">
        <w:t>National</w:t>
      </w:r>
    </w:p>
    <w:p w:rsidR="00C30B65" w:rsidRPr="00DC4C78" w:rsidRDefault="00C30B65" w:rsidP="00C30B65">
      <w:r w:rsidRPr="00DC4C78">
        <w:t xml:space="preserve">Nationally, </w:t>
      </w:r>
      <w:r>
        <w:t xml:space="preserve">providers most consistently meet targets for </w:t>
      </w:r>
      <w:r w:rsidRPr="00194AED">
        <w:t>Indicators 21−27</w:t>
      </w:r>
      <w:r>
        <w:t>,</w:t>
      </w:r>
      <w:r w:rsidRPr="00DC4C78">
        <w:t xml:space="preserve"> </w:t>
      </w:r>
      <w:r>
        <w:t>out of all the indicators in the set. Additionally, providers consistently achieve the most equitable results (in terms of regions, ethnicities and deprivation areas) for this group of indicators. Providers have achieved the December 2014 targets for a</w:t>
      </w:r>
      <w:r w:rsidRPr="00DC4C78">
        <w:t>ll of the seven indicators (</w:t>
      </w:r>
      <w:r>
        <w:t xml:space="preserve">that is, </w:t>
      </w:r>
      <w:r w:rsidRPr="00DC4C78">
        <w:t xml:space="preserve">if </w:t>
      </w:r>
      <w:r w:rsidR="00700141">
        <w:t>‘</w:t>
      </w:r>
      <w:r w:rsidRPr="00DC4C78">
        <w:t>advice given</w:t>
      </w:r>
      <w:r w:rsidR="00700141">
        <w:t>’</w:t>
      </w:r>
      <w:r w:rsidRPr="00DC4C78">
        <w:t xml:space="preserve"> is included </w:t>
      </w:r>
      <w:r>
        <w:t xml:space="preserve">within </w:t>
      </w:r>
      <w:r w:rsidRPr="00194AED">
        <w:t xml:space="preserve">Indicators 22 </w:t>
      </w:r>
      <w:r w:rsidRPr="00E8715F">
        <w:t xml:space="preserve">and </w:t>
      </w:r>
      <w:r w:rsidRPr="00194AED">
        <w:t>23</w:t>
      </w:r>
      <w:r>
        <w:t xml:space="preserve"> – </w:t>
      </w:r>
      <w:r w:rsidRPr="00DC4C78">
        <w:t xml:space="preserve">referral rates for abnormal SDQ-P scores and PEDS Pathway A, respectively). </w:t>
      </w:r>
      <w:r w:rsidRPr="000857A0">
        <w:t xml:space="preserve">For the purposes of these indicators, </w:t>
      </w:r>
      <w:r w:rsidR="00700141">
        <w:t>‘</w:t>
      </w:r>
      <w:r>
        <w:t>referral</w:t>
      </w:r>
      <w:r w:rsidR="00700141">
        <w:t>’</w:t>
      </w:r>
      <w:r>
        <w:t xml:space="preserve"> applies</w:t>
      </w:r>
      <w:r w:rsidRPr="000857A0">
        <w:t xml:space="preserve"> to a primary care provider arranging for a child to see a specialist service; </w:t>
      </w:r>
      <w:r w:rsidR="00700141">
        <w:t>‘</w:t>
      </w:r>
      <w:r>
        <w:t>advice</w:t>
      </w:r>
      <w:r w:rsidR="00700141">
        <w:t>’</w:t>
      </w:r>
      <w:r>
        <w:t xml:space="preserve"> is the primary care </w:t>
      </w:r>
      <w:r w:rsidRPr="000857A0">
        <w:t>provider advising the child or their family/</w:t>
      </w:r>
      <w:proofErr w:type="spellStart"/>
      <w:r w:rsidRPr="000857A0">
        <w:t>whānau</w:t>
      </w:r>
      <w:proofErr w:type="spellEnd"/>
      <w:r w:rsidRPr="000857A0">
        <w:t xml:space="preserve"> on the issue themselves.</w:t>
      </w:r>
    </w:p>
    <w:p w:rsidR="00C30B65" w:rsidRPr="00DC4C78" w:rsidRDefault="00C30B65" w:rsidP="00C30B65"/>
    <w:p w:rsidR="00700141" w:rsidRDefault="00C30B65" w:rsidP="00C30B65">
      <w:r w:rsidRPr="00DC4C78">
        <w:t xml:space="preserve">The overall </w:t>
      </w:r>
      <w:r>
        <w:t xml:space="preserve">referral </w:t>
      </w:r>
      <w:r w:rsidRPr="00DC4C78">
        <w:t xml:space="preserve">rate for </w:t>
      </w:r>
      <w:r>
        <w:t xml:space="preserve">children with </w:t>
      </w:r>
      <w:r w:rsidRPr="00DC4C78">
        <w:t>extreme obesity (a BMI greater than the 99.4th percentile) dropped slightly</w:t>
      </w:r>
      <w:r>
        <w:t xml:space="preserve"> between the March and September reports</w:t>
      </w:r>
      <w:r w:rsidRPr="00DC4C78">
        <w:t xml:space="preserve">, from 86 percent </w:t>
      </w:r>
      <w:r>
        <w:t>to 83 percent</w:t>
      </w:r>
      <w:r w:rsidRPr="00DC4C78">
        <w:t>. Given the small number of children in this category, a small drop is not concerning</w:t>
      </w:r>
      <w:r>
        <w:t>.</w:t>
      </w:r>
    </w:p>
    <w:p w:rsidR="00C30B65" w:rsidRPr="00DC4C78" w:rsidRDefault="00C30B65" w:rsidP="00C30B65"/>
    <w:p w:rsidR="00700141" w:rsidRDefault="00C30B65" w:rsidP="00807C68">
      <w:r>
        <w:t>Q</w:t>
      </w:r>
      <w:r w:rsidRPr="00DC4C78">
        <w:t xml:space="preserve">uality improvement efforts and </w:t>
      </w:r>
      <w:r>
        <w:t xml:space="preserve">the </w:t>
      </w:r>
      <w:r w:rsidRPr="00DC4C78">
        <w:t xml:space="preserve">commitment </w:t>
      </w:r>
      <w:r>
        <w:t xml:space="preserve">of </w:t>
      </w:r>
      <w:r w:rsidRPr="00DC4C78">
        <w:t>B4SC providers</w:t>
      </w:r>
      <w:r>
        <w:t xml:space="preserve">, </w:t>
      </w:r>
      <w:r w:rsidRPr="00DC4C78">
        <w:t xml:space="preserve">vision and hearing technicians and specialist audiology and optometry/ophthalmology services </w:t>
      </w:r>
      <w:r>
        <w:t xml:space="preserve">has meant that since March 2014, consistently, </w:t>
      </w:r>
      <w:r w:rsidRPr="00DC4C78">
        <w:t xml:space="preserve">100 percent of children with an identified issue are </w:t>
      </w:r>
      <w:r>
        <w:t xml:space="preserve">being </w:t>
      </w:r>
      <w:r w:rsidRPr="00DC4C78">
        <w:t xml:space="preserve">referred </w:t>
      </w:r>
      <w:r>
        <w:t xml:space="preserve">to specialist services, </w:t>
      </w:r>
      <w:r w:rsidRPr="00DC4C78">
        <w:t>across all regions, deprivation quintiles and ethnic groups.</w:t>
      </w:r>
    </w:p>
    <w:p w:rsidR="00C30B65" w:rsidRPr="00DC4C78" w:rsidRDefault="00C30B65" w:rsidP="00807C68">
      <w:pPr>
        <w:rPr>
          <w:i/>
        </w:rPr>
      </w:pPr>
    </w:p>
    <w:p w:rsidR="00700141" w:rsidRDefault="00C30B65" w:rsidP="00807C68">
      <w:r>
        <w:t xml:space="preserve">Achievement against </w:t>
      </w:r>
      <w:r w:rsidRPr="00194AED">
        <w:t xml:space="preserve">Indicator 24: </w:t>
      </w:r>
      <w:r w:rsidR="00700141">
        <w:t>‘</w:t>
      </w:r>
      <w:r>
        <w:t>C</w:t>
      </w:r>
      <w:r w:rsidRPr="00194AED">
        <w:t xml:space="preserve">hildren with a Lift the Lip </w:t>
      </w:r>
      <w:r>
        <w:t xml:space="preserve">(oral health) </w:t>
      </w:r>
      <w:r w:rsidRPr="00194AED">
        <w:t>score of 2–6 are referred</w:t>
      </w:r>
      <w:r w:rsidR="00700141">
        <w:t>’</w:t>
      </w:r>
      <w:r w:rsidRPr="00DC4C78">
        <w:t xml:space="preserve"> </w:t>
      </w:r>
      <w:r>
        <w:t xml:space="preserve">was </w:t>
      </w:r>
      <w:r w:rsidRPr="00DC4C78">
        <w:t xml:space="preserve">also at 100 percent in </w:t>
      </w:r>
      <w:r>
        <w:t xml:space="preserve">September for </w:t>
      </w:r>
      <w:r w:rsidRPr="00DC4C78">
        <w:t>every group</w:t>
      </w:r>
      <w:r>
        <w:t xml:space="preserve"> – this represents </w:t>
      </w:r>
      <w:r w:rsidRPr="00DC4C78">
        <w:t>a significant increase of 30 percentage points (</w:t>
      </w:r>
      <w:r>
        <w:t xml:space="preserve">within the </w:t>
      </w:r>
      <w:r w:rsidRPr="00DC4C78">
        <w:t>total population) from the September 2014 report.</w:t>
      </w:r>
    </w:p>
    <w:p w:rsidR="00C30B65" w:rsidRPr="00DC4C78" w:rsidRDefault="00C30B65" w:rsidP="00807C68"/>
    <w:p w:rsidR="00C30B65" w:rsidRPr="00DC4C78" w:rsidRDefault="00C30B65" w:rsidP="00C30B65">
      <w:pPr>
        <w:pStyle w:val="Heading3"/>
      </w:pPr>
      <w:r w:rsidRPr="00DC4C78">
        <w:lastRenderedPageBreak/>
        <w:t>By region</w:t>
      </w:r>
    </w:p>
    <w:p w:rsidR="00C30B65" w:rsidRPr="00DC4C78" w:rsidRDefault="00C30B65" w:rsidP="00807C68">
      <w:pPr>
        <w:keepLines/>
      </w:pPr>
      <w:r w:rsidRPr="00DC4C78">
        <w:t>Nationally, although</w:t>
      </w:r>
      <w:r>
        <w:t xml:space="preserve"> the September results indicated that</w:t>
      </w:r>
      <w:r w:rsidRPr="00DC4C78">
        <w:t xml:space="preserve"> 85 percent of B4SC </w:t>
      </w:r>
      <w:r>
        <w:t xml:space="preserve">were </w:t>
      </w:r>
      <w:r w:rsidRPr="00DC4C78">
        <w:t>started before the age of 4½ years</w:t>
      </w:r>
      <w:r>
        <w:t xml:space="preserve"> (Indicator 21)</w:t>
      </w:r>
      <w:r w:rsidRPr="00DC4C78">
        <w:t xml:space="preserve">, there </w:t>
      </w:r>
      <w:r>
        <w:t xml:space="preserve">was </w:t>
      </w:r>
      <w:r w:rsidRPr="00DC4C78">
        <w:t>still significant variation by region (</w:t>
      </w:r>
      <w:r>
        <w:t xml:space="preserve">the </w:t>
      </w:r>
      <w:r w:rsidRPr="00DC4C78">
        <w:t xml:space="preserve">range </w:t>
      </w:r>
      <w:r>
        <w:t xml:space="preserve">was </w:t>
      </w:r>
      <w:r w:rsidRPr="00DC4C78">
        <w:t xml:space="preserve">34–96 percent). In this case, </w:t>
      </w:r>
      <w:proofErr w:type="spellStart"/>
      <w:r w:rsidRPr="00DC4C78">
        <w:t>Taranaki</w:t>
      </w:r>
      <w:proofErr w:type="spellEnd"/>
      <w:r w:rsidRPr="00DC4C78">
        <w:t xml:space="preserve"> DHB </w:t>
      </w:r>
      <w:r>
        <w:t xml:space="preserve">was </w:t>
      </w:r>
      <w:r w:rsidRPr="00DC4C78">
        <w:t>the significant outlier</w:t>
      </w:r>
      <w:r>
        <w:t>,</w:t>
      </w:r>
      <w:r w:rsidRPr="00DC4C78">
        <w:t xml:space="preserve"> </w:t>
      </w:r>
      <w:r>
        <w:t xml:space="preserve">achieving only </w:t>
      </w:r>
      <w:r w:rsidRPr="00DC4C78">
        <w:t xml:space="preserve">34 percent, but five other DHBs </w:t>
      </w:r>
      <w:r>
        <w:t xml:space="preserve">failed </w:t>
      </w:r>
      <w:r w:rsidRPr="00DC4C78">
        <w:t>to reach the December 2014 target</w:t>
      </w:r>
      <w:r>
        <w:t xml:space="preserve"> of 81 percent</w:t>
      </w:r>
      <w:r w:rsidRPr="00DC4C78">
        <w:t xml:space="preserve">. </w:t>
      </w:r>
      <w:r>
        <w:t>Conversely, o</w:t>
      </w:r>
      <w:r w:rsidRPr="00DC4C78">
        <w:t xml:space="preserve">ther DHBs </w:t>
      </w:r>
      <w:r>
        <w:t xml:space="preserve">were </w:t>
      </w:r>
      <w:r w:rsidRPr="00DC4C78">
        <w:t xml:space="preserve">already </w:t>
      </w:r>
      <w:r>
        <w:t xml:space="preserve">meeting </w:t>
      </w:r>
      <w:r w:rsidRPr="00DC4C78">
        <w:t>the June 2016 target</w:t>
      </w:r>
      <w:r>
        <w:t xml:space="preserve"> of 90 percent</w:t>
      </w:r>
      <w:r w:rsidRPr="00DC4C78">
        <w:t xml:space="preserve">. There </w:t>
      </w:r>
      <w:r>
        <w:t xml:space="preserve">was </w:t>
      </w:r>
      <w:r w:rsidRPr="00DC4C78">
        <w:t xml:space="preserve">also a large variety across the DHBs when it </w:t>
      </w:r>
      <w:r>
        <w:t xml:space="preserve">came </w:t>
      </w:r>
      <w:r w:rsidRPr="00DC4C78">
        <w:t xml:space="preserve">to </w:t>
      </w:r>
      <w:r>
        <w:t>Māori</w:t>
      </w:r>
      <w:r w:rsidRPr="00DC4C78">
        <w:t xml:space="preserve"> and Pacific children starting B4SCs before 4½</w:t>
      </w:r>
      <w:r w:rsidR="00807C68">
        <w:t xml:space="preserve"> </w:t>
      </w:r>
      <w:r w:rsidRPr="00DC4C78">
        <w:t>years.</w:t>
      </w:r>
    </w:p>
    <w:p w:rsidR="00C30B65" w:rsidRPr="00DC4C78" w:rsidRDefault="00C30B65" w:rsidP="00C30B65"/>
    <w:p w:rsidR="00700141" w:rsidRDefault="00C30B65" w:rsidP="00C30B65">
      <w:r w:rsidRPr="00DC4C78">
        <w:t xml:space="preserve">The only other variation between DHBs </w:t>
      </w:r>
      <w:r>
        <w:t xml:space="preserve">for this group of indicators was </w:t>
      </w:r>
      <w:r w:rsidRPr="00DC4C78">
        <w:t xml:space="preserve">the difference </w:t>
      </w:r>
      <w:r>
        <w:t xml:space="preserve">in achievement against the indicator when looked at in terms of </w:t>
      </w:r>
      <w:r w:rsidRPr="00DC4C78">
        <w:t xml:space="preserve">referrals </w:t>
      </w:r>
      <w:r>
        <w:t xml:space="preserve">being </w:t>
      </w:r>
      <w:r w:rsidRPr="00DC4C78">
        <w:t xml:space="preserve">made and advice </w:t>
      </w:r>
      <w:r>
        <w:t xml:space="preserve">being </w:t>
      </w:r>
      <w:r w:rsidRPr="00DC4C78">
        <w:t xml:space="preserve">given – particularly in </w:t>
      </w:r>
      <w:r>
        <w:t xml:space="preserve">the case of </w:t>
      </w:r>
      <w:r w:rsidRPr="00DC4C78">
        <w:t>Indicators 22 and 23 (</w:t>
      </w:r>
      <w:r>
        <w:t xml:space="preserve">referral rates for </w:t>
      </w:r>
      <w:r w:rsidRPr="00DC4C78">
        <w:t xml:space="preserve">abnormal SDQ-P and PEDs Pathway A, respectively). Some DHBs refer very few of their children, preferring instead to provide advice </w:t>
      </w:r>
      <w:r>
        <w:t xml:space="preserve">within primary care </w:t>
      </w:r>
      <w:r w:rsidRPr="00DC4C78">
        <w:t xml:space="preserve">– other DHBs </w:t>
      </w:r>
      <w:r>
        <w:t xml:space="preserve">take </w:t>
      </w:r>
      <w:r w:rsidRPr="00DC4C78">
        <w:t>the exact opposite</w:t>
      </w:r>
      <w:r>
        <w:t xml:space="preserve"> approach</w:t>
      </w:r>
      <w:r w:rsidRPr="00DC4C78">
        <w:t xml:space="preserve">. </w:t>
      </w:r>
      <w:r>
        <w:t xml:space="preserve">The Ministry of Health does not recommend one single </w:t>
      </w:r>
      <w:r w:rsidR="00700141">
        <w:t>‘</w:t>
      </w:r>
      <w:r w:rsidRPr="00DC4C78">
        <w:t>right way</w:t>
      </w:r>
      <w:r w:rsidR="00700141">
        <w:t>’</w:t>
      </w:r>
      <w:r w:rsidRPr="00DC4C78">
        <w:t xml:space="preserve">, </w:t>
      </w:r>
      <w:r w:rsidRPr="00B53CE3">
        <w:t>but expects that, whichever option DHBs and B4SC providers choose, their choice is thoroughly researched</w:t>
      </w:r>
      <w:r>
        <w:t>,</w:t>
      </w:r>
      <w:r w:rsidRPr="00DC4C78">
        <w:t xml:space="preserve"> </w:t>
      </w:r>
      <w:r>
        <w:t xml:space="preserve">and they </w:t>
      </w:r>
      <w:r w:rsidRPr="00DC4C78">
        <w:t xml:space="preserve">support the establishment of appropriate local pathways and build </w:t>
      </w:r>
      <w:r>
        <w:t xml:space="preserve">the </w:t>
      </w:r>
      <w:r w:rsidRPr="00DC4C78">
        <w:t>local capacity of specialist services.</w:t>
      </w:r>
    </w:p>
    <w:p w:rsidR="00C30B65" w:rsidRPr="00DC4C78" w:rsidRDefault="00C30B65" w:rsidP="00C30B65"/>
    <w:p w:rsidR="00C30B65" w:rsidRPr="00DC4C78" w:rsidRDefault="00C30B65" w:rsidP="00C30B65">
      <w:pPr>
        <w:pStyle w:val="Heading3"/>
      </w:pPr>
      <w:r w:rsidRPr="00DC4C78">
        <w:t>By deprivation</w:t>
      </w:r>
      <w:r>
        <w:t xml:space="preserve"> level</w:t>
      </w:r>
    </w:p>
    <w:p w:rsidR="00C30B65" w:rsidRPr="00DC4C78" w:rsidRDefault="00C30B65" w:rsidP="00C30B65">
      <w:r w:rsidRPr="00DC4C78">
        <w:t xml:space="preserve">Unlike for other indicators in this report, performance against these seven quality-related indicators does not seem to be lower for children living in areas of high deprivation. The exception is </w:t>
      </w:r>
      <w:r>
        <w:t xml:space="preserve">Indicator 21, </w:t>
      </w:r>
      <w:r w:rsidR="00700141">
        <w:t>‘</w:t>
      </w:r>
      <w:r w:rsidRPr="00DC4C78">
        <w:t xml:space="preserve">B4SC </w:t>
      </w:r>
      <w:r>
        <w:t xml:space="preserve">are </w:t>
      </w:r>
      <w:r w:rsidRPr="00DC4C78">
        <w:t xml:space="preserve">started before </w:t>
      </w:r>
      <w:r>
        <w:t xml:space="preserve">children are </w:t>
      </w:r>
      <w:r w:rsidRPr="00DC4C78">
        <w:t>4½ years</w:t>
      </w:r>
      <w:r w:rsidR="00700141">
        <w:t>’</w:t>
      </w:r>
      <w:r w:rsidRPr="00DC4C78">
        <w:t xml:space="preserve">, </w:t>
      </w:r>
      <w:r>
        <w:t xml:space="preserve">achievement against </w:t>
      </w:r>
      <w:r w:rsidRPr="00DC4C78">
        <w:t xml:space="preserve">which remained at </w:t>
      </w:r>
      <w:r>
        <w:t xml:space="preserve">a </w:t>
      </w:r>
      <w:r w:rsidRPr="00DC4C78">
        <w:t xml:space="preserve">slightly lower rate in high deprivation areas in this reporting period (stable at 3 percentage points lower than </w:t>
      </w:r>
      <w:r>
        <w:t xml:space="preserve">the </w:t>
      </w:r>
      <w:r w:rsidRPr="00DC4C78">
        <w:t>total population).</w:t>
      </w:r>
    </w:p>
    <w:p w:rsidR="00C30B65" w:rsidRPr="00DC4C78" w:rsidRDefault="00C30B65" w:rsidP="00C30B65"/>
    <w:p w:rsidR="00C30B65" w:rsidRPr="00DC4C78" w:rsidRDefault="00C30B65" w:rsidP="00C30B65">
      <w:pPr>
        <w:pStyle w:val="Heading3"/>
      </w:pPr>
      <w:r w:rsidRPr="00DC4C78">
        <w:t>By ethnicity</w:t>
      </w:r>
    </w:p>
    <w:p w:rsidR="00700141" w:rsidRDefault="00C30B65" w:rsidP="00C30B65">
      <w:r>
        <w:t xml:space="preserve">In the case of </w:t>
      </w:r>
      <w:r w:rsidRPr="00DC4C78">
        <w:t xml:space="preserve">Māori and Pacific children, </w:t>
      </w:r>
      <w:r>
        <w:t xml:space="preserve">achievement against </w:t>
      </w:r>
      <w:r w:rsidRPr="00DC4C78">
        <w:t xml:space="preserve">all seven </w:t>
      </w:r>
      <w:r>
        <w:t xml:space="preserve">quality </w:t>
      </w:r>
      <w:r w:rsidRPr="00DC4C78">
        <w:t xml:space="preserve">indicators showed improvement or remained at 100 percent </w:t>
      </w:r>
      <w:r>
        <w:t>between the March and September reports</w:t>
      </w:r>
      <w:r w:rsidRPr="00DC4C78">
        <w:t xml:space="preserve">. </w:t>
      </w:r>
      <w:r>
        <w:t>S</w:t>
      </w:r>
      <w:r w:rsidRPr="00DC4C78">
        <w:t xml:space="preserve">imilar increases </w:t>
      </w:r>
      <w:r>
        <w:t xml:space="preserve">and </w:t>
      </w:r>
      <w:r w:rsidRPr="00DC4C78">
        <w:t xml:space="preserve">stability </w:t>
      </w:r>
      <w:r>
        <w:t xml:space="preserve">was evident </w:t>
      </w:r>
      <w:r w:rsidRPr="00DC4C78">
        <w:t>in the previous report.</w:t>
      </w:r>
    </w:p>
    <w:p w:rsidR="00C30B65" w:rsidRPr="00DC4C78" w:rsidRDefault="00C30B65" w:rsidP="00C30B65"/>
    <w:p w:rsidR="00C30B65" w:rsidRPr="00DC4C78" w:rsidRDefault="00C30B65" w:rsidP="00C30B65">
      <w:r w:rsidRPr="00DC4C78">
        <w:t xml:space="preserve">The gap between referral rates for Māori and non-Māori children with extreme obesity closed </w:t>
      </w:r>
      <w:r>
        <w:t xml:space="preserve">between the March and September </w:t>
      </w:r>
      <w:r w:rsidRPr="00DC4C78">
        <w:t>report</w:t>
      </w:r>
      <w:r>
        <w:t>s</w:t>
      </w:r>
      <w:r w:rsidRPr="00DC4C78">
        <w:t xml:space="preserve"> (from 9 percentage points in March to 4 percentage points in September 2015). Pacific children with extreme obesity </w:t>
      </w:r>
      <w:r>
        <w:t xml:space="preserve">had </w:t>
      </w:r>
      <w:r w:rsidRPr="00DC4C78">
        <w:t xml:space="preserve">the highest rates of referral (excluding advice given) </w:t>
      </w:r>
      <w:r>
        <w:t xml:space="preserve">in September, </w:t>
      </w:r>
      <w:r w:rsidRPr="00DC4C78">
        <w:t>at 92 percent.</w:t>
      </w:r>
    </w:p>
    <w:p w:rsidR="00C30B65" w:rsidRPr="00DC4C78" w:rsidRDefault="00C30B65" w:rsidP="00C30B65"/>
    <w:p w:rsidR="00C30B65" w:rsidRPr="00DC4C78" w:rsidRDefault="00C30B65" w:rsidP="00C30B65">
      <w:pPr>
        <w:pStyle w:val="Heading2"/>
        <w:spacing w:before="0"/>
      </w:pPr>
      <w:bookmarkStart w:id="419" w:name="_Toc365618465"/>
      <w:bookmarkStart w:id="420" w:name="_Toc384620288"/>
      <w:bookmarkStart w:id="421" w:name="_Toc418322797"/>
      <w:bookmarkStart w:id="422" w:name="_Toc419099466"/>
      <w:bookmarkStart w:id="423" w:name="_Toc440387812"/>
      <w:r w:rsidRPr="00DC4C78">
        <w:lastRenderedPageBreak/>
        <w:t>WCTO Quality Improvement Framework Indicator 21</w:t>
      </w:r>
      <w:bookmarkEnd w:id="419"/>
      <w:bookmarkEnd w:id="420"/>
      <w:bookmarkEnd w:id="421"/>
      <w:bookmarkEnd w:id="422"/>
      <w:bookmarkEnd w:id="423"/>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701"/>
        <w:gridCol w:w="7655"/>
      </w:tblGrid>
      <w:tr w:rsidR="00C30B65" w:rsidRPr="00DC4C78" w:rsidTr="00C30B65">
        <w:trPr>
          <w:cantSplit/>
        </w:trPr>
        <w:tc>
          <w:tcPr>
            <w:tcW w:w="1701" w:type="dxa"/>
            <w:tcBorders>
              <w:top w:val="single" w:sz="4" w:space="0" w:color="auto"/>
              <w:bottom w:val="nil"/>
            </w:tcBorders>
            <w:shd w:val="clear" w:color="auto" w:fill="F2F2F2"/>
          </w:tcPr>
          <w:p w:rsidR="00C30B65" w:rsidRPr="00DC4C78" w:rsidRDefault="00C30B65" w:rsidP="00807C68">
            <w:pPr>
              <w:pStyle w:val="TableText"/>
              <w:keepNext/>
              <w:rPr>
                <w:b/>
              </w:rPr>
            </w:pPr>
            <w:r w:rsidRPr="00DC4C78">
              <w:rPr>
                <w:b/>
              </w:rPr>
              <w:t>Standard</w:t>
            </w:r>
          </w:p>
        </w:tc>
        <w:tc>
          <w:tcPr>
            <w:tcW w:w="7655" w:type="dxa"/>
            <w:tcBorders>
              <w:top w:val="single" w:sz="4" w:space="0" w:color="auto"/>
              <w:bottom w:val="nil"/>
            </w:tcBorders>
            <w:shd w:val="clear" w:color="auto" w:fill="F2F2F2"/>
          </w:tcPr>
          <w:p w:rsidR="00C30B65" w:rsidRPr="00DC4C78" w:rsidRDefault="00C30B65" w:rsidP="00807C68">
            <w:pPr>
              <w:pStyle w:val="TableText"/>
              <w:keepNext/>
            </w:pPr>
            <w:r w:rsidRPr="00DC4C78">
              <w:t>WCTO services are delivered at the right time.</w:t>
            </w:r>
          </w:p>
        </w:tc>
      </w:tr>
      <w:tr w:rsidR="00C30B65" w:rsidRPr="00DC4C78" w:rsidTr="00C30B65">
        <w:trPr>
          <w:cantSplit/>
        </w:trPr>
        <w:tc>
          <w:tcPr>
            <w:tcW w:w="1701" w:type="dxa"/>
            <w:tcBorders>
              <w:top w:val="nil"/>
              <w:bottom w:val="nil"/>
            </w:tcBorders>
            <w:shd w:val="clear" w:color="auto" w:fill="auto"/>
          </w:tcPr>
          <w:p w:rsidR="00C30B65" w:rsidRPr="00DC4C78" w:rsidRDefault="00C30B65" w:rsidP="00807C68">
            <w:pPr>
              <w:pStyle w:val="TableText"/>
              <w:keepNext/>
              <w:rPr>
                <w:b/>
              </w:rPr>
            </w:pPr>
            <w:r w:rsidRPr="00DC4C78">
              <w:rPr>
                <w:b/>
              </w:rPr>
              <w:t>Indicator</w:t>
            </w:r>
          </w:p>
        </w:tc>
        <w:tc>
          <w:tcPr>
            <w:tcW w:w="7655" w:type="dxa"/>
            <w:tcBorders>
              <w:top w:val="nil"/>
              <w:bottom w:val="nil"/>
            </w:tcBorders>
          </w:tcPr>
          <w:p w:rsidR="00C30B65" w:rsidRPr="00DC4C78" w:rsidRDefault="00C30B65" w:rsidP="00807C68">
            <w:pPr>
              <w:pStyle w:val="TableText"/>
              <w:keepNext/>
            </w:pPr>
            <w:r w:rsidRPr="00DC4C78">
              <w:t>B4SCs are started before children are 4½ years.</w:t>
            </w:r>
          </w:p>
        </w:tc>
      </w:tr>
      <w:tr w:rsidR="00C30B65" w:rsidRPr="00DC4C78" w:rsidTr="00C30B65">
        <w:trPr>
          <w:cantSplit/>
        </w:trPr>
        <w:tc>
          <w:tcPr>
            <w:tcW w:w="1701" w:type="dxa"/>
            <w:tcBorders>
              <w:top w:val="nil"/>
              <w:bottom w:val="nil"/>
            </w:tcBorders>
            <w:shd w:val="clear" w:color="auto" w:fill="F2F2F2"/>
          </w:tcPr>
          <w:p w:rsidR="00C30B65" w:rsidRPr="00DC4C78" w:rsidRDefault="00C30B65" w:rsidP="00807C68">
            <w:pPr>
              <w:pStyle w:val="TableText"/>
              <w:keepNext/>
              <w:rPr>
                <w:b/>
              </w:rPr>
            </w:pPr>
            <w:r w:rsidRPr="00DC4C78">
              <w:rPr>
                <w:b/>
              </w:rPr>
              <w:t>Target by December 2014</w:t>
            </w:r>
          </w:p>
        </w:tc>
        <w:tc>
          <w:tcPr>
            <w:tcW w:w="7655" w:type="dxa"/>
            <w:tcBorders>
              <w:top w:val="nil"/>
              <w:bottom w:val="nil"/>
            </w:tcBorders>
            <w:shd w:val="clear" w:color="auto" w:fill="F2F2F2"/>
          </w:tcPr>
          <w:p w:rsidR="00C30B65" w:rsidRPr="00DC4C78" w:rsidRDefault="00C30B65" w:rsidP="00807C68">
            <w:pPr>
              <w:pStyle w:val="TableText"/>
              <w:keepNext/>
            </w:pPr>
            <w:r w:rsidRPr="00DC4C78">
              <w:t>81 percent</w:t>
            </w:r>
          </w:p>
        </w:tc>
      </w:tr>
      <w:tr w:rsidR="00C30B65" w:rsidRPr="00DC4C78" w:rsidTr="00C30B65">
        <w:trPr>
          <w:cantSplit/>
        </w:trPr>
        <w:tc>
          <w:tcPr>
            <w:tcW w:w="1701" w:type="dxa"/>
            <w:tcBorders>
              <w:top w:val="nil"/>
            </w:tcBorders>
            <w:shd w:val="clear" w:color="auto" w:fill="auto"/>
          </w:tcPr>
          <w:p w:rsidR="00C30B65" w:rsidRPr="00DC4C78" w:rsidRDefault="00C30B65" w:rsidP="00807C68">
            <w:pPr>
              <w:pStyle w:val="TableText"/>
              <w:keepNext/>
              <w:rPr>
                <w:b/>
              </w:rPr>
            </w:pPr>
            <w:r w:rsidRPr="00DC4C78">
              <w:rPr>
                <w:b/>
              </w:rPr>
              <w:t>Target by June 2016</w:t>
            </w:r>
          </w:p>
        </w:tc>
        <w:tc>
          <w:tcPr>
            <w:tcW w:w="7655" w:type="dxa"/>
            <w:tcBorders>
              <w:top w:val="nil"/>
            </w:tcBorders>
          </w:tcPr>
          <w:p w:rsidR="00C30B65" w:rsidRPr="00DC4C78" w:rsidRDefault="00C30B65" w:rsidP="00807C68">
            <w:pPr>
              <w:pStyle w:val="TableText"/>
              <w:keepNext/>
            </w:pPr>
            <w:r w:rsidRPr="00DC4C78">
              <w:t>90 percent</w:t>
            </w:r>
          </w:p>
        </w:tc>
      </w:tr>
    </w:tbl>
    <w:p w:rsidR="00C30B65" w:rsidRPr="00DC4C78" w:rsidRDefault="00C30B65" w:rsidP="00807C68">
      <w:pPr>
        <w:keepNext/>
      </w:pPr>
    </w:p>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93"/>
        <w:gridCol w:w="1843"/>
        <w:gridCol w:w="1701"/>
        <w:gridCol w:w="1458"/>
        <w:gridCol w:w="1660"/>
      </w:tblGrid>
      <w:tr w:rsidR="00C30B65" w:rsidRPr="00DC4C78" w:rsidTr="00C30B65">
        <w:trPr>
          <w:cantSplit/>
        </w:trPr>
        <w:tc>
          <w:tcPr>
            <w:tcW w:w="1439" w:type="pct"/>
            <w:shd w:val="clear" w:color="auto" w:fill="F2F2F2"/>
          </w:tcPr>
          <w:p w:rsidR="00C30B65" w:rsidRPr="00DC4C78" w:rsidRDefault="00C30B65" w:rsidP="00807C68">
            <w:pPr>
              <w:pStyle w:val="TableText"/>
              <w:keepNext/>
              <w:rPr>
                <w:b/>
              </w:rPr>
            </w:pPr>
          </w:p>
        </w:tc>
        <w:tc>
          <w:tcPr>
            <w:tcW w:w="985" w:type="pct"/>
            <w:shd w:val="clear" w:color="auto" w:fill="F2F2F2"/>
          </w:tcPr>
          <w:p w:rsidR="00C30B65" w:rsidRPr="00DC4C78" w:rsidRDefault="00C30B65" w:rsidP="00807C68">
            <w:pPr>
              <w:pStyle w:val="TableText"/>
              <w:keepNext/>
              <w:jc w:val="center"/>
              <w:rPr>
                <w:b/>
              </w:rPr>
            </w:pPr>
            <w:r w:rsidRPr="00DC4C78">
              <w:rPr>
                <w:b/>
              </w:rPr>
              <w:t>Total New Zealand</w:t>
            </w:r>
          </w:p>
        </w:tc>
        <w:tc>
          <w:tcPr>
            <w:tcW w:w="909" w:type="pct"/>
            <w:shd w:val="clear" w:color="auto" w:fill="F2F2F2"/>
          </w:tcPr>
          <w:p w:rsidR="00C30B65" w:rsidRPr="00DC4C78" w:rsidRDefault="00C30B65" w:rsidP="00807C68">
            <w:pPr>
              <w:pStyle w:val="TableText"/>
              <w:keepNext/>
              <w:jc w:val="center"/>
              <w:rPr>
                <w:b/>
              </w:rPr>
            </w:pPr>
            <w:r w:rsidRPr="00DC4C78">
              <w:rPr>
                <w:b/>
              </w:rPr>
              <w:t>High deprivation</w:t>
            </w:r>
          </w:p>
        </w:tc>
        <w:tc>
          <w:tcPr>
            <w:tcW w:w="779" w:type="pct"/>
            <w:shd w:val="clear" w:color="auto" w:fill="F2F2F2"/>
          </w:tcPr>
          <w:p w:rsidR="00C30B65" w:rsidRPr="00DC4C78" w:rsidRDefault="00C30B65" w:rsidP="00807C68">
            <w:pPr>
              <w:pStyle w:val="TableText"/>
              <w:keepNext/>
              <w:jc w:val="center"/>
              <w:rPr>
                <w:b/>
              </w:rPr>
            </w:pPr>
            <w:r w:rsidRPr="00DC4C78">
              <w:rPr>
                <w:b/>
              </w:rPr>
              <w:t>Māori</w:t>
            </w:r>
          </w:p>
        </w:tc>
        <w:tc>
          <w:tcPr>
            <w:tcW w:w="887" w:type="pct"/>
            <w:shd w:val="clear" w:color="auto" w:fill="F2F2F2"/>
          </w:tcPr>
          <w:p w:rsidR="00C30B65" w:rsidRPr="00DC4C78" w:rsidRDefault="00C30B65" w:rsidP="00807C68">
            <w:pPr>
              <w:pStyle w:val="TableText"/>
              <w:keepNext/>
              <w:jc w:val="center"/>
              <w:rPr>
                <w:b/>
              </w:rPr>
            </w:pPr>
            <w:r w:rsidRPr="00DC4C78">
              <w:rPr>
                <w:b/>
              </w:rPr>
              <w:t>Pacific peoples</w:t>
            </w:r>
          </w:p>
        </w:tc>
      </w:tr>
      <w:tr w:rsidR="00C30B65" w:rsidRPr="00DC4C78" w:rsidTr="00C30B65">
        <w:trPr>
          <w:cantSplit/>
        </w:trPr>
        <w:tc>
          <w:tcPr>
            <w:tcW w:w="1439" w:type="pct"/>
            <w:shd w:val="clear" w:color="auto" w:fill="auto"/>
          </w:tcPr>
          <w:p w:rsidR="00C30B65" w:rsidRPr="00DC4C78" w:rsidRDefault="00C30B65" w:rsidP="00807C68">
            <w:pPr>
              <w:pStyle w:val="TableText"/>
              <w:keepNext/>
            </w:pPr>
            <w:r w:rsidRPr="00DC4C78">
              <w:t>September 2015 mean (range)</w:t>
            </w:r>
          </w:p>
        </w:tc>
        <w:tc>
          <w:tcPr>
            <w:tcW w:w="985" w:type="pct"/>
            <w:shd w:val="clear" w:color="auto" w:fill="auto"/>
            <w:vAlign w:val="center"/>
          </w:tcPr>
          <w:p w:rsidR="00C30B65" w:rsidRPr="00DC4C78" w:rsidRDefault="00C30B65" w:rsidP="00807C68">
            <w:pPr>
              <w:pStyle w:val="TableText"/>
              <w:keepNext/>
              <w:jc w:val="center"/>
            </w:pPr>
            <w:r w:rsidRPr="00DC4C78">
              <w:t>85% (34–96)</w:t>
            </w:r>
          </w:p>
        </w:tc>
        <w:tc>
          <w:tcPr>
            <w:tcW w:w="909" w:type="pct"/>
            <w:shd w:val="clear" w:color="auto" w:fill="auto"/>
            <w:vAlign w:val="center"/>
          </w:tcPr>
          <w:p w:rsidR="00C30B65" w:rsidRPr="00DC4C78" w:rsidRDefault="00C30B65" w:rsidP="00807C68">
            <w:pPr>
              <w:pStyle w:val="TableText"/>
              <w:keepNext/>
              <w:jc w:val="center"/>
            </w:pPr>
            <w:r w:rsidRPr="00DC4C78">
              <w:t>84% (34–97)</w:t>
            </w:r>
          </w:p>
        </w:tc>
        <w:tc>
          <w:tcPr>
            <w:tcW w:w="779" w:type="pct"/>
            <w:shd w:val="clear" w:color="auto" w:fill="auto"/>
            <w:vAlign w:val="center"/>
          </w:tcPr>
          <w:p w:rsidR="00C30B65" w:rsidRPr="00DC4C78" w:rsidRDefault="00C30B65" w:rsidP="00807C68">
            <w:pPr>
              <w:pStyle w:val="TableText"/>
              <w:keepNext/>
              <w:jc w:val="center"/>
            </w:pPr>
            <w:r w:rsidRPr="00DC4C78">
              <w:t>81% (36–95)</w:t>
            </w:r>
          </w:p>
        </w:tc>
        <w:tc>
          <w:tcPr>
            <w:tcW w:w="887" w:type="pct"/>
            <w:shd w:val="clear" w:color="auto" w:fill="auto"/>
            <w:vAlign w:val="center"/>
          </w:tcPr>
          <w:p w:rsidR="00C30B65" w:rsidRPr="00DC4C78" w:rsidRDefault="00C30B65" w:rsidP="00807C68">
            <w:pPr>
              <w:pStyle w:val="TableText"/>
              <w:keepNext/>
              <w:jc w:val="center"/>
            </w:pPr>
            <w:r w:rsidRPr="00DC4C78">
              <w:t>84% (52–94)</w:t>
            </w:r>
          </w:p>
        </w:tc>
      </w:tr>
      <w:tr w:rsidR="00C30B65" w:rsidRPr="00DC4C78" w:rsidTr="00C30B65">
        <w:trPr>
          <w:cantSplit/>
        </w:trPr>
        <w:tc>
          <w:tcPr>
            <w:tcW w:w="1439" w:type="pct"/>
            <w:shd w:val="clear" w:color="auto" w:fill="auto"/>
          </w:tcPr>
          <w:p w:rsidR="00C30B65" w:rsidRPr="00DC4C78" w:rsidRDefault="00C30B65" w:rsidP="00C30B65">
            <w:pPr>
              <w:pStyle w:val="TableText"/>
            </w:pPr>
            <w:r w:rsidRPr="00DC4C78">
              <w:t>March 2015 mean (range)</w:t>
            </w:r>
          </w:p>
        </w:tc>
        <w:tc>
          <w:tcPr>
            <w:tcW w:w="985" w:type="pct"/>
            <w:shd w:val="clear" w:color="auto" w:fill="auto"/>
            <w:vAlign w:val="center"/>
          </w:tcPr>
          <w:p w:rsidR="00C30B65" w:rsidRPr="00DC4C78" w:rsidRDefault="00C30B65" w:rsidP="00C30B65">
            <w:pPr>
              <w:pStyle w:val="TableText"/>
              <w:jc w:val="center"/>
            </w:pPr>
            <w:r w:rsidRPr="00DC4C78">
              <w:t>85% (27–97)</w:t>
            </w:r>
          </w:p>
        </w:tc>
        <w:tc>
          <w:tcPr>
            <w:tcW w:w="909" w:type="pct"/>
            <w:shd w:val="clear" w:color="auto" w:fill="auto"/>
            <w:vAlign w:val="center"/>
          </w:tcPr>
          <w:p w:rsidR="00C30B65" w:rsidRPr="00DC4C78" w:rsidRDefault="00C30B65" w:rsidP="00C30B65">
            <w:pPr>
              <w:pStyle w:val="TableText"/>
              <w:jc w:val="center"/>
            </w:pPr>
            <w:r w:rsidRPr="00DC4C78">
              <w:t>82% (34–96)</w:t>
            </w:r>
          </w:p>
        </w:tc>
        <w:tc>
          <w:tcPr>
            <w:tcW w:w="779" w:type="pct"/>
            <w:shd w:val="clear" w:color="auto" w:fill="auto"/>
            <w:vAlign w:val="center"/>
          </w:tcPr>
          <w:p w:rsidR="00C30B65" w:rsidRPr="00DC4C78" w:rsidRDefault="00C30B65" w:rsidP="00C30B65">
            <w:pPr>
              <w:pStyle w:val="TableText"/>
              <w:jc w:val="center"/>
            </w:pPr>
            <w:r w:rsidRPr="00DC4C78">
              <w:t>80% (35–96)</w:t>
            </w:r>
          </w:p>
        </w:tc>
        <w:tc>
          <w:tcPr>
            <w:tcW w:w="887" w:type="pct"/>
            <w:shd w:val="clear" w:color="auto" w:fill="auto"/>
            <w:vAlign w:val="center"/>
          </w:tcPr>
          <w:p w:rsidR="00C30B65" w:rsidRPr="00DC4C78" w:rsidRDefault="00C30B65" w:rsidP="00C30B65">
            <w:pPr>
              <w:pStyle w:val="TableText"/>
              <w:jc w:val="center"/>
            </w:pPr>
            <w:r w:rsidRPr="00DC4C78">
              <w:t>82% (11–100)</w:t>
            </w:r>
          </w:p>
        </w:tc>
      </w:tr>
    </w:tbl>
    <w:p w:rsidR="00C30B65" w:rsidRPr="00DC4C78" w:rsidRDefault="00C30B65" w:rsidP="00C30B65"/>
    <w:p w:rsidR="00C30B65" w:rsidRPr="00DC4C78" w:rsidRDefault="00C30B65" w:rsidP="00C30B65">
      <w:pPr>
        <w:pStyle w:val="Figure"/>
      </w:pPr>
      <w:bookmarkStart w:id="424" w:name="_Toc405447482"/>
      <w:bookmarkStart w:id="425" w:name="_Toc417554827"/>
      <w:bookmarkStart w:id="426" w:name="_Toc436750568"/>
      <w:bookmarkStart w:id="427" w:name="_Toc440387891"/>
      <w:r w:rsidRPr="00DC4C78">
        <w:t>Figure 71: B4 School Checks started before age 4½ years, total New Zealand</w:t>
      </w:r>
      <w:bookmarkEnd w:id="424"/>
      <w:bookmarkEnd w:id="425"/>
      <w:bookmarkEnd w:id="426"/>
      <w:bookmarkEnd w:id="427"/>
    </w:p>
    <w:p w:rsidR="00C30B65" w:rsidRPr="00DC4C78" w:rsidRDefault="00667863" w:rsidP="00667863">
      <w:r>
        <w:rPr>
          <w:noProof/>
          <w:lang w:eastAsia="en-NZ"/>
        </w:rPr>
        <w:drawing>
          <wp:inline distT="0" distB="0" distL="0" distR="0" wp14:anchorId="7A711E69">
            <wp:extent cx="4320000" cy="2520000"/>
            <wp:effectExtent l="0" t="0" r="4445" b="0"/>
            <wp:docPr id="112" name="Picture 112" title="Figure 71: B4 School Checks started before age 4½ years, total New Zeala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inline>
        </w:drawing>
      </w:r>
    </w:p>
    <w:p w:rsidR="00C30B65" w:rsidRPr="00DC4C78" w:rsidRDefault="00C30B65" w:rsidP="00C30B65"/>
    <w:p w:rsidR="00C30B65" w:rsidRPr="00DC4C78" w:rsidRDefault="00C30B65" w:rsidP="00C30B65">
      <w:pPr>
        <w:pStyle w:val="Figure"/>
      </w:pPr>
      <w:bookmarkStart w:id="428" w:name="_Toc405447483"/>
      <w:bookmarkStart w:id="429" w:name="_Toc417554828"/>
      <w:bookmarkStart w:id="430" w:name="_Toc436750569"/>
      <w:bookmarkStart w:id="431" w:name="_Toc440387892"/>
      <w:r w:rsidRPr="00DC4C78">
        <w:t>Figure 72: B4 School Checks started before age 4½ years, high deprivation</w:t>
      </w:r>
      <w:bookmarkEnd w:id="428"/>
      <w:bookmarkEnd w:id="429"/>
      <w:bookmarkEnd w:id="430"/>
      <w:r>
        <w:t xml:space="preserve"> population</w:t>
      </w:r>
      <w:bookmarkEnd w:id="431"/>
    </w:p>
    <w:p w:rsidR="00C30B65" w:rsidRPr="00DC4C78" w:rsidRDefault="00667863" w:rsidP="00667863">
      <w:r>
        <w:rPr>
          <w:noProof/>
          <w:lang w:eastAsia="en-NZ"/>
        </w:rPr>
        <w:drawing>
          <wp:inline distT="0" distB="0" distL="0" distR="0" wp14:anchorId="3EA56B26">
            <wp:extent cx="4320000" cy="2520000"/>
            <wp:effectExtent l="0" t="0" r="4445" b="0"/>
            <wp:docPr id="113" name="Picture 113" title="Figure 72: B4 School Checks started before age 4½ years, high deprivation popul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inline>
        </w:drawing>
      </w:r>
    </w:p>
    <w:p w:rsidR="00C30B65" w:rsidRPr="00DC4C78" w:rsidRDefault="00C30B65" w:rsidP="00C30B65"/>
    <w:p w:rsidR="00C30B65" w:rsidRPr="00DC4C78" w:rsidRDefault="00C30B65" w:rsidP="00C30B65">
      <w:pPr>
        <w:pStyle w:val="Figure"/>
      </w:pPr>
      <w:bookmarkStart w:id="432" w:name="_Toc405447484"/>
      <w:bookmarkStart w:id="433" w:name="_Toc417554829"/>
      <w:bookmarkStart w:id="434" w:name="_Toc436750570"/>
      <w:bookmarkStart w:id="435" w:name="_Toc440387893"/>
      <w:r w:rsidRPr="00DC4C78">
        <w:lastRenderedPageBreak/>
        <w:t>Figure 73: B4 School Checks started before age 4½ years, Māori</w:t>
      </w:r>
      <w:bookmarkEnd w:id="432"/>
      <w:bookmarkEnd w:id="433"/>
      <w:bookmarkEnd w:id="434"/>
      <w:bookmarkEnd w:id="435"/>
    </w:p>
    <w:p w:rsidR="00C30B65" w:rsidRPr="00DC4C78" w:rsidRDefault="00667863" w:rsidP="00667863">
      <w:r>
        <w:rPr>
          <w:noProof/>
          <w:lang w:eastAsia="en-NZ"/>
        </w:rPr>
        <w:drawing>
          <wp:inline distT="0" distB="0" distL="0" distR="0" wp14:anchorId="4A5BDAA7">
            <wp:extent cx="4320000" cy="2635200"/>
            <wp:effectExtent l="0" t="0" r="4445" b="0"/>
            <wp:docPr id="114" name="Picture 114" title="Figure 73: B4 School Checks started before age 4½ years, Mā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320000" cy="2635200"/>
                    </a:xfrm>
                    <a:prstGeom prst="rect">
                      <a:avLst/>
                    </a:prstGeom>
                    <a:noFill/>
                  </pic:spPr>
                </pic:pic>
              </a:graphicData>
            </a:graphic>
          </wp:inline>
        </w:drawing>
      </w:r>
    </w:p>
    <w:p w:rsidR="00C30B65" w:rsidRPr="00DC4C78" w:rsidRDefault="00C30B65" w:rsidP="00C30B65"/>
    <w:p w:rsidR="00C30B65" w:rsidRPr="00DC4C78" w:rsidRDefault="00C30B65" w:rsidP="00C30B65">
      <w:pPr>
        <w:pStyle w:val="Figure"/>
      </w:pPr>
      <w:bookmarkStart w:id="436" w:name="_Toc405447485"/>
      <w:bookmarkStart w:id="437" w:name="_Toc417554830"/>
      <w:bookmarkStart w:id="438" w:name="_Toc436750571"/>
      <w:bookmarkStart w:id="439" w:name="_Toc440387894"/>
      <w:r w:rsidRPr="00DC4C78">
        <w:t>Figure 74: B4 School Checks started before age 4½ years, Pacific peoples</w:t>
      </w:r>
      <w:bookmarkEnd w:id="436"/>
      <w:bookmarkEnd w:id="437"/>
      <w:bookmarkEnd w:id="438"/>
      <w:bookmarkEnd w:id="439"/>
    </w:p>
    <w:p w:rsidR="00C30B65" w:rsidRPr="00DC4C78" w:rsidRDefault="00667863" w:rsidP="00667863">
      <w:r>
        <w:rPr>
          <w:noProof/>
          <w:lang w:eastAsia="en-NZ"/>
        </w:rPr>
        <w:drawing>
          <wp:inline distT="0" distB="0" distL="0" distR="0" wp14:anchorId="25191A6E">
            <wp:extent cx="4320000" cy="2520000"/>
            <wp:effectExtent l="0" t="0" r="4445" b="0"/>
            <wp:docPr id="115" name="Picture 115" title="Figure 74: B4 School Checks started before age 4½ years, Pacific peop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inline>
        </w:drawing>
      </w:r>
    </w:p>
    <w:p w:rsidR="00C30B65" w:rsidRPr="00DC4C78" w:rsidRDefault="00C30B65" w:rsidP="00C30B65"/>
    <w:p w:rsidR="00C30B65" w:rsidRPr="00DC4C78" w:rsidRDefault="00C30B65" w:rsidP="00C30B65">
      <w:pPr>
        <w:pStyle w:val="Heading3"/>
      </w:pPr>
      <w:r w:rsidRPr="00DC4C78">
        <w:t>Data notes</w:t>
      </w:r>
    </w:p>
    <w:p w:rsidR="00C30B65" w:rsidRPr="00DC4C78" w:rsidRDefault="00C30B65" w:rsidP="00C30B65">
      <w:pPr>
        <w:pStyle w:val="Bullet"/>
      </w:pPr>
      <w:r w:rsidRPr="00DC4C78">
        <w:t>Time period: children receiving a B4 School Check between 1 January 2015 and 30 June 2015.</w:t>
      </w:r>
    </w:p>
    <w:p w:rsidR="00C30B65" w:rsidRPr="00DC4C78" w:rsidRDefault="00C30B65" w:rsidP="00C30B65">
      <w:pPr>
        <w:pStyle w:val="Bullet"/>
      </w:pPr>
      <w:r w:rsidRPr="00DC4C78">
        <w:t>DHB is DHB of service.</w:t>
      </w:r>
    </w:p>
    <w:p w:rsidR="00C30B65" w:rsidRPr="00DC4C78" w:rsidRDefault="00C30B65" w:rsidP="00C30B65">
      <w:pPr>
        <w:pStyle w:val="Bullet"/>
      </w:pPr>
      <w:r w:rsidRPr="00DC4C78">
        <w:t>Numerator: number of children receiving a B4 School Check who started the check at younger than 4½ years (source: B4 School Check).</w:t>
      </w:r>
    </w:p>
    <w:p w:rsidR="00C30B65" w:rsidRPr="00DC4C78" w:rsidRDefault="00C30B65" w:rsidP="00C30B65">
      <w:pPr>
        <w:pStyle w:val="Bullet"/>
      </w:pPr>
      <w:r w:rsidRPr="00DC4C78">
        <w:t>Denominator: number of children receiving a B4 School Check (source: B4 School Check).</w:t>
      </w:r>
    </w:p>
    <w:p w:rsidR="00C30B65" w:rsidRPr="00DC4C78" w:rsidRDefault="00C30B65" w:rsidP="00C30B65"/>
    <w:p w:rsidR="00C30B65" w:rsidRPr="00DC4C78" w:rsidRDefault="00C30B65" w:rsidP="00C30B65">
      <w:pPr>
        <w:pStyle w:val="Heading2"/>
        <w:spacing w:before="0"/>
      </w:pPr>
      <w:bookmarkStart w:id="440" w:name="_Toc365618466"/>
      <w:bookmarkStart w:id="441" w:name="_Toc405453789"/>
      <w:bookmarkStart w:id="442" w:name="_Toc418322798"/>
      <w:bookmarkStart w:id="443" w:name="_Toc419099467"/>
      <w:bookmarkStart w:id="444" w:name="_Toc440387813"/>
      <w:r w:rsidRPr="00DC4C78">
        <w:lastRenderedPageBreak/>
        <w:t>WCTO Quality Improvement Framework Indicator 22</w:t>
      </w:r>
      <w:bookmarkEnd w:id="440"/>
      <w:bookmarkEnd w:id="441"/>
      <w:bookmarkEnd w:id="442"/>
      <w:bookmarkEnd w:id="443"/>
      <w:bookmarkEnd w:id="444"/>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418"/>
        <w:gridCol w:w="7938"/>
      </w:tblGrid>
      <w:tr w:rsidR="00C30B65" w:rsidRPr="00DC4C78" w:rsidTr="00FE019C">
        <w:trPr>
          <w:cantSplit/>
        </w:trPr>
        <w:tc>
          <w:tcPr>
            <w:tcW w:w="1418" w:type="dxa"/>
            <w:tcBorders>
              <w:top w:val="single" w:sz="4" w:space="0" w:color="auto"/>
              <w:bottom w:val="nil"/>
            </w:tcBorders>
            <w:shd w:val="clear" w:color="auto" w:fill="F2F2F2"/>
          </w:tcPr>
          <w:p w:rsidR="00C30B65" w:rsidRPr="00DC4C78" w:rsidRDefault="00C30B65" w:rsidP="00807C68">
            <w:pPr>
              <w:pStyle w:val="TableText"/>
              <w:keepNext/>
              <w:rPr>
                <w:b/>
              </w:rPr>
            </w:pPr>
            <w:r w:rsidRPr="00DC4C78">
              <w:rPr>
                <w:b/>
              </w:rPr>
              <w:t>Standard</w:t>
            </w:r>
          </w:p>
        </w:tc>
        <w:tc>
          <w:tcPr>
            <w:tcW w:w="7938" w:type="dxa"/>
            <w:tcBorders>
              <w:top w:val="single" w:sz="4" w:space="0" w:color="auto"/>
              <w:bottom w:val="nil"/>
            </w:tcBorders>
            <w:shd w:val="clear" w:color="auto" w:fill="F2F2F2"/>
          </w:tcPr>
          <w:p w:rsidR="00C30B65" w:rsidRPr="00FE019C" w:rsidRDefault="00C30B65" w:rsidP="00807C68">
            <w:pPr>
              <w:pStyle w:val="TableText"/>
              <w:keepNext/>
              <w:rPr>
                <w:spacing w:val="-4"/>
              </w:rPr>
            </w:pPr>
            <w:r w:rsidRPr="00FE019C">
              <w:rPr>
                <w:spacing w:val="-4"/>
              </w:rPr>
              <w:t>WCTO providers deliver services in accordance with best practice (inappropriate variation is reduced).</w:t>
            </w:r>
          </w:p>
        </w:tc>
      </w:tr>
      <w:tr w:rsidR="00C30B65" w:rsidRPr="00DC4C78" w:rsidTr="00FE019C">
        <w:trPr>
          <w:cantSplit/>
        </w:trPr>
        <w:tc>
          <w:tcPr>
            <w:tcW w:w="1418" w:type="dxa"/>
            <w:tcBorders>
              <w:top w:val="nil"/>
              <w:bottom w:val="nil"/>
            </w:tcBorders>
            <w:shd w:val="clear" w:color="auto" w:fill="auto"/>
          </w:tcPr>
          <w:p w:rsidR="00C30B65" w:rsidRPr="00DC4C78" w:rsidRDefault="00C30B65" w:rsidP="00807C68">
            <w:pPr>
              <w:pStyle w:val="TableText"/>
              <w:keepNext/>
              <w:rPr>
                <w:b/>
              </w:rPr>
            </w:pPr>
            <w:r w:rsidRPr="00DC4C78">
              <w:rPr>
                <w:b/>
              </w:rPr>
              <w:t>Indicator</w:t>
            </w:r>
          </w:p>
        </w:tc>
        <w:tc>
          <w:tcPr>
            <w:tcW w:w="7938" w:type="dxa"/>
            <w:tcBorders>
              <w:top w:val="nil"/>
              <w:bottom w:val="nil"/>
            </w:tcBorders>
          </w:tcPr>
          <w:p w:rsidR="00C30B65" w:rsidRPr="00DC4C78" w:rsidRDefault="00C30B65" w:rsidP="00807C68">
            <w:pPr>
              <w:pStyle w:val="TableText"/>
              <w:keepNext/>
            </w:pPr>
            <w:r w:rsidRPr="00DC4C78">
              <w:t>Children with an abnormal SDQ-P at the B4 School Check are referred to specialist services.</w:t>
            </w:r>
          </w:p>
        </w:tc>
      </w:tr>
      <w:tr w:rsidR="00C30B65" w:rsidRPr="00DC4C78" w:rsidTr="00FE019C">
        <w:trPr>
          <w:cantSplit/>
        </w:trPr>
        <w:tc>
          <w:tcPr>
            <w:tcW w:w="1418" w:type="dxa"/>
            <w:tcBorders>
              <w:top w:val="nil"/>
              <w:bottom w:val="nil"/>
            </w:tcBorders>
            <w:shd w:val="clear" w:color="auto" w:fill="F2F2F2"/>
          </w:tcPr>
          <w:p w:rsidR="00C30B65" w:rsidRPr="00DC4C78" w:rsidRDefault="00C30B65" w:rsidP="00807C68">
            <w:pPr>
              <w:pStyle w:val="TableText"/>
              <w:keepNext/>
              <w:rPr>
                <w:b/>
              </w:rPr>
            </w:pPr>
            <w:r w:rsidRPr="00DC4C78">
              <w:rPr>
                <w:b/>
              </w:rPr>
              <w:t xml:space="preserve">Target by </w:t>
            </w:r>
            <w:r w:rsidRPr="00FE019C">
              <w:rPr>
                <w:rFonts w:ascii="Arial Bold" w:hAnsi="Arial Bold"/>
                <w:b/>
                <w:spacing w:val="-4"/>
              </w:rPr>
              <w:t>December 2014</w:t>
            </w:r>
          </w:p>
        </w:tc>
        <w:tc>
          <w:tcPr>
            <w:tcW w:w="7938" w:type="dxa"/>
            <w:tcBorders>
              <w:top w:val="nil"/>
              <w:bottom w:val="nil"/>
            </w:tcBorders>
            <w:shd w:val="clear" w:color="auto" w:fill="F2F2F2"/>
          </w:tcPr>
          <w:p w:rsidR="00C30B65" w:rsidRPr="00DC4C78" w:rsidRDefault="00C30B65" w:rsidP="00807C68">
            <w:pPr>
              <w:pStyle w:val="TableText"/>
              <w:keepNext/>
            </w:pPr>
            <w:r w:rsidRPr="00DC4C78">
              <w:t>86 percent</w:t>
            </w:r>
          </w:p>
        </w:tc>
      </w:tr>
      <w:tr w:rsidR="00C30B65" w:rsidRPr="00DC4C78" w:rsidTr="00FE019C">
        <w:trPr>
          <w:cantSplit/>
        </w:trPr>
        <w:tc>
          <w:tcPr>
            <w:tcW w:w="1418" w:type="dxa"/>
            <w:tcBorders>
              <w:top w:val="nil"/>
            </w:tcBorders>
            <w:shd w:val="clear" w:color="auto" w:fill="auto"/>
          </w:tcPr>
          <w:p w:rsidR="00C30B65" w:rsidRPr="00DC4C78" w:rsidRDefault="00C30B65" w:rsidP="00807C68">
            <w:pPr>
              <w:pStyle w:val="TableText"/>
              <w:keepNext/>
              <w:rPr>
                <w:b/>
              </w:rPr>
            </w:pPr>
            <w:r w:rsidRPr="00DC4C78">
              <w:rPr>
                <w:b/>
              </w:rPr>
              <w:t>Target by June 2016</w:t>
            </w:r>
          </w:p>
        </w:tc>
        <w:tc>
          <w:tcPr>
            <w:tcW w:w="7938" w:type="dxa"/>
            <w:tcBorders>
              <w:top w:val="nil"/>
            </w:tcBorders>
          </w:tcPr>
          <w:p w:rsidR="00C30B65" w:rsidRPr="00DC4C78" w:rsidRDefault="00C30B65" w:rsidP="00807C68">
            <w:pPr>
              <w:pStyle w:val="TableText"/>
              <w:keepNext/>
            </w:pPr>
            <w:r w:rsidRPr="00DC4C78">
              <w:t>95 percent</w:t>
            </w:r>
          </w:p>
        </w:tc>
      </w:tr>
    </w:tbl>
    <w:p w:rsidR="00C30B65" w:rsidRPr="00DC4C78" w:rsidRDefault="00C30B65" w:rsidP="00FE019C">
      <w:pPr>
        <w:keepNext/>
      </w:pPr>
    </w:p>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93"/>
        <w:gridCol w:w="1843"/>
        <w:gridCol w:w="1701"/>
        <w:gridCol w:w="1458"/>
        <w:gridCol w:w="1660"/>
      </w:tblGrid>
      <w:tr w:rsidR="00C30B65" w:rsidRPr="00DC4C78" w:rsidTr="00C30B65">
        <w:trPr>
          <w:cantSplit/>
        </w:trPr>
        <w:tc>
          <w:tcPr>
            <w:tcW w:w="1439" w:type="pct"/>
            <w:shd w:val="clear" w:color="auto" w:fill="F2F2F2"/>
          </w:tcPr>
          <w:p w:rsidR="00C30B65" w:rsidRPr="00DC4C78" w:rsidRDefault="00C30B65" w:rsidP="00C30B65">
            <w:pPr>
              <w:pStyle w:val="TableText"/>
              <w:rPr>
                <w:b/>
              </w:rPr>
            </w:pPr>
          </w:p>
        </w:tc>
        <w:tc>
          <w:tcPr>
            <w:tcW w:w="985" w:type="pct"/>
            <w:shd w:val="clear" w:color="auto" w:fill="F2F2F2"/>
          </w:tcPr>
          <w:p w:rsidR="00C30B65" w:rsidRPr="00DC4C78" w:rsidRDefault="00C30B65" w:rsidP="00C30B65">
            <w:pPr>
              <w:pStyle w:val="TableText"/>
              <w:jc w:val="center"/>
              <w:rPr>
                <w:b/>
              </w:rPr>
            </w:pPr>
            <w:r w:rsidRPr="00DC4C78">
              <w:rPr>
                <w:b/>
              </w:rPr>
              <w:t>Total New Zealand</w:t>
            </w:r>
          </w:p>
        </w:tc>
        <w:tc>
          <w:tcPr>
            <w:tcW w:w="909" w:type="pct"/>
            <w:shd w:val="clear" w:color="auto" w:fill="F2F2F2"/>
          </w:tcPr>
          <w:p w:rsidR="00C30B65" w:rsidRPr="00DC4C78" w:rsidRDefault="00C30B65" w:rsidP="00C30B65">
            <w:pPr>
              <w:pStyle w:val="TableText"/>
              <w:jc w:val="center"/>
              <w:rPr>
                <w:b/>
              </w:rPr>
            </w:pPr>
            <w:r w:rsidRPr="00DC4C78">
              <w:rPr>
                <w:b/>
              </w:rPr>
              <w:t>High deprivation</w:t>
            </w:r>
          </w:p>
        </w:tc>
        <w:tc>
          <w:tcPr>
            <w:tcW w:w="779" w:type="pct"/>
            <w:shd w:val="clear" w:color="auto" w:fill="F2F2F2"/>
          </w:tcPr>
          <w:p w:rsidR="00C30B65" w:rsidRPr="00DC4C78" w:rsidRDefault="00C30B65" w:rsidP="00C30B65">
            <w:pPr>
              <w:pStyle w:val="TableText"/>
              <w:jc w:val="center"/>
              <w:rPr>
                <w:b/>
              </w:rPr>
            </w:pPr>
            <w:r w:rsidRPr="00DC4C78">
              <w:rPr>
                <w:b/>
              </w:rPr>
              <w:t>Māori</w:t>
            </w:r>
          </w:p>
        </w:tc>
        <w:tc>
          <w:tcPr>
            <w:tcW w:w="887" w:type="pct"/>
            <w:shd w:val="clear" w:color="auto" w:fill="F2F2F2"/>
          </w:tcPr>
          <w:p w:rsidR="00C30B65" w:rsidRPr="00DC4C78" w:rsidRDefault="00C30B65" w:rsidP="00C30B65">
            <w:pPr>
              <w:pStyle w:val="TableText"/>
              <w:jc w:val="center"/>
              <w:rPr>
                <w:b/>
              </w:rPr>
            </w:pPr>
            <w:r w:rsidRPr="00DC4C78">
              <w:rPr>
                <w:b/>
              </w:rPr>
              <w:t>Pacific peoples</w:t>
            </w:r>
          </w:p>
        </w:tc>
      </w:tr>
      <w:tr w:rsidR="00C30B65" w:rsidRPr="00DC4C78" w:rsidTr="00C30B65">
        <w:trPr>
          <w:cantSplit/>
        </w:trPr>
        <w:tc>
          <w:tcPr>
            <w:tcW w:w="1439" w:type="pct"/>
            <w:tcBorders>
              <w:bottom w:val="single" w:sz="4" w:space="0" w:color="A6A6A6"/>
            </w:tcBorders>
            <w:shd w:val="clear" w:color="auto" w:fill="auto"/>
          </w:tcPr>
          <w:p w:rsidR="00C30B65" w:rsidRPr="00DC4C78" w:rsidRDefault="00C30B65" w:rsidP="00C30B65">
            <w:pPr>
              <w:pStyle w:val="TableText"/>
            </w:pPr>
            <w:r w:rsidRPr="00DC4C78">
              <w:t>September 2015 mean –</w:t>
            </w:r>
            <w:r w:rsidRPr="00DC4C78">
              <w:br/>
            </w:r>
            <w:r w:rsidR="00667863">
              <w:t>advice or referral</w:t>
            </w:r>
          </w:p>
        </w:tc>
        <w:tc>
          <w:tcPr>
            <w:tcW w:w="985" w:type="pct"/>
            <w:tcBorders>
              <w:bottom w:val="single" w:sz="4" w:space="0" w:color="A6A6A6"/>
            </w:tcBorders>
            <w:shd w:val="clear" w:color="auto" w:fill="auto"/>
            <w:vAlign w:val="center"/>
          </w:tcPr>
          <w:p w:rsidR="00C30B65" w:rsidRPr="00DC4C78" w:rsidRDefault="00C30B65" w:rsidP="00C30B65">
            <w:pPr>
              <w:pStyle w:val="TableText"/>
              <w:jc w:val="center"/>
            </w:pPr>
            <w:r w:rsidRPr="00DC4C78">
              <w:t>100%</w:t>
            </w:r>
          </w:p>
        </w:tc>
        <w:tc>
          <w:tcPr>
            <w:tcW w:w="909" w:type="pct"/>
            <w:tcBorders>
              <w:bottom w:val="single" w:sz="4" w:space="0" w:color="A6A6A6"/>
            </w:tcBorders>
            <w:shd w:val="clear" w:color="auto" w:fill="auto"/>
            <w:vAlign w:val="center"/>
          </w:tcPr>
          <w:p w:rsidR="00C30B65" w:rsidRPr="00DC4C78" w:rsidRDefault="00C30B65" w:rsidP="00C30B65">
            <w:pPr>
              <w:pStyle w:val="TableText"/>
              <w:jc w:val="center"/>
            </w:pPr>
            <w:r w:rsidRPr="00DC4C78">
              <w:t>100%</w:t>
            </w:r>
          </w:p>
        </w:tc>
        <w:tc>
          <w:tcPr>
            <w:tcW w:w="779" w:type="pct"/>
            <w:tcBorders>
              <w:bottom w:val="single" w:sz="4" w:space="0" w:color="A6A6A6"/>
            </w:tcBorders>
            <w:shd w:val="clear" w:color="auto" w:fill="auto"/>
            <w:vAlign w:val="center"/>
          </w:tcPr>
          <w:p w:rsidR="00C30B65" w:rsidRPr="00DC4C78" w:rsidRDefault="00C30B65" w:rsidP="00C30B65">
            <w:pPr>
              <w:pStyle w:val="TableText"/>
              <w:jc w:val="center"/>
            </w:pPr>
            <w:r w:rsidRPr="00DC4C78">
              <w:t>100%</w:t>
            </w:r>
          </w:p>
        </w:tc>
        <w:tc>
          <w:tcPr>
            <w:tcW w:w="887" w:type="pct"/>
            <w:tcBorders>
              <w:bottom w:val="single" w:sz="4" w:space="0" w:color="A6A6A6"/>
            </w:tcBorders>
            <w:shd w:val="clear" w:color="auto" w:fill="auto"/>
            <w:vAlign w:val="center"/>
          </w:tcPr>
          <w:p w:rsidR="00C30B65" w:rsidRPr="00DC4C78" w:rsidRDefault="00C30B65" w:rsidP="00C30B65">
            <w:pPr>
              <w:pStyle w:val="TableText"/>
              <w:jc w:val="center"/>
            </w:pPr>
            <w:r w:rsidRPr="00DC4C78">
              <w:t>100%</w:t>
            </w:r>
          </w:p>
        </w:tc>
      </w:tr>
      <w:tr w:rsidR="00C30B65" w:rsidRPr="00DC4C78" w:rsidTr="00C30B65">
        <w:trPr>
          <w:cantSplit/>
        </w:trPr>
        <w:tc>
          <w:tcPr>
            <w:tcW w:w="1439" w:type="pct"/>
            <w:tcBorders>
              <w:top w:val="single" w:sz="4" w:space="0" w:color="A6A6A6"/>
            </w:tcBorders>
            <w:shd w:val="clear" w:color="auto" w:fill="auto"/>
          </w:tcPr>
          <w:p w:rsidR="00C30B65" w:rsidRPr="00DC4C78" w:rsidRDefault="00C30B65" w:rsidP="00C30B65">
            <w:pPr>
              <w:pStyle w:val="TableText"/>
            </w:pPr>
            <w:r w:rsidRPr="00DC4C78">
              <w:t xml:space="preserve">September 2015 mean (range) – </w:t>
            </w:r>
            <w:r>
              <w:t>referral only</w:t>
            </w:r>
          </w:p>
        </w:tc>
        <w:tc>
          <w:tcPr>
            <w:tcW w:w="985" w:type="pct"/>
            <w:tcBorders>
              <w:top w:val="single" w:sz="4" w:space="0" w:color="A6A6A6"/>
            </w:tcBorders>
            <w:shd w:val="clear" w:color="auto" w:fill="auto"/>
            <w:vAlign w:val="center"/>
          </w:tcPr>
          <w:p w:rsidR="00C30B65" w:rsidRPr="00DC4C78" w:rsidRDefault="00C30B65" w:rsidP="00C30B65">
            <w:pPr>
              <w:pStyle w:val="TableText"/>
              <w:jc w:val="center"/>
            </w:pPr>
            <w:r w:rsidRPr="00DC4C78">
              <w:t>44% (13–74)</w:t>
            </w:r>
          </w:p>
        </w:tc>
        <w:tc>
          <w:tcPr>
            <w:tcW w:w="909" w:type="pct"/>
            <w:tcBorders>
              <w:top w:val="single" w:sz="4" w:space="0" w:color="A6A6A6"/>
            </w:tcBorders>
            <w:shd w:val="clear" w:color="auto" w:fill="auto"/>
            <w:vAlign w:val="center"/>
          </w:tcPr>
          <w:p w:rsidR="00C30B65" w:rsidRPr="00DC4C78" w:rsidRDefault="00C30B65" w:rsidP="00C30B65">
            <w:pPr>
              <w:pStyle w:val="TableText"/>
              <w:jc w:val="center"/>
            </w:pPr>
            <w:r w:rsidRPr="00DC4C78">
              <w:t>44% (0–100)</w:t>
            </w:r>
          </w:p>
        </w:tc>
        <w:tc>
          <w:tcPr>
            <w:tcW w:w="779" w:type="pct"/>
            <w:tcBorders>
              <w:top w:val="single" w:sz="4" w:space="0" w:color="A6A6A6"/>
            </w:tcBorders>
            <w:shd w:val="clear" w:color="auto" w:fill="auto"/>
            <w:vAlign w:val="center"/>
          </w:tcPr>
          <w:p w:rsidR="00C30B65" w:rsidRPr="00DC4C78" w:rsidRDefault="00C30B65" w:rsidP="00C30B65">
            <w:pPr>
              <w:pStyle w:val="TableText"/>
              <w:jc w:val="center"/>
            </w:pPr>
            <w:r w:rsidRPr="00DC4C78">
              <w:t>48% (0–100)</w:t>
            </w:r>
          </w:p>
        </w:tc>
        <w:tc>
          <w:tcPr>
            <w:tcW w:w="887" w:type="pct"/>
            <w:tcBorders>
              <w:top w:val="single" w:sz="4" w:space="0" w:color="A6A6A6"/>
            </w:tcBorders>
            <w:shd w:val="clear" w:color="auto" w:fill="auto"/>
            <w:vAlign w:val="center"/>
          </w:tcPr>
          <w:p w:rsidR="00C30B65" w:rsidRPr="00DC4C78" w:rsidRDefault="00C30B65" w:rsidP="00C30B65">
            <w:pPr>
              <w:pStyle w:val="TableText"/>
              <w:jc w:val="center"/>
            </w:pPr>
            <w:r w:rsidRPr="00DC4C78">
              <w:t>30% (0–67)</w:t>
            </w:r>
          </w:p>
        </w:tc>
      </w:tr>
      <w:tr w:rsidR="00C30B65" w:rsidRPr="00DC4C78" w:rsidTr="00C30B65">
        <w:trPr>
          <w:cantSplit/>
        </w:trPr>
        <w:tc>
          <w:tcPr>
            <w:tcW w:w="1439" w:type="pct"/>
            <w:tcBorders>
              <w:bottom w:val="single" w:sz="4" w:space="0" w:color="A6A6A6"/>
            </w:tcBorders>
            <w:shd w:val="clear" w:color="auto" w:fill="auto"/>
          </w:tcPr>
          <w:p w:rsidR="00C30B65" w:rsidRPr="00DC4C78" w:rsidRDefault="00C30B65" w:rsidP="00C30B65">
            <w:pPr>
              <w:pStyle w:val="TableText"/>
            </w:pPr>
            <w:r w:rsidRPr="00DC4C78">
              <w:t>March 2015 mean –</w:t>
            </w:r>
            <w:r w:rsidRPr="00DC4C78">
              <w:br/>
            </w:r>
            <w:r>
              <w:t>advice or referral</w:t>
            </w:r>
          </w:p>
        </w:tc>
        <w:tc>
          <w:tcPr>
            <w:tcW w:w="985" w:type="pct"/>
            <w:tcBorders>
              <w:bottom w:val="single" w:sz="4" w:space="0" w:color="A6A6A6"/>
            </w:tcBorders>
            <w:shd w:val="clear" w:color="auto" w:fill="auto"/>
            <w:vAlign w:val="center"/>
          </w:tcPr>
          <w:p w:rsidR="00C30B65" w:rsidRPr="00DC4C78" w:rsidRDefault="00C30B65" w:rsidP="00C30B65">
            <w:pPr>
              <w:pStyle w:val="TableText"/>
              <w:jc w:val="center"/>
            </w:pPr>
            <w:r w:rsidRPr="00DC4C78">
              <w:t>100%</w:t>
            </w:r>
          </w:p>
        </w:tc>
        <w:tc>
          <w:tcPr>
            <w:tcW w:w="909" w:type="pct"/>
            <w:tcBorders>
              <w:bottom w:val="single" w:sz="4" w:space="0" w:color="A6A6A6"/>
            </w:tcBorders>
            <w:shd w:val="clear" w:color="auto" w:fill="auto"/>
            <w:vAlign w:val="center"/>
          </w:tcPr>
          <w:p w:rsidR="00C30B65" w:rsidRPr="00DC4C78" w:rsidRDefault="00C30B65" w:rsidP="00C30B65">
            <w:pPr>
              <w:pStyle w:val="TableText"/>
              <w:jc w:val="center"/>
            </w:pPr>
            <w:r w:rsidRPr="00DC4C78">
              <w:t>100%</w:t>
            </w:r>
          </w:p>
        </w:tc>
        <w:tc>
          <w:tcPr>
            <w:tcW w:w="779" w:type="pct"/>
            <w:tcBorders>
              <w:bottom w:val="single" w:sz="4" w:space="0" w:color="A6A6A6"/>
            </w:tcBorders>
            <w:shd w:val="clear" w:color="auto" w:fill="auto"/>
            <w:vAlign w:val="center"/>
          </w:tcPr>
          <w:p w:rsidR="00C30B65" w:rsidRPr="00DC4C78" w:rsidRDefault="00C30B65" w:rsidP="00C30B65">
            <w:pPr>
              <w:pStyle w:val="TableText"/>
              <w:jc w:val="center"/>
            </w:pPr>
            <w:r w:rsidRPr="00DC4C78">
              <w:t>100%</w:t>
            </w:r>
          </w:p>
        </w:tc>
        <w:tc>
          <w:tcPr>
            <w:tcW w:w="887" w:type="pct"/>
            <w:tcBorders>
              <w:bottom w:val="single" w:sz="4" w:space="0" w:color="A6A6A6"/>
            </w:tcBorders>
            <w:shd w:val="clear" w:color="auto" w:fill="auto"/>
            <w:vAlign w:val="center"/>
          </w:tcPr>
          <w:p w:rsidR="00C30B65" w:rsidRPr="00DC4C78" w:rsidRDefault="00C30B65" w:rsidP="00C30B65">
            <w:pPr>
              <w:pStyle w:val="TableText"/>
              <w:jc w:val="center"/>
            </w:pPr>
            <w:r w:rsidRPr="00DC4C78">
              <w:t>100%</w:t>
            </w:r>
          </w:p>
        </w:tc>
      </w:tr>
      <w:tr w:rsidR="00C30B65" w:rsidRPr="00DC4C78" w:rsidTr="00C30B65">
        <w:trPr>
          <w:cantSplit/>
        </w:trPr>
        <w:tc>
          <w:tcPr>
            <w:tcW w:w="1439" w:type="pct"/>
            <w:tcBorders>
              <w:top w:val="single" w:sz="4" w:space="0" w:color="A6A6A6"/>
            </w:tcBorders>
            <w:shd w:val="clear" w:color="auto" w:fill="auto"/>
          </w:tcPr>
          <w:p w:rsidR="00C30B65" w:rsidRPr="00DC4C78" w:rsidRDefault="00C30B65" w:rsidP="00C30B65">
            <w:pPr>
              <w:pStyle w:val="TableText"/>
            </w:pPr>
            <w:r w:rsidRPr="00DC4C78">
              <w:t xml:space="preserve">March 2015 mean (range) – </w:t>
            </w:r>
            <w:r>
              <w:t>referral only</w:t>
            </w:r>
          </w:p>
        </w:tc>
        <w:tc>
          <w:tcPr>
            <w:tcW w:w="985" w:type="pct"/>
            <w:tcBorders>
              <w:top w:val="single" w:sz="4" w:space="0" w:color="A6A6A6"/>
            </w:tcBorders>
            <w:shd w:val="clear" w:color="auto" w:fill="auto"/>
            <w:vAlign w:val="center"/>
          </w:tcPr>
          <w:p w:rsidR="00C30B65" w:rsidRPr="00DC4C78" w:rsidRDefault="00C30B65" w:rsidP="00C30B65">
            <w:pPr>
              <w:pStyle w:val="TableText"/>
              <w:jc w:val="center"/>
            </w:pPr>
            <w:r w:rsidRPr="00DC4C78">
              <w:t>47% (0–100)</w:t>
            </w:r>
          </w:p>
        </w:tc>
        <w:tc>
          <w:tcPr>
            <w:tcW w:w="909" w:type="pct"/>
            <w:tcBorders>
              <w:top w:val="single" w:sz="4" w:space="0" w:color="A6A6A6"/>
            </w:tcBorders>
            <w:shd w:val="clear" w:color="auto" w:fill="auto"/>
            <w:vAlign w:val="center"/>
          </w:tcPr>
          <w:p w:rsidR="00C30B65" w:rsidRPr="00DC4C78" w:rsidRDefault="00C30B65" w:rsidP="00C30B65">
            <w:pPr>
              <w:pStyle w:val="TableText"/>
              <w:jc w:val="center"/>
            </w:pPr>
            <w:r w:rsidRPr="00DC4C78">
              <w:t>50% (0–100)</w:t>
            </w:r>
          </w:p>
        </w:tc>
        <w:tc>
          <w:tcPr>
            <w:tcW w:w="779" w:type="pct"/>
            <w:tcBorders>
              <w:top w:val="single" w:sz="4" w:space="0" w:color="A6A6A6"/>
            </w:tcBorders>
            <w:shd w:val="clear" w:color="auto" w:fill="auto"/>
            <w:vAlign w:val="center"/>
          </w:tcPr>
          <w:p w:rsidR="00C30B65" w:rsidRPr="00DC4C78" w:rsidRDefault="00C30B65" w:rsidP="00C30B65">
            <w:pPr>
              <w:pStyle w:val="TableText"/>
              <w:jc w:val="center"/>
            </w:pPr>
            <w:r w:rsidRPr="00DC4C78">
              <w:t>48% (0–100)</w:t>
            </w:r>
          </w:p>
        </w:tc>
        <w:tc>
          <w:tcPr>
            <w:tcW w:w="887" w:type="pct"/>
            <w:tcBorders>
              <w:top w:val="single" w:sz="4" w:space="0" w:color="A6A6A6"/>
            </w:tcBorders>
            <w:shd w:val="clear" w:color="auto" w:fill="auto"/>
            <w:vAlign w:val="center"/>
          </w:tcPr>
          <w:p w:rsidR="00C30B65" w:rsidRPr="00DC4C78" w:rsidRDefault="00C30B65" w:rsidP="00C30B65">
            <w:pPr>
              <w:pStyle w:val="TableText"/>
              <w:jc w:val="center"/>
            </w:pPr>
            <w:r w:rsidRPr="00DC4C78">
              <w:t>45% (0–100)</w:t>
            </w:r>
          </w:p>
        </w:tc>
      </w:tr>
    </w:tbl>
    <w:p w:rsidR="00C30B65" w:rsidRPr="00DC4C78" w:rsidRDefault="00C30B65" w:rsidP="00C30B65">
      <w:bookmarkStart w:id="445" w:name="_Toc405447486"/>
      <w:bookmarkStart w:id="446" w:name="_Toc417554831"/>
    </w:p>
    <w:p w:rsidR="00C30B65" w:rsidRPr="00DC4C78" w:rsidRDefault="00C30B65" w:rsidP="00667863">
      <w:pPr>
        <w:pStyle w:val="Figure"/>
        <w:spacing w:before="0" w:after="60"/>
      </w:pPr>
      <w:bookmarkStart w:id="447" w:name="_Toc436750572"/>
      <w:bookmarkStart w:id="448" w:name="_Toc440387895"/>
      <w:r w:rsidRPr="00DC4C78">
        <w:t xml:space="preserve">Figure 75: </w:t>
      </w:r>
      <w:r>
        <w:t>Children with a</w:t>
      </w:r>
      <w:r w:rsidRPr="00DC4C78">
        <w:t>bnormal SDQ-P referred, total New Zealand</w:t>
      </w:r>
      <w:bookmarkEnd w:id="445"/>
      <w:bookmarkEnd w:id="446"/>
      <w:bookmarkEnd w:id="447"/>
      <w:bookmarkEnd w:id="448"/>
    </w:p>
    <w:p w:rsidR="00C30B65" w:rsidRPr="00DC4C78" w:rsidRDefault="00667863" w:rsidP="00667863">
      <w:r>
        <w:rPr>
          <w:noProof/>
          <w:lang w:eastAsia="en-NZ"/>
        </w:rPr>
        <w:drawing>
          <wp:inline distT="0" distB="0" distL="0" distR="0" wp14:anchorId="051B5337">
            <wp:extent cx="4320000" cy="2520000"/>
            <wp:effectExtent l="0" t="0" r="4445" b="0"/>
            <wp:docPr id="117" name="Picture 117" title="Figure 75: Children with abnormal SDQ-P referred, total New Zeala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inline>
        </w:drawing>
      </w:r>
    </w:p>
    <w:p w:rsidR="00C30B65" w:rsidRPr="00DC4C78" w:rsidRDefault="00C30B65" w:rsidP="00C30B65"/>
    <w:p w:rsidR="00C30B65" w:rsidRPr="00DC4C78" w:rsidRDefault="00C30B65" w:rsidP="00667863">
      <w:pPr>
        <w:pStyle w:val="Figure"/>
        <w:spacing w:before="0" w:after="60"/>
      </w:pPr>
      <w:bookmarkStart w:id="449" w:name="_Toc405447487"/>
      <w:bookmarkStart w:id="450" w:name="_Toc417554832"/>
      <w:bookmarkStart w:id="451" w:name="_Toc436750573"/>
      <w:bookmarkStart w:id="452" w:name="_Toc440387896"/>
      <w:r w:rsidRPr="00DC4C78">
        <w:t xml:space="preserve">Figure 76: </w:t>
      </w:r>
      <w:r>
        <w:t>Children with a</w:t>
      </w:r>
      <w:r w:rsidRPr="00DC4C78">
        <w:t>bnormal SDQ-P referred, high deprivation</w:t>
      </w:r>
      <w:bookmarkEnd w:id="449"/>
      <w:bookmarkEnd w:id="450"/>
      <w:bookmarkEnd w:id="451"/>
      <w:r>
        <w:t xml:space="preserve"> population</w:t>
      </w:r>
      <w:bookmarkEnd w:id="452"/>
    </w:p>
    <w:p w:rsidR="00C30B65" w:rsidRPr="00DC4C78" w:rsidRDefault="00667863" w:rsidP="00667863">
      <w:r>
        <w:rPr>
          <w:noProof/>
          <w:lang w:eastAsia="en-NZ"/>
        </w:rPr>
        <w:drawing>
          <wp:inline distT="0" distB="0" distL="0" distR="0" wp14:anchorId="2ED0EEBF">
            <wp:extent cx="4320000" cy="2520000"/>
            <wp:effectExtent l="0" t="0" r="4445" b="0"/>
            <wp:docPr id="118" name="Picture 118" title="Figure 76: Children with abnormal SDQ-P referred, high deprivation popul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inline>
        </w:drawing>
      </w:r>
    </w:p>
    <w:p w:rsidR="00C30B65" w:rsidRPr="00DC4C78" w:rsidRDefault="00C30B65" w:rsidP="00667863">
      <w:pPr>
        <w:pStyle w:val="Figure"/>
        <w:spacing w:before="360"/>
      </w:pPr>
      <w:bookmarkStart w:id="453" w:name="_Toc405447488"/>
      <w:bookmarkStart w:id="454" w:name="_Toc417554833"/>
      <w:bookmarkStart w:id="455" w:name="_Toc436750574"/>
      <w:bookmarkStart w:id="456" w:name="_Toc440387897"/>
      <w:r w:rsidRPr="00DC4C78">
        <w:lastRenderedPageBreak/>
        <w:t xml:space="preserve">Figure 77: </w:t>
      </w:r>
      <w:r>
        <w:t>Children with a</w:t>
      </w:r>
      <w:r w:rsidRPr="00DC4C78">
        <w:t>bnormal SDQ-P referred, Māori</w:t>
      </w:r>
      <w:bookmarkEnd w:id="453"/>
      <w:bookmarkEnd w:id="454"/>
      <w:bookmarkEnd w:id="455"/>
      <w:bookmarkEnd w:id="456"/>
    </w:p>
    <w:p w:rsidR="00C30B65" w:rsidRPr="00DC4C78" w:rsidRDefault="00FE019C" w:rsidP="00FE019C">
      <w:r>
        <w:rPr>
          <w:noProof/>
          <w:lang w:eastAsia="en-NZ"/>
        </w:rPr>
        <w:drawing>
          <wp:inline distT="0" distB="0" distL="0" distR="0" wp14:anchorId="3AEE51E0">
            <wp:extent cx="4320000" cy="2520000"/>
            <wp:effectExtent l="0" t="0" r="4445" b="0"/>
            <wp:docPr id="119" name="Picture 119" title="Figure 77: Children with abnormal SDQ-P referred, Māor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inline>
        </w:drawing>
      </w:r>
    </w:p>
    <w:p w:rsidR="00C30B65" w:rsidRPr="00DC4C78" w:rsidRDefault="00C30B65" w:rsidP="00C30B65"/>
    <w:p w:rsidR="00C30B65" w:rsidRPr="00DC4C78" w:rsidRDefault="00C30B65" w:rsidP="00C30B65">
      <w:pPr>
        <w:pStyle w:val="Figure"/>
      </w:pPr>
      <w:bookmarkStart w:id="457" w:name="_Toc405447489"/>
      <w:bookmarkStart w:id="458" w:name="_Toc417554834"/>
      <w:bookmarkStart w:id="459" w:name="_Toc436750575"/>
      <w:bookmarkStart w:id="460" w:name="_Toc440387898"/>
      <w:r w:rsidRPr="00DC4C78">
        <w:t xml:space="preserve">Figure 78: </w:t>
      </w:r>
      <w:r>
        <w:t>Children with a</w:t>
      </w:r>
      <w:r w:rsidRPr="00DC4C78">
        <w:t>bnormal SDQ-P referred, Pacific peoples</w:t>
      </w:r>
      <w:bookmarkEnd w:id="457"/>
      <w:bookmarkEnd w:id="458"/>
      <w:bookmarkEnd w:id="459"/>
      <w:bookmarkEnd w:id="460"/>
    </w:p>
    <w:p w:rsidR="00C30B65" w:rsidRPr="00DC4C78" w:rsidRDefault="00FE019C" w:rsidP="00FE019C">
      <w:r>
        <w:rPr>
          <w:noProof/>
          <w:lang w:eastAsia="en-NZ"/>
        </w:rPr>
        <w:drawing>
          <wp:inline distT="0" distB="0" distL="0" distR="0" wp14:anchorId="31741B03">
            <wp:extent cx="4320000" cy="2520000"/>
            <wp:effectExtent l="0" t="0" r="4445" b="0"/>
            <wp:docPr id="120" name="Picture 120" title="Figure 78: Children with abnormal SDQ-P referred, Pacific peop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inline>
        </w:drawing>
      </w:r>
    </w:p>
    <w:p w:rsidR="00C30B65" w:rsidRPr="00DC4C78" w:rsidRDefault="00C30B65" w:rsidP="00C30B65"/>
    <w:p w:rsidR="00C30B65" w:rsidRPr="00DC4C78" w:rsidRDefault="00C30B65" w:rsidP="00C30B65">
      <w:pPr>
        <w:pStyle w:val="Heading3"/>
      </w:pPr>
      <w:r w:rsidRPr="00DC4C78">
        <w:t>Data notes</w:t>
      </w:r>
    </w:p>
    <w:p w:rsidR="00C30B65" w:rsidRPr="00DC4C78" w:rsidRDefault="00C30B65" w:rsidP="00C30B65">
      <w:pPr>
        <w:pStyle w:val="Bullet"/>
      </w:pPr>
      <w:r w:rsidRPr="00DC4C78">
        <w:t xml:space="preserve">The stacked bar shows rate of referral excluding </w:t>
      </w:r>
      <w:r w:rsidR="00700141">
        <w:t>‘</w:t>
      </w:r>
      <w:r w:rsidRPr="00DC4C78">
        <w:t>advice given</w:t>
      </w:r>
      <w:r w:rsidR="00700141">
        <w:t>’</w:t>
      </w:r>
      <w:r w:rsidRPr="00DC4C78">
        <w:t xml:space="preserve"> (dark grey section) and rate of referral including </w:t>
      </w:r>
      <w:r w:rsidR="00700141">
        <w:t>‘</w:t>
      </w:r>
      <w:r w:rsidRPr="00DC4C78">
        <w:t>advice given</w:t>
      </w:r>
      <w:r w:rsidR="00700141">
        <w:t>’</w:t>
      </w:r>
      <w:r w:rsidRPr="00DC4C78">
        <w:t xml:space="preserve"> (dark grey plus light grey sections).</w:t>
      </w:r>
    </w:p>
    <w:p w:rsidR="00C30B65" w:rsidRPr="00DC4C78" w:rsidRDefault="00C30B65" w:rsidP="00C30B65">
      <w:pPr>
        <w:pStyle w:val="Bullet"/>
      </w:pPr>
      <w:r w:rsidRPr="00DC4C78">
        <w:t>No bar on graph = no children with abnormal SDQ-P for that population.</w:t>
      </w:r>
    </w:p>
    <w:p w:rsidR="00C30B65" w:rsidRPr="00DC4C78" w:rsidRDefault="00C30B65" w:rsidP="00C30B65">
      <w:pPr>
        <w:pStyle w:val="Bullet"/>
      </w:pPr>
      <w:r w:rsidRPr="00DC4C78">
        <w:t>Time period: children receiving a B4 School Check between 1 January 2015 and 30 June 2015.</w:t>
      </w:r>
    </w:p>
    <w:p w:rsidR="00C30B65" w:rsidRPr="00DC4C78" w:rsidRDefault="00C30B65" w:rsidP="00C30B65">
      <w:pPr>
        <w:pStyle w:val="Bullet"/>
      </w:pPr>
      <w:r w:rsidRPr="00DC4C78">
        <w:t>DHB is DHB of service.</w:t>
      </w:r>
    </w:p>
    <w:p w:rsidR="00C30B65" w:rsidRPr="00DC4C78" w:rsidRDefault="00C30B65" w:rsidP="00C30B65">
      <w:pPr>
        <w:pStyle w:val="Bullet"/>
      </w:pPr>
      <w:r w:rsidRPr="00DC4C78">
        <w:t>Numerator: number of children with an abnormal SDQ-P referred (source: B4 School Check).</w:t>
      </w:r>
    </w:p>
    <w:p w:rsidR="00C30B65" w:rsidRDefault="00C30B65" w:rsidP="00C30B65">
      <w:pPr>
        <w:pStyle w:val="Bullet"/>
      </w:pPr>
      <w:r w:rsidRPr="00DC4C78">
        <w:t>Denominator: number of children with an abnormal SDQ-P (excluding those already under care) (source: B4 School Check).</w:t>
      </w:r>
    </w:p>
    <w:p w:rsidR="00807C68" w:rsidRPr="00DC4C78" w:rsidRDefault="00807C68" w:rsidP="00807C68"/>
    <w:p w:rsidR="00C30B65" w:rsidRPr="00DC4C78" w:rsidRDefault="00C30B65" w:rsidP="00C30B65">
      <w:pPr>
        <w:pStyle w:val="Heading2"/>
        <w:spacing w:before="0"/>
      </w:pPr>
      <w:bookmarkStart w:id="461" w:name="_Toc365618467"/>
      <w:bookmarkStart w:id="462" w:name="_Toc405453790"/>
      <w:bookmarkStart w:id="463" w:name="_Toc418322799"/>
      <w:bookmarkStart w:id="464" w:name="_Toc419099468"/>
      <w:bookmarkStart w:id="465" w:name="_Toc440387814"/>
      <w:r w:rsidRPr="00DC4C78">
        <w:lastRenderedPageBreak/>
        <w:t>WCTO Quality Improvement Framework Indicator 23</w:t>
      </w:r>
      <w:bookmarkEnd w:id="461"/>
      <w:bookmarkEnd w:id="462"/>
      <w:bookmarkEnd w:id="463"/>
      <w:bookmarkEnd w:id="464"/>
      <w:bookmarkEnd w:id="465"/>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418"/>
        <w:gridCol w:w="7938"/>
      </w:tblGrid>
      <w:tr w:rsidR="00C30B65" w:rsidRPr="00DC4C78" w:rsidTr="00B6022B">
        <w:trPr>
          <w:cantSplit/>
        </w:trPr>
        <w:tc>
          <w:tcPr>
            <w:tcW w:w="1418" w:type="dxa"/>
            <w:tcBorders>
              <w:top w:val="single" w:sz="4" w:space="0" w:color="auto"/>
              <w:bottom w:val="nil"/>
            </w:tcBorders>
            <w:shd w:val="clear" w:color="auto" w:fill="F2F2F2"/>
          </w:tcPr>
          <w:p w:rsidR="00C30B65" w:rsidRPr="00DC4C78" w:rsidRDefault="00C30B65" w:rsidP="006E15EF">
            <w:pPr>
              <w:pStyle w:val="TableText"/>
              <w:keepNext/>
              <w:spacing w:before="50" w:after="50"/>
              <w:rPr>
                <w:b/>
              </w:rPr>
            </w:pPr>
            <w:r w:rsidRPr="00DC4C78">
              <w:rPr>
                <w:b/>
              </w:rPr>
              <w:t>Standard</w:t>
            </w:r>
          </w:p>
        </w:tc>
        <w:tc>
          <w:tcPr>
            <w:tcW w:w="7938" w:type="dxa"/>
            <w:tcBorders>
              <w:top w:val="single" w:sz="4" w:space="0" w:color="auto"/>
              <w:bottom w:val="nil"/>
            </w:tcBorders>
            <w:shd w:val="clear" w:color="auto" w:fill="F2F2F2"/>
          </w:tcPr>
          <w:p w:rsidR="00C30B65" w:rsidRPr="00B6022B" w:rsidRDefault="00C30B65" w:rsidP="006E15EF">
            <w:pPr>
              <w:pStyle w:val="TableText"/>
              <w:keepNext/>
              <w:spacing w:before="50" w:after="50"/>
              <w:rPr>
                <w:spacing w:val="-4"/>
              </w:rPr>
            </w:pPr>
            <w:r w:rsidRPr="00B6022B">
              <w:rPr>
                <w:spacing w:val="-4"/>
              </w:rPr>
              <w:t>WCTO providers deliver services in accordance with best practice (inappropriate variation is reduced).</w:t>
            </w:r>
          </w:p>
        </w:tc>
      </w:tr>
      <w:tr w:rsidR="00C30B65" w:rsidRPr="00DC4C78" w:rsidTr="00B6022B">
        <w:trPr>
          <w:cantSplit/>
        </w:trPr>
        <w:tc>
          <w:tcPr>
            <w:tcW w:w="1418" w:type="dxa"/>
            <w:tcBorders>
              <w:top w:val="nil"/>
              <w:bottom w:val="nil"/>
            </w:tcBorders>
            <w:shd w:val="clear" w:color="auto" w:fill="auto"/>
          </w:tcPr>
          <w:p w:rsidR="00C30B65" w:rsidRPr="00DC4C78" w:rsidRDefault="00C30B65" w:rsidP="006E15EF">
            <w:pPr>
              <w:pStyle w:val="TableText"/>
              <w:keepNext/>
              <w:spacing w:before="50" w:after="50"/>
              <w:rPr>
                <w:b/>
              </w:rPr>
            </w:pPr>
            <w:r w:rsidRPr="00DC4C78">
              <w:rPr>
                <w:b/>
              </w:rPr>
              <w:t>Indicator</w:t>
            </w:r>
          </w:p>
        </w:tc>
        <w:tc>
          <w:tcPr>
            <w:tcW w:w="7938" w:type="dxa"/>
            <w:tcBorders>
              <w:top w:val="nil"/>
              <w:bottom w:val="nil"/>
            </w:tcBorders>
          </w:tcPr>
          <w:p w:rsidR="00C30B65" w:rsidRPr="00DC4C78" w:rsidRDefault="00C30B65" w:rsidP="006E15EF">
            <w:pPr>
              <w:pStyle w:val="TableText"/>
              <w:keepNext/>
              <w:spacing w:before="50" w:after="50"/>
            </w:pPr>
            <w:r w:rsidRPr="00DC4C78">
              <w:t>Children with a Parental Evaluation of Developmental Status (PEDS) Pathway A at the B4 School Check are referred to specialist services.</w:t>
            </w:r>
          </w:p>
        </w:tc>
      </w:tr>
      <w:tr w:rsidR="00C30B65" w:rsidRPr="00DC4C78" w:rsidTr="00B6022B">
        <w:trPr>
          <w:cantSplit/>
        </w:trPr>
        <w:tc>
          <w:tcPr>
            <w:tcW w:w="1418" w:type="dxa"/>
            <w:tcBorders>
              <w:top w:val="nil"/>
              <w:bottom w:val="nil"/>
            </w:tcBorders>
            <w:shd w:val="clear" w:color="auto" w:fill="F2F2F2"/>
          </w:tcPr>
          <w:p w:rsidR="00C30B65" w:rsidRPr="00B6022B" w:rsidRDefault="00C30B65" w:rsidP="006E15EF">
            <w:pPr>
              <w:pStyle w:val="TableText"/>
              <w:keepNext/>
              <w:spacing w:before="50" w:after="50"/>
              <w:rPr>
                <w:rFonts w:ascii="Arial Bold" w:hAnsi="Arial Bold"/>
                <w:b/>
                <w:spacing w:val="-4"/>
              </w:rPr>
            </w:pPr>
            <w:r w:rsidRPr="00B6022B">
              <w:rPr>
                <w:rFonts w:ascii="Arial Bold" w:hAnsi="Arial Bold"/>
                <w:b/>
                <w:spacing w:val="-4"/>
              </w:rPr>
              <w:t>Target by December 2014</w:t>
            </w:r>
          </w:p>
        </w:tc>
        <w:tc>
          <w:tcPr>
            <w:tcW w:w="7938" w:type="dxa"/>
            <w:tcBorders>
              <w:top w:val="nil"/>
              <w:bottom w:val="nil"/>
            </w:tcBorders>
            <w:shd w:val="clear" w:color="auto" w:fill="F2F2F2"/>
          </w:tcPr>
          <w:p w:rsidR="00C30B65" w:rsidRPr="00DC4C78" w:rsidRDefault="00C30B65" w:rsidP="006E15EF">
            <w:pPr>
              <w:pStyle w:val="TableText"/>
              <w:keepNext/>
              <w:spacing w:before="50" w:after="50"/>
            </w:pPr>
            <w:r w:rsidRPr="00DC4C78">
              <w:t>86 percent</w:t>
            </w:r>
          </w:p>
        </w:tc>
      </w:tr>
      <w:tr w:rsidR="00C30B65" w:rsidRPr="00DC4C78" w:rsidTr="00B6022B">
        <w:trPr>
          <w:cantSplit/>
        </w:trPr>
        <w:tc>
          <w:tcPr>
            <w:tcW w:w="1418" w:type="dxa"/>
            <w:tcBorders>
              <w:top w:val="nil"/>
            </w:tcBorders>
            <w:shd w:val="clear" w:color="auto" w:fill="auto"/>
          </w:tcPr>
          <w:p w:rsidR="00C30B65" w:rsidRPr="00DC4C78" w:rsidRDefault="00C30B65" w:rsidP="006E15EF">
            <w:pPr>
              <w:pStyle w:val="TableText"/>
              <w:spacing w:before="50" w:after="50"/>
              <w:rPr>
                <w:b/>
              </w:rPr>
            </w:pPr>
            <w:r w:rsidRPr="00DC4C78">
              <w:rPr>
                <w:b/>
              </w:rPr>
              <w:t>Target by June 2016</w:t>
            </w:r>
          </w:p>
        </w:tc>
        <w:tc>
          <w:tcPr>
            <w:tcW w:w="7938" w:type="dxa"/>
            <w:tcBorders>
              <w:top w:val="nil"/>
            </w:tcBorders>
          </w:tcPr>
          <w:p w:rsidR="00C30B65" w:rsidRPr="00DC4C78" w:rsidRDefault="00C30B65" w:rsidP="006E15EF">
            <w:pPr>
              <w:pStyle w:val="TableText"/>
              <w:spacing w:before="50" w:after="50"/>
            </w:pPr>
            <w:r w:rsidRPr="00DC4C78">
              <w:t>95 percent</w:t>
            </w:r>
          </w:p>
        </w:tc>
      </w:tr>
    </w:tbl>
    <w:p w:rsidR="00C30B65" w:rsidRPr="00DC4C78" w:rsidRDefault="00C30B65" w:rsidP="00C30B65"/>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93"/>
        <w:gridCol w:w="1843"/>
        <w:gridCol w:w="1701"/>
        <w:gridCol w:w="1458"/>
        <w:gridCol w:w="1660"/>
      </w:tblGrid>
      <w:tr w:rsidR="00C30B65" w:rsidRPr="00DC4C78" w:rsidTr="00C30B65">
        <w:trPr>
          <w:cantSplit/>
        </w:trPr>
        <w:tc>
          <w:tcPr>
            <w:tcW w:w="1439" w:type="pct"/>
            <w:shd w:val="clear" w:color="auto" w:fill="F2F2F2"/>
          </w:tcPr>
          <w:p w:rsidR="00C30B65" w:rsidRPr="00DC4C78" w:rsidRDefault="00C30B65" w:rsidP="00BE7C0D">
            <w:pPr>
              <w:pStyle w:val="TableText"/>
              <w:spacing w:before="50" w:after="50"/>
              <w:rPr>
                <w:b/>
              </w:rPr>
            </w:pPr>
          </w:p>
        </w:tc>
        <w:tc>
          <w:tcPr>
            <w:tcW w:w="985" w:type="pct"/>
            <w:shd w:val="clear" w:color="auto" w:fill="F2F2F2"/>
          </w:tcPr>
          <w:p w:rsidR="00C30B65" w:rsidRPr="00DC4C78" w:rsidRDefault="00C30B65" w:rsidP="00BE7C0D">
            <w:pPr>
              <w:pStyle w:val="TableText"/>
              <w:spacing w:before="50" w:after="50"/>
              <w:jc w:val="center"/>
              <w:rPr>
                <w:b/>
              </w:rPr>
            </w:pPr>
            <w:r w:rsidRPr="00DC4C78">
              <w:rPr>
                <w:b/>
              </w:rPr>
              <w:t>Total New Zealand</w:t>
            </w:r>
          </w:p>
        </w:tc>
        <w:tc>
          <w:tcPr>
            <w:tcW w:w="909" w:type="pct"/>
            <w:shd w:val="clear" w:color="auto" w:fill="F2F2F2"/>
          </w:tcPr>
          <w:p w:rsidR="00C30B65" w:rsidRPr="00DC4C78" w:rsidRDefault="00C30B65" w:rsidP="00BE7C0D">
            <w:pPr>
              <w:pStyle w:val="TableText"/>
              <w:spacing w:before="50" w:after="50"/>
              <w:jc w:val="center"/>
              <w:rPr>
                <w:b/>
              </w:rPr>
            </w:pPr>
            <w:r w:rsidRPr="00DC4C78">
              <w:rPr>
                <w:b/>
              </w:rPr>
              <w:t>High deprivation</w:t>
            </w:r>
          </w:p>
        </w:tc>
        <w:tc>
          <w:tcPr>
            <w:tcW w:w="779" w:type="pct"/>
            <w:shd w:val="clear" w:color="auto" w:fill="F2F2F2"/>
          </w:tcPr>
          <w:p w:rsidR="00C30B65" w:rsidRPr="00DC4C78" w:rsidRDefault="00C30B65" w:rsidP="00BE7C0D">
            <w:pPr>
              <w:pStyle w:val="TableText"/>
              <w:spacing w:before="50" w:after="50"/>
              <w:jc w:val="center"/>
              <w:rPr>
                <w:b/>
              </w:rPr>
            </w:pPr>
            <w:r w:rsidRPr="00DC4C78">
              <w:rPr>
                <w:b/>
              </w:rPr>
              <w:t>Māori</w:t>
            </w:r>
          </w:p>
        </w:tc>
        <w:tc>
          <w:tcPr>
            <w:tcW w:w="887" w:type="pct"/>
            <w:shd w:val="clear" w:color="auto" w:fill="F2F2F2"/>
          </w:tcPr>
          <w:p w:rsidR="00C30B65" w:rsidRPr="00DC4C78" w:rsidRDefault="00C30B65" w:rsidP="00BE7C0D">
            <w:pPr>
              <w:pStyle w:val="TableText"/>
              <w:spacing w:before="50" w:after="50"/>
              <w:jc w:val="center"/>
              <w:rPr>
                <w:b/>
              </w:rPr>
            </w:pPr>
            <w:r w:rsidRPr="00DC4C78">
              <w:rPr>
                <w:b/>
              </w:rPr>
              <w:t>Pacific peoples</w:t>
            </w:r>
          </w:p>
        </w:tc>
      </w:tr>
      <w:tr w:rsidR="00C30B65" w:rsidRPr="00DC4C78" w:rsidTr="00C30B65">
        <w:trPr>
          <w:cantSplit/>
        </w:trPr>
        <w:tc>
          <w:tcPr>
            <w:tcW w:w="1439" w:type="pct"/>
            <w:tcBorders>
              <w:bottom w:val="single" w:sz="4" w:space="0" w:color="A6A6A6"/>
            </w:tcBorders>
            <w:shd w:val="clear" w:color="auto" w:fill="auto"/>
          </w:tcPr>
          <w:p w:rsidR="00C30B65" w:rsidRPr="00DC4C78" w:rsidRDefault="00C30B65" w:rsidP="00BE7C0D">
            <w:pPr>
              <w:pStyle w:val="TableText"/>
              <w:spacing w:before="50" w:after="50"/>
            </w:pPr>
            <w:r w:rsidRPr="00DC4C78">
              <w:t>September 2015 mean –</w:t>
            </w:r>
            <w:r w:rsidRPr="00DC4C78">
              <w:br/>
            </w:r>
            <w:r>
              <w:t xml:space="preserve">advice or referral </w:t>
            </w:r>
          </w:p>
        </w:tc>
        <w:tc>
          <w:tcPr>
            <w:tcW w:w="985" w:type="pct"/>
            <w:tcBorders>
              <w:bottom w:val="single" w:sz="4" w:space="0" w:color="A6A6A6"/>
            </w:tcBorders>
            <w:shd w:val="clear" w:color="auto" w:fill="auto"/>
            <w:vAlign w:val="center"/>
          </w:tcPr>
          <w:p w:rsidR="00C30B65" w:rsidRPr="00DC4C78" w:rsidRDefault="00C30B65" w:rsidP="00BE7C0D">
            <w:pPr>
              <w:pStyle w:val="TableText"/>
              <w:spacing w:before="50" w:after="50"/>
              <w:jc w:val="center"/>
            </w:pPr>
            <w:r w:rsidRPr="00DC4C78">
              <w:t>98% (80–100)</w:t>
            </w:r>
          </w:p>
        </w:tc>
        <w:tc>
          <w:tcPr>
            <w:tcW w:w="909" w:type="pct"/>
            <w:tcBorders>
              <w:bottom w:val="single" w:sz="4" w:space="0" w:color="A6A6A6"/>
            </w:tcBorders>
            <w:shd w:val="clear" w:color="auto" w:fill="auto"/>
            <w:vAlign w:val="center"/>
          </w:tcPr>
          <w:p w:rsidR="00C30B65" w:rsidRPr="00DC4C78" w:rsidRDefault="00C30B65" w:rsidP="00BE7C0D">
            <w:pPr>
              <w:pStyle w:val="TableText"/>
              <w:spacing w:before="50" w:after="50"/>
              <w:jc w:val="center"/>
            </w:pPr>
            <w:r w:rsidRPr="00DC4C78">
              <w:t>99% (92–100)</w:t>
            </w:r>
          </w:p>
        </w:tc>
        <w:tc>
          <w:tcPr>
            <w:tcW w:w="779" w:type="pct"/>
            <w:tcBorders>
              <w:bottom w:val="single" w:sz="4" w:space="0" w:color="A6A6A6"/>
            </w:tcBorders>
            <w:shd w:val="clear" w:color="auto" w:fill="auto"/>
            <w:vAlign w:val="center"/>
          </w:tcPr>
          <w:p w:rsidR="00C30B65" w:rsidRPr="00DC4C78" w:rsidRDefault="00C30B65" w:rsidP="00BE7C0D">
            <w:pPr>
              <w:pStyle w:val="TableText"/>
              <w:spacing w:before="50" w:after="50"/>
              <w:jc w:val="center"/>
            </w:pPr>
            <w:r w:rsidRPr="00DC4C78">
              <w:t>98% (88–100)</w:t>
            </w:r>
          </w:p>
        </w:tc>
        <w:tc>
          <w:tcPr>
            <w:tcW w:w="887" w:type="pct"/>
            <w:tcBorders>
              <w:bottom w:val="single" w:sz="4" w:space="0" w:color="A6A6A6"/>
            </w:tcBorders>
            <w:shd w:val="clear" w:color="auto" w:fill="auto"/>
            <w:vAlign w:val="center"/>
          </w:tcPr>
          <w:p w:rsidR="00C30B65" w:rsidRPr="00DC4C78" w:rsidRDefault="00C30B65" w:rsidP="00BE7C0D">
            <w:pPr>
              <w:pStyle w:val="TableText"/>
              <w:spacing w:before="50" w:after="50"/>
              <w:jc w:val="center"/>
            </w:pPr>
            <w:r w:rsidRPr="00DC4C78">
              <w:t>9</w:t>
            </w:r>
            <w:r>
              <w:t>8</w:t>
            </w:r>
            <w:r w:rsidRPr="00DC4C78">
              <w:t>% (</w:t>
            </w:r>
            <w:r>
              <w:t>0</w:t>
            </w:r>
            <w:r w:rsidRPr="00DC4C78">
              <w:t>–100)</w:t>
            </w:r>
          </w:p>
        </w:tc>
      </w:tr>
      <w:tr w:rsidR="00C30B65" w:rsidRPr="00DC4C78" w:rsidTr="00C30B65">
        <w:trPr>
          <w:cantSplit/>
        </w:trPr>
        <w:tc>
          <w:tcPr>
            <w:tcW w:w="1439" w:type="pct"/>
            <w:tcBorders>
              <w:top w:val="single" w:sz="4" w:space="0" w:color="A6A6A6"/>
            </w:tcBorders>
            <w:shd w:val="clear" w:color="auto" w:fill="auto"/>
          </w:tcPr>
          <w:p w:rsidR="00C30B65" w:rsidRPr="00DC4C78" w:rsidRDefault="00C30B65" w:rsidP="00BE7C0D">
            <w:pPr>
              <w:pStyle w:val="TableText"/>
              <w:spacing w:before="50" w:after="50"/>
            </w:pPr>
            <w:r w:rsidRPr="00DC4C78">
              <w:t xml:space="preserve">September 2015 mean (range) – </w:t>
            </w:r>
            <w:r>
              <w:t>referral only</w:t>
            </w:r>
          </w:p>
        </w:tc>
        <w:tc>
          <w:tcPr>
            <w:tcW w:w="985" w:type="pct"/>
            <w:tcBorders>
              <w:top w:val="single" w:sz="4" w:space="0" w:color="A6A6A6"/>
            </w:tcBorders>
            <w:shd w:val="clear" w:color="auto" w:fill="auto"/>
            <w:vAlign w:val="center"/>
          </w:tcPr>
          <w:p w:rsidR="00C30B65" w:rsidRPr="00DC4C78" w:rsidRDefault="00C30B65" w:rsidP="00BE7C0D">
            <w:pPr>
              <w:pStyle w:val="TableText"/>
              <w:spacing w:before="50" w:after="50"/>
              <w:jc w:val="center"/>
            </w:pPr>
            <w:r w:rsidRPr="00DC4C78">
              <w:t>58% (25–88)</w:t>
            </w:r>
          </w:p>
        </w:tc>
        <w:tc>
          <w:tcPr>
            <w:tcW w:w="909" w:type="pct"/>
            <w:tcBorders>
              <w:top w:val="single" w:sz="4" w:space="0" w:color="A6A6A6"/>
            </w:tcBorders>
            <w:shd w:val="clear" w:color="auto" w:fill="auto"/>
            <w:vAlign w:val="center"/>
          </w:tcPr>
          <w:p w:rsidR="00C30B65" w:rsidRPr="00DC4C78" w:rsidRDefault="00C30B65" w:rsidP="00BE7C0D">
            <w:pPr>
              <w:pStyle w:val="TableText"/>
              <w:spacing w:before="50" w:after="50"/>
              <w:jc w:val="center"/>
            </w:pPr>
            <w:r w:rsidRPr="00DC4C78">
              <w:t>69% (0–100)</w:t>
            </w:r>
          </w:p>
        </w:tc>
        <w:tc>
          <w:tcPr>
            <w:tcW w:w="779" w:type="pct"/>
            <w:tcBorders>
              <w:top w:val="single" w:sz="4" w:space="0" w:color="A6A6A6"/>
            </w:tcBorders>
            <w:shd w:val="clear" w:color="auto" w:fill="auto"/>
            <w:vAlign w:val="center"/>
          </w:tcPr>
          <w:p w:rsidR="00C30B65" w:rsidRPr="00DC4C78" w:rsidRDefault="00C30B65" w:rsidP="00BE7C0D">
            <w:pPr>
              <w:pStyle w:val="TableText"/>
              <w:spacing w:before="50" w:after="50"/>
              <w:jc w:val="center"/>
            </w:pPr>
            <w:r w:rsidRPr="00DC4C78">
              <w:t>61% (0–100)</w:t>
            </w:r>
          </w:p>
        </w:tc>
        <w:tc>
          <w:tcPr>
            <w:tcW w:w="887" w:type="pct"/>
            <w:tcBorders>
              <w:top w:val="single" w:sz="4" w:space="0" w:color="A6A6A6"/>
            </w:tcBorders>
            <w:shd w:val="clear" w:color="auto" w:fill="auto"/>
            <w:vAlign w:val="center"/>
          </w:tcPr>
          <w:p w:rsidR="00C30B65" w:rsidRPr="00DC4C78" w:rsidRDefault="00C30B65" w:rsidP="00BE7C0D">
            <w:pPr>
              <w:pStyle w:val="TableText"/>
              <w:spacing w:before="50" w:after="50"/>
              <w:jc w:val="center"/>
            </w:pPr>
            <w:r w:rsidRPr="00DC4C78">
              <w:t>6</w:t>
            </w:r>
            <w:r>
              <w:t>4</w:t>
            </w:r>
            <w:r w:rsidRPr="00DC4C78">
              <w:t>% (</w:t>
            </w:r>
            <w:r>
              <w:t>0</w:t>
            </w:r>
            <w:r w:rsidRPr="00DC4C78">
              <w:t>–100)</w:t>
            </w:r>
          </w:p>
        </w:tc>
      </w:tr>
      <w:tr w:rsidR="00C30B65" w:rsidRPr="00DC4C78" w:rsidTr="00C30B65">
        <w:trPr>
          <w:cantSplit/>
        </w:trPr>
        <w:tc>
          <w:tcPr>
            <w:tcW w:w="1439" w:type="pct"/>
            <w:tcBorders>
              <w:bottom w:val="single" w:sz="4" w:space="0" w:color="A6A6A6"/>
            </w:tcBorders>
            <w:shd w:val="clear" w:color="auto" w:fill="auto"/>
          </w:tcPr>
          <w:p w:rsidR="00C30B65" w:rsidRPr="00DC4C78" w:rsidRDefault="00C30B65" w:rsidP="00BE7C0D">
            <w:pPr>
              <w:pStyle w:val="TableText"/>
              <w:spacing w:before="50" w:after="50"/>
            </w:pPr>
            <w:r w:rsidRPr="00DC4C78">
              <w:t>March 2015 mean –</w:t>
            </w:r>
            <w:r w:rsidRPr="00DC4C78">
              <w:br/>
            </w:r>
            <w:r>
              <w:t>advice or referral</w:t>
            </w:r>
          </w:p>
        </w:tc>
        <w:tc>
          <w:tcPr>
            <w:tcW w:w="985" w:type="pct"/>
            <w:tcBorders>
              <w:bottom w:val="single" w:sz="4" w:space="0" w:color="A6A6A6"/>
            </w:tcBorders>
            <w:shd w:val="clear" w:color="auto" w:fill="auto"/>
            <w:vAlign w:val="center"/>
          </w:tcPr>
          <w:p w:rsidR="00C30B65" w:rsidRPr="00DC4C78" w:rsidRDefault="00C30B65" w:rsidP="00BE7C0D">
            <w:pPr>
              <w:pStyle w:val="TableText"/>
              <w:spacing w:before="50" w:after="50"/>
              <w:jc w:val="center"/>
            </w:pPr>
            <w:r w:rsidRPr="00DC4C78">
              <w:t>97% (50–100)</w:t>
            </w:r>
          </w:p>
        </w:tc>
        <w:tc>
          <w:tcPr>
            <w:tcW w:w="909" w:type="pct"/>
            <w:tcBorders>
              <w:bottom w:val="single" w:sz="4" w:space="0" w:color="A6A6A6"/>
            </w:tcBorders>
            <w:shd w:val="clear" w:color="auto" w:fill="auto"/>
            <w:vAlign w:val="center"/>
          </w:tcPr>
          <w:p w:rsidR="00C30B65" w:rsidRPr="00DC4C78" w:rsidRDefault="00C30B65" w:rsidP="00BE7C0D">
            <w:pPr>
              <w:pStyle w:val="TableText"/>
              <w:spacing w:before="50" w:after="50"/>
              <w:jc w:val="center"/>
            </w:pPr>
            <w:r w:rsidRPr="00DC4C78">
              <w:t>99% (93–100)</w:t>
            </w:r>
          </w:p>
        </w:tc>
        <w:tc>
          <w:tcPr>
            <w:tcW w:w="779" w:type="pct"/>
            <w:tcBorders>
              <w:bottom w:val="single" w:sz="4" w:space="0" w:color="A6A6A6"/>
            </w:tcBorders>
            <w:shd w:val="clear" w:color="auto" w:fill="auto"/>
            <w:vAlign w:val="center"/>
          </w:tcPr>
          <w:p w:rsidR="00C30B65" w:rsidRPr="00DC4C78" w:rsidRDefault="00C30B65" w:rsidP="00BE7C0D">
            <w:pPr>
              <w:pStyle w:val="TableText"/>
              <w:spacing w:before="50" w:after="50"/>
              <w:jc w:val="center"/>
            </w:pPr>
            <w:r w:rsidRPr="00DC4C78">
              <w:t>98% (0–100)</w:t>
            </w:r>
          </w:p>
        </w:tc>
        <w:tc>
          <w:tcPr>
            <w:tcW w:w="887" w:type="pct"/>
            <w:tcBorders>
              <w:bottom w:val="single" w:sz="4" w:space="0" w:color="A6A6A6"/>
            </w:tcBorders>
            <w:shd w:val="clear" w:color="auto" w:fill="auto"/>
            <w:vAlign w:val="center"/>
          </w:tcPr>
          <w:p w:rsidR="00C30B65" w:rsidRPr="00DC4C78" w:rsidRDefault="00C30B65" w:rsidP="00BE7C0D">
            <w:pPr>
              <w:pStyle w:val="TableText"/>
              <w:spacing w:before="50" w:after="50"/>
              <w:jc w:val="center"/>
            </w:pPr>
            <w:r w:rsidRPr="00DC4C78">
              <w:t>99% (75–100)</w:t>
            </w:r>
          </w:p>
        </w:tc>
      </w:tr>
      <w:tr w:rsidR="00C30B65" w:rsidRPr="00DC4C78" w:rsidTr="00C30B65">
        <w:trPr>
          <w:cantSplit/>
        </w:trPr>
        <w:tc>
          <w:tcPr>
            <w:tcW w:w="1439" w:type="pct"/>
            <w:tcBorders>
              <w:top w:val="single" w:sz="4" w:space="0" w:color="A6A6A6"/>
            </w:tcBorders>
            <w:shd w:val="clear" w:color="auto" w:fill="auto"/>
          </w:tcPr>
          <w:p w:rsidR="00C30B65" w:rsidRPr="00DC4C78" w:rsidRDefault="00C30B65" w:rsidP="00BE7C0D">
            <w:pPr>
              <w:pStyle w:val="TableText"/>
              <w:spacing w:before="50" w:after="50"/>
            </w:pPr>
            <w:r w:rsidRPr="00DC4C78">
              <w:t xml:space="preserve">March 2015 mean (range) – </w:t>
            </w:r>
            <w:r>
              <w:t>referral only</w:t>
            </w:r>
          </w:p>
        </w:tc>
        <w:tc>
          <w:tcPr>
            <w:tcW w:w="985" w:type="pct"/>
            <w:tcBorders>
              <w:top w:val="single" w:sz="4" w:space="0" w:color="A6A6A6"/>
            </w:tcBorders>
            <w:shd w:val="clear" w:color="auto" w:fill="auto"/>
            <w:vAlign w:val="center"/>
          </w:tcPr>
          <w:p w:rsidR="00C30B65" w:rsidRPr="00DC4C78" w:rsidRDefault="00C30B65" w:rsidP="00BE7C0D">
            <w:pPr>
              <w:pStyle w:val="TableText"/>
              <w:spacing w:before="50" w:after="50"/>
              <w:jc w:val="center"/>
            </w:pPr>
            <w:r w:rsidRPr="00DC4C78">
              <w:t>55% (22–90)</w:t>
            </w:r>
          </w:p>
        </w:tc>
        <w:tc>
          <w:tcPr>
            <w:tcW w:w="909" w:type="pct"/>
            <w:tcBorders>
              <w:top w:val="single" w:sz="4" w:space="0" w:color="A6A6A6"/>
            </w:tcBorders>
            <w:shd w:val="clear" w:color="auto" w:fill="auto"/>
            <w:vAlign w:val="center"/>
          </w:tcPr>
          <w:p w:rsidR="00C30B65" w:rsidRPr="00DC4C78" w:rsidRDefault="00C30B65" w:rsidP="00BE7C0D">
            <w:pPr>
              <w:pStyle w:val="TableText"/>
              <w:spacing w:before="50" w:after="50"/>
              <w:jc w:val="center"/>
            </w:pPr>
            <w:r w:rsidRPr="00DC4C78">
              <w:t>66% (0–100)</w:t>
            </w:r>
          </w:p>
        </w:tc>
        <w:tc>
          <w:tcPr>
            <w:tcW w:w="779" w:type="pct"/>
            <w:tcBorders>
              <w:top w:val="single" w:sz="4" w:space="0" w:color="A6A6A6"/>
            </w:tcBorders>
            <w:shd w:val="clear" w:color="auto" w:fill="auto"/>
            <w:vAlign w:val="center"/>
          </w:tcPr>
          <w:p w:rsidR="00C30B65" w:rsidRPr="00DC4C78" w:rsidRDefault="00C30B65" w:rsidP="00BE7C0D">
            <w:pPr>
              <w:pStyle w:val="TableText"/>
              <w:spacing w:before="50" w:after="50"/>
              <w:jc w:val="center"/>
            </w:pPr>
            <w:r w:rsidRPr="00DC4C78">
              <w:t>61% (0–88)</w:t>
            </w:r>
          </w:p>
        </w:tc>
        <w:tc>
          <w:tcPr>
            <w:tcW w:w="887" w:type="pct"/>
            <w:tcBorders>
              <w:top w:val="single" w:sz="4" w:space="0" w:color="A6A6A6"/>
            </w:tcBorders>
            <w:shd w:val="clear" w:color="auto" w:fill="auto"/>
            <w:vAlign w:val="center"/>
          </w:tcPr>
          <w:p w:rsidR="00C30B65" w:rsidRPr="00DC4C78" w:rsidRDefault="00C30B65" w:rsidP="00BE7C0D">
            <w:pPr>
              <w:pStyle w:val="TableText"/>
              <w:spacing w:before="50" w:after="50"/>
              <w:jc w:val="center"/>
            </w:pPr>
            <w:r w:rsidRPr="00DC4C78">
              <w:t>68% (14–100)</w:t>
            </w:r>
          </w:p>
        </w:tc>
      </w:tr>
    </w:tbl>
    <w:p w:rsidR="00C30B65" w:rsidRPr="00DC4C78" w:rsidRDefault="00C30B65" w:rsidP="00C30B65"/>
    <w:p w:rsidR="00C30B65" w:rsidRPr="00DC4C78" w:rsidRDefault="00C30B65" w:rsidP="00B6022B">
      <w:pPr>
        <w:pStyle w:val="Figure"/>
        <w:spacing w:before="0" w:after="60"/>
      </w:pPr>
      <w:bookmarkStart w:id="466" w:name="_Toc405447490"/>
      <w:bookmarkStart w:id="467" w:name="_Toc417554835"/>
      <w:bookmarkStart w:id="468" w:name="_Toc436750576"/>
      <w:bookmarkStart w:id="469" w:name="_Toc440387899"/>
      <w:r w:rsidRPr="00DC4C78">
        <w:t xml:space="preserve">Figure 79: </w:t>
      </w:r>
      <w:r>
        <w:t xml:space="preserve">Children with </w:t>
      </w:r>
      <w:r w:rsidRPr="00DC4C78">
        <w:t>PEDS Pathway A referred, total New Zealand</w:t>
      </w:r>
      <w:bookmarkEnd w:id="466"/>
      <w:bookmarkEnd w:id="467"/>
      <w:bookmarkEnd w:id="468"/>
      <w:bookmarkEnd w:id="469"/>
    </w:p>
    <w:p w:rsidR="00C30B65" w:rsidRPr="00DC4C78" w:rsidRDefault="00B6022B" w:rsidP="00B6022B">
      <w:r>
        <w:rPr>
          <w:noProof/>
          <w:lang w:eastAsia="en-NZ"/>
        </w:rPr>
        <w:drawing>
          <wp:inline distT="0" distB="0" distL="0" distR="0" wp14:anchorId="29A759D3">
            <wp:extent cx="4320000" cy="2520000"/>
            <wp:effectExtent l="0" t="0" r="4445" b="0"/>
            <wp:docPr id="121" name="Picture 121" title="Figure 79: Children with PEDS Pathway A referred, total New Zeala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inline>
        </w:drawing>
      </w:r>
    </w:p>
    <w:p w:rsidR="00C30B65" w:rsidRPr="00DC4C78" w:rsidRDefault="00C30B65" w:rsidP="00C30B65"/>
    <w:p w:rsidR="00C30B65" w:rsidRPr="00DC4C78" w:rsidRDefault="00C30B65" w:rsidP="00B6022B">
      <w:pPr>
        <w:pStyle w:val="Figure"/>
        <w:spacing w:before="0" w:after="60"/>
      </w:pPr>
      <w:bookmarkStart w:id="470" w:name="_Toc405447491"/>
      <w:bookmarkStart w:id="471" w:name="_Toc417554836"/>
      <w:bookmarkStart w:id="472" w:name="_Toc436750577"/>
      <w:bookmarkStart w:id="473" w:name="_Toc440387900"/>
      <w:r w:rsidRPr="00DC4C78">
        <w:t xml:space="preserve">Figure 80: </w:t>
      </w:r>
      <w:r>
        <w:t xml:space="preserve">Children with </w:t>
      </w:r>
      <w:r w:rsidRPr="00DC4C78">
        <w:t>PEDS Pathway A referred, high deprivation</w:t>
      </w:r>
      <w:bookmarkEnd w:id="470"/>
      <w:bookmarkEnd w:id="471"/>
      <w:bookmarkEnd w:id="472"/>
      <w:r>
        <w:t xml:space="preserve"> population</w:t>
      </w:r>
      <w:bookmarkEnd w:id="473"/>
    </w:p>
    <w:p w:rsidR="00C30B65" w:rsidRDefault="00B6022B" w:rsidP="00B6022B">
      <w:r>
        <w:rPr>
          <w:noProof/>
          <w:lang w:eastAsia="en-NZ"/>
        </w:rPr>
        <w:drawing>
          <wp:inline distT="0" distB="0" distL="0" distR="0" wp14:anchorId="25DC9A95">
            <wp:extent cx="4320000" cy="2520000"/>
            <wp:effectExtent l="0" t="0" r="4445" b="0"/>
            <wp:docPr id="122" name="Picture 122" title="Figure 80: Children with PEDS Pathway A referred, high deprivation popul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inline>
        </w:drawing>
      </w:r>
    </w:p>
    <w:p w:rsidR="00C30B65" w:rsidRPr="00DC4C78" w:rsidRDefault="00C30B65" w:rsidP="006E15EF">
      <w:pPr>
        <w:pStyle w:val="Figure"/>
        <w:spacing w:before="360"/>
      </w:pPr>
      <w:bookmarkStart w:id="474" w:name="_Toc405447492"/>
      <w:bookmarkStart w:id="475" w:name="_Toc417554837"/>
      <w:bookmarkStart w:id="476" w:name="_Toc436750578"/>
      <w:bookmarkStart w:id="477" w:name="_Toc440387901"/>
      <w:r w:rsidRPr="00DC4C78">
        <w:lastRenderedPageBreak/>
        <w:t xml:space="preserve">Figure 81: </w:t>
      </w:r>
      <w:r>
        <w:t xml:space="preserve">Children with </w:t>
      </w:r>
      <w:r w:rsidRPr="00DC4C78">
        <w:t>PEDS Pathway A referred, Māori</w:t>
      </w:r>
      <w:bookmarkEnd w:id="474"/>
      <w:bookmarkEnd w:id="475"/>
      <w:bookmarkEnd w:id="476"/>
      <w:bookmarkEnd w:id="477"/>
    </w:p>
    <w:p w:rsidR="00C30B65" w:rsidRPr="00DC4C78" w:rsidRDefault="00B6022B" w:rsidP="00B6022B">
      <w:r>
        <w:rPr>
          <w:noProof/>
          <w:lang w:eastAsia="en-NZ"/>
        </w:rPr>
        <w:drawing>
          <wp:inline distT="0" distB="0" distL="0" distR="0" wp14:anchorId="55164C2B">
            <wp:extent cx="4320000" cy="2520000"/>
            <wp:effectExtent l="0" t="0" r="4445" b="0"/>
            <wp:docPr id="123" name="Picture 123" title="Figure 81: Children with PEDS Pathway A referred, Māor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inline>
        </w:drawing>
      </w:r>
    </w:p>
    <w:p w:rsidR="00C30B65" w:rsidRPr="00DC4C78" w:rsidRDefault="00C30B65" w:rsidP="00C30B65"/>
    <w:p w:rsidR="00C30B65" w:rsidRPr="00DC4C78" w:rsidRDefault="00C30B65" w:rsidP="00C30B65">
      <w:pPr>
        <w:pStyle w:val="Figure"/>
      </w:pPr>
      <w:bookmarkStart w:id="478" w:name="_Toc405447493"/>
      <w:bookmarkStart w:id="479" w:name="_Toc417554838"/>
      <w:bookmarkStart w:id="480" w:name="_Toc436750579"/>
      <w:bookmarkStart w:id="481" w:name="_Toc440387902"/>
      <w:r w:rsidRPr="00DC4C78">
        <w:t xml:space="preserve">Figure 82: </w:t>
      </w:r>
      <w:r>
        <w:t xml:space="preserve">Children with </w:t>
      </w:r>
      <w:r w:rsidRPr="00DC4C78">
        <w:t>PEDS Pathway A referred, Pacific peoples</w:t>
      </w:r>
      <w:bookmarkEnd w:id="478"/>
      <w:bookmarkEnd w:id="479"/>
      <w:bookmarkEnd w:id="480"/>
      <w:bookmarkEnd w:id="481"/>
    </w:p>
    <w:p w:rsidR="00C30B65" w:rsidRPr="00DC4C78" w:rsidRDefault="00B6022B" w:rsidP="00B6022B">
      <w:r>
        <w:rPr>
          <w:noProof/>
          <w:lang w:eastAsia="en-NZ"/>
        </w:rPr>
        <w:drawing>
          <wp:inline distT="0" distB="0" distL="0" distR="0" wp14:anchorId="2DC64841">
            <wp:extent cx="4320000" cy="2520000"/>
            <wp:effectExtent l="0" t="0" r="4445" b="0"/>
            <wp:docPr id="124" name="Picture 124" title="Figure 82: Children with PEDS Pathway A referred, Pacific peop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inline>
        </w:drawing>
      </w:r>
    </w:p>
    <w:p w:rsidR="00C30B65" w:rsidRPr="00DC4C78" w:rsidRDefault="00C30B65" w:rsidP="00C30B65"/>
    <w:p w:rsidR="00C30B65" w:rsidRPr="00DC4C78" w:rsidRDefault="00C30B65" w:rsidP="00C30B65">
      <w:pPr>
        <w:pStyle w:val="Heading3"/>
      </w:pPr>
      <w:r w:rsidRPr="00DC4C78">
        <w:t>Data notes</w:t>
      </w:r>
    </w:p>
    <w:p w:rsidR="00C30B65" w:rsidRPr="00DC4C78" w:rsidRDefault="00C30B65" w:rsidP="00C30B65">
      <w:pPr>
        <w:pStyle w:val="Bullet"/>
      </w:pPr>
      <w:r w:rsidRPr="00DC4C78">
        <w:t xml:space="preserve">The stacked bar shows rate of referral excluding </w:t>
      </w:r>
      <w:r w:rsidR="00700141">
        <w:t>‘</w:t>
      </w:r>
      <w:r w:rsidRPr="00DC4C78">
        <w:t>advice given</w:t>
      </w:r>
      <w:r w:rsidR="00700141">
        <w:t>’</w:t>
      </w:r>
      <w:r w:rsidRPr="00DC4C78">
        <w:t xml:space="preserve"> (dark grey section) and rate of referral including </w:t>
      </w:r>
      <w:r w:rsidR="00700141">
        <w:t>‘</w:t>
      </w:r>
      <w:r w:rsidRPr="00DC4C78">
        <w:t>advice given</w:t>
      </w:r>
      <w:r w:rsidR="00700141">
        <w:t>’</w:t>
      </w:r>
      <w:r w:rsidRPr="00DC4C78">
        <w:t xml:space="preserve"> (dark grey plus light grey sections).</w:t>
      </w:r>
    </w:p>
    <w:p w:rsidR="00C30B65" w:rsidRPr="00DC4C78" w:rsidRDefault="00C30B65" w:rsidP="00C30B65">
      <w:pPr>
        <w:pStyle w:val="Bullet"/>
      </w:pPr>
      <w:r w:rsidRPr="00DC4C78">
        <w:t>No bar on graph = no children with PEDS Pathway A for that population.</w:t>
      </w:r>
    </w:p>
    <w:p w:rsidR="00C30B65" w:rsidRPr="00DC4C78" w:rsidRDefault="00C30B65" w:rsidP="00C30B65">
      <w:pPr>
        <w:pStyle w:val="Bullet"/>
      </w:pPr>
      <w:r w:rsidRPr="00DC4C78">
        <w:t>Time period: children receiving a B4 School Check between 1 January 2015 and 30 June 2015.</w:t>
      </w:r>
    </w:p>
    <w:p w:rsidR="00C30B65" w:rsidRPr="00DC4C78" w:rsidRDefault="00C30B65" w:rsidP="00C30B65">
      <w:pPr>
        <w:pStyle w:val="Bullet"/>
      </w:pPr>
      <w:r w:rsidRPr="00DC4C78">
        <w:t>DHB is DHB of service.</w:t>
      </w:r>
    </w:p>
    <w:p w:rsidR="00C30B65" w:rsidRPr="00DC4C78" w:rsidRDefault="00C30B65" w:rsidP="00C30B65">
      <w:pPr>
        <w:pStyle w:val="Bullet"/>
      </w:pPr>
      <w:r w:rsidRPr="00DC4C78">
        <w:t>Numerator: number of children assessed as PEDS Pathway A referred (source: B4 School Check).</w:t>
      </w:r>
    </w:p>
    <w:p w:rsidR="00C30B65" w:rsidRPr="00DC4C78" w:rsidRDefault="00C30B65" w:rsidP="00C30B65">
      <w:pPr>
        <w:pStyle w:val="Bullet"/>
      </w:pPr>
      <w:r w:rsidRPr="00DC4C78">
        <w:t xml:space="preserve">Denominator: number of children assessed as PEDS Pathway </w:t>
      </w:r>
      <w:proofErr w:type="gramStart"/>
      <w:r w:rsidRPr="00DC4C78">
        <w:t>A</w:t>
      </w:r>
      <w:proofErr w:type="gramEnd"/>
      <w:r w:rsidRPr="00DC4C78">
        <w:t xml:space="preserve"> (excluding those already under care) (source: B4 School Check).</w:t>
      </w:r>
    </w:p>
    <w:p w:rsidR="00C30B65" w:rsidRPr="00DC4C78" w:rsidRDefault="00C30B65" w:rsidP="00C30B65"/>
    <w:p w:rsidR="00C30B65" w:rsidRPr="00DC4C78" w:rsidRDefault="00C30B65" w:rsidP="00C30B65">
      <w:pPr>
        <w:pStyle w:val="Heading2"/>
      </w:pPr>
      <w:bookmarkStart w:id="482" w:name="_Toc365618468"/>
      <w:bookmarkStart w:id="483" w:name="_Toc405453791"/>
      <w:bookmarkStart w:id="484" w:name="_Toc418322800"/>
      <w:bookmarkStart w:id="485" w:name="_Toc419099469"/>
      <w:bookmarkStart w:id="486" w:name="_Toc440387815"/>
      <w:r w:rsidRPr="00DC4C78">
        <w:lastRenderedPageBreak/>
        <w:t>WCTO Quality Improvement Framework Indicator 24</w:t>
      </w:r>
      <w:bookmarkEnd w:id="482"/>
      <w:bookmarkEnd w:id="483"/>
      <w:bookmarkEnd w:id="484"/>
      <w:bookmarkEnd w:id="485"/>
      <w:bookmarkEnd w:id="486"/>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418"/>
        <w:gridCol w:w="7938"/>
      </w:tblGrid>
      <w:tr w:rsidR="00C30B65" w:rsidRPr="00DC4C78" w:rsidTr="00372CD0">
        <w:trPr>
          <w:cantSplit/>
        </w:trPr>
        <w:tc>
          <w:tcPr>
            <w:tcW w:w="1418" w:type="dxa"/>
            <w:tcBorders>
              <w:top w:val="single" w:sz="4" w:space="0" w:color="auto"/>
              <w:bottom w:val="nil"/>
            </w:tcBorders>
            <w:shd w:val="clear" w:color="auto" w:fill="F2F2F2"/>
          </w:tcPr>
          <w:p w:rsidR="00C30B65" w:rsidRPr="00DC4C78" w:rsidRDefault="00C30B65" w:rsidP="00372CD0">
            <w:pPr>
              <w:pStyle w:val="TableText"/>
              <w:keepNext/>
              <w:spacing w:before="50" w:after="50"/>
              <w:rPr>
                <w:b/>
              </w:rPr>
            </w:pPr>
            <w:r w:rsidRPr="00DC4C78">
              <w:rPr>
                <w:b/>
              </w:rPr>
              <w:t>Standard</w:t>
            </w:r>
          </w:p>
        </w:tc>
        <w:tc>
          <w:tcPr>
            <w:tcW w:w="7938" w:type="dxa"/>
            <w:tcBorders>
              <w:top w:val="single" w:sz="4" w:space="0" w:color="auto"/>
              <w:bottom w:val="nil"/>
            </w:tcBorders>
            <w:shd w:val="clear" w:color="auto" w:fill="F2F2F2"/>
          </w:tcPr>
          <w:p w:rsidR="00C30B65" w:rsidRPr="00372CD0" w:rsidRDefault="00C30B65" w:rsidP="00372CD0">
            <w:pPr>
              <w:pStyle w:val="TableText"/>
              <w:keepNext/>
              <w:spacing w:before="50" w:after="50"/>
              <w:rPr>
                <w:spacing w:val="-4"/>
              </w:rPr>
            </w:pPr>
            <w:r w:rsidRPr="00372CD0">
              <w:rPr>
                <w:spacing w:val="-4"/>
              </w:rPr>
              <w:t>WCTO providers deliver services in accordance with best practice (inappropriate variation is reduced).</w:t>
            </w:r>
          </w:p>
        </w:tc>
      </w:tr>
      <w:tr w:rsidR="00C30B65" w:rsidRPr="00DC4C78" w:rsidTr="00372CD0">
        <w:trPr>
          <w:cantSplit/>
        </w:trPr>
        <w:tc>
          <w:tcPr>
            <w:tcW w:w="1418" w:type="dxa"/>
            <w:tcBorders>
              <w:top w:val="nil"/>
              <w:bottom w:val="nil"/>
            </w:tcBorders>
            <w:shd w:val="clear" w:color="auto" w:fill="auto"/>
          </w:tcPr>
          <w:p w:rsidR="00C30B65" w:rsidRPr="00DC4C78" w:rsidRDefault="00C30B65" w:rsidP="00372CD0">
            <w:pPr>
              <w:pStyle w:val="TableText"/>
              <w:keepNext/>
              <w:spacing w:before="50" w:after="50"/>
              <w:rPr>
                <w:b/>
              </w:rPr>
            </w:pPr>
            <w:r w:rsidRPr="00DC4C78">
              <w:rPr>
                <w:b/>
              </w:rPr>
              <w:t>Indicator</w:t>
            </w:r>
          </w:p>
        </w:tc>
        <w:tc>
          <w:tcPr>
            <w:tcW w:w="7938" w:type="dxa"/>
            <w:tcBorders>
              <w:top w:val="nil"/>
              <w:bottom w:val="nil"/>
            </w:tcBorders>
          </w:tcPr>
          <w:p w:rsidR="00C30B65" w:rsidRPr="00DC4C78" w:rsidRDefault="00C30B65" w:rsidP="00372CD0">
            <w:pPr>
              <w:pStyle w:val="TableText"/>
              <w:keepNext/>
              <w:spacing w:before="50" w:after="50"/>
            </w:pPr>
            <w:r w:rsidRPr="00DC4C78">
              <w:t xml:space="preserve">Children with a Lift the Lip </w:t>
            </w:r>
            <w:r>
              <w:t xml:space="preserve">(oral health) </w:t>
            </w:r>
            <w:r w:rsidRPr="00DC4C78">
              <w:t>score of 2–6 at the B4 School Check are referred to specialist services.</w:t>
            </w:r>
          </w:p>
        </w:tc>
      </w:tr>
      <w:tr w:rsidR="00C30B65" w:rsidRPr="00DC4C78" w:rsidTr="00372CD0">
        <w:trPr>
          <w:cantSplit/>
        </w:trPr>
        <w:tc>
          <w:tcPr>
            <w:tcW w:w="1418" w:type="dxa"/>
            <w:tcBorders>
              <w:top w:val="nil"/>
              <w:bottom w:val="nil"/>
            </w:tcBorders>
            <w:shd w:val="clear" w:color="auto" w:fill="F2F2F2"/>
          </w:tcPr>
          <w:p w:rsidR="00C30B65" w:rsidRPr="00DC4C78" w:rsidRDefault="00C30B65" w:rsidP="00372CD0">
            <w:pPr>
              <w:pStyle w:val="TableText"/>
              <w:spacing w:before="50" w:after="50"/>
              <w:rPr>
                <w:b/>
              </w:rPr>
            </w:pPr>
            <w:r w:rsidRPr="00DC4C78">
              <w:rPr>
                <w:b/>
              </w:rPr>
              <w:t xml:space="preserve">Target by </w:t>
            </w:r>
            <w:r w:rsidRPr="00372CD0">
              <w:rPr>
                <w:rFonts w:ascii="Arial Bold" w:hAnsi="Arial Bold"/>
                <w:b/>
                <w:spacing w:val="-4"/>
              </w:rPr>
              <w:t>December 2014</w:t>
            </w:r>
          </w:p>
        </w:tc>
        <w:tc>
          <w:tcPr>
            <w:tcW w:w="7938" w:type="dxa"/>
            <w:tcBorders>
              <w:top w:val="nil"/>
              <w:bottom w:val="nil"/>
            </w:tcBorders>
            <w:shd w:val="clear" w:color="auto" w:fill="F2F2F2"/>
          </w:tcPr>
          <w:p w:rsidR="00C30B65" w:rsidRPr="00DC4C78" w:rsidRDefault="00C30B65" w:rsidP="00372CD0">
            <w:pPr>
              <w:pStyle w:val="TableText"/>
              <w:spacing w:before="50" w:after="50"/>
            </w:pPr>
            <w:r w:rsidRPr="00DC4C78">
              <w:t>86 percent</w:t>
            </w:r>
          </w:p>
        </w:tc>
      </w:tr>
      <w:tr w:rsidR="00C30B65" w:rsidRPr="00DC4C78" w:rsidTr="00372CD0">
        <w:trPr>
          <w:cantSplit/>
        </w:trPr>
        <w:tc>
          <w:tcPr>
            <w:tcW w:w="1418" w:type="dxa"/>
            <w:tcBorders>
              <w:top w:val="nil"/>
            </w:tcBorders>
            <w:shd w:val="clear" w:color="auto" w:fill="auto"/>
          </w:tcPr>
          <w:p w:rsidR="00C30B65" w:rsidRPr="00DC4C78" w:rsidRDefault="00C30B65" w:rsidP="00372CD0">
            <w:pPr>
              <w:pStyle w:val="TableText"/>
              <w:spacing w:before="50" w:after="50"/>
              <w:rPr>
                <w:b/>
              </w:rPr>
            </w:pPr>
            <w:r w:rsidRPr="00DC4C78">
              <w:rPr>
                <w:b/>
              </w:rPr>
              <w:t>Target by June 2016</w:t>
            </w:r>
          </w:p>
        </w:tc>
        <w:tc>
          <w:tcPr>
            <w:tcW w:w="7938" w:type="dxa"/>
            <w:tcBorders>
              <w:top w:val="nil"/>
            </w:tcBorders>
          </w:tcPr>
          <w:p w:rsidR="00C30B65" w:rsidRPr="00DC4C78" w:rsidRDefault="00C30B65" w:rsidP="00372CD0">
            <w:pPr>
              <w:pStyle w:val="TableText"/>
              <w:spacing w:before="50" w:after="50"/>
            </w:pPr>
            <w:r w:rsidRPr="00DC4C78">
              <w:t>95 percent</w:t>
            </w:r>
          </w:p>
        </w:tc>
      </w:tr>
    </w:tbl>
    <w:p w:rsidR="00C30B65" w:rsidRPr="00DC4C78" w:rsidRDefault="00C30B65" w:rsidP="00C30B65"/>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93"/>
        <w:gridCol w:w="1843"/>
        <w:gridCol w:w="1701"/>
        <w:gridCol w:w="1458"/>
        <w:gridCol w:w="1660"/>
      </w:tblGrid>
      <w:tr w:rsidR="00C30B65" w:rsidRPr="00DC4C78" w:rsidTr="00C30B65">
        <w:trPr>
          <w:cantSplit/>
        </w:trPr>
        <w:tc>
          <w:tcPr>
            <w:tcW w:w="1439" w:type="pct"/>
            <w:tcBorders>
              <w:bottom w:val="single" w:sz="4" w:space="0" w:color="auto"/>
            </w:tcBorders>
            <w:shd w:val="clear" w:color="auto" w:fill="F2F2F2"/>
          </w:tcPr>
          <w:p w:rsidR="00C30B65" w:rsidRPr="00DC4C78" w:rsidRDefault="00C30B65" w:rsidP="00372CD0">
            <w:pPr>
              <w:pStyle w:val="TableText"/>
              <w:spacing w:before="50" w:after="50"/>
              <w:rPr>
                <w:b/>
              </w:rPr>
            </w:pPr>
          </w:p>
        </w:tc>
        <w:tc>
          <w:tcPr>
            <w:tcW w:w="985" w:type="pct"/>
            <w:tcBorders>
              <w:bottom w:val="single" w:sz="4" w:space="0" w:color="auto"/>
            </w:tcBorders>
            <w:shd w:val="clear" w:color="auto" w:fill="F2F2F2"/>
          </w:tcPr>
          <w:p w:rsidR="00C30B65" w:rsidRPr="00DC4C78" w:rsidRDefault="00C30B65" w:rsidP="00372CD0">
            <w:pPr>
              <w:pStyle w:val="TableText"/>
              <w:spacing w:before="50" w:after="50"/>
              <w:jc w:val="center"/>
              <w:rPr>
                <w:b/>
              </w:rPr>
            </w:pPr>
            <w:r w:rsidRPr="00DC4C78">
              <w:rPr>
                <w:b/>
              </w:rPr>
              <w:t>Total New Zealand</w:t>
            </w:r>
          </w:p>
        </w:tc>
        <w:tc>
          <w:tcPr>
            <w:tcW w:w="909" w:type="pct"/>
            <w:tcBorders>
              <w:bottom w:val="single" w:sz="4" w:space="0" w:color="auto"/>
            </w:tcBorders>
            <w:shd w:val="clear" w:color="auto" w:fill="F2F2F2"/>
          </w:tcPr>
          <w:p w:rsidR="00C30B65" w:rsidRPr="00DC4C78" w:rsidRDefault="00C30B65" w:rsidP="00372CD0">
            <w:pPr>
              <w:pStyle w:val="TableText"/>
              <w:spacing w:before="50" w:after="50"/>
              <w:jc w:val="center"/>
              <w:rPr>
                <w:b/>
              </w:rPr>
            </w:pPr>
            <w:r w:rsidRPr="00DC4C78">
              <w:rPr>
                <w:b/>
              </w:rPr>
              <w:t>High deprivation</w:t>
            </w:r>
          </w:p>
        </w:tc>
        <w:tc>
          <w:tcPr>
            <w:tcW w:w="779" w:type="pct"/>
            <w:tcBorders>
              <w:bottom w:val="single" w:sz="4" w:space="0" w:color="auto"/>
            </w:tcBorders>
            <w:shd w:val="clear" w:color="auto" w:fill="F2F2F2"/>
          </w:tcPr>
          <w:p w:rsidR="00C30B65" w:rsidRPr="00DC4C78" w:rsidRDefault="00C30B65" w:rsidP="00372CD0">
            <w:pPr>
              <w:pStyle w:val="TableText"/>
              <w:spacing w:before="50" w:after="50"/>
              <w:jc w:val="center"/>
              <w:rPr>
                <w:b/>
              </w:rPr>
            </w:pPr>
            <w:r w:rsidRPr="00DC4C78">
              <w:rPr>
                <w:b/>
              </w:rPr>
              <w:t>Māori</w:t>
            </w:r>
          </w:p>
        </w:tc>
        <w:tc>
          <w:tcPr>
            <w:tcW w:w="887" w:type="pct"/>
            <w:tcBorders>
              <w:bottom w:val="single" w:sz="4" w:space="0" w:color="auto"/>
            </w:tcBorders>
            <w:shd w:val="clear" w:color="auto" w:fill="F2F2F2"/>
          </w:tcPr>
          <w:p w:rsidR="00C30B65" w:rsidRPr="00DC4C78" w:rsidRDefault="00C30B65" w:rsidP="00372CD0">
            <w:pPr>
              <w:pStyle w:val="TableText"/>
              <w:spacing w:before="50" w:after="50"/>
              <w:jc w:val="center"/>
              <w:rPr>
                <w:b/>
              </w:rPr>
            </w:pPr>
            <w:r w:rsidRPr="00DC4C78">
              <w:rPr>
                <w:b/>
              </w:rPr>
              <w:t>Pacific peoples</w:t>
            </w:r>
          </w:p>
        </w:tc>
      </w:tr>
      <w:tr w:rsidR="00C30B65" w:rsidRPr="00DC4C78" w:rsidTr="00C30B65">
        <w:trPr>
          <w:cantSplit/>
        </w:trPr>
        <w:tc>
          <w:tcPr>
            <w:tcW w:w="1439" w:type="pct"/>
            <w:tcBorders>
              <w:top w:val="single" w:sz="4" w:space="0" w:color="BFBFBF"/>
              <w:bottom w:val="single" w:sz="4" w:space="0" w:color="A6A6A6"/>
            </w:tcBorders>
            <w:shd w:val="clear" w:color="auto" w:fill="auto"/>
          </w:tcPr>
          <w:p w:rsidR="00C30B65" w:rsidRPr="00DC4C78" w:rsidRDefault="00C30B65" w:rsidP="00372CD0">
            <w:pPr>
              <w:pStyle w:val="TableText"/>
              <w:spacing w:before="50" w:after="50"/>
            </w:pPr>
            <w:r w:rsidRPr="00DC4C78">
              <w:t>September 2015 mean –</w:t>
            </w:r>
            <w:r w:rsidRPr="00DC4C78">
              <w:br/>
            </w:r>
            <w:r>
              <w:t xml:space="preserve">advice or referral </w:t>
            </w:r>
          </w:p>
        </w:tc>
        <w:tc>
          <w:tcPr>
            <w:tcW w:w="985" w:type="pct"/>
            <w:tcBorders>
              <w:top w:val="single" w:sz="4" w:space="0" w:color="BFBFBF"/>
              <w:bottom w:val="single" w:sz="4" w:space="0" w:color="A6A6A6"/>
            </w:tcBorders>
            <w:shd w:val="clear" w:color="auto" w:fill="auto"/>
            <w:vAlign w:val="center"/>
          </w:tcPr>
          <w:p w:rsidR="00C30B65" w:rsidRPr="00DC4C78" w:rsidRDefault="00C30B65" w:rsidP="00372CD0">
            <w:pPr>
              <w:pStyle w:val="TableText"/>
              <w:spacing w:before="50" w:after="50"/>
              <w:jc w:val="center"/>
              <w:rPr>
                <w:rFonts w:cs="Arial"/>
              </w:rPr>
            </w:pPr>
            <w:r w:rsidRPr="00DC4C78">
              <w:rPr>
                <w:rFonts w:cs="Arial"/>
              </w:rPr>
              <w:t>100%</w:t>
            </w:r>
          </w:p>
        </w:tc>
        <w:tc>
          <w:tcPr>
            <w:tcW w:w="909" w:type="pct"/>
            <w:tcBorders>
              <w:top w:val="single" w:sz="4" w:space="0" w:color="BFBFBF"/>
              <w:bottom w:val="single" w:sz="4" w:space="0" w:color="A6A6A6"/>
            </w:tcBorders>
            <w:shd w:val="clear" w:color="auto" w:fill="auto"/>
            <w:vAlign w:val="center"/>
          </w:tcPr>
          <w:p w:rsidR="00C30B65" w:rsidRPr="00DC4C78" w:rsidRDefault="00C30B65" w:rsidP="00372CD0">
            <w:pPr>
              <w:spacing w:before="50" w:after="50"/>
              <w:jc w:val="center"/>
              <w:rPr>
                <w:rFonts w:ascii="Arial" w:hAnsi="Arial" w:cs="Arial"/>
                <w:sz w:val="18"/>
              </w:rPr>
            </w:pPr>
            <w:r w:rsidRPr="00DC4C78">
              <w:rPr>
                <w:rFonts w:ascii="Arial" w:hAnsi="Arial" w:cs="Arial"/>
                <w:sz w:val="18"/>
              </w:rPr>
              <w:t>100%</w:t>
            </w:r>
          </w:p>
        </w:tc>
        <w:tc>
          <w:tcPr>
            <w:tcW w:w="779" w:type="pct"/>
            <w:tcBorders>
              <w:top w:val="single" w:sz="4" w:space="0" w:color="BFBFBF"/>
              <w:bottom w:val="single" w:sz="4" w:space="0" w:color="A6A6A6"/>
            </w:tcBorders>
            <w:shd w:val="clear" w:color="auto" w:fill="auto"/>
            <w:vAlign w:val="center"/>
          </w:tcPr>
          <w:p w:rsidR="00C30B65" w:rsidRPr="00DC4C78" w:rsidRDefault="00C30B65" w:rsidP="00372CD0">
            <w:pPr>
              <w:spacing w:before="50" w:after="50"/>
              <w:jc w:val="center"/>
              <w:rPr>
                <w:rFonts w:ascii="Arial" w:hAnsi="Arial" w:cs="Arial"/>
                <w:sz w:val="18"/>
              </w:rPr>
            </w:pPr>
            <w:r w:rsidRPr="00DC4C78">
              <w:rPr>
                <w:rFonts w:ascii="Arial" w:hAnsi="Arial" w:cs="Arial"/>
                <w:sz w:val="18"/>
              </w:rPr>
              <w:t>100%</w:t>
            </w:r>
          </w:p>
        </w:tc>
        <w:tc>
          <w:tcPr>
            <w:tcW w:w="887" w:type="pct"/>
            <w:tcBorders>
              <w:top w:val="single" w:sz="4" w:space="0" w:color="BFBFBF"/>
              <w:bottom w:val="single" w:sz="4" w:space="0" w:color="A6A6A6"/>
            </w:tcBorders>
            <w:shd w:val="clear" w:color="auto" w:fill="auto"/>
            <w:vAlign w:val="center"/>
          </w:tcPr>
          <w:p w:rsidR="00C30B65" w:rsidRPr="00DC4C78" w:rsidRDefault="00C30B65" w:rsidP="00372CD0">
            <w:pPr>
              <w:spacing w:before="50" w:after="50"/>
              <w:jc w:val="center"/>
              <w:rPr>
                <w:rFonts w:ascii="Arial" w:hAnsi="Arial" w:cs="Arial"/>
                <w:sz w:val="18"/>
              </w:rPr>
            </w:pPr>
            <w:r w:rsidRPr="00DC4C78">
              <w:rPr>
                <w:rFonts w:ascii="Arial" w:hAnsi="Arial" w:cs="Arial"/>
                <w:sz w:val="18"/>
              </w:rPr>
              <w:t>100%</w:t>
            </w:r>
          </w:p>
        </w:tc>
      </w:tr>
      <w:tr w:rsidR="00C30B65" w:rsidRPr="00DC4C78" w:rsidTr="00C30B65">
        <w:trPr>
          <w:cantSplit/>
        </w:trPr>
        <w:tc>
          <w:tcPr>
            <w:tcW w:w="1439" w:type="pct"/>
            <w:tcBorders>
              <w:top w:val="single" w:sz="4" w:space="0" w:color="A6A6A6"/>
            </w:tcBorders>
            <w:shd w:val="clear" w:color="auto" w:fill="auto"/>
          </w:tcPr>
          <w:p w:rsidR="00C30B65" w:rsidRPr="00DC4C78" w:rsidRDefault="00C30B65" w:rsidP="00372CD0">
            <w:pPr>
              <w:pStyle w:val="TableText"/>
              <w:spacing w:before="50" w:after="50"/>
            </w:pPr>
            <w:r w:rsidRPr="00DC4C78">
              <w:t xml:space="preserve">September 2015 mean (range) – </w:t>
            </w:r>
            <w:r>
              <w:t>referral only</w:t>
            </w:r>
          </w:p>
        </w:tc>
        <w:tc>
          <w:tcPr>
            <w:tcW w:w="985" w:type="pct"/>
            <w:tcBorders>
              <w:top w:val="single" w:sz="4" w:space="0" w:color="A6A6A6"/>
            </w:tcBorders>
            <w:shd w:val="clear" w:color="auto" w:fill="auto"/>
            <w:vAlign w:val="center"/>
          </w:tcPr>
          <w:p w:rsidR="00C30B65" w:rsidRPr="00DC4C78" w:rsidRDefault="00C30B65" w:rsidP="00372CD0">
            <w:pPr>
              <w:spacing w:before="50" w:after="50"/>
              <w:jc w:val="center"/>
              <w:rPr>
                <w:rFonts w:ascii="Arial" w:hAnsi="Arial" w:cs="Arial"/>
                <w:sz w:val="18"/>
              </w:rPr>
            </w:pPr>
            <w:r w:rsidRPr="00DC4C78">
              <w:rPr>
                <w:rFonts w:ascii="Arial" w:hAnsi="Arial" w:cs="Arial"/>
                <w:sz w:val="18"/>
              </w:rPr>
              <w:t>100%</w:t>
            </w:r>
          </w:p>
        </w:tc>
        <w:tc>
          <w:tcPr>
            <w:tcW w:w="909" w:type="pct"/>
            <w:tcBorders>
              <w:top w:val="single" w:sz="4" w:space="0" w:color="A6A6A6"/>
            </w:tcBorders>
            <w:shd w:val="clear" w:color="auto" w:fill="auto"/>
            <w:vAlign w:val="center"/>
          </w:tcPr>
          <w:p w:rsidR="00C30B65" w:rsidRPr="00DC4C78" w:rsidRDefault="00C30B65" w:rsidP="00372CD0">
            <w:pPr>
              <w:spacing w:before="50" w:after="50"/>
              <w:jc w:val="center"/>
              <w:rPr>
                <w:rFonts w:ascii="Arial" w:hAnsi="Arial" w:cs="Arial"/>
                <w:sz w:val="18"/>
              </w:rPr>
            </w:pPr>
            <w:r w:rsidRPr="00DC4C78">
              <w:rPr>
                <w:rFonts w:ascii="Arial" w:hAnsi="Arial" w:cs="Arial"/>
                <w:sz w:val="18"/>
              </w:rPr>
              <w:t>100%</w:t>
            </w:r>
          </w:p>
        </w:tc>
        <w:tc>
          <w:tcPr>
            <w:tcW w:w="779" w:type="pct"/>
            <w:tcBorders>
              <w:top w:val="single" w:sz="4" w:space="0" w:color="A6A6A6"/>
            </w:tcBorders>
            <w:shd w:val="clear" w:color="auto" w:fill="auto"/>
            <w:vAlign w:val="center"/>
          </w:tcPr>
          <w:p w:rsidR="00C30B65" w:rsidRPr="00DC4C78" w:rsidRDefault="00C30B65" w:rsidP="00372CD0">
            <w:pPr>
              <w:spacing w:before="50" w:after="50"/>
              <w:jc w:val="center"/>
              <w:rPr>
                <w:rFonts w:ascii="Arial" w:hAnsi="Arial" w:cs="Arial"/>
                <w:sz w:val="18"/>
              </w:rPr>
            </w:pPr>
            <w:r w:rsidRPr="00DC4C78">
              <w:rPr>
                <w:rFonts w:ascii="Arial" w:hAnsi="Arial" w:cs="Arial"/>
                <w:sz w:val="18"/>
              </w:rPr>
              <w:t>100%</w:t>
            </w:r>
          </w:p>
        </w:tc>
        <w:tc>
          <w:tcPr>
            <w:tcW w:w="887" w:type="pct"/>
            <w:tcBorders>
              <w:top w:val="single" w:sz="4" w:space="0" w:color="A6A6A6"/>
            </w:tcBorders>
            <w:shd w:val="clear" w:color="auto" w:fill="auto"/>
            <w:vAlign w:val="center"/>
          </w:tcPr>
          <w:p w:rsidR="00C30B65" w:rsidRPr="00DC4C78" w:rsidRDefault="00C30B65" w:rsidP="00372CD0">
            <w:pPr>
              <w:spacing w:before="50" w:after="50"/>
              <w:jc w:val="center"/>
              <w:rPr>
                <w:rFonts w:ascii="Arial" w:hAnsi="Arial" w:cs="Arial"/>
                <w:sz w:val="18"/>
              </w:rPr>
            </w:pPr>
            <w:r w:rsidRPr="00DC4C78">
              <w:rPr>
                <w:rFonts w:ascii="Arial" w:hAnsi="Arial" w:cs="Arial"/>
                <w:sz w:val="18"/>
              </w:rPr>
              <w:t>100%</w:t>
            </w:r>
          </w:p>
        </w:tc>
      </w:tr>
      <w:tr w:rsidR="00C30B65" w:rsidRPr="00DC4C78" w:rsidTr="00C30B65">
        <w:trPr>
          <w:cantSplit/>
        </w:trPr>
        <w:tc>
          <w:tcPr>
            <w:tcW w:w="1439" w:type="pct"/>
            <w:tcBorders>
              <w:top w:val="single" w:sz="4" w:space="0" w:color="BFBFBF"/>
              <w:bottom w:val="single" w:sz="4" w:space="0" w:color="A6A6A6"/>
            </w:tcBorders>
            <w:shd w:val="clear" w:color="auto" w:fill="auto"/>
          </w:tcPr>
          <w:p w:rsidR="00C30B65" w:rsidRPr="00DC4C78" w:rsidRDefault="00C30B65" w:rsidP="00372CD0">
            <w:pPr>
              <w:pStyle w:val="TableText"/>
              <w:spacing w:before="50" w:after="50"/>
            </w:pPr>
            <w:r w:rsidRPr="00DC4C78">
              <w:t>March 2015 mean –</w:t>
            </w:r>
            <w:r w:rsidRPr="00DC4C78">
              <w:br/>
            </w:r>
            <w:r>
              <w:t>advice or referral</w:t>
            </w:r>
          </w:p>
        </w:tc>
        <w:tc>
          <w:tcPr>
            <w:tcW w:w="985" w:type="pct"/>
            <w:tcBorders>
              <w:top w:val="single" w:sz="4" w:space="0" w:color="BFBFBF"/>
              <w:bottom w:val="single" w:sz="4" w:space="0" w:color="A6A6A6"/>
            </w:tcBorders>
            <w:shd w:val="clear" w:color="auto" w:fill="auto"/>
            <w:vAlign w:val="center"/>
          </w:tcPr>
          <w:p w:rsidR="00C30B65" w:rsidRPr="00DC4C78" w:rsidRDefault="00C30B65" w:rsidP="00372CD0">
            <w:pPr>
              <w:pStyle w:val="TableText"/>
              <w:spacing w:before="50" w:after="50"/>
              <w:jc w:val="center"/>
            </w:pPr>
            <w:r w:rsidRPr="00DC4C78">
              <w:t>99% (89–100)</w:t>
            </w:r>
          </w:p>
        </w:tc>
        <w:tc>
          <w:tcPr>
            <w:tcW w:w="909" w:type="pct"/>
            <w:tcBorders>
              <w:top w:val="single" w:sz="4" w:space="0" w:color="BFBFBF"/>
              <w:bottom w:val="single" w:sz="4" w:space="0" w:color="A6A6A6"/>
            </w:tcBorders>
            <w:shd w:val="clear" w:color="auto" w:fill="auto"/>
            <w:vAlign w:val="center"/>
          </w:tcPr>
          <w:p w:rsidR="00C30B65" w:rsidRPr="00DC4C78" w:rsidRDefault="00C30B65" w:rsidP="00372CD0">
            <w:pPr>
              <w:pStyle w:val="TableText"/>
              <w:spacing w:before="50" w:after="50"/>
              <w:jc w:val="center"/>
            </w:pPr>
            <w:r w:rsidRPr="00DC4C78">
              <w:t>99% (90–100)</w:t>
            </w:r>
          </w:p>
        </w:tc>
        <w:tc>
          <w:tcPr>
            <w:tcW w:w="779" w:type="pct"/>
            <w:tcBorders>
              <w:top w:val="single" w:sz="4" w:space="0" w:color="BFBFBF"/>
              <w:bottom w:val="single" w:sz="4" w:space="0" w:color="A6A6A6"/>
            </w:tcBorders>
            <w:shd w:val="clear" w:color="auto" w:fill="auto"/>
            <w:vAlign w:val="center"/>
          </w:tcPr>
          <w:p w:rsidR="00C30B65" w:rsidRPr="00DC4C78" w:rsidRDefault="00C30B65" w:rsidP="00372CD0">
            <w:pPr>
              <w:pStyle w:val="TableText"/>
              <w:spacing w:before="50" w:after="50"/>
              <w:jc w:val="center"/>
            </w:pPr>
            <w:r w:rsidRPr="00DC4C78">
              <w:t>97% (89–100)</w:t>
            </w:r>
          </w:p>
        </w:tc>
        <w:tc>
          <w:tcPr>
            <w:tcW w:w="887" w:type="pct"/>
            <w:tcBorders>
              <w:top w:val="single" w:sz="4" w:space="0" w:color="BFBFBF"/>
              <w:bottom w:val="single" w:sz="4" w:space="0" w:color="A6A6A6"/>
            </w:tcBorders>
            <w:shd w:val="clear" w:color="auto" w:fill="auto"/>
            <w:vAlign w:val="center"/>
          </w:tcPr>
          <w:p w:rsidR="00C30B65" w:rsidRPr="00DC4C78" w:rsidRDefault="00C30B65" w:rsidP="00372CD0">
            <w:pPr>
              <w:pStyle w:val="TableText"/>
              <w:spacing w:before="50" w:after="50"/>
              <w:jc w:val="center"/>
            </w:pPr>
            <w:r w:rsidRPr="00DC4C78">
              <w:t>99% (99–100)</w:t>
            </w:r>
          </w:p>
        </w:tc>
      </w:tr>
      <w:tr w:rsidR="00C30B65" w:rsidRPr="00DC4C78" w:rsidTr="00C30B65">
        <w:trPr>
          <w:cantSplit/>
        </w:trPr>
        <w:tc>
          <w:tcPr>
            <w:tcW w:w="1439" w:type="pct"/>
            <w:tcBorders>
              <w:top w:val="single" w:sz="4" w:space="0" w:color="A6A6A6"/>
            </w:tcBorders>
            <w:shd w:val="clear" w:color="auto" w:fill="auto"/>
          </w:tcPr>
          <w:p w:rsidR="00C30B65" w:rsidRPr="00DC4C78" w:rsidRDefault="00C30B65" w:rsidP="00372CD0">
            <w:pPr>
              <w:pStyle w:val="TableText"/>
              <w:spacing w:before="50" w:after="50"/>
            </w:pPr>
            <w:r w:rsidRPr="00DC4C78">
              <w:t xml:space="preserve">March 2015 mean (range) – </w:t>
            </w:r>
            <w:r>
              <w:t>referral only</w:t>
            </w:r>
          </w:p>
        </w:tc>
        <w:tc>
          <w:tcPr>
            <w:tcW w:w="985" w:type="pct"/>
            <w:tcBorders>
              <w:top w:val="single" w:sz="4" w:space="0" w:color="A6A6A6"/>
            </w:tcBorders>
            <w:shd w:val="clear" w:color="auto" w:fill="auto"/>
            <w:vAlign w:val="center"/>
          </w:tcPr>
          <w:p w:rsidR="00C30B65" w:rsidRPr="00DC4C78" w:rsidRDefault="00C30B65" w:rsidP="00372CD0">
            <w:pPr>
              <w:pStyle w:val="TableText"/>
              <w:spacing w:before="50" w:after="50"/>
              <w:jc w:val="center"/>
            </w:pPr>
            <w:r w:rsidRPr="00DC4C78">
              <w:t>99% (89–100)</w:t>
            </w:r>
          </w:p>
        </w:tc>
        <w:tc>
          <w:tcPr>
            <w:tcW w:w="909" w:type="pct"/>
            <w:tcBorders>
              <w:top w:val="single" w:sz="4" w:space="0" w:color="A6A6A6"/>
            </w:tcBorders>
            <w:shd w:val="clear" w:color="auto" w:fill="auto"/>
            <w:vAlign w:val="center"/>
          </w:tcPr>
          <w:p w:rsidR="00C30B65" w:rsidRPr="00DC4C78" w:rsidRDefault="00C30B65" w:rsidP="00372CD0">
            <w:pPr>
              <w:pStyle w:val="TableText"/>
              <w:spacing w:before="50" w:after="50"/>
              <w:jc w:val="center"/>
            </w:pPr>
            <w:r w:rsidRPr="00DC4C78">
              <w:t>99% (95–100)</w:t>
            </w:r>
          </w:p>
        </w:tc>
        <w:tc>
          <w:tcPr>
            <w:tcW w:w="779" w:type="pct"/>
            <w:tcBorders>
              <w:top w:val="single" w:sz="4" w:space="0" w:color="A6A6A6"/>
            </w:tcBorders>
            <w:shd w:val="clear" w:color="auto" w:fill="auto"/>
            <w:vAlign w:val="center"/>
          </w:tcPr>
          <w:p w:rsidR="00C30B65" w:rsidRPr="00DC4C78" w:rsidRDefault="00C30B65" w:rsidP="00372CD0">
            <w:pPr>
              <w:pStyle w:val="TableText"/>
              <w:spacing w:before="50" w:after="50"/>
              <w:jc w:val="center"/>
            </w:pPr>
            <w:r w:rsidRPr="00DC4C78">
              <w:t>99% (89–100)</w:t>
            </w:r>
          </w:p>
        </w:tc>
        <w:tc>
          <w:tcPr>
            <w:tcW w:w="887" w:type="pct"/>
            <w:tcBorders>
              <w:top w:val="single" w:sz="4" w:space="0" w:color="A6A6A6"/>
            </w:tcBorders>
            <w:shd w:val="clear" w:color="auto" w:fill="auto"/>
            <w:vAlign w:val="center"/>
          </w:tcPr>
          <w:p w:rsidR="00C30B65" w:rsidRPr="00DC4C78" w:rsidRDefault="00C30B65" w:rsidP="00372CD0">
            <w:pPr>
              <w:pStyle w:val="TableText"/>
              <w:spacing w:before="50" w:after="50"/>
              <w:jc w:val="center"/>
            </w:pPr>
            <w:r w:rsidRPr="00DC4C78">
              <w:t>99% (99–100)</w:t>
            </w:r>
          </w:p>
        </w:tc>
      </w:tr>
    </w:tbl>
    <w:p w:rsidR="00C30B65" w:rsidRPr="00DC4C78" w:rsidRDefault="00C30B65" w:rsidP="00C30B65">
      <w:bookmarkStart w:id="487" w:name="_Toc405447494"/>
      <w:bookmarkStart w:id="488" w:name="_Toc417554839"/>
    </w:p>
    <w:p w:rsidR="00C30B65" w:rsidRPr="00DC4C78" w:rsidRDefault="00C30B65" w:rsidP="00372CD0">
      <w:pPr>
        <w:pStyle w:val="Figure"/>
        <w:spacing w:before="0" w:after="30"/>
      </w:pPr>
      <w:bookmarkStart w:id="489" w:name="_Toc436750580"/>
      <w:bookmarkStart w:id="490" w:name="_Toc440387903"/>
      <w:r w:rsidRPr="00DC4C78">
        <w:t xml:space="preserve">Figure 83: Children with </w:t>
      </w:r>
      <w:r>
        <w:t>Lift the Lip</w:t>
      </w:r>
      <w:r w:rsidRPr="00DC4C78">
        <w:t xml:space="preserve"> score </w:t>
      </w:r>
      <w:r w:rsidRPr="002B625F">
        <w:t>of 2–6</w:t>
      </w:r>
      <w:r w:rsidR="00700141">
        <w:t xml:space="preserve"> </w:t>
      </w:r>
      <w:r w:rsidRPr="00DC4C78">
        <w:t>referred, total New Zealand</w:t>
      </w:r>
      <w:bookmarkEnd w:id="487"/>
      <w:bookmarkEnd w:id="488"/>
      <w:bookmarkEnd w:id="489"/>
      <w:bookmarkEnd w:id="490"/>
    </w:p>
    <w:p w:rsidR="00C30B65" w:rsidRPr="00DC4C78" w:rsidRDefault="00372CD0" w:rsidP="00372CD0">
      <w:r>
        <w:rPr>
          <w:noProof/>
          <w:lang w:eastAsia="en-NZ"/>
        </w:rPr>
        <w:drawing>
          <wp:inline distT="0" distB="0" distL="0" distR="0" wp14:anchorId="6CD48487">
            <wp:extent cx="4320000" cy="2520000"/>
            <wp:effectExtent l="0" t="0" r="4445" b="0"/>
            <wp:docPr id="125" name="Picture 125" title="Figure 83: Children with Lift the Lip score of 2–6 referred, total New Zeala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inline>
        </w:drawing>
      </w:r>
    </w:p>
    <w:p w:rsidR="00C30B65" w:rsidRPr="00DC4C78" w:rsidRDefault="00C30B65" w:rsidP="00C30B65"/>
    <w:p w:rsidR="00C30B65" w:rsidRPr="00DC4C78" w:rsidRDefault="00C30B65" w:rsidP="00372CD0">
      <w:pPr>
        <w:pStyle w:val="Figure"/>
        <w:spacing w:before="0" w:after="30"/>
      </w:pPr>
      <w:bookmarkStart w:id="491" w:name="_Toc405447495"/>
      <w:bookmarkStart w:id="492" w:name="_Toc417554840"/>
      <w:bookmarkStart w:id="493" w:name="_Toc436750581"/>
      <w:bookmarkStart w:id="494" w:name="_Toc440387904"/>
      <w:r w:rsidRPr="00DC4C78">
        <w:t xml:space="preserve">Figure 84: Children with </w:t>
      </w:r>
      <w:r>
        <w:t xml:space="preserve">Lift the Lip </w:t>
      </w:r>
      <w:r w:rsidRPr="00DC4C78">
        <w:t xml:space="preserve">score </w:t>
      </w:r>
      <w:r>
        <w:t xml:space="preserve">of 2–6 </w:t>
      </w:r>
      <w:r w:rsidRPr="00DC4C78">
        <w:t>referred, high deprivation</w:t>
      </w:r>
      <w:bookmarkEnd w:id="491"/>
      <w:bookmarkEnd w:id="492"/>
      <w:bookmarkEnd w:id="493"/>
      <w:r>
        <w:t xml:space="preserve"> population</w:t>
      </w:r>
      <w:bookmarkEnd w:id="494"/>
    </w:p>
    <w:p w:rsidR="00C30B65" w:rsidRDefault="00372CD0" w:rsidP="00372CD0">
      <w:r>
        <w:rPr>
          <w:noProof/>
          <w:lang w:eastAsia="en-NZ"/>
        </w:rPr>
        <w:drawing>
          <wp:inline distT="0" distB="0" distL="0" distR="0" wp14:anchorId="70DFFBC8">
            <wp:extent cx="4320000" cy="2520000"/>
            <wp:effectExtent l="0" t="0" r="4445" b="0"/>
            <wp:docPr id="126" name="Picture 126" descr="Figure 84: Children with Lift the Lip score of 2–6 referred, high deprivation popul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inline>
        </w:drawing>
      </w:r>
    </w:p>
    <w:p w:rsidR="00C30B65" w:rsidRPr="00DC4C78" w:rsidRDefault="00C30B65" w:rsidP="00A95EFC">
      <w:pPr>
        <w:pStyle w:val="Figure"/>
        <w:spacing w:before="360"/>
      </w:pPr>
      <w:bookmarkStart w:id="495" w:name="_Toc405447496"/>
      <w:bookmarkStart w:id="496" w:name="_Toc417554841"/>
      <w:bookmarkStart w:id="497" w:name="_Toc436750582"/>
      <w:bookmarkStart w:id="498" w:name="_Toc440387905"/>
      <w:r w:rsidRPr="00DC4C78">
        <w:lastRenderedPageBreak/>
        <w:t xml:space="preserve">Figure 85: Children with </w:t>
      </w:r>
      <w:r>
        <w:t xml:space="preserve">Lift the Lip </w:t>
      </w:r>
      <w:r w:rsidRPr="00DC4C78">
        <w:t xml:space="preserve">score </w:t>
      </w:r>
      <w:r>
        <w:t>of 2–6</w:t>
      </w:r>
      <w:r w:rsidRPr="00DC4C78">
        <w:t xml:space="preserve"> referred, Māori</w:t>
      </w:r>
      <w:bookmarkEnd w:id="495"/>
      <w:bookmarkEnd w:id="496"/>
      <w:bookmarkEnd w:id="497"/>
      <w:bookmarkEnd w:id="498"/>
    </w:p>
    <w:p w:rsidR="00C30B65" w:rsidRPr="00DC4C78" w:rsidRDefault="00372CD0" w:rsidP="00372CD0">
      <w:r>
        <w:rPr>
          <w:noProof/>
          <w:lang w:eastAsia="en-NZ"/>
        </w:rPr>
        <w:drawing>
          <wp:inline distT="0" distB="0" distL="0" distR="0" wp14:anchorId="3DBD9B85">
            <wp:extent cx="4320000" cy="2520000"/>
            <wp:effectExtent l="0" t="0" r="4445" b="0"/>
            <wp:docPr id="127" name="Picture 127" title="Figure 85: Children with Lift the Lip score of 2–6 referred, Māor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inline>
        </w:drawing>
      </w:r>
    </w:p>
    <w:p w:rsidR="00C30B65" w:rsidRPr="00DC4C78" w:rsidRDefault="00C30B65" w:rsidP="00C30B65"/>
    <w:p w:rsidR="00C30B65" w:rsidRPr="00DC4C78" w:rsidRDefault="00C30B65" w:rsidP="00C30B65">
      <w:pPr>
        <w:pStyle w:val="Figure"/>
      </w:pPr>
      <w:bookmarkStart w:id="499" w:name="_Toc405447497"/>
      <w:bookmarkStart w:id="500" w:name="_Toc417554842"/>
      <w:bookmarkStart w:id="501" w:name="_Toc436750583"/>
      <w:bookmarkStart w:id="502" w:name="_Toc440387906"/>
      <w:r w:rsidRPr="00DC4C78">
        <w:t xml:space="preserve">Figure 86: Children with </w:t>
      </w:r>
      <w:r>
        <w:t xml:space="preserve">Lift the Lip </w:t>
      </w:r>
      <w:r w:rsidRPr="00DC4C78">
        <w:t xml:space="preserve">score </w:t>
      </w:r>
      <w:r>
        <w:t xml:space="preserve">of 2–6 </w:t>
      </w:r>
      <w:r w:rsidRPr="00DC4C78">
        <w:t>referred, Pacific peoples</w:t>
      </w:r>
      <w:bookmarkEnd w:id="499"/>
      <w:bookmarkEnd w:id="500"/>
      <w:bookmarkEnd w:id="501"/>
      <w:bookmarkEnd w:id="502"/>
    </w:p>
    <w:p w:rsidR="00C30B65" w:rsidRPr="00DC4C78" w:rsidRDefault="00372CD0" w:rsidP="00372CD0">
      <w:r>
        <w:rPr>
          <w:noProof/>
          <w:lang w:eastAsia="en-NZ"/>
        </w:rPr>
        <w:drawing>
          <wp:inline distT="0" distB="0" distL="0" distR="0" wp14:anchorId="4028E4FF">
            <wp:extent cx="4320000" cy="2520000"/>
            <wp:effectExtent l="0" t="0" r="4445" b="0"/>
            <wp:docPr id="128" name="Picture 128" title="Figure 86: Children with Lift the Lip score of 2–6 referred, Pacific peop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inline>
        </w:drawing>
      </w:r>
    </w:p>
    <w:p w:rsidR="00C30B65" w:rsidRPr="00DC4C78" w:rsidRDefault="00C30B65" w:rsidP="00C30B65"/>
    <w:p w:rsidR="00C30B65" w:rsidRPr="00DC4C78" w:rsidRDefault="00C30B65" w:rsidP="00C30B65">
      <w:pPr>
        <w:pStyle w:val="Heading3"/>
      </w:pPr>
      <w:r w:rsidRPr="00DC4C78">
        <w:t>Data notes</w:t>
      </w:r>
    </w:p>
    <w:p w:rsidR="00C30B65" w:rsidRPr="00DC4C78" w:rsidRDefault="00C30B65" w:rsidP="00C30B65">
      <w:pPr>
        <w:pStyle w:val="Bullet"/>
      </w:pPr>
      <w:r w:rsidRPr="00DC4C78">
        <w:t xml:space="preserve">The stacked bar shows rate of referral excluding </w:t>
      </w:r>
      <w:r w:rsidR="00700141">
        <w:t>‘</w:t>
      </w:r>
      <w:r w:rsidRPr="00DC4C78">
        <w:t>advice given</w:t>
      </w:r>
      <w:r w:rsidR="00700141">
        <w:t>’</w:t>
      </w:r>
      <w:r w:rsidRPr="00DC4C78">
        <w:t xml:space="preserve"> (dark grey section) and rate of referral including </w:t>
      </w:r>
      <w:r w:rsidR="00700141">
        <w:t>‘</w:t>
      </w:r>
      <w:r w:rsidRPr="00DC4C78">
        <w:t>advice given</w:t>
      </w:r>
      <w:r w:rsidR="00700141">
        <w:t>’</w:t>
      </w:r>
      <w:r w:rsidRPr="00DC4C78">
        <w:t xml:space="preserve"> (dark grey plus light grey sections).</w:t>
      </w:r>
    </w:p>
    <w:p w:rsidR="00C30B65" w:rsidRPr="00DC4C78" w:rsidRDefault="00C30B65" w:rsidP="00C30B65">
      <w:pPr>
        <w:pStyle w:val="Bullet"/>
      </w:pPr>
      <w:r w:rsidRPr="00DC4C78">
        <w:t>No bar on graph = no children with LTL score 2–6 for that population.</w:t>
      </w:r>
    </w:p>
    <w:p w:rsidR="00C30B65" w:rsidRPr="00DC4C78" w:rsidRDefault="00C30B65" w:rsidP="00C30B65">
      <w:pPr>
        <w:pStyle w:val="Bullet"/>
      </w:pPr>
      <w:r w:rsidRPr="00DC4C78">
        <w:t>Time period: children receiving a B4 School Check between 1 January 2015 and 30 June 2015.</w:t>
      </w:r>
    </w:p>
    <w:p w:rsidR="00C30B65" w:rsidRPr="00DC4C78" w:rsidRDefault="00C30B65" w:rsidP="00C30B65">
      <w:pPr>
        <w:pStyle w:val="Bullet"/>
      </w:pPr>
      <w:r w:rsidRPr="00DC4C78">
        <w:t>DHB is DHB of service.</w:t>
      </w:r>
    </w:p>
    <w:p w:rsidR="00C30B65" w:rsidRPr="00DC4C78" w:rsidRDefault="00C30B65" w:rsidP="00C30B65">
      <w:pPr>
        <w:pStyle w:val="Bullet"/>
      </w:pPr>
      <w:r w:rsidRPr="00DC4C78">
        <w:t>Numerator: number of children with LTL score of 2–6 referred (B4 School Check).</w:t>
      </w:r>
    </w:p>
    <w:p w:rsidR="00C30B65" w:rsidRPr="00DC4C78" w:rsidRDefault="00C30B65" w:rsidP="00C30B65">
      <w:pPr>
        <w:pStyle w:val="Bullet"/>
      </w:pPr>
      <w:r w:rsidRPr="00DC4C78">
        <w:t>Denominator: number of children with LTL score of 2–6 (excluding those already under care) (B4 School Check).</w:t>
      </w:r>
    </w:p>
    <w:p w:rsidR="00C30B65" w:rsidRPr="00DC4C78" w:rsidRDefault="00C30B65" w:rsidP="00C30B65"/>
    <w:p w:rsidR="00C30B65" w:rsidRPr="00DC4C78" w:rsidRDefault="00C30B65" w:rsidP="00C30B65">
      <w:pPr>
        <w:pStyle w:val="Heading2"/>
        <w:spacing w:before="0"/>
      </w:pPr>
      <w:bookmarkStart w:id="503" w:name="_Toc365618469"/>
      <w:bookmarkStart w:id="504" w:name="_Toc405453792"/>
      <w:bookmarkStart w:id="505" w:name="_Toc418322801"/>
      <w:bookmarkStart w:id="506" w:name="_Toc419099470"/>
      <w:bookmarkStart w:id="507" w:name="_Toc440387816"/>
      <w:r w:rsidRPr="00DC4C78">
        <w:lastRenderedPageBreak/>
        <w:t>WCTO Quality Improvement Framework Indicator 25</w:t>
      </w:r>
      <w:bookmarkEnd w:id="503"/>
      <w:bookmarkEnd w:id="504"/>
      <w:bookmarkEnd w:id="505"/>
      <w:bookmarkEnd w:id="506"/>
      <w:bookmarkEnd w:id="507"/>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701"/>
        <w:gridCol w:w="7655"/>
      </w:tblGrid>
      <w:tr w:rsidR="00C30B65" w:rsidRPr="00DC4C78" w:rsidTr="00C30B65">
        <w:trPr>
          <w:cantSplit/>
        </w:trPr>
        <w:tc>
          <w:tcPr>
            <w:tcW w:w="1701" w:type="dxa"/>
            <w:tcBorders>
              <w:top w:val="single" w:sz="4" w:space="0" w:color="auto"/>
              <w:bottom w:val="nil"/>
            </w:tcBorders>
            <w:shd w:val="clear" w:color="auto" w:fill="F2F2F2"/>
          </w:tcPr>
          <w:p w:rsidR="00C30B65" w:rsidRPr="00DC4C78" w:rsidRDefault="00C30B65" w:rsidP="00A95EFC">
            <w:pPr>
              <w:pStyle w:val="TableText"/>
              <w:keepNext/>
              <w:rPr>
                <w:b/>
              </w:rPr>
            </w:pPr>
            <w:r w:rsidRPr="00DC4C78">
              <w:rPr>
                <w:b/>
              </w:rPr>
              <w:t>Standard</w:t>
            </w:r>
          </w:p>
        </w:tc>
        <w:tc>
          <w:tcPr>
            <w:tcW w:w="7655" w:type="dxa"/>
            <w:tcBorders>
              <w:top w:val="single" w:sz="4" w:space="0" w:color="auto"/>
              <w:bottom w:val="nil"/>
            </w:tcBorders>
            <w:shd w:val="clear" w:color="auto" w:fill="F2F2F2"/>
          </w:tcPr>
          <w:p w:rsidR="00C30B65" w:rsidRPr="00DC4C78" w:rsidRDefault="00C30B65" w:rsidP="00A95EFC">
            <w:pPr>
              <w:pStyle w:val="TableText"/>
              <w:keepNext/>
            </w:pPr>
            <w:r w:rsidRPr="00DC4C78">
              <w:t>WCTO providers deliver services in accordance with best practice (inappropriate variation is reduced).</w:t>
            </w:r>
          </w:p>
        </w:tc>
      </w:tr>
      <w:tr w:rsidR="00C30B65" w:rsidRPr="00DC4C78" w:rsidTr="00C30B65">
        <w:trPr>
          <w:cantSplit/>
        </w:trPr>
        <w:tc>
          <w:tcPr>
            <w:tcW w:w="1701" w:type="dxa"/>
            <w:tcBorders>
              <w:top w:val="nil"/>
              <w:bottom w:val="nil"/>
            </w:tcBorders>
            <w:shd w:val="clear" w:color="auto" w:fill="auto"/>
          </w:tcPr>
          <w:p w:rsidR="00C30B65" w:rsidRPr="00DC4C78" w:rsidRDefault="00C30B65" w:rsidP="00C30B65">
            <w:pPr>
              <w:pStyle w:val="TableText"/>
              <w:rPr>
                <w:b/>
              </w:rPr>
            </w:pPr>
            <w:r w:rsidRPr="00DC4C78">
              <w:rPr>
                <w:b/>
              </w:rPr>
              <w:t>Indicator</w:t>
            </w:r>
          </w:p>
        </w:tc>
        <w:tc>
          <w:tcPr>
            <w:tcW w:w="7655" w:type="dxa"/>
            <w:tcBorders>
              <w:top w:val="nil"/>
              <w:bottom w:val="nil"/>
            </w:tcBorders>
          </w:tcPr>
          <w:p w:rsidR="00C30B65" w:rsidRPr="00DC4C78" w:rsidRDefault="00C30B65" w:rsidP="00C30B65">
            <w:pPr>
              <w:pStyle w:val="TableText"/>
            </w:pPr>
            <w:r w:rsidRPr="00DC4C78">
              <w:t>Children with an untreated vision problem at the B4 School Check are referred to specialist services.</w:t>
            </w:r>
          </w:p>
        </w:tc>
      </w:tr>
      <w:tr w:rsidR="00C30B65" w:rsidRPr="00DC4C78" w:rsidTr="00C30B65">
        <w:trPr>
          <w:cantSplit/>
        </w:trPr>
        <w:tc>
          <w:tcPr>
            <w:tcW w:w="1701" w:type="dxa"/>
            <w:tcBorders>
              <w:top w:val="nil"/>
              <w:bottom w:val="nil"/>
            </w:tcBorders>
            <w:shd w:val="clear" w:color="auto" w:fill="F2F2F2"/>
          </w:tcPr>
          <w:p w:rsidR="00C30B65" w:rsidRPr="00DC4C78" w:rsidRDefault="00C30B65" w:rsidP="00C30B65">
            <w:pPr>
              <w:pStyle w:val="TableText"/>
              <w:rPr>
                <w:b/>
              </w:rPr>
            </w:pPr>
            <w:r w:rsidRPr="00DC4C78">
              <w:rPr>
                <w:b/>
              </w:rPr>
              <w:t>Target by December 2014</w:t>
            </w:r>
          </w:p>
        </w:tc>
        <w:tc>
          <w:tcPr>
            <w:tcW w:w="7655" w:type="dxa"/>
            <w:tcBorders>
              <w:top w:val="nil"/>
              <w:bottom w:val="nil"/>
            </w:tcBorders>
            <w:shd w:val="clear" w:color="auto" w:fill="F2F2F2"/>
          </w:tcPr>
          <w:p w:rsidR="00C30B65" w:rsidRPr="00DC4C78" w:rsidRDefault="00C30B65" w:rsidP="00C30B65">
            <w:pPr>
              <w:pStyle w:val="TableText"/>
            </w:pPr>
            <w:r w:rsidRPr="00DC4C78">
              <w:t>86 percent</w:t>
            </w:r>
          </w:p>
        </w:tc>
      </w:tr>
      <w:tr w:rsidR="00C30B65" w:rsidRPr="00DC4C78" w:rsidTr="00C30B65">
        <w:trPr>
          <w:cantSplit/>
        </w:trPr>
        <w:tc>
          <w:tcPr>
            <w:tcW w:w="1701" w:type="dxa"/>
            <w:tcBorders>
              <w:top w:val="nil"/>
            </w:tcBorders>
            <w:shd w:val="clear" w:color="auto" w:fill="auto"/>
          </w:tcPr>
          <w:p w:rsidR="00C30B65" w:rsidRPr="00DC4C78" w:rsidRDefault="00C30B65" w:rsidP="00C30B65">
            <w:pPr>
              <w:pStyle w:val="TableText"/>
              <w:rPr>
                <w:b/>
              </w:rPr>
            </w:pPr>
            <w:r w:rsidRPr="00DC4C78">
              <w:rPr>
                <w:b/>
              </w:rPr>
              <w:t>Target by June 2016</w:t>
            </w:r>
          </w:p>
        </w:tc>
        <w:tc>
          <w:tcPr>
            <w:tcW w:w="7655" w:type="dxa"/>
            <w:tcBorders>
              <w:top w:val="nil"/>
            </w:tcBorders>
          </w:tcPr>
          <w:p w:rsidR="00C30B65" w:rsidRPr="00DC4C78" w:rsidRDefault="00C30B65" w:rsidP="00C30B65">
            <w:pPr>
              <w:pStyle w:val="TableText"/>
            </w:pPr>
            <w:r w:rsidRPr="00DC4C78">
              <w:t>95 percent</w:t>
            </w:r>
          </w:p>
        </w:tc>
      </w:tr>
    </w:tbl>
    <w:p w:rsidR="00C30B65" w:rsidRPr="00DC4C78" w:rsidRDefault="00C30B65" w:rsidP="00C30B65"/>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93"/>
        <w:gridCol w:w="1843"/>
        <w:gridCol w:w="1701"/>
        <w:gridCol w:w="1458"/>
        <w:gridCol w:w="1660"/>
      </w:tblGrid>
      <w:tr w:rsidR="00C30B65" w:rsidRPr="00DC4C78" w:rsidTr="00C30B65">
        <w:trPr>
          <w:cantSplit/>
        </w:trPr>
        <w:tc>
          <w:tcPr>
            <w:tcW w:w="1439" w:type="pct"/>
            <w:shd w:val="clear" w:color="auto" w:fill="F2F2F2"/>
          </w:tcPr>
          <w:p w:rsidR="00C30B65" w:rsidRPr="00DC4C78" w:rsidRDefault="00C30B65" w:rsidP="00C30B65">
            <w:pPr>
              <w:pStyle w:val="TableText"/>
              <w:rPr>
                <w:b/>
              </w:rPr>
            </w:pPr>
          </w:p>
        </w:tc>
        <w:tc>
          <w:tcPr>
            <w:tcW w:w="985" w:type="pct"/>
            <w:shd w:val="clear" w:color="auto" w:fill="F2F2F2"/>
          </w:tcPr>
          <w:p w:rsidR="00C30B65" w:rsidRPr="00DC4C78" w:rsidRDefault="00C30B65" w:rsidP="00C30B65">
            <w:pPr>
              <w:pStyle w:val="TableText"/>
              <w:jc w:val="center"/>
              <w:rPr>
                <w:b/>
              </w:rPr>
            </w:pPr>
            <w:r w:rsidRPr="00DC4C78">
              <w:rPr>
                <w:b/>
              </w:rPr>
              <w:t>Total New Zealand</w:t>
            </w:r>
          </w:p>
        </w:tc>
        <w:tc>
          <w:tcPr>
            <w:tcW w:w="909" w:type="pct"/>
            <w:shd w:val="clear" w:color="auto" w:fill="F2F2F2"/>
          </w:tcPr>
          <w:p w:rsidR="00C30B65" w:rsidRPr="00DC4C78" w:rsidRDefault="00C30B65" w:rsidP="00C30B65">
            <w:pPr>
              <w:pStyle w:val="TableText"/>
              <w:jc w:val="center"/>
              <w:rPr>
                <w:b/>
              </w:rPr>
            </w:pPr>
            <w:r w:rsidRPr="00DC4C78">
              <w:rPr>
                <w:b/>
              </w:rPr>
              <w:t>High deprivation</w:t>
            </w:r>
          </w:p>
        </w:tc>
        <w:tc>
          <w:tcPr>
            <w:tcW w:w="779" w:type="pct"/>
            <w:shd w:val="clear" w:color="auto" w:fill="F2F2F2"/>
          </w:tcPr>
          <w:p w:rsidR="00C30B65" w:rsidRPr="00DC4C78" w:rsidRDefault="00C30B65" w:rsidP="00C30B65">
            <w:pPr>
              <w:pStyle w:val="TableText"/>
              <w:jc w:val="center"/>
              <w:rPr>
                <w:b/>
              </w:rPr>
            </w:pPr>
            <w:r w:rsidRPr="00DC4C78">
              <w:rPr>
                <w:b/>
              </w:rPr>
              <w:t>Māori</w:t>
            </w:r>
          </w:p>
        </w:tc>
        <w:tc>
          <w:tcPr>
            <w:tcW w:w="887" w:type="pct"/>
            <w:shd w:val="clear" w:color="auto" w:fill="F2F2F2"/>
          </w:tcPr>
          <w:p w:rsidR="00C30B65" w:rsidRPr="00DC4C78" w:rsidRDefault="00C30B65" w:rsidP="00C30B65">
            <w:pPr>
              <w:pStyle w:val="TableText"/>
              <w:jc w:val="center"/>
              <w:rPr>
                <w:b/>
              </w:rPr>
            </w:pPr>
            <w:r w:rsidRPr="00DC4C78">
              <w:rPr>
                <w:b/>
              </w:rPr>
              <w:t>Pacific peoples</w:t>
            </w:r>
          </w:p>
        </w:tc>
      </w:tr>
      <w:tr w:rsidR="00C30B65" w:rsidRPr="00DC4C78" w:rsidTr="00C30B65">
        <w:trPr>
          <w:cantSplit/>
        </w:trPr>
        <w:tc>
          <w:tcPr>
            <w:tcW w:w="1439" w:type="pct"/>
            <w:tcBorders>
              <w:top w:val="single" w:sz="4" w:space="0" w:color="A6A6A6"/>
            </w:tcBorders>
            <w:shd w:val="clear" w:color="auto" w:fill="auto"/>
          </w:tcPr>
          <w:p w:rsidR="00C30B65" w:rsidRPr="00DC4C78" w:rsidRDefault="00C30B65" w:rsidP="00C30B65">
            <w:pPr>
              <w:pStyle w:val="TableText"/>
            </w:pPr>
            <w:r w:rsidRPr="00DC4C78">
              <w:t>September 2015 mean –</w:t>
            </w:r>
            <w:r>
              <w:t xml:space="preserve"> </w:t>
            </w:r>
            <w:r w:rsidRPr="00DC4C78">
              <w:br/>
            </w:r>
            <w:r>
              <w:t>referrals only</w:t>
            </w:r>
          </w:p>
        </w:tc>
        <w:tc>
          <w:tcPr>
            <w:tcW w:w="985" w:type="pct"/>
            <w:tcBorders>
              <w:top w:val="single" w:sz="4" w:space="0" w:color="A6A6A6"/>
            </w:tcBorders>
            <w:shd w:val="clear" w:color="auto" w:fill="auto"/>
            <w:vAlign w:val="center"/>
          </w:tcPr>
          <w:p w:rsidR="00C30B65" w:rsidRPr="00DC4C78" w:rsidRDefault="00C30B65" w:rsidP="00C30B65">
            <w:pPr>
              <w:pStyle w:val="TableText"/>
              <w:jc w:val="center"/>
            </w:pPr>
            <w:r w:rsidRPr="00DC4C78">
              <w:t>100%</w:t>
            </w:r>
          </w:p>
        </w:tc>
        <w:tc>
          <w:tcPr>
            <w:tcW w:w="909" w:type="pct"/>
            <w:tcBorders>
              <w:top w:val="single" w:sz="4" w:space="0" w:color="A6A6A6"/>
            </w:tcBorders>
            <w:shd w:val="clear" w:color="auto" w:fill="auto"/>
            <w:vAlign w:val="center"/>
          </w:tcPr>
          <w:p w:rsidR="00C30B65" w:rsidRPr="00DC4C78" w:rsidRDefault="00C30B65" w:rsidP="00C30B65">
            <w:pPr>
              <w:pStyle w:val="TableText"/>
              <w:jc w:val="center"/>
            </w:pPr>
            <w:r w:rsidRPr="00DC4C78">
              <w:t>100%</w:t>
            </w:r>
          </w:p>
        </w:tc>
        <w:tc>
          <w:tcPr>
            <w:tcW w:w="779" w:type="pct"/>
            <w:tcBorders>
              <w:top w:val="single" w:sz="4" w:space="0" w:color="A6A6A6"/>
            </w:tcBorders>
            <w:shd w:val="clear" w:color="auto" w:fill="auto"/>
            <w:vAlign w:val="center"/>
          </w:tcPr>
          <w:p w:rsidR="00C30B65" w:rsidRPr="00DC4C78" w:rsidRDefault="00C30B65" w:rsidP="00C30B65">
            <w:pPr>
              <w:pStyle w:val="TableText"/>
              <w:jc w:val="center"/>
            </w:pPr>
            <w:r w:rsidRPr="00DC4C78">
              <w:t>100%</w:t>
            </w:r>
          </w:p>
        </w:tc>
        <w:tc>
          <w:tcPr>
            <w:tcW w:w="887" w:type="pct"/>
            <w:tcBorders>
              <w:top w:val="single" w:sz="4" w:space="0" w:color="A6A6A6"/>
            </w:tcBorders>
            <w:shd w:val="clear" w:color="auto" w:fill="auto"/>
            <w:vAlign w:val="center"/>
          </w:tcPr>
          <w:p w:rsidR="00C30B65" w:rsidRPr="00DC4C78" w:rsidRDefault="00C30B65" w:rsidP="00C30B65">
            <w:pPr>
              <w:pStyle w:val="TableText"/>
              <w:jc w:val="center"/>
            </w:pPr>
            <w:r w:rsidRPr="00DC4C78">
              <w:t>100%</w:t>
            </w:r>
          </w:p>
        </w:tc>
      </w:tr>
      <w:tr w:rsidR="00C30B65" w:rsidRPr="00DC4C78" w:rsidTr="00C30B65">
        <w:trPr>
          <w:cantSplit/>
        </w:trPr>
        <w:tc>
          <w:tcPr>
            <w:tcW w:w="1439" w:type="pct"/>
            <w:tcBorders>
              <w:top w:val="single" w:sz="4" w:space="0" w:color="A6A6A6"/>
            </w:tcBorders>
            <w:shd w:val="clear" w:color="auto" w:fill="auto"/>
          </w:tcPr>
          <w:p w:rsidR="00C30B65" w:rsidRPr="00DC4C78" w:rsidRDefault="00C30B65" w:rsidP="00C30B65">
            <w:pPr>
              <w:pStyle w:val="TableText"/>
            </w:pPr>
            <w:r w:rsidRPr="00DC4C78">
              <w:t>March 2015 mean –</w:t>
            </w:r>
            <w:r>
              <w:t xml:space="preserve"> </w:t>
            </w:r>
            <w:r w:rsidRPr="00DC4C78">
              <w:br/>
            </w:r>
            <w:r>
              <w:t xml:space="preserve">referrals </w:t>
            </w:r>
          </w:p>
        </w:tc>
        <w:tc>
          <w:tcPr>
            <w:tcW w:w="985" w:type="pct"/>
            <w:tcBorders>
              <w:top w:val="single" w:sz="4" w:space="0" w:color="A6A6A6"/>
            </w:tcBorders>
            <w:shd w:val="clear" w:color="auto" w:fill="auto"/>
            <w:vAlign w:val="center"/>
          </w:tcPr>
          <w:p w:rsidR="00C30B65" w:rsidRPr="00DC4C78" w:rsidRDefault="00C30B65" w:rsidP="00C30B65">
            <w:pPr>
              <w:pStyle w:val="TableText"/>
              <w:jc w:val="center"/>
            </w:pPr>
            <w:r w:rsidRPr="00DC4C78">
              <w:t>100%</w:t>
            </w:r>
          </w:p>
        </w:tc>
        <w:tc>
          <w:tcPr>
            <w:tcW w:w="909" w:type="pct"/>
            <w:tcBorders>
              <w:top w:val="single" w:sz="4" w:space="0" w:color="A6A6A6"/>
            </w:tcBorders>
            <w:shd w:val="clear" w:color="auto" w:fill="auto"/>
            <w:vAlign w:val="center"/>
          </w:tcPr>
          <w:p w:rsidR="00C30B65" w:rsidRPr="00DC4C78" w:rsidRDefault="00C30B65" w:rsidP="00C30B65">
            <w:pPr>
              <w:pStyle w:val="TableText"/>
              <w:jc w:val="center"/>
            </w:pPr>
            <w:r w:rsidRPr="00DC4C78">
              <w:t>100%</w:t>
            </w:r>
          </w:p>
        </w:tc>
        <w:tc>
          <w:tcPr>
            <w:tcW w:w="779" w:type="pct"/>
            <w:tcBorders>
              <w:top w:val="single" w:sz="4" w:space="0" w:color="A6A6A6"/>
            </w:tcBorders>
            <w:shd w:val="clear" w:color="auto" w:fill="auto"/>
            <w:vAlign w:val="center"/>
          </w:tcPr>
          <w:p w:rsidR="00C30B65" w:rsidRPr="00DC4C78" w:rsidRDefault="00C30B65" w:rsidP="00C30B65">
            <w:pPr>
              <w:pStyle w:val="TableText"/>
              <w:jc w:val="center"/>
            </w:pPr>
            <w:r w:rsidRPr="00DC4C78">
              <w:t>100%</w:t>
            </w:r>
          </w:p>
        </w:tc>
        <w:tc>
          <w:tcPr>
            <w:tcW w:w="887" w:type="pct"/>
            <w:tcBorders>
              <w:top w:val="single" w:sz="4" w:space="0" w:color="A6A6A6"/>
            </w:tcBorders>
            <w:shd w:val="clear" w:color="auto" w:fill="auto"/>
            <w:vAlign w:val="center"/>
          </w:tcPr>
          <w:p w:rsidR="00C30B65" w:rsidRPr="00DC4C78" w:rsidRDefault="00C30B65" w:rsidP="00C30B65">
            <w:pPr>
              <w:pStyle w:val="TableText"/>
              <w:jc w:val="center"/>
            </w:pPr>
            <w:r w:rsidRPr="00DC4C78">
              <w:t>100%</w:t>
            </w:r>
          </w:p>
        </w:tc>
      </w:tr>
    </w:tbl>
    <w:p w:rsidR="00C30B65" w:rsidRPr="00DC4C78" w:rsidRDefault="00C30B65" w:rsidP="00C30B65"/>
    <w:p w:rsidR="00C30B65" w:rsidRPr="00DC4C78" w:rsidRDefault="00C30B65" w:rsidP="00C30B65">
      <w:pPr>
        <w:pStyle w:val="Figure"/>
      </w:pPr>
      <w:bookmarkStart w:id="508" w:name="_Toc405447498"/>
      <w:bookmarkStart w:id="509" w:name="_Toc417554843"/>
      <w:bookmarkStart w:id="510" w:name="_Toc436750584"/>
      <w:bookmarkStart w:id="511" w:name="_Toc440387907"/>
      <w:r w:rsidRPr="00DC4C78">
        <w:t xml:space="preserve">Figure 87: </w:t>
      </w:r>
      <w:r>
        <w:t>Children with an untreated v</w:t>
      </w:r>
      <w:r w:rsidRPr="00DC4C78">
        <w:t>ision problem referred, total New Zealand</w:t>
      </w:r>
      <w:bookmarkEnd w:id="508"/>
      <w:bookmarkEnd w:id="509"/>
      <w:bookmarkEnd w:id="510"/>
      <w:bookmarkEnd w:id="511"/>
    </w:p>
    <w:p w:rsidR="00C30B65" w:rsidRPr="00DC4C78" w:rsidRDefault="00372CD0" w:rsidP="00372CD0">
      <w:r>
        <w:rPr>
          <w:noProof/>
          <w:lang w:eastAsia="en-NZ"/>
        </w:rPr>
        <w:drawing>
          <wp:inline distT="0" distB="0" distL="0" distR="0" wp14:anchorId="0FC7395F">
            <wp:extent cx="4320000" cy="2520000"/>
            <wp:effectExtent l="0" t="0" r="4445" b="0"/>
            <wp:docPr id="129" name="Picture 129" title="Figure 87: Children with an untreated vision problem referred, total New Zeala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inline>
        </w:drawing>
      </w:r>
    </w:p>
    <w:p w:rsidR="00C30B65" w:rsidRPr="00DC4C78" w:rsidRDefault="00C30B65" w:rsidP="00C30B65"/>
    <w:p w:rsidR="00C30B65" w:rsidRPr="00DC4C78" w:rsidRDefault="00C30B65" w:rsidP="00C30B65">
      <w:pPr>
        <w:pStyle w:val="Figure"/>
      </w:pPr>
      <w:bookmarkStart w:id="512" w:name="_Toc405447499"/>
      <w:bookmarkStart w:id="513" w:name="_Toc417554844"/>
      <w:bookmarkStart w:id="514" w:name="_Toc436750585"/>
      <w:bookmarkStart w:id="515" w:name="_Toc440387908"/>
      <w:r w:rsidRPr="00DC4C78">
        <w:t xml:space="preserve">Figure 88: </w:t>
      </w:r>
      <w:r>
        <w:t>Children with an untreated v</w:t>
      </w:r>
      <w:r w:rsidRPr="00DC4C78">
        <w:t>ision problem referred, high deprivation</w:t>
      </w:r>
      <w:bookmarkEnd w:id="512"/>
      <w:bookmarkEnd w:id="513"/>
      <w:bookmarkEnd w:id="514"/>
      <w:r>
        <w:t xml:space="preserve"> population</w:t>
      </w:r>
      <w:bookmarkEnd w:id="515"/>
    </w:p>
    <w:p w:rsidR="00C30B65" w:rsidRPr="00DC4C78" w:rsidRDefault="00372CD0" w:rsidP="00372CD0">
      <w:r>
        <w:rPr>
          <w:noProof/>
          <w:lang w:eastAsia="en-NZ"/>
        </w:rPr>
        <w:drawing>
          <wp:inline distT="0" distB="0" distL="0" distR="0" wp14:anchorId="48848393">
            <wp:extent cx="4320000" cy="2520000"/>
            <wp:effectExtent l="0" t="0" r="4445" b="0"/>
            <wp:docPr id="130" name="Picture 130" title="Figure 88: Children with an untreated vision problem referred, high deprivation popul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inline>
        </w:drawing>
      </w:r>
    </w:p>
    <w:p w:rsidR="00C30B65" w:rsidRPr="00DC4C78" w:rsidRDefault="00C30B65" w:rsidP="00A95EFC">
      <w:pPr>
        <w:pStyle w:val="Figure"/>
        <w:spacing w:before="360"/>
      </w:pPr>
      <w:bookmarkStart w:id="516" w:name="_Toc405447500"/>
      <w:bookmarkStart w:id="517" w:name="_Toc417554845"/>
      <w:bookmarkStart w:id="518" w:name="_Toc436750586"/>
      <w:bookmarkStart w:id="519" w:name="_Toc440387909"/>
      <w:r w:rsidRPr="00DC4C78">
        <w:lastRenderedPageBreak/>
        <w:t xml:space="preserve">Figure 89: </w:t>
      </w:r>
      <w:r>
        <w:t>Children with an untreated v</w:t>
      </w:r>
      <w:r w:rsidRPr="00DC4C78">
        <w:t>ision problem referred, Māori</w:t>
      </w:r>
      <w:bookmarkEnd w:id="516"/>
      <w:bookmarkEnd w:id="517"/>
      <w:bookmarkEnd w:id="518"/>
      <w:bookmarkEnd w:id="519"/>
    </w:p>
    <w:p w:rsidR="00C30B65" w:rsidRPr="00DC4C78" w:rsidRDefault="00372CD0" w:rsidP="00372CD0">
      <w:r>
        <w:rPr>
          <w:noProof/>
          <w:lang w:eastAsia="en-NZ"/>
        </w:rPr>
        <w:drawing>
          <wp:inline distT="0" distB="0" distL="0" distR="0" wp14:anchorId="35946F8B">
            <wp:extent cx="4320000" cy="2520000"/>
            <wp:effectExtent l="0" t="0" r="4445" b="0"/>
            <wp:docPr id="131" name="Picture 131" title="Figure 89: Children with an untreated vision problem referred, Māor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inline>
        </w:drawing>
      </w:r>
    </w:p>
    <w:p w:rsidR="00C30B65" w:rsidRPr="00DC4C78" w:rsidRDefault="00C30B65" w:rsidP="00C30B65"/>
    <w:p w:rsidR="00C30B65" w:rsidRPr="00DC4C78" w:rsidRDefault="00C30B65" w:rsidP="00C30B65">
      <w:pPr>
        <w:pStyle w:val="Figure"/>
      </w:pPr>
      <w:bookmarkStart w:id="520" w:name="_Toc405447501"/>
      <w:bookmarkStart w:id="521" w:name="_Toc417554846"/>
      <w:bookmarkStart w:id="522" w:name="_Toc436750587"/>
      <w:bookmarkStart w:id="523" w:name="_Toc440387910"/>
      <w:r w:rsidRPr="00DC4C78">
        <w:t xml:space="preserve">Figure 90: </w:t>
      </w:r>
      <w:r>
        <w:t>Children with an untreated v</w:t>
      </w:r>
      <w:r w:rsidRPr="00DC4C78">
        <w:t>ision problem referred, Pacific peoples</w:t>
      </w:r>
      <w:bookmarkEnd w:id="520"/>
      <w:bookmarkEnd w:id="521"/>
      <w:bookmarkEnd w:id="522"/>
      <w:bookmarkEnd w:id="523"/>
    </w:p>
    <w:p w:rsidR="00C30B65" w:rsidRPr="00DC4C78" w:rsidRDefault="00372CD0" w:rsidP="00372CD0">
      <w:r>
        <w:rPr>
          <w:noProof/>
          <w:lang w:eastAsia="en-NZ"/>
        </w:rPr>
        <w:drawing>
          <wp:inline distT="0" distB="0" distL="0" distR="0" wp14:anchorId="0F0A5EEE">
            <wp:extent cx="4320000" cy="2520000"/>
            <wp:effectExtent l="0" t="0" r="4445" b="0"/>
            <wp:docPr id="132" name="Picture 132" title="Figure 90: Children with an untreated vision problem referred, Pacific peop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inline>
        </w:drawing>
      </w:r>
    </w:p>
    <w:p w:rsidR="00C30B65" w:rsidRPr="00DC4C78" w:rsidRDefault="00C30B65" w:rsidP="00C30B65"/>
    <w:p w:rsidR="00C30B65" w:rsidRPr="00DC4C78" w:rsidRDefault="00C30B65" w:rsidP="00C30B65">
      <w:pPr>
        <w:pStyle w:val="Heading3"/>
      </w:pPr>
      <w:r w:rsidRPr="00DC4C78">
        <w:t>Data notes</w:t>
      </w:r>
    </w:p>
    <w:p w:rsidR="00C30B65" w:rsidRPr="00DC4C78" w:rsidRDefault="00C30B65" w:rsidP="00C30B65">
      <w:pPr>
        <w:pStyle w:val="Bullet"/>
      </w:pPr>
      <w:r w:rsidRPr="00DC4C78">
        <w:t xml:space="preserve">No bar on graph = no children with </w:t>
      </w:r>
      <w:r w:rsidR="00FA7AB7">
        <w:t xml:space="preserve">untreated </w:t>
      </w:r>
      <w:r w:rsidRPr="00DC4C78">
        <w:t>vision problem for that population.</w:t>
      </w:r>
    </w:p>
    <w:p w:rsidR="00C30B65" w:rsidRPr="00DC4C78" w:rsidRDefault="00C30B65" w:rsidP="00C30B65">
      <w:pPr>
        <w:pStyle w:val="Bullet"/>
      </w:pPr>
      <w:r w:rsidRPr="00DC4C78">
        <w:t>Time period: children receiving a B4 School Check between 1 January 2015 and 30 June 2015.</w:t>
      </w:r>
    </w:p>
    <w:p w:rsidR="00C30B65" w:rsidRPr="00DC4C78" w:rsidRDefault="00C30B65" w:rsidP="00C30B65">
      <w:pPr>
        <w:pStyle w:val="Bullet"/>
      </w:pPr>
      <w:r w:rsidRPr="00DC4C78">
        <w:t>DHB is DHB of service.</w:t>
      </w:r>
    </w:p>
    <w:p w:rsidR="00C30B65" w:rsidRPr="00DC4C78" w:rsidRDefault="00C30B65" w:rsidP="00C30B65">
      <w:pPr>
        <w:pStyle w:val="Bullet"/>
      </w:pPr>
      <w:r w:rsidRPr="00DC4C78">
        <w:t>Numerator: number of children with a vision problem referred (excluding advice given) (source: B4 School Check).</w:t>
      </w:r>
    </w:p>
    <w:p w:rsidR="00C30B65" w:rsidRPr="00DC4C78" w:rsidRDefault="00C30B65" w:rsidP="00C30B65">
      <w:pPr>
        <w:pStyle w:val="Bullet"/>
      </w:pPr>
      <w:r w:rsidRPr="00DC4C78">
        <w:t>Denominator: number of children with a vision problem (excluding those already under care) (source: B4 School Check).</w:t>
      </w:r>
    </w:p>
    <w:p w:rsidR="00C30B65" w:rsidRPr="00DC4C78" w:rsidRDefault="00C30B65" w:rsidP="00C30B65"/>
    <w:p w:rsidR="00C30B65" w:rsidRPr="00DC4C78" w:rsidRDefault="00C30B65" w:rsidP="00C30B65">
      <w:pPr>
        <w:pStyle w:val="Heading2"/>
        <w:spacing w:before="0"/>
      </w:pPr>
      <w:bookmarkStart w:id="524" w:name="_Toc365618470"/>
      <w:bookmarkStart w:id="525" w:name="_Toc405453793"/>
      <w:bookmarkStart w:id="526" w:name="_Toc418322802"/>
      <w:bookmarkStart w:id="527" w:name="_Toc419099471"/>
      <w:bookmarkStart w:id="528" w:name="_Toc440387817"/>
      <w:r w:rsidRPr="00DC4C78">
        <w:lastRenderedPageBreak/>
        <w:t>WCTO Quality Improvement Framework Indicator 26</w:t>
      </w:r>
      <w:bookmarkEnd w:id="524"/>
      <w:bookmarkEnd w:id="525"/>
      <w:bookmarkEnd w:id="526"/>
      <w:bookmarkEnd w:id="527"/>
      <w:bookmarkEnd w:id="528"/>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701"/>
        <w:gridCol w:w="7655"/>
      </w:tblGrid>
      <w:tr w:rsidR="00C30B65" w:rsidRPr="00DC4C78" w:rsidTr="00C30B65">
        <w:trPr>
          <w:cantSplit/>
        </w:trPr>
        <w:tc>
          <w:tcPr>
            <w:tcW w:w="1701" w:type="dxa"/>
            <w:tcBorders>
              <w:top w:val="single" w:sz="4" w:space="0" w:color="auto"/>
              <w:bottom w:val="nil"/>
            </w:tcBorders>
            <w:shd w:val="clear" w:color="auto" w:fill="F2F2F2"/>
          </w:tcPr>
          <w:p w:rsidR="00C30B65" w:rsidRPr="00DC4C78" w:rsidRDefault="00C30B65" w:rsidP="00A95EFC">
            <w:pPr>
              <w:pStyle w:val="TableText"/>
              <w:keepNext/>
              <w:rPr>
                <w:b/>
              </w:rPr>
            </w:pPr>
            <w:r w:rsidRPr="00DC4C78">
              <w:rPr>
                <w:b/>
              </w:rPr>
              <w:t>Standard</w:t>
            </w:r>
          </w:p>
        </w:tc>
        <w:tc>
          <w:tcPr>
            <w:tcW w:w="7655" w:type="dxa"/>
            <w:tcBorders>
              <w:top w:val="single" w:sz="4" w:space="0" w:color="auto"/>
              <w:bottom w:val="nil"/>
            </w:tcBorders>
            <w:shd w:val="clear" w:color="auto" w:fill="F2F2F2"/>
          </w:tcPr>
          <w:p w:rsidR="00C30B65" w:rsidRPr="00DC4C78" w:rsidRDefault="00C30B65" w:rsidP="00A95EFC">
            <w:pPr>
              <w:pStyle w:val="TableText"/>
              <w:keepNext/>
            </w:pPr>
            <w:r w:rsidRPr="00DC4C78">
              <w:t>WCTO providers deliver services in accordance with best practice (inappropriate variation is reduced).</w:t>
            </w:r>
          </w:p>
        </w:tc>
      </w:tr>
      <w:tr w:rsidR="00C30B65" w:rsidRPr="00DC4C78" w:rsidTr="00C30B65">
        <w:trPr>
          <w:cantSplit/>
        </w:trPr>
        <w:tc>
          <w:tcPr>
            <w:tcW w:w="1701" w:type="dxa"/>
            <w:tcBorders>
              <w:top w:val="nil"/>
              <w:bottom w:val="nil"/>
            </w:tcBorders>
            <w:shd w:val="clear" w:color="auto" w:fill="auto"/>
          </w:tcPr>
          <w:p w:rsidR="00C30B65" w:rsidRPr="00DC4C78" w:rsidRDefault="00C30B65" w:rsidP="00C30B65">
            <w:pPr>
              <w:pStyle w:val="TableText"/>
              <w:rPr>
                <w:b/>
              </w:rPr>
            </w:pPr>
            <w:r w:rsidRPr="00DC4C78">
              <w:rPr>
                <w:b/>
              </w:rPr>
              <w:t>Indicator</w:t>
            </w:r>
          </w:p>
        </w:tc>
        <w:tc>
          <w:tcPr>
            <w:tcW w:w="7655" w:type="dxa"/>
            <w:tcBorders>
              <w:top w:val="nil"/>
              <w:bottom w:val="nil"/>
            </w:tcBorders>
          </w:tcPr>
          <w:p w:rsidR="00C30B65" w:rsidRPr="00DC4C78" w:rsidRDefault="00C30B65" w:rsidP="00C30B65">
            <w:pPr>
              <w:pStyle w:val="TableText"/>
            </w:pPr>
            <w:r w:rsidRPr="00DC4C78">
              <w:t>Children with an untreated hearing problem at the B4School Check are referred to specialist services.</w:t>
            </w:r>
          </w:p>
        </w:tc>
      </w:tr>
      <w:tr w:rsidR="00C30B65" w:rsidRPr="00DC4C78" w:rsidTr="00C30B65">
        <w:trPr>
          <w:cantSplit/>
        </w:trPr>
        <w:tc>
          <w:tcPr>
            <w:tcW w:w="1701" w:type="dxa"/>
            <w:tcBorders>
              <w:top w:val="nil"/>
              <w:bottom w:val="nil"/>
            </w:tcBorders>
            <w:shd w:val="clear" w:color="auto" w:fill="F2F2F2"/>
          </w:tcPr>
          <w:p w:rsidR="00C30B65" w:rsidRPr="00DC4C78" w:rsidRDefault="00C30B65" w:rsidP="00C30B65">
            <w:pPr>
              <w:pStyle w:val="TableText"/>
              <w:rPr>
                <w:b/>
              </w:rPr>
            </w:pPr>
            <w:r w:rsidRPr="00DC4C78">
              <w:rPr>
                <w:b/>
              </w:rPr>
              <w:t>Target by December 2014</w:t>
            </w:r>
          </w:p>
        </w:tc>
        <w:tc>
          <w:tcPr>
            <w:tcW w:w="7655" w:type="dxa"/>
            <w:tcBorders>
              <w:top w:val="nil"/>
              <w:bottom w:val="nil"/>
            </w:tcBorders>
            <w:shd w:val="clear" w:color="auto" w:fill="F2F2F2"/>
          </w:tcPr>
          <w:p w:rsidR="00C30B65" w:rsidRPr="00DC4C78" w:rsidRDefault="00C30B65" w:rsidP="00C30B65">
            <w:pPr>
              <w:pStyle w:val="TableText"/>
            </w:pPr>
            <w:r w:rsidRPr="00DC4C78">
              <w:t>86 percent</w:t>
            </w:r>
          </w:p>
        </w:tc>
      </w:tr>
      <w:tr w:rsidR="00C30B65" w:rsidRPr="00DC4C78" w:rsidTr="00C30B65">
        <w:trPr>
          <w:cantSplit/>
        </w:trPr>
        <w:tc>
          <w:tcPr>
            <w:tcW w:w="1701" w:type="dxa"/>
            <w:tcBorders>
              <w:top w:val="nil"/>
            </w:tcBorders>
            <w:shd w:val="clear" w:color="auto" w:fill="auto"/>
          </w:tcPr>
          <w:p w:rsidR="00C30B65" w:rsidRPr="00DC4C78" w:rsidRDefault="00C30B65" w:rsidP="00C30B65">
            <w:pPr>
              <w:pStyle w:val="TableText"/>
              <w:rPr>
                <w:b/>
              </w:rPr>
            </w:pPr>
            <w:r w:rsidRPr="00DC4C78">
              <w:rPr>
                <w:b/>
              </w:rPr>
              <w:t>Target by June 2016</w:t>
            </w:r>
          </w:p>
        </w:tc>
        <w:tc>
          <w:tcPr>
            <w:tcW w:w="7655" w:type="dxa"/>
            <w:tcBorders>
              <w:top w:val="nil"/>
            </w:tcBorders>
          </w:tcPr>
          <w:p w:rsidR="00C30B65" w:rsidRPr="00DC4C78" w:rsidRDefault="00C30B65" w:rsidP="00C30B65">
            <w:pPr>
              <w:pStyle w:val="TableText"/>
            </w:pPr>
            <w:r w:rsidRPr="00DC4C78">
              <w:t>95 percent</w:t>
            </w:r>
          </w:p>
        </w:tc>
      </w:tr>
    </w:tbl>
    <w:p w:rsidR="00C30B65" w:rsidRPr="00DC4C78" w:rsidRDefault="00C30B65" w:rsidP="00C30B65"/>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93"/>
        <w:gridCol w:w="1843"/>
        <w:gridCol w:w="1701"/>
        <w:gridCol w:w="1458"/>
        <w:gridCol w:w="1660"/>
      </w:tblGrid>
      <w:tr w:rsidR="00C30B65" w:rsidRPr="00DC4C78" w:rsidTr="00C30B65">
        <w:trPr>
          <w:cantSplit/>
        </w:trPr>
        <w:tc>
          <w:tcPr>
            <w:tcW w:w="1439" w:type="pct"/>
            <w:shd w:val="clear" w:color="auto" w:fill="F2F2F2"/>
          </w:tcPr>
          <w:p w:rsidR="00C30B65" w:rsidRPr="00DC4C78" w:rsidRDefault="00C30B65" w:rsidP="00C30B65">
            <w:pPr>
              <w:pStyle w:val="TableText"/>
              <w:rPr>
                <w:b/>
              </w:rPr>
            </w:pPr>
          </w:p>
        </w:tc>
        <w:tc>
          <w:tcPr>
            <w:tcW w:w="985" w:type="pct"/>
            <w:shd w:val="clear" w:color="auto" w:fill="F2F2F2"/>
          </w:tcPr>
          <w:p w:rsidR="00C30B65" w:rsidRPr="00DC4C78" w:rsidRDefault="00C30B65" w:rsidP="00C30B65">
            <w:pPr>
              <w:pStyle w:val="TableText"/>
              <w:jc w:val="center"/>
              <w:rPr>
                <w:b/>
              </w:rPr>
            </w:pPr>
            <w:r w:rsidRPr="00DC4C78">
              <w:rPr>
                <w:b/>
              </w:rPr>
              <w:t>Total New Zealand</w:t>
            </w:r>
          </w:p>
        </w:tc>
        <w:tc>
          <w:tcPr>
            <w:tcW w:w="909" w:type="pct"/>
            <w:shd w:val="clear" w:color="auto" w:fill="F2F2F2"/>
          </w:tcPr>
          <w:p w:rsidR="00C30B65" w:rsidRPr="00DC4C78" w:rsidRDefault="00C30B65" w:rsidP="00C30B65">
            <w:pPr>
              <w:pStyle w:val="TableText"/>
              <w:jc w:val="center"/>
              <w:rPr>
                <w:b/>
              </w:rPr>
            </w:pPr>
            <w:r w:rsidRPr="00DC4C78">
              <w:rPr>
                <w:b/>
              </w:rPr>
              <w:t>High deprivation</w:t>
            </w:r>
          </w:p>
        </w:tc>
        <w:tc>
          <w:tcPr>
            <w:tcW w:w="779" w:type="pct"/>
            <w:shd w:val="clear" w:color="auto" w:fill="F2F2F2"/>
          </w:tcPr>
          <w:p w:rsidR="00C30B65" w:rsidRPr="00DC4C78" w:rsidRDefault="00C30B65" w:rsidP="00C30B65">
            <w:pPr>
              <w:pStyle w:val="TableText"/>
              <w:jc w:val="center"/>
              <w:rPr>
                <w:b/>
              </w:rPr>
            </w:pPr>
            <w:r w:rsidRPr="00DC4C78">
              <w:rPr>
                <w:b/>
              </w:rPr>
              <w:t>Māori</w:t>
            </w:r>
          </w:p>
        </w:tc>
        <w:tc>
          <w:tcPr>
            <w:tcW w:w="887" w:type="pct"/>
            <w:shd w:val="clear" w:color="auto" w:fill="F2F2F2"/>
          </w:tcPr>
          <w:p w:rsidR="00C30B65" w:rsidRPr="00DC4C78" w:rsidRDefault="00C30B65" w:rsidP="00C30B65">
            <w:pPr>
              <w:pStyle w:val="TableText"/>
              <w:jc w:val="center"/>
              <w:rPr>
                <w:b/>
              </w:rPr>
            </w:pPr>
            <w:r w:rsidRPr="00DC4C78">
              <w:rPr>
                <w:b/>
              </w:rPr>
              <w:t>Pacific peoples</w:t>
            </w:r>
          </w:p>
        </w:tc>
      </w:tr>
      <w:tr w:rsidR="00C30B65" w:rsidRPr="00DC4C78" w:rsidTr="00C30B65">
        <w:trPr>
          <w:cantSplit/>
        </w:trPr>
        <w:tc>
          <w:tcPr>
            <w:tcW w:w="1439" w:type="pct"/>
            <w:tcBorders>
              <w:top w:val="single" w:sz="4" w:space="0" w:color="A6A6A6"/>
            </w:tcBorders>
            <w:shd w:val="clear" w:color="auto" w:fill="auto"/>
          </w:tcPr>
          <w:p w:rsidR="00C30B65" w:rsidRPr="00DC4C78" w:rsidRDefault="00C30B65" w:rsidP="00C30B65">
            <w:pPr>
              <w:pStyle w:val="TableText"/>
            </w:pPr>
            <w:r w:rsidRPr="00DC4C78">
              <w:t>September 2015 mean –</w:t>
            </w:r>
            <w:r>
              <w:t xml:space="preserve"> </w:t>
            </w:r>
            <w:r w:rsidRPr="00DC4C78">
              <w:br/>
            </w:r>
            <w:r>
              <w:t>referrals only</w:t>
            </w:r>
          </w:p>
        </w:tc>
        <w:tc>
          <w:tcPr>
            <w:tcW w:w="985" w:type="pct"/>
            <w:tcBorders>
              <w:top w:val="single" w:sz="4" w:space="0" w:color="A6A6A6"/>
            </w:tcBorders>
            <w:shd w:val="clear" w:color="auto" w:fill="auto"/>
            <w:vAlign w:val="center"/>
          </w:tcPr>
          <w:p w:rsidR="00C30B65" w:rsidRPr="00DC4C78" w:rsidRDefault="00C30B65" w:rsidP="00C30B65">
            <w:pPr>
              <w:pStyle w:val="TableText"/>
              <w:jc w:val="center"/>
            </w:pPr>
            <w:r w:rsidRPr="00DC4C78">
              <w:t>100%</w:t>
            </w:r>
          </w:p>
        </w:tc>
        <w:tc>
          <w:tcPr>
            <w:tcW w:w="909" w:type="pct"/>
            <w:tcBorders>
              <w:top w:val="single" w:sz="4" w:space="0" w:color="A6A6A6"/>
            </w:tcBorders>
            <w:shd w:val="clear" w:color="auto" w:fill="auto"/>
            <w:vAlign w:val="center"/>
          </w:tcPr>
          <w:p w:rsidR="00C30B65" w:rsidRPr="00DC4C78" w:rsidRDefault="00C30B65" w:rsidP="00C30B65">
            <w:pPr>
              <w:pStyle w:val="TableText"/>
              <w:jc w:val="center"/>
            </w:pPr>
            <w:r w:rsidRPr="00DC4C78">
              <w:t>100%</w:t>
            </w:r>
          </w:p>
        </w:tc>
        <w:tc>
          <w:tcPr>
            <w:tcW w:w="779" w:type="pct"/>
            <w:tcBorders>
              <w:top w:val="single" w:sz="4" w:space="0" w:color="A6A6A6"/>
            </w:tcBorders>
            <w:shd w:val="clear" w:color="auto" w:fill="auto"/>
            <w:vAlign w:val="center"/>
          </w:tcPr>
          <w:p w:rsidR="00C30B65" w:rsidRPr="00DC4C78" w:rsidRDefault="00C30B65" w:rsidP="00C30B65">
            <w:pPr>
              <w:pStyle w:val="TableText"/>
              <w:jc w:val="center"/>
            </w:pPr>
            <w:r w:rsidRPr="00DC4C78">
              <w:t>100%</w:t>
            </w:r>
          </w:p>
        </w:tc>
        <w:tc>
          <w:tcPr>
            <w:tcW w:w="887" w:type="pct"/>
            <w:tcBorders>
              <w:top w:val="single" w:sz="4" w:space="0" w:color="A6A6A6"/>
            </w:tcBorders>
            <w:shd w:val="clear" w:color="auto" w:fill="auto"/>
            <w:vAlign w:val="center"/>
          </w:tcPr>
          <w:p w:rsidR="00C30B65" w:rsidRPr="00DC4C78" w:rsidRDefault="00C30B65" w:rsidP="00C30B65">
            <w:pPr>
              <w:pStyle w:val="TableText"/>
              <w:jc w:val="center"/>
            </w:pPr>
            <w:r w:rsidRPr="00DC4C78">
              <w:t>100%</w:t>
            </w:r>
          </w:p>
        </w:tc>
      </w:tr>
      <w:tr w:rsidR="00C30B65" w:rsidRPr="00DC4C78" w:rsidTr="00C30B65">
        <w:trPr>
          <w:cantSplit/>
        </w:trPr>
        <w:tc>
          <w:tcPr>
            <w:tcW w:w="1439" w:type="pct"/>
            <w:tcBorders>
              <w:top w:val="single" w:sz="4" w:space="0" w:color="A6A6A6"/>
            </w:tcBorders>
            <w:shd w:val="clear" w:color="auto" w:fill="auto"/>
          </w:tcPr>
          <w:p w:rsidR="00C30B65" w:rsidRPr="00DC4C78" w:rsidRDefault="00C30B65" w:rsidP="00C30B65">
            <w:pPr>
              <w:pStyle w:val="TableText"/>
            </w:pPr>
            <w:r w:rsidRPr="00DC4C78">
              <w:t>March 2015 mean –</w:t>
            </w:r>
            <w:r>
              <w:t xml:space="preserve"> </w:t>
            </w:r>
            <w:r w:rsidRPr="00DC4C78">
              <w:br/>
            </w:r>
            <w:r>
              <w:t>referrals only</w:t>
            </w:r>
          </w:p>
        </w:tc>
        <w:tc>
          <w:tcPr>
            <w:tcW w:w="985" w:type="pct"/>
            <w:tcBorders>
              <w:top w:val="single" w:sz="4" w:space="0" w:color="A6A6A6"/>
            </w:tcBorders>
            <w:shd w:val="clear" w:color="auto" w:fill="auto"/>
            <w:vAlign w:val="center"/>
          </w:tcPr>
          <w:p w:rsidR="00C30B65" w:rsidRPr="00DC4C78" w:rsidRDefault="00C30B65" w:rsidP="00C30B65">
            <w:pPr>
              <w:pStyle w:val="TableText"/>
              <w:jc w:val="center"/>
            </w:pPr>
            <w:r w:rsidRPr="00DC4C78">
              <w:t>100%</w:t>
            </w:r>
          </w:p>
        </w:tc>
        <w:tc>
          <w:tcPr>
            <w:tcW w:w="909" w:type="pct"/>
            <w:tcBorders>
              <w:top w:val="single" w:sz="4" w:space="0" w:color="A6A6A6"/>
            </w:tcBorders>
            <w:shd w:val="clear" w:color="auto" w:fill="auto"/>
            <w:vAlign w:val="center"/>
          </w:tcPr>
          <w:p w:rsidR="00C30B65" w:rsidRPr="00DC4C78" w:rsidRDefault="00C30B65" w:rsidP="00C30B65">
            <w:pPr>
              <w:pStyle w:val="TableText"/>
              <w:jc w:val="center"/>
            </w:pPr>
            <w:r w:rsidRPr="00DC4C78">
              <w:t>100%</w:t>
            </w:r>
          </w:p>
        </w:tc>
        <w:tc>
          <w:tcPr>
            <w:tcW w:w="779" w:type="pct"/>
            <w:tcBorders>
              <w:top w:val="single" w:sz="4" w:space="0" w:color="A6A6A6"/>
            </w:tcBorders>
            <w:shd w:val="clear" w:color="auto" w:fill="auto"/>
            <w:vAlign w:val="center"/>
          </w:tcPr>
          <w:p w:rsidR="00C30B65" w:rsidRPr="00DC4C78" w:rsidRDefault="00C30B65" w:rsidP="00C30B65">
            <w:pPr>
              <w:pStyle w:val="TableText"/>
              <w:jc w:val="center"/>
            </w:pPr>
            <w:r w:rsidRPr="00DC4C78">
              <w:t>99%</w:t>
            </w:r>
          </w:p>
        </w:tc>
        <w:tc>
          <w:tcPr>
            <w:tcW w:w="887" w:type="pct"/>
            <w:tcBorders>
              <w:top w:val="single" w:sz="4" w:space="0" w:color="A6A6A6"/>
            </w:tcBorders>
            <w:shd w:val="clear" w:color="auto" w:fill="auto"/>
            <w:vAlign w:val="center"/>
          </w:tcPr>
          <w:p w:rsidR="00C30B65" w:rsidRPr="00DC4C78" w:rsidRDefault="00C30B65" w:rsidP="00C30B65">
            <w:pPr>
              <w:pStyle w:val="TableText"/>
              <w:jc w:val="center"/>
            </w:pPr>
            <w:r w:rsidRPr="00DC4C78">
              <w:t>100%</w:t>
            </w:r>
          </w:p>
        </w:tc>
      </w:tr>
    </w:tbl>
    <w:p w:rsidR="00C30B65" w:rsidRPr="00DC4C78" w:rsidRDefault="00C30B65" w:rsidP="00C30B65"/>
    <w:p w:rsidR="00C30B65" w:rsidRPr="00DC4C78" w:rsidRDefault="00C30B65" w:rsidP="00C30B65">
      <w:pPr>
        <w:pStyle w:val="Figure"/>
      </w:pPr>
      <w:bookmarkStart w:id="529" w:name="_Toc405447502"/>
      <w:bookmarkStart w:id="530" w:name="_Toc417554847"/>
      <w:bookmarkStart w:id="531" w:name="_Toc436750588"/>
      <w:bookmarkStart w:id="532" w:name="_Toc440387911"/>
      <w:r w:rsidRPr="00DC4C78">
        <w:t xml:space="preserve">Figure 91: </w:t>
      </w:r>
      <w:r>
        <w:t>Children with an untreated h</w:t>
      </w:r>
      <w:r w:rsidRPr="00DC4C78">
        <w:t>earing problem referred, total New Zealand</w:t>
      </w:r>
      <w:bookmarkEnd w:id="529"/>
      <w:bookmarkEnd w:id="530"/>
      <w:bookmarkEnd w:id="531"/>
      <w:bookmarkEnd w:id="532"/>
    </w:p>
    <w:p w:rsidR="00C30B65" w:rsidRPr="00DC4C78" w:rsidRDefault="00820BBF" w:rsidP="00820BBF">
      <w:r>
        <w:rPr>
          <w:noProof/>
          <w:lang w:eastAsia="en-NZ"/>
        </w:rPr>
        <w:drawing>
          <wp:inline distT="0" distB="0" distL="0" distR="0" wp14:anchorId="07F6E2E8">
            <wp:extent cx="4320000" cy="2520000"/>
            <wp:effectExtent l="0" t="0" r="4445" b="0"/>
            <wp:docPr id="133" name="Picture 133" title="Figure 91: Children with an untreated hearing problem referred, total New Zeala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inline>
        </w:drawing>
      </w:r>
    </w:p>
    <w:p w:rsidR="00C30B65" w:rsidRPr="00DC4C78" w:rsidRDefault="00C30B65" w:rsidP="00C30B65"/>
    <w:p w:rsidR="00C30B65" w:rsidRPr="00DC4C78" w:rsidRDefault="00C30B65" w:rsidP="00C30B65">
      <w:pPr>
        <w:pStyle w:val="Figure"/>
      </w:pPr>
      <w:bookmarkStart w:id="533" w:name="_Toc405447503"/>
      <w:bookmarkStart w:id="534" w:name="_Toc417554848"/>
      <w:bookmarkStart w:id="535" w:name="_Toc436750589"/>
      <w:bookmarkStart w:id="536" w:name="_Toc440387912"/>
      <w:r w:rsidRPr="00DC4C78">
        <w:t xml:space="preserve">Figure 92: </w:t>
      </w:r>
      <w:r>
        <w:t>Children with an untreated h</w:t>
      </w:r>
      <w:r w:rsidRPr="00DC4C78">
        <w:t>earing problem referred, high deprivation</w:t>
      </w:r>
      <w:bookmarkEnd w:id="533"/>
      <w:bookmarkEnd w:id="534"/>
      <w:bookmarkEnd w:id="535"/>
      <w:r>
        <w:t xml:space="preserve"> population</w:t>
      </w:r>
      <w:bookmarkEnd w:id="536"/>
    </w:p>
    <w:p w:rsidR="00C30B65" w:rsidRPr="00DC4C78" w:rsidRDefault="00820BBF" w:rsidP="00820BBF">
      <w:r>
        <w:rPr>
          <w:noProof/>
          <w:lang w:eastAsia="en-NZ"/>
        </w:rPr>
        <w:drawing>
          <wp:inline distT="0" distB="0" distL="0" distR="0" wp14:anchorId="5C71CB7B">
            <wp:extent cx="4320000" cy="2520000"/>
            <wp:effectExtent l="0" t="0" r="4445" b="0"/>
            <wp:docPr id="134" name="Picture 134" title="Figure 92: Children with an untreated hearing problem referred, high deprivation popul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inline>
        </w:drawing>
      </w:r>
    </w:p>
    <w:p w:rsidR="00C30B65" w:rsidRPr="00DC4C78" w:rsidRDefault="00C30B65" w:rsidP="00A95EFC">
      <w:pPr>
        <w:pStyle w:val="Figure"/>
        <w:spacing w:before="360"/>
      </w:pPr>
      <w:bookmarkStart w:id="537" w:name="_Toc405447504"/>
      <w:bookmarkStart w:id="538" w:name="_Toc417554849"/>
      <w:bookmarkStart w:id="539" w:name="_Toc436750590"/>
      <w:bookmarkStart w:id="540" w:name="_Toc440387913"/>
      <w:r w:rsidRPr="00DC4C78">
        <w:lastRenderedPageBreak/>
        <w:t xml:space="preserve">Figure 93: </w:t>
      </w:r>
      <w:r>
        <w:t>Children with an untreated h</w:t>
      </w:r>
      <w:r w:rsidRPr="00DC4C78">
        <w:t>earing problem referred, Māori</w:t>
      </w:r>
      <w:bookmarkEnd w:id="537"/>
      <w:bookmarkEnd w:id="538"/>
      <w:bookmarkEnd w:id="539"/>
      <w:bookmarkEnd w:id="540"/>
    </w:p>
    <w:p w:rsidR="00C30B65" w:rsidRPr="00DC4C78" w:rsidRDefault="00820BBF" w:rsidP="00820BBF">
      <w:r>
        <w:rPr>
          <w:noProof/>
          <w:lang w:eastAsia="en-NZ"/>
        </w:rPr>
        <w:drawing>
          <wp:inline distT="0" distB="0" distL="0" distR="0" wp14:anchorId="5C96EC28">
            <wp:extent cx="4320000" cy="2520000"/>
            <wp:effectExtent l="0" t="0" r="4445" b="0"/>
            <wp:docPr id="135" name="Picture 135" title="Figure 93: Children with an untreated hearing problem referred, Māor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inline>
        </w:drawing>
      </w:r>
    </w:p>
    <w:p w:rsidR="00C30B65" w:rsidRPr="00DC4C78" w:rsidRDefault="00C30B65" w:rsidP="00C30B65"/>
    <w:p w:rsidR="00C30B65" w:rsidRPr="00DC4C78" w:rsidRDefault="00C30B65" w:rsidP="00C30B65">
      <w:pPr>
        <w:pStyle w:val="Figure"/>
      </w:pPr>
      <w:bookmarkStart w:id="541" w:name="_Toc405447505"/>
      <w:bookmarkStart w:id="542" w:name="_Toc417554850"/>
      <w:bookmarkStart w:id="543" w:name="_Toc436750591"/>
      <w:bookmarkStart w:id="544" w:name="_Toc440387914"/>
      <w:r w:rsidRPr="00DC4C78">
        <w:t xml:space="preserve">Figure 94: </w:t>
      </w:r>
      <w:r>
        <w:t>Children with an untreated h</w:t>
      </w:r>
      <w:r w:rsidRPr="00DC4C78">
        <w:t>earing problem referred, Pacific peoples</w:t>
      </w:r>
      <w:bookmarkEnd w:id="541"/>
      <w:bookmarkEnd w:id="542"/>
      <w:bookmarkEnd w:id="543"/>
      <w:bookmarkEnd w:id="544"/>
    </w:p>
    <w:p w:rsidR="00C30B65" w:rsidRPr="00DC4C78" w:rsidRDefault="00820BBF" w:rsidP="00820BBF">
      <w:r>
        <w:rPr>
          <w:noProof/>
          <w:lang w:eastAsia="en-NZ"/>
        </w:rPr>
        <w:drawing>
          <wp:inline distT="0" distB="0" distL="0" distR="0" wp14:anchorId="0B3EAD96">
            <wp:extent cx="4320000" cy="2520000"/>
            <wp:effectExtent l="0" t="0" r="4445" b="0"/>
            <wp:docPr id="136" name="Picture 136" title="Figure 94: Children with an untreated hearing problem referred, Pacific peop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inline>
        </w:drawing>
      </w:r>
    </w:p>
    <w:p w:rsidR="00C30B65" w:rsidRPr="00DC4C78" w:rsidRDefault="00C30B65" w:rsidP="00C30B65"/>
    <w:p w:rsidR="00C30B65" w:rsidRPr="00DC4C78" w:rsidRDefault="00C30B65" w:rsidP="00C30B65">
      <w:pPr>
        <w:pStyle w:val="Heading3"/>
      </w:pPr>
      <w:r w:rsidRPr="00DC4C78">
        <w:t>Data notes</w:t>
      </w:r>
    </w:p>
    <w:p w:rsidR="00C30B65" w:rsidRPr="00DC4C78" w:rsidRDefault="00C30B65" w:rsidP="00C30B65">
      <w:pPr>
        <w:pStyle w:val="Bullet"/>
      </w:pPr>
      <w:r w:rsidRPr="00DC4C78">
        <w:t xml:space="preserve">No bar on graph = no children with </w:t>
      </w:r>
      <w:r w:rsidR="00FA7AB7">
        <w:t xml:space="preserve">untreated </w:t>
      </w:r>
      <w:r w:rsidRPr="00DC4C78">
        <w:t>hearing problem for that population.</w:t>
      </w:r>
    </w:p>
    <w:p w:rsidR="00C30B65" w:rsidRPr="00DC4C78" w:rsidRDefault="00C30B65" w:rsidP="00C30B65">
      <w:pPr>
        <w:pStyle w:val="Bullet"/>
      </w:pPr>
      <w:r w:rsidRPr="00DC4C78">
        <w:t>Time period: children receiving a B4 School Check between 1 January 2015 and 30 June 2015.</w:t>
      </w:r>
    </w:p>
    <w:p w:rsidR="00C30B65" w:rsidRPr="00DC4C78" w:rsidRDefault="00C30B65" w:rsidP="00C30B65">
      <w:pPr>
        <w:pStyle w:val="Bullet"/>
      </w:pPr>
      <w:r w:rsidRPr="00DC4C78">
        <w:t>DHB is DHB of service.</w:t>
      </w:r>
    </w:p>
    <w:p w:rsidR="00C30B65" w:rsidRPr="00DC4C78" w:rsidRDefault="00C30B65" w:rsidP="00C30B65">
      <w:pPr>
        <w:pStyle w:val="Bullet"/>
      </w:pPr>
      <w:r w:rsidRPr="00DC4C78">
        <w:t>Numerator: number of children with a hearing problem referred (excluding advice given) (B4 School Check).</w:t>
      </w:r>
    </w:p>
    <w:p w:rsidR="00C30B65" w:rsidRPr="00DC4C78" w:rsidRDefault="00C30B65" w:rsidP="00C30B65">
      <w:pPr>
        <w:pStyle w:val="Bullet"/>
      </w:pPr>
      <w:r w:rsidRPr="00DC4C78">
        <w:t>Denominator: number of children with a hearing problem (excluding those already under care) (B4 School Check).</w:t>
      </w:r>
    </w:p>
    <w:p w:rsidR="00C30B65" w:rsidRPr="00DC4C78" w:rsidRDefault="00C30B65" w:rsidP="00C30B65"/>
    <w:p w:rsidR="00C30B65" w:rsidRPr="00DC4C78" w:rsidRDefault="00C30B65" w:rsidP="00C30B65">
      <w:pPr>
        <w:pStyle w:val="Heading2"/>
        <w:spacing w:before="0"/>
      </w:pPr>
      <w:bookmarkStart w:id="545" w:name="_Toc365618471"/>
      <w:bookmarkStart w:id="546" w:name="_Toc405453794"/>
      <w:bookmarkStart w:id="547" w:name="_Toc418322803"/>
      <w:bookmarkStart w:id="548" w:name="_Toc419099472"/>
      <w:bookmarkStart w:id="549" w:name="_Toc440387818"/>
      <w:r w:rsidRPr="00DC4C78">
        <w:lastRenderedPageBreak/>
        <w:t>WCTO Quality Improvement Framework Indicator 27</w:t>
      </w:r>
      <w:bookmarkEnd w:id="545"/>
      <w:bookmarkEnd w:id="546"/>
      <w:bookmarkEnd w:id="547"/>
      <w:bookmarkEnd w:id="548"/>
      <w:bookmarkEnd w:id="549"/>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418"/>
        <w:gridCol w:w="7938"/>
      </w:tblGrid>
      <w:tr w:rsidR="00C30B65" w:rsidRPr="00DC4C78" w:rsidTr="00B52739">
        <w:trPr>
          <w:cantSplit/>
        </w:trPr>
        <w:tc>
          <w:tcPr>
            <w:tcW w:w="1418" w:type="dxa"/>
            <w:tcBorders>
              <w:top w:val="single" w:sz="4" w:space="0" w:color="auto"/>
              <w:bottom w:val="nil"/>
            </w:tcBorders>
            <w:shd w:val="clear" w:color="auto" w:fill="F2F2F2"/>
          </w:tcPr>
          <w:p w:rsidR="00C30B65" w:rsidRPr="00DC4C78" w:rsidRDefault="00C30B65" w:rsidP="00B52739">
            <w:pPr>
              <w:pStyle w:val="TableText"/>
              <w:keepNext/>
              <w:spacing w:before="40" w:after="40"/>
              <w:rPr>
                <w:b/>
              </w:rPr>
            </w:pPr>
            <w:r w:rsidRPr="00DC4C78">
              <w:rPr>
                <w:b/>
              </w:rPr>
              <w:t>Standard</w:t>
            </w:r>
          </w:p>
        </w:tc>
        <w:tc>
          <w:tcPr>
            <w:tcW w:w="7938" w:type="dxa"/>
            <w:tcBorders>
              <w:top w:val="single" w:sz="4" w:space="0" w:color="auto"/>
              <w:bottom w:val="nil"/>
            </w:tcBorders>
            <w:shd w:val="clear" w:color="auto" w:fill="F2F2F2"/>
          </w:tcPr>
          <w:p w:rsidR="00C30B65" w:rsidRPr="00820BBF" w:rsidRDefault="00C30B65" w:rsidP="00B52739">
            <w:pPr>
              <w:pStyle w:val="TableText"/>
              <w:keepNext/>
              <w:spacing w:before="40" w:after="40"/>
              <w:rPr>
                <w:spacing w:val="-4"/>
              </w:rPr>
            </w:pPr>
            <w:r w:rsidRPr="00820BBF">
              <w:rPr>
                <w:spacing w:val="-4"/>
              </w:rPr>
              <w:t>WCTO providers deliver services in accordance with best practice (inappropriate variation is reduced).</w:t>
            </w:r>
          </w:p>
        </w:tc>
      </w:tr>
      <w:tr w:rsidR="00C30B65" w:rsidRPr="00DC4C78" w:rsidTr="00B52739">
        <w:trPr>
          <w:cantSplit/>
        </w:trPr>
        <w:tc>
          <w:tcPr>
            <w:tcW w:w="1418" w:type="dxa"/>
            <w:tcBorders>
              <w:top w:val="nil"/>
              <w:bottom w:val="nil"/>
            </w:tcBorders>
            <w:shd w:val="clear" w:color="auto" w:fill="auto"/>
          </w:tcPr>
          <w:p w:rsidR="00C30B65" w:rsidRPr="00DC4C78" w:rsidRDefault="00C30B65" w:rsidP="00B52739">
            <w:pPr>
              <w:pStyle w:val="TableText"/>
              <w:keepNext/>
              <w:spacing w:before="40" w:after="40"/>
              <w:rPr>
                <w:b/>
              </w:rPr>
            </w:pPr>
            <w:r w:rsidRPr="00DC4C78">
              <w:rPr>
                <w:b/>
              </w:rPr>
              <w:t>Indicator</w:t>
            </w:r>
          </w:p>
        </w:tc>
        <w:tc>
          <w:tcPr>
            <w:tcW w:w="7938" w:type="dxa"/>
            <w:tcBorders>
              <w:top w:val="nil"/>
              <w:bottom w:val="nil"/>
            </w:tcBorders>
          </w:tcPr>
          <w:p w:rsidR="00C30B65" w:rsidRPr="00DC4C78" w:rsidRDefault="00C30B65" w:rsidP="00B52739">
            <w:pPr>
              <w:pStyle w:val="TableText"/>
              <w:keepNext/>
              <w:spacing w:before="40" w:after="40"/>
            </w:pPr>
            <w:r w:rsidRPr="00DC4C78">
              <w:t xml:space="preserve">Children with a </w:t>
            </w:r>
            <w:r>
              <w:t>body mass index (</w:t>
            </w:r>
            <w:r w:rsidRPr="00DC4C78">
              <w:t>BMI</w:t>
            </w:r>
            <w:r>
              <w:t>)</w:t>
            </w:r>
            <w:r w:rsidRPr="00DC4C78">
              <w:t xml:space="preserve"> greater than the 99.4th percentile at the B4 School Check are referred to a general practitioner or specialist services.</w:t>
            </w:r>
          </w:p>
        </w:tc>
      </w:tr>
      <w:tr w:rsidR="00C30B65" w:rsidRPr="00DC4C78" w:rsidTr="00B52739">
        <w:trPr>
          <w:cantSplit/>
        </w:trPr>
        <w:tc>
          <w:tcPr>
            <w:tcW w:w="1418" w:type="dxa"/>
            <w:tcBorders>
              <w:top w:val="nil"/>
              <w:bottom w:val="nil"/>
            </w:tcBorders>
            <w:shd w:val="clear" w:color="auto" w:fill="F2F2F2"/>
          </w:tcPr>
          <w:p w:rsidR="00C30B65" w:rsidRPr="00DC4C78" w:rsidRDefault="00C30B65" w:rsidP="00B52739">
            <w:pPr>
              <w:pStyle w:val="TableText"/>
              <w:spacing w:before="40" w:after="40"/>
              <w:rPr>
                <w:b/>
              </w:rPr>
            </w:pPr>
            <w:r w:rsidRPr="00DC4C78">
              <w:rPr>
                <w:b/>
              </w:rPr>
              <w:t xml:space="preserve">Target by </w:t>
            </w:r>
            <w:r w:rsidRPr="00B52739">
              <w:rPr>
                <w:rFonts w:ascii="Arial Bold" w:hAnsi="Arial Bold"/>
                <w:b/>
                <w:spacing w:val="-4"/>
              </w:rPr>
              <w:t>December 2014</w:t>
            </w:r>
          </w:p>
        </w:tc>
        <w:tc>
          <w:tcPr>
            <w:tcW w:w="7938" w:type="dxa"/>
            <w:tcBorders>
              <w:top w:val="nil"/>
              <w:bottom w:val="nil"/>
            </w:tcBorders>
            <w:shd w:val="clear" w:color="auto" w:fill="F2F2F2"/>
          </w:tcPr>
          <w:p w:rsidR="00C30B65" w:rsidRPr="00DC4C78" w:rsidRDefault="00C30B65" w:rsidP="00B52739">
            <w:pPr>
              <w:pStyle w:val="TableText"/>
              <w:spacing w:before="40" w:after="40"/>
            </w:pPr>
            <w:r w:rsidRPr="00DC4C78">
              <w:t>86 percent</w:t>
            </w:r>
          </w:p>
        </w:tc>
      </w:tr>
      <w:tr w:rsidR="00C30B65" w:rsidRPr="00DC4C78" w:rsidTr="00B52739">
        <w:trPr>
          <w:cantSplit/>
        </w:trPr>
        <w:tc>
          <w:tcPr>
            <w:tcW w:w="1418" w:type="dxa"/>
            <w:tcBorders>
              <w:top w:val="nil"/>
            </w:tcBorders>
            <w:shd w:val="clear" w:color="auto" w:fill="auto"/>
          </w:tcPr>
          <w:p w:rsidR="00C30B65" w:rsidRPr="00DC4C78" w:rsidRDefault="00C30B65" w:rsidP="00B52739">
            <w:pPr>
              <w:pStyle w:val="TableText"/>
              <w:spacing w:before="40" w:after="40"/>
              <w:rPr>
                <w:b/>
              </w:rPr>
            </w:pPr>
            <w:r w:rsidRPr="00DC4C78">
              <w:rPr>
                <w:b/>
              </w:rPr>
              <w:t>Target by June 2016</w:t>
            </w:r>
          </w:p>
        </w:tc>
        <w:tc>
          <w:tcPr>
            <w:tcW w:w="7938" w:type="dxa"/>
            <w:tcBorders>
              <w:top w:val="nil"/>
            </w:tcBorders>
          </w:tcPr>
          <w:p w:rsidR="00C30B65" w:rsidRPr="00DC4C78" w:rsidRDefault="00C30B65" w:rsidP="00B52739">
            <w:pPr>
              <w:pStyle w:val="TableText"/>
              <w:spacing w:before="40" w:after="40"/>
            </w:pPr>
            <w:r w:rsidRPr="00DC4C78">
              <w:t>95 percent</w:t>
            </w:r>
          </w:p>
        </w:tc>
      </w:tr>
    </w:tbl>
    <w:p w:rsidR="00C30B65" w:rsidRPr="00DC4C78" w:rsidRDefault="00C30B65" w:rsidP="00C30B65"/>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93"/>
        <w:gridCol w:w="1843"/>
        <w:gridCol w:w="1701"/>
        <w:gridCol w:w="1458"/>
        <w:gridCol w:w="1660"/>
      </w:tblGrid>
      <w:tr w:rsidR="00C30B65" w:rsidRPr="00DC4C78" w:rsidTr="00C30B65">
        <w:trPr>
          <w:cantSplit/>
        </w:trPr>
        <w:tc>
          <w:tcPr>
            <w:tcW w:w="1439" w:type="pct"/>
            <w:shd w:val="clear" w:color="auto" w:fill="F2F2F2"/>
          </w:tcPr>
          <w:p w:rsidR="00C30B65" w:rsidRPr="00DC4C78" w:rsidRDefault="00C30B65" w:rsidP="00B52739">
            <w:pPr>
              <w:pStyle w:val="TableText"/>
              <w:spacing w:before="40" w:after="40"/>
              <w:rPr>
                <w:b/>
              </w:rPr>
            </w:pPr>
          </w:p>
        </w:tc>
        <w:tc>
          <w:tcPr>
            <w:tcW w:w="985" w:type="pct"/>
            <w:shd w:val="clear" w:color="auto" w:fill="F2F2F2"/>
          </w:tcPr>
          <w:p w:rsidR="00C30B65" w:rsidRPr="00DC4C78" w:rsidRDefault="00C30B65" w:rsidP="00B52739">
            <w:pPr>
              <w:pStyle w:val="TableText"/>
              <w:spacing w:before="40" w:after="40"/>
              <w:jc w:val="center"/>
              <w:rPr>
                <w:b/>
              </w:rPr>
            </w:pPr>
            <w:r w:rsidRPr="00DC4C78">
              <w:rPr>
                <w:b/>
              </w:rPr>
              <w:t>Total New Zealand</w:t>
            </w:r>
          </w:p>
        </w:tc>
        <w:tc>
          <w:tcPr>
            <w:tcW w:w="909" w:type="pct"/>
            <w:shd w:val="clear" w:color="auto" w:fill="F2F2F2"/>
          </w:tcPr>
          <w:p w:rsidR="00C30B65" w:rsidRPr="00DC4C78" w:rsidRDefault="00C30B65" w:rsidP="00B52739">
            <w:pPr>
              <w:pStyle w:val="TableText"/>
              <w:spacing w:before="40" w:after="40"/>
              <w:jc w:val="center"/>
              <w:rPr>
                <w:b/>
              </w:rPr>
            </w:pPr>
            <w:r w:rsidRPr="00DC4C78">
              <w:rPr>
                <w:b/>
              </w:rPr>
              <w:t>High deprivation</w:t>
            </w:r>
          </w:p>
        </w:tc>
        <w:tc>
          <w:tcPr>
            <w:tcW w:w="779" w:type="pct"/>
            <w:shd w:val="clear" w:color="auto" w:fill="F2F2F2"/>
          </w:tcPr>
          <w:p w:rsidR="00C30B65" w:rsidRPr="00DC4C78" w:rsidRDefault="00C30B65" w:rsidP="00B52739">
            <w:pPr>
              <w:pStyle w:val="TableText"/>
              <w:spacing w:before="40" w:after="40"/>
              <w:jc w:val="center"/>
              <w:rPr>
                <w:b/>
              </w:rPr>
            </w:pPr>
            <w:r w:rsidRPr="00DC4C78">
              <w:rPr>
                <w:b/>
              </w:rPr>
              <w:t>Māori</w:t>
            </w:r>
          </w:p>
        </w:tc>
        <w:tc>
          <w:tcPr>
            <w:tcW w:w="887" w:type="pct"/>
            <w:shd w:val="clear" w:color="auto" w:fill="F2F2F2"/>
          </w:tcPr>
          <w:p w:rsidR="00C30B65" w:rsidRPr="00DC4C78" w:rsidRDefault="00C30B65" w:rsidP="00B52739">
            <w:pPr>
              <w:pStyle w:val="TableText"/>
              <w:spacing w:before="40" w:after="40"/>
              <w:jc w:val="center"/>
              <w:rPr>
                <w:b/>
              </w:rPr>
            </w:pPr>
            <w:r w:rsidRPr="00DC4C78">
              <w:rPr>
                <w:b/>
              </w:rPr>
              <w:t>Pacific peoples</w:t>
            </w:r>
          </w:p>
        </w:tc>
      </w:tr>
      <w:tr w:rsidR="00C30B65" w:rsidRPr="00DC4C78" w:rsidTr="00C30B65">
        <w:trPr>
          <w:cantSplit/>
        </w:trPr>
        <w:tc>
          <w:tcPr>
            <w:tcW w:w="1439" w:type="pct"/>
            <w:tcBorders>
              <w:bottom w:val="single" w:sz="4" w:space="0" w:color="A6A6A6"/>
            </w:tcBorders>
            <w:shd w:val="clear" w:color="auto" w:fill="auto"/>
          </w:tcPr>
          <w:p w:rsidR="00C30B65" w:rsidRPr="00DC4C78" w:rsidRDefault="00C30B65" w:rsidP="00B52739">
            <w:pPr>
              <w:pStyle w:val="TableText"/>
              <w:spacing w:before="40" w:after="40"/>
            </w:pPr>
            <w:r w:rsidRPr="00DC4C78">
              <w:t>September 2015 mean –</w:t>
            </w:r>
            <w:r w:rsidRPr="00DC4C78">
              <w:br/>
            </w:r>
            <w:r>
              <w:t>advice or r</w:t>
            </w:r>
            <w:r w:rsidR="001154C5">
              <w:t>eferral</w:t>
            </w:r>
          </w:p>
        </w:tc>
        <w:tc>
          <w:tcPr>
            <w:tcW w:w="985" w:type="pct"/>
            <w:tcBorders>
              <w:bottom w:val="single" w:sz="4" w:space="0" w:color="A6A6A6"/>
            </w:tcBorders>
            <w:shd w:val="clear" w:color="auto" w:fill="auto"/>
            <w:vAlign w:val="center"/>
          </w:tcPr>
          <w:p w:rsidR="00C30B65" w:rsidRPr="00DC4C78" w:rsidRDefault="00C30B65" w:rsidP="00B52739">
            <w:pPr>
              <w:pStyle w:val="TableText"/>
              <w:spacing w:before="40" w:after="40"/>
              <w:jc w:val="center"/>
            </w:pPr>
            <w:r w:rsidRPr="00DC4C78">
              <w:t>100%</w:t>
            </w:r>
          </w:p>
        </w:tc>
        <w:tc>
          <w:tcPr>
            <w:tcW w:w="909" w:type="pct"/>
            <w:tcBorders>
              <w:bottom w:val="single" w:sz="4" w:space="0" w:color="A6A6A6"/>
            </w:tcBorders>
            <w:shd w:val="clear" w:color="auto" w:fill="auto"/>
            <w:vAlign w:val="center"/>
          </w:tcPr>
          <w:p w:rsidR="00C30B65" w:rsidRPr="00DC4C78" w:rsidRDefault="00C30B65" w:rsidP="00B52739">
            <w:pPr>
              <w:pStyle w:val="TableText"/>
              <w:spacing w:before="40" w:after="40"/>
              <w:jc w:val="center"/>
            </w:pPr>
            <w:r w:rsidRPr="00DC4C78">
              <w:t>100%</w:t>
            </w:r>
          </w:p>
        </w:tc>
        <w:tc>
          <w:tcPr>
            <w:tcW w:w="779" w:type="pct"/>
            <w:tcBorders>
              <w:bottom w:val="single" w:sz="4" w:space="0" w:color="A6A6A6"/>
            </w:tcBorders>
            <w:shd w:val="clear" w:color="auto" w:fill="auto"/>
            <w:vAlign w:val="center"/>
          </w:tcPr>
          <w:p w:rsidR="00C30B65" w:rsidRPr="00DC4C78" w:rsidRDefault="00C30B65" w:rsidP="00B52739">
            <w:pPr>
              <w:pStyle w:val="TableText"/>
              <w:spacing w:before="40" w:after="40"/>
              <w:jc w:val="center"/>
            </w:pPr>
            <w:r w:rsidRPr="00DC4C78">
              <w:t>100%</w:t>
            </w:r>
          </w:p>
        </w:tc>
        <w:tc>
          <w:tcPr>
            <w:tcW w:w="887" w:type="pct"/>
            <w:tcBorders>
              <w:bottom w:val="single" w:sz="4" w:space="0" w:color="A6A6A6"/>
            </w:tcBorders>
            <w:shd w:val="clear" w:color="auto" w:fill="auto"/>
            <w:vAlign w:val="center"/>
          </w:tcPr>
          <w:p w:rsidR="00C30B65" w:rsidRPr="00DC4C78" w:rsidRDefault="00C30B65" w:rsidP="00B52739">
            <w:pPr>
              <w:pStyle w:val="TableText"/>
              <w:spacing w:before="40" w:after="40"/>
              <w:jc w:val="center"/>
            </w:pPr>
            <w:r w:rsidRPr="00DC4C78">
              <w:t>100%</w:t>
            </w:r>
          </w:p>
        </w:tc>
      </w:tr>
      <w:tr w:rsidR="00C30B65" w:rsidRPr="00DC4C78" w:rsidTr="00C30B65">
        <w:trPr>
          <w:cantSplit/>
        </w:trPr>
        <w:tc>
          <w:tcPr>
            <w:tcW w:w="1439" w:type="pct"/>
            <w:tcBorders>
              <w:top w:val="single" w:sz="4" w:space="0" w:color="A6A6A6"/>
            </w:tcBorders>
            <w:shd w:val="clear" w:color="auto" w:fill="auto"/>
          </w:tcPr>
          <w:p w:rsidR="00C30B65" w:rsidRPr="00DC4C78" w:rsidRDefault="00C30B65" w:rsidP="00B52739">
            <w:pPr>
              <w:pStyle w:val="TableText"/>
              <w:spacing w:before="40" w:after="40"/>
            </w:pPr>
            <w:r w:rsidRPr="00DC4C78">
              <w:t xml:space="preserve">September 2015 mean (range) – </w:t>
            </w:r>
            <w:r>
              <w:t>referral only</w:t>
            </w:r>
          </w:p>
        </w:tc>
        <w:tc>
          <w:tcPr>
            <w:tcW w:w="985" w:type="pct"/>
            <w:tcBorders>
              <w:top w:val="single" w:sz="4" w:space="0" w:color="A6A6A6"/>
            </w:tcBorders>
            <w:shd w:val="clear" w:color="auto" w:fill="auto"/>
            <w:vAlign w:val="center"/>
          </w:tcPr>
          <w:p w:rsidR="00C30B65" w:rsidRPr="00DC4C78" w:rsidRDefault="00C30B65" w:rsidP="00B52739">
            <w:pPr>
              <w:pStyle w:val="TableText"/>
              <w:spacing w:before="40" w:after="40"/>
              <w:jc w:val="center"/>
            </w:pPr>
            <w:r w:rsidRPr="00DC4C78">
              <w:t>83% (0–100)</w:t>
            </w:r>
          </w:p>
        </w:tc>
        <w:tc>
          <w:tcPr>
            <w:tcW w:w="909" w:type="pct"/>
            <w:tcBorders>
              <w:top w:val="single" w:sz="4" w:space="0" w:color="A6A6A6"/>
            </w:tcBorders>
            <w:shd w:val="clear" w:color="auto" w:fill="auto"/>
            <w:vAlign w:val="center"/>
          </w:tcPr>
          <w:p w:rsidR="00C30B65" w:rsidRPr="00DC4C78" w:rsidRDefault="00C30B65" w:rsidP="00B52739">
            <w:pPr>
              <w:pStyle w:val="TableText"/>
              <w:spacing w:before="40" w:after="40"/>
              <w:jc w:val="center"/>
            </w:pPr>
            <w:r w:rsidRPr="00DC4C78">
              <w:t>87% (0–100)</w:t>
            </w:r>
          </w:p>
        </w:tc>
        <w:tc>
          <w:tcPr>
            <w:tcW w:w="779" w:type="pct"/>
            <w:tcBorders>
              <w:top w:val="single" w:sz="4" w:space="0" w:color="A6A6A6"/>
            </w:tcBorders>
            <w:shd w:val="clear" w:color="auto" w:fill="auto"/>
            <w:vAlign w:val="center"/>
          </w:tcPr>
          <w:p w:rsidR="00C30B65" w:rsidRPr="00DC4C78" w:rsidRDefault="00C30B65" w:rsidP="00B52739">
            <w:pPr>
              <w:pStyle w:val="TableText"/>
              <w:spacing w:before="40" w:after="40"/>
              <w:jc w:val="center"/>
            </w:pPr>
            <w:r w:rsidRPr="00DC4C78">
              <w:t>79% (0–100)</w:t>
            </w:r>
          </w:p>
        </w:tc>
        <w:tc>
          <w:tcPr>
            <w:tcW w:w="887" w:type="pct"/>
            <w:tcBorders>
              <w:top w:val="single" w:sz="4" w:space="0" w:color="A6A6A6"/>
            </w:tcBorders>
            <w:shd w:val="clear" w:color="auto" w:fill="auto"/>
            <w:vAlign w:val="center"/>
          </w:tcPr>
          <w:p w:rsidR="00C30B65" w:rsidRPr="00DC4C78" w:rsidRDefault="00C30B65" w:rsidP="00B52739">
            <w:pPr>
              <w:pStyle w:val="TableText"/>
              <w:spacing w:before="40" w:after="40"/>
              <w:jc w:val="center"/>
            </w:pPr>
            <w:r w:rsidRPr="00DC4C78">
              <w:t>92% (0–100)</w:t>
            </w:r>
          </w:p>
        </w:tc>
      </w:tr>
      <w:tr w:rsidR="00C30B65" w:rsidRPr="00DC4C78" w:rsidTr="00C30B65">
        <w:trPr>
          <w:cantSplit/>
        </w:trPr>
        <w:tc>
          <w:tcPr>
            <w:tcW w:w="1439" w:type="pct"/>
            <w:tcBorders>
              <w:bottom w:val="single" w:sz="4" w:space="0" w:color="A6A6A6"/>
            </w:tcBorders>
            <w:shd w:val="clear" w:color="auto" w:fill="auto"/>
          </w:tcPr>
          <w:p w:rsidR="00C30B65" w:rsidRPr="00DC4C78" w:rsidRDefault="00C30B65" w:rsidP="00B52739">
            <w:pPr>
              <w:pStyle w:val="TableText"/>
              <w:spacing w:before="40" w:after="40"/>
            </w:pPr>
            <w:r w:rsidRPr="00DC4C78">
              <w:t>March 2015 mean –</w:t>
            </w:r>
            <w:r w:rsidRPr="00DC4C78">
              <w:br/>
            </w:r>
            <w:r>
              <w:t>advice or referral</w:t>
            </w:r>
          </w:p>
        </w:tc>
        <w:tc>
          <w:tcPr>
            <w:tcW w:w="985" w:type="pct"/>
            <w:tcBorders>
              <w:bottom w:val="single" w:sz="4" w:space="0" w:color="A6A6A6"/>
            </w:tcBorders>
            <w:shd w:val="clear" w:color="auto" w:fill="auto"/>
            <w:vAlign w:val="center"/>
          </w:tcPr>
          <w:p w:rsidR="00C30B65" w:rsidRPr="00DC4C78" w:rsidRDefault="00C30B65" w:rsidP="00B52739">
            <w:pPr>
              <w:pStyle w:val="TableText"/>
              <w:spacing w:before="40" w:after="40"/>
              <w:jc w:val="center"/>
            </w:pPr>
            <w:r w:rsidRPr="00DC4C78">
              <w:t>100%</w:t>
            </w:r>
          </w:p>
        </w:tc>
        <w:tc>
          <w:tcPr>
            <w:tcW w:w="909" w:type="pct"/>
            <w:tcBorders>
              <w:bottom w:val="single" w:sz="4" w:space="0" w:color="A6A6A6"/>
            </w:tcBorders>
            <w:shd w:val="clear" w:color="auto" w:fill="auto"/>
            <w:vAlign w:val="center"/>
          </w:tcPr>
          <w:p w:rsidR="00C30B65" w:rsidRPr="00DC4C78" w:rsidRDefault="00C30B65" w:rsidP="00B52739">
            <w:pPr>
              <w:pStyle w:val="TableText"/>
              <w:spacing w:before="40" w:after="40"/>
              <w:jc w:val="center"/>
            </w:pPr>
            <w:r w:rsidRPr="00DC4C78">
              <w:t>100%</w:t>
            </w:r>
          </w:p>
        </w:tc>
        <w:tc>
          <w:tcPr>
            <w:tcW w:w="779" w:type="pct"/>
            <w:tcBorders>
              <w:bottom w:val="single" w:sz="4" w:space="0" w:color="A6A6A6"/>
            </w:tcBorders>
            <w:shd w:val="clear" w:color="auto" w:fill="auto"/>
            <w:vAlign w:val="center"/>
          </w:tcPr>
          <w:p w:rsidR="00C30B65" w:rsidRPr="00DC4C78" w:rsidRDefault="00C30B65" w:rsidP="00B52739">
            <w:pPr>
              <w:pStyle w:val="TableText"/>
              <w:spacing w:before="40" w:after="40"/>
              <w:jc w:val="center"/>
            </w:pPr>
            <w:r w:rsidRPr="00DC4C78">
              <w:t>100%</w:t>
            </w:r>
          </w:p>
        </w:tc>
        <w:tc>
          <w:tcPr>
            <w:tcW w:w="887" w:type="pct"/>
            <w:tcBorders>
              <w:bottom w:val="single" w:sz="4" w:space="0" w:color="A6A6A6"/>
            </w:tcBorders>
            <w:shd w:val="clear" w:color="auto" w:fill="auto"/>
            <w:vAlign w:val="center"/>
          </w:tcPr>
          <w:p w:rsidR="00C30B65" w:rsidRPr="00DC4C78" w:rsidRDefault="00C30B65" w:rsidP="00B52739">
            <w:pPr>
              <w:pStyle w:val="TableText"/>
              <w:spacing w:before="40" w:after="40"/>
              <w:jc w:val="center"/>
            </w:pPr>
            <w:r w:rsidRPr="00DC4C78">
              <w:t>100%</w:t>
            </w:r>
          </w:p>
        </w:tc>
      </w:tr>
      <w:tr w:rsidR="00C30B65" w:rsidRPr="00DC4C78" w:rsidTr="00C30B65">
        <w:trPr>
          <w:cantSplit/>
        </w:trPr>
        <w:tc>
          <w:tcPr>
            <w:tcW w:w="1439" w:type="pct"/>
            <w:tcBorders>
              <w:top w:val="single" w:sz="4" w:space="0" w:color="A6A6A6"/>
            </w:tcBorders>
            <w:shd w:val="clear" w:color="auto" w:fill="auto"/>
          </w:tcPr>
          <w:p w:rsidR="00C30B65" w:rsidRPr="00DC4C78" w:rsidRDefault="00C30B65" w:rsidP="00B52739">
            <w:pPr>
              <w:pStyle w:val="TableText"/>
              <w:spacing w:before="40" w:after="40"/>
            </w:pPr>
            <w:r w:rsidRPr="00DC4C78">
              <w:t xml:space="preserve">March 2015 mean (range) – </w:t>
            </w:r>
            <w:r>
              <w:t>referral only</w:t>
            </w:r>
          </w:p>
        </w:tc>
        <w:tc>
          <w:tcPr>
            <w:tcW w:w="985" w:type="pct"/>
            <w:tcBorders>
              <w:top w:val="single" w:sz="4" w:space="0" w:color="A6A6A6"/>
            </w:tcBorders>
            <w:shd w:val="clear" w:color="auto" w:fill="auto"/>
            <w:vAlign w:val="center"/>
          </w:tcPr>
          <w:p w:rsidR="00C30B65" w:rsidRPr="00DC4C78" w:rsidRDefault="00C30B65" w:rsidP="00B52739">
            <w:pPr>
              <w:pStyle w:val="TableText"/>
              <w:spacing w:before="40" w:after="40"/>
              <w:jc w:val="center"/>
            </w:pPr>
            <w:r w:rsidRPr="00DC4C78">
              <w:t>86% (0–100)</w:t>
            </w:r>
          </w:p>
        </w:tc>
        <w:tc>
          <w:tcPr>
            <w:tcW w:w="909" w:type="pct"/>
            <w:tcBorders>
              <w:top w:val="single" w:sz="4" w:space="0" w:color="A6A6A6"/>
            </w:tcBorders>
            <w:shd w:val="clear" w:color="auto" w:fill="auto"/>
            <w:vAlign w:val="center"/>
          </w:tcPr>
          <w:p w:rsidR="00C30B65" w:rsidRPr="00DC4C78" w:rsidRDefault="00C30B65" w:rsidP="00B52739">
            <w:pPr>
              <w:pStyle w:val="TableText"/>
              <w:spacing w:before="40" w:after="40"/>
              <w:jc w:val="center"/>
            </w:pPr>
            <w:r w:rsidRPr="00DC4C78">
              <w:t>86% (0–100)</w:t>
            </w:r>
          </w:p>
        </w:tc>
        <w:tc>
          <w:tcPr>
            <w:tcW w:w="779" w:type="pct"/>
            <w:tcBorders>
              <w:top w:val="single" w:sz="4" w:space="0" w:color="A6A6A6"/>
            </w:tcBorders>
            <w:shd w:val="clear" w:color="auto" w:fill="auto"/>
            <w:vAlign w:val="center"/>
          </w:tcPr>
          <w:p w:rsidR="00C30B65" w:rsidRPr="00DC4C78" w:rsidRDefault="00C30B65" w:rsidP="00B52739">
            <w:pPr>
              <w:pStyle w:val="TableText"/>
              <w:spacing w:before="40" w:after="40"/>
              <w:jc w:val="center"/>
            </w:pPr>
            <w:r w:rsidRPr="00DC4C78">
              <w:t>75% (0–100)</w:t>
            </w:r>
          </w:p>
        </w:tc>
        <w:tc>
          <w:tcPr>
            <w:tcW w:w="887" w:type="pct"/>
            <w:tcBorders>
              <w:top w:val="single" w:sz="4" w:space="0" w:color="A6A6A6"/>
            </w:tcBorders>
            <w:shd w:val="clear" w:color="auto" w:fill="auto"/>
            <w:vAlign w:val="center"/>
          </w:tcPr>
          <w:p w:rsidR="00C30B65" w:rsidRPr="00DC4C78" w:rsidRDefault="00C30B65" w:rsidP="00B52739">
            <w:pPr>
              <w:pStyle w:val="TableText"/>
              <w:spacing w:before="40" w:after="40"/>
              <w:jc w:val="center"/>
            </w:pPr>
            <w:r w:rsidRPr="00DC4C78">
              <w:t>99% (83–100)</w:t>
            </w:r>
          </w:p>
        </w:tc>
      </w:tr>
    </w:tbl>
    <w:p w:rsidR="00C30B65" w:rsidRPr="00DC4C78" w:rsidRDefault="00C30B65" w:rsidP="00C30B65"/>
    <w:p w:rsidR="00C30B65" w:rsidRPr="00DC4C78" w:rsidRDefault="00C30B65" w:rsidP="001154C5">
      <w:pPr>
        <w:pStyle w:val="Figure"/>
        <w:spacing w:before="0" w:after="60"/>
      </w:pPr>
      <w:bookmarkStart w:id="550" w:name="_Toc405447506"/>
      <w:bookmarkStart w:id="551" w:name="_Toc417554851"/>
      <w:bookmarkStart w:id="552" w:name="_Toc436750592"/>
      <w:bookmarkStart w:id="553" w:name="_Toc440387915"/>
      <w:r w:rsidRPr="00DC4C78">
        <w:t xml:space="preserve">Figure 95: Children with </w:t>
      </w:r>
      <w:r>
        <w:t>body mass index</w:t>
      </w:r>
      <w:r w:rsidRPr="00DC4C78">
        <w:t xml:space="preserve"> &gt; 99.4th percentile referred, total New Zealand</w:t>
      </w:r>
      <w:bookmarkEnd w:id="550"/>
      <w:bookmarkEnd w:id="551"/>
      <w:bookmarkEnd w:id="552"/>
      <w:bookmarkEnd w:id="553"/>
    </w:p>
    <w:p w:rsidR="00C30B65" w:rsidRPr="00DC4C78" w:rsidRDefault="00B52739" w:rsidP="00820BBF">
      <w:r>
        <w:rPr>
          <w:noProof/>
          <w:lang w:eastAsia="en-NZ"/>
        </w:rPr>
        <w:drawing>
          <wp:inline distT="0" distB="0" distL="0" distR="0" wp14:anchorId="6ABBB1B1">
            <wp:extent cx="4320000" cy="2520000"/>
            <wp:effectExtent l="0" t="0" r="4445" b="0"/>
            <wp:docPr id="188" name="Picture 188" title="Figure 95: Children with body mass index &gt; 99.4th percentile referred, total New Zeala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inline>
        </w:drawing>
      </w:r>
    </w:p>
    <w:p w:rsidR="00C30B65" w:rsidRPr="00DC4C78" w:rsidRDefault="00C30B65" w:rsidP="00B52739">
      <w:pPr>
        <w:pStyle w:val="Figure"/>
        <w:spacing w:after="60"/>
      </w:pPr>
      <w:bookmarkStart w:id="554" w:name="_Toc405447507"/>
      <w:bookmarkStart w:id="555" w:name="_Toc417554852"/>
      <w:bookmarkStart w:id="556" w:name="_Toc436750593"/>
      <w:bookmarkStart w:id="557" w:name="_Toc440387916"/>
      <w:r w:rsidRPr="00DC4C78">
        <w:t xml:space="preserve">Figure 96: Children with </w:t>
      </w:r>
      <w:r>
        <w:t>body mass index</w:t>
      </w:r>
      <w:r w:rsidRPr="00DC4C78">
        <w:t xml:space="preserve"> &gt; 99.4th percentile referred, high deprivation</w:t>
      </w:r>
      <w:bookmarkEnd w:id="554"/>
      <w:bookmarkEnd w:id="555"/>
      <w:bookmarkEnd w:id="556"/>
      <w:r>
        <w:t xml:space="preserve"> population</w:t>
      </w:r>
      <w:bookmarkEnd w:id="557"/>
    </w:p>
    <w:p w:rsidR="00C30B65" w:rsidRDefault="00B52739" w:rsidP="00820BBF">
      <w:r>
        <w:rPr>
          <w:noProof/>
          <w:lang w:eastAsia="en-NZ"/>
        </w:rPr>
        <w:drawing>
          <wp:inline distT="0" distB="0" distL="0" distR="0" wp14:anchorId="1F14E5FF">
            <wp:extent cx="4320000" cy="2520000"/>
            <wp:effectExtent l="0" t="0" r="4445" b="0"/>
            <wp:docPr id="189" name="Picture 189" title="Figure 96: Children with body mass index &gt; 99.4th percentile referred, high deprivation popul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inline>
        </w:drawing>
      </w:r>
    </w:p>
    <w:p w:rsidR="00C30B65" w:rsidRPr="00DC4C78" w:rsidRDefault="00C30B65" w:rsidP="001154C5">
      <w:pPr>
        <w:pStyle w:val="Figure"/>
        <w:spacing w:before="360"/>
      </w:pPr>
      <w:bookmarkStart w:id="558" w:name="_Toc405447508"/>
      <w:bookmarkStart w:id="559" w:name="_Toc417554853"/>
      <w:bookmarkStart w:id="560" w:name="_Toc436750594"/>
      <w:bookmarkStart w:id="561" w:name="_Toc440387917"/>
      <w:r w:rsidRPr="00DC4C78">
        <w:lastRenderedPageBreak/>
        <w:t xml:space="preserve">Figure 97: Children with </w:t>
      </w:r>
      <w:r>
        <w:t>body mass index</w:t>
      </w:r>
      <w:r w:rsidRPr="00DC4C78">
        <w:t xml:space="preserve"> &gt; 99.4th percentile referred, Māori</w:t>
      </w:r>
      <w:bookmarkEnd w:id="558"/>
      <w:bookmarkEnd w:id="559"/>
      <w:bookmarkEnd w:id="560"/>
      <w:bookmarkEnd w:id="561"/>
    </w:p>
    <w:p w:rsidR="00C30B65" w:rsidRPr="00DC4C78" w:rsidRDefault="00B52739" w:rsidP="00B52739">
      <w:r>
        <w:rPr>
          <w:noProof/>
          <w:lang w:eastAsia="en-NZ"/>
        </w:rPr>
        <w:drawing>
          <wp:inline distT="0" distB="0" distL="0" distR="0" wp14:anchorId="0A766446">
            <wp:extent cx="4320000" cy="2520000"/>
            <wp:effectExtent l="0" t="0" r="4445" b="0"/>
            <wp:docPr id="190" name="Picture 190" title="Figure 97: Children with body mass index &gt; 99.4th percentile referred, Māor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inline>
        </w:drawing>
      </w:r>
    </w:p>
    <w:p w:rsidR="00C30B65" w:rsidRPr="00DC4C78" w:rsidRDefault="00C30B65" w:rsidP="00C30B65"/>
    <w:p w:rsidR="00C30B65" w:rsidRPr="00DC4C78" w:rsidRDefault="00C30B65" w:rsidP="00C30B65">
      <w:pPr>
        <w:pStyle w:val="Figure"/>
      </w:pPr>
      <w:bookmarkStart w:id="562" w:name="_Toc405447509"/>
      <w:bookmarkStart w:id="563" w:name="_Toc417554854"/>
      <w:bookmarkStart w:id="564" w:name="_Toc436750595"/>
      <w:bookmarkStart w:id="565" w:name="_Toc440387918"/>
      <w:r w:rsidRPr="00DC4C78">
        <w:t xml:space="preserve">Figure 98: Children with </w:t>
      </w:r>
      <w:r>
        <w:t>body mass index</w:t>
      </w:r>
      <w:r w:rsidRPr="00DC4C78">
        <w:t xml:space="preserve"> &gt; 99.4th percentile referred, Pacific peoples</w:t>
      </w:r>
      <w:bookmarkEnd w:id="562"/>
      <w:bookmarkEnd w:id="563"/>
      <w:bookmarkEnd w:id="564"/>
      <w:bookmarkEnd w:id="565"/>
    </w:p>
    <w:p w:rsidR="00C30B65" w:rsidRPr="00DC4C78" w:rsidRDefault="00B52739" w:rsidP="00B52739">
      <w:r>
        <w:rPr>
          <w:noProof/>
          <w:lang w:eastAsia="en-NZ"/>
        </w:rPr>
        <w:drawing>
          <wp:inline distT="0" distB="0" distL="0" distR="0" wp14:anchorId="3F84FD64">
            <wp:extent cx="4320000" cy="2520000"/>
            <wp:effectExtent l="0" t="0" r="4445" b="0"/>
            <wp:docPr id="191" name="Picture 191" title="Figure 98: Children with body mass index &gt; 99.4th percentile referred, Pacific peop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inline>
        </w:drawing>
      </w:r>
    </w:p>
    <w:p w:rsidR="00C30B65" w:rsidRPr="00DC4C78" w:rsidRDefault="00C30B65" w:rsidP="00C30B65"/>
    <w:p w:rsidR="00C30B65" w:rsidRPr="00DC4C78" w:rsidRDefault="00C30B65" w:rsidP="00C30B65">
      <w:pPr>
        <w:pStyle w:val="Heading3"/>
      </w:pPr>
      <w:r w:rsidRPr="00DC4C78">
        <w:t>Data notes</w:t>
      </w:r>
    </w:p>
    <w:p w:rsidR="00C30B65" w:rsidRPr="00DC4C78" w:rsidRDefault="00C30B65" w:rsidP="00C30B65">
      <w:pPr>
        <w:pStyle w:val="Bullet"/>
      </w:pPr>
      <w:r w:rsidRPr="00DC4C78">
        <w:t xml:space="preserve">The stacked bar shows rate of referral excluding </w:t>
      </w:r>
      <w:r w:rsidR="00700141">
        <w:t>‘</w:t>
      </w:r>
      <w:r w:rsidRPr="00DC4C78">
        <w:t>advice given</w:t>
      </w:r>
      <w:r w:rsidR="00700141">
        <w:t>’</w:t>
      </w:r>
      <w:r w:rsidRPr="00DC4C78">
        <w:t xml:space="preserve"> (dark grey section) and rate of referral including </w:t>
      </w:r>
      <w:r w:rsidR="00700141">
        <w:t>‘</w:t>
      </w:r>
      <w:r w:rsidRPr="00DC4C78">
        <w:t>advice given</w:t>
      </w:r>
      <w:r w:rsidR="00700141">
        <w:t>’</w:t>
      </w:r>
      <w:r w:rsidRPr="00DC4C78">
        <w:t xml:space="preserve"> (dark grey plus light grey sections).</w:t>
      </w:r>
    </w:p>
    <w:p w:rsidR="00C30B65" w:rsidRPr="00DC4C78" w:rsidRDefault="00C30B65" w:rsidP="00C30B65">
      <w:pPr>
        <w:pStyle w:val="Bullet"/>
      </w:pPr>
      <w:r w:rsidRPr="00DC4C78">
        <w:t>No bar on graph = no children with BMI &gt; 99.4th percentile for that population.</w:t>
      </w:r>
    </w:p>
    <w:p w:rsidR="00C30B65" w:rsidRPr="00DC4C78" w:rsidRDefault="00C30B65" w:rsidP="00C30B65">
      <w:pPr>
        <w:pStyle w:val="Bullet"/>
      </w:pPr>
      <w:r w:rsidRPr="00DC4C78">
        <w:t>Time period: children receiving a B4 School Check between 1 January 2015 and 30 June 2015.</w:t>
      </w:r>
    </w:p>
    <w:p w:rsidR="00C30B65" w:rsidRPr="00DC4C78" w:rsidRDefault="00C30B65" w:rsidP="00C30B65">
      <w:pPr>
        <w:pStyle w:val="Bullet"/>
      </w:pPr>
      <w:r w:rsidRPr="00DC4C78">
        <w:t>DHB is DHB of service.</w:t>
      </w:r>
    </w:p>
    <w:p w:rsidR="00C30B65" w:rsidRPr="00DC4C78" w:rsidRDefault="00C30B65" w:rsidP="00C30B65">
      <w:pPr>
        <w:pStyle w:val="Bullet"/>
      </w:pPr>
      <w:r w:rsidRPr="00DC4C78">
        <w:t xml:space="preserve">Numerator: number of children with a </w:t>
      </w:r>
      <w:r w:rsidRPr="00DC4C78">
        <w:rPr>
          <w:rFonts w:cs="Calibri"/>
        </w:rPr>
        <w:t>BMI greater than the 99.4th percentile</w:t>
      </w:r>
      <w:r w:rsidRPr="00DC4C78">
        <w:t xml:space="preserve"> referred (source: B4 School Check).</w:t>
      </w:r>
    </w:p>
    <w:p w:rsidR="00C30B65" w:rsidRDefault="00C30B65" w:rsidP="00C30B65">
      <w:pPr>
        <w:pStyle w:val="Bullet"/>
      </w:pPr>
      <w:r w:rsidRPr="00DC4C78">
        <w:t xml:space="preserve">Denominator: number of children with a </w:t>
      </w:r>
      <w:r w:rsidRPr="00DC4C78">
        <w:rPr>
          <w:rFonts w:cs="Calibri"/>
        </w:rPr>
        <w:t>BMI greater than the 99.4th percentile</w:t>
      </w:r>
      <w:r w:rsidRPr="00DC4C78">
        <w:t xml:space="preserve"> (excluding those already under care) (source: B4 School Check).</w:t>
      </w:r>
    </w:p>
    <w:p w:rsidR="001154C5" w:rsidRPr="00DC4C78" w:rsidRDefault="001154C5" w:rsidP="001154C5"/>
    <w:p w:rsidR="00C30B65" w:rsidRPr="00DC4C78" w:rsidRDefault="00C30B65" w:rsidP="00C30B65">
      <w:pPr>
        <w:pStyle w:val="Heading1"/>
        <w:rPr>
          <w:lang w:eastAsia="en-NZ"/>
        </w:rPr>
      </w:pPr>
      <w:bookmarkStart w:id="566" w:name="_Toc365618472"/>
      <w:r w:rsidRPr="00DC4C78">
        <w:rPr>
          <w:lang w:eastAsia="en-NZ"/>
        </w:rPr>
        <w:br w:type="page"/>
      </w:r>
      <w:bookmarkStart w:id="567" w:name="_Toc384620295"/>
      <w:bookmarkStart w:id="568" w:name="_Toc418322804"/>
      <w:bookmarkStart w:id="569" w:name="_Toc419099473"/>
      <w:bookmarkStart w:id="570" w:name="_Toc440387819"/>
      <w:r w:rsidRPr="00DC4C78">
        <w:rPr>
          <w:lang w:eastAsia="en-NZ"/>
        </w:rPr>
        <w:lastRenderedPageBreak/>
        <w:t xml:space="preserve">Appendix 1: </w:t>
      </w:r>
      <w:r>
        <w:rPr>
          <w:lang w:eastAsia="en-NZ"/>
        </w:rPr>
        <w:t xml:space="preserve">Targets for the </w:t>
      </w:r>
      <w:r w:rsidRPr="00DC4C78">
        <w:rPr>
          <w:lang w:eastAsia="en-NZ"/>
        </w:rPr>
        <w:t>quality indicators</w:t>
      </w:r>
      <w:bookmarkEnd w:id="566"/>
      <w:bookmarkEnd w:id="567"/>
      <w:bookmarkEnd w:id="568"/>
      <w:bookmarkEnd w:id="569"/>
      <w:bookmarkEnd w:id="570"/>
    </w:p>
    <w:tbl>
      <w:tblPr>
        <w:tblW w:w="4940" w:type="pct"/>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994"/>
        <w:gridCol w:w="486"/>
        <w:gridCol w:w="5607"/>
        <w:gridCol w:w="1134"/>
        <w:gridCol w:w="1134"/>
      </w:tblGrid>
      <w:tr w:rsidR="00C30B65" w:rsidRPr="00DC4C78" w:rsidTr="00C30B65">
        <w:trPr>
          <w:cantSplit/>
        </w:trPr>
        <w:tc>
          <w:tcPr>
            <w:tcW w:w="531" w:type="pct"/>
            <w:tcBorders>
              <w:top w:val="single" w:sz="4" w:space="0" w:color="auto"/>
              <w:bottom w:val="single" w:sz="4" w:space="0" w:color="auto"/>
            </w:tcBorders>
            <w:shd w:val="clear" w:color="auto" w:fill="auto"/>
          </w:tcPr>
          <w:p w:rsidR="00C30B65" w:rsidRPr="00DC4C78" w:rsidRDefault="00C30B65" w:rsidP="00C30B65">
            <w:pPr>
              <w:pStyle w:val="TableText"/>
              <w:spacing w:before="40" w:after="40"/>
              <w:rPr>
                <w:b/>
              </w:rPr>
            </w:pPr>
          </w:p>
        </w:tc>
        <w:tc>
          <w:tcPr>
            <w:tcW w:w="260" w:type="pct"/>
            <w:tcBorders>
              <w:top w:val="single" w:sz="4" w:space="0" w:color="auto"/>
              <w:bottom w:val="single" w:sz="4" w:space="0" w:color="auto"/>
            </w:tcBorders>
            <w:shd w:val="clear" w:color="auto" w:fill="auto"/>
          </w:tcPr>
          <w:p w:rsidR="00C30B65" w:rsidRPr="00DC4C78" w:rsidRDefault="00C30B65" w:rsidP="00C30B65">
            <w:pPr>
              <w:pStyle w:val="TableText"/>
              <w:spacing w:before="40" w:after="40"/>
              <w:rPr>
                <w:b/>
              </w:rPr>
            </w:pPr>
          </w:p>
        </w:tc>
        <w:tc>
          <w:tcPr>
            <w:tcW w:w="2997" w:type="pct"/>
            <w:tcBorders>
              <w:top w:val="single" w:sz="4" w:space="0" w:color="auto"/>
              <w:bottom w:val="single" w:sz="4" w:space="0" w:color="auto"/>
            </w:tcBorders>
            <w:shd w:val="clear" w:color="auto" w:fill="auto"/>
          </w:tcPr>
          <w:p w:rsidR="00C30B65" w:rsidRPr="00DC4C78" w:rsidRDefault="00C30B65" w:rsidP="00C30B65">
            <w:pPr>
              <w:pStyle w:val="TableText"/>
              <w:spacing w:before="40" w:after="40"/>
              <w:rPr>
                <w:b/>
              </w:rPr>
            </w:pPr>
            <w:r w:rsidRPr="00DC4C78">
              <w:rPr>
                <w:b/>
              </w:rPr>
              <w:t>Indicator</w:t>
            </w:r>
          </w:p>
        </w:tc>
        <w:tc>
          <w:tcPr>
            <w:tcW w:w="606" w:type="pct"/>
            <w:tcBorders>
              <w:top w:val="single" w:sz="4" w:space="0" w:color="auto"/>
              <w:bottom w:val="single" w:sz="4" w:space="0" w:color="auto"/>
            </w:tcBorders>
            <w:shd w:val="clear" w:color="auto" w:fill="auto"/>
          </w:tcPr>
          <w:p w:rsidR="00C30B65" w:rsidRPr="00DC4C78" w:rsidRDefault="00C30B65" w:rsidP="00C30B65">
            <w:pPr>
              <w:pStyle w:val="TableText"/>
              <w:spacing w:before="40" w:after="40"/>
              <w:jc w:val="center"/>
              <w:rPr>
                <w:b/>
              </w:rPr>
            </w:pPr>
            <w:r w:rsidRPr="00DC4C78">
              <w:rPr>
                <w:b/>
              </w:rPr>
              <w:t>December 2014 target</w:t>
            </w:r>
          </w:p>
        </w:tc>
        <w:tc>
          <w:tcPr>
            <w:tcW w:w="606" w:type="pct"/>
            <w:tcBorders>
              <w:top w:val="single" w:sz="4" w:space="0" w:color="auto"/>
              <w:bottom w:val="single" w:sz="4" w:space="0" w:color="auto"/>
            </w:tcBorders>
            <w:shd w:val="clear" w:color="auto" w:fill="auto"/>
          </w:tcPr>
          <w:p w:rsidR="00C30B65" w:rsidRPr="00DC4C78" w:rsidRDefault="00C30B65" w:rsidP="00C30B65">
            <w:pPr>
              <w:pStyle w:val="TableText"/>
              <w:spacing w:before="40" w:after="40"/>
              <w:jc w:val="center"/>
              <w:rPr>
                <w:b/>
              </w:rPr>
            </w:pPr>
            <w:r w:rsidRPr="00DC4C78">
              <w:rPr>
                <w:b/>
              </w:rPr>
              <w:t>June 2016 target</w:t>
            </w:r>
          </w:p>
        </w:tc>
      </w:tr>
      <w:tr w:rsidR="00C30B65" w:rsidRPr="00DC4C78" w:rsidTr="00C30B65">
        <w:trPr>
          <w:cantSplit/>
        </w:trPr>
        <w:tc>
          <w:tcPr>
            <w:tcW w:w="531" w:type="pct"/>
            <w:vMerge w:val="restart"/>
            <w:shd w:val="clear" w:color="auto" w:fill="auto"/>
          </w:tcPr>
          <w:p w:rsidR="00C30B65" w:rsidRPr="00DC4C78" w:rsidRDefault="00C30B65" w:rsidP="00C30B65">
            <w:pPr>
              <w:pStyle w:val="TableText"/>
              <w:spacing w:before="40" w:after="40"/>
            </w:pPr>
            <w:r w:rsidRPr="00DC4C78">
              <w:t>Access</w:t>
            </w:r>
          </w:p>
        </w:tc>
        <w:tc>
          <w:tcPr>
            <w:tcW w:w="260" w:type="pct"/>
            <w:tcBorders>
              <w:top w:val="single" w:sz="4" w:space="0" w:color="auto"/>
              <w:bottom w:val="nil"/>
            </w:tcBorders>
            <w:shd w:val="clear" w:color="auto" w:fill="F2F2F2"/>
          </w:tcPr>
          <w:p w:rsidR="00C30B65" w:rsidRPr="00DC4C78" w:rsidRDefault="00C30B65" w:rsidP="00C30B65">
            <w:pPr>
              <w:pStyle w:val="TableText"/>
              <w:spacing w:before="40" w:after="40"/>
            </w:pPr>
            <w:r w:rsidRPr="00DC4C78">
              <w:t>1</w:t>
            </w:r>
          </w:p>
        </w:tc>
        <w:tc>
          <w:tcPr>
            <w:tcW w:w="2997" w:type="pct"/>
            <w:tcBorders>
              <w:top w:val="single" w:sz="4" w:space="0" w:color="auto"/>
              <w:bottom w:val="nil"/>
            </w:tcBorders>
            <w:shd w:val="clear" w:color="auto" w:fill="F2F2F2"/>
          </w:tcPr>
          <w:p w:rsidR="00C30B65" w:rsidRPr="00DC4C78" w:rsidRDefault="00C30B65" w:rsidP="00C30B65">
            <w:pPr>
              <w:pStyle w:val="TableText"/>
              <w:spacing w:before="40" w:after="40"/>
            </w:pPr>
            <w:proofErr w:type="spellStart"/>
            <w:r w:rsidRPr="00DC4C78">
              <w:t>Newborns</w:t>
            </w:r>
            <w:proofErr w:type="spellEnd"/>
            <w:r w:rsidRPr="00DC4C78">
              <w:t xml:space="preserve"> are enrolled with a general practice by two weeks</w:t>
            </w:r>
            <w:r w:rsidRPr="00DC4C78" w:rsidDel="00B10B72">
              <w:t xml:space="preserve"> </w:t>
            </w:r>
            <w:r w:rsidRPr="00DC4C78">
              <w:t>*</w:t>
            </w:r>
          </w:p>
        </w:tc>
        <w:tc>
          <w:tcPr>
            <w:tcW w:w="606" w:type="pct"/>
            <w:tcBorders>
              <w:top w:val="single" w:sz="4" w:space="0" w:color="auto"/>
              <w:bottom w:val="nil"/>
            </w:tcBorders>
            <w:shd w:val="clear" w:color="auto" w:fill="F2F2F2"/>
          </w:tcPr>
          <w:p w:rsidR="00C30B65" w:rsidRPr="00DC4C78" w:rsidRDefault="00C30B65" w:rsidP="00C30B65">
            <w:pPr>
              <w:pStyle w:val="TableText"/>
              <w:spacing w:before="40" w:after="40"/>
              <w:jc w:val="center"/>
            </w:pPr>
            <w:r w:rsidRPr="00DC4C78">
              <w:t>88%</w:t>
            </w:r>
          </w:p>
        </w:tc>
        <w:tc>
          <w:tcPr>
            <w:tcW w:w="606" w:type="pct"/>
            <w:tcBorders>
              <w:top w:val="single" w:sz="4" w:space="0" w:color="auto"/>
              <w:bottom w:val="nil"/>
            </w:tcBorders>
            <w:shd w:val="clear" w:color="auto" w:fill="F2F2F2"/>
          </w:tcPr>
          <w:p w:rsidR="00C30B65" w:rsidRPr="00DC4C78" w:rsidRDefault="00C30B65" w:rsidP="00C30B65">
            <w:pPr>
              <w:pStyle w:val="TableText"/>
              <w:spacing w:before="40" w:after="40"/>
              <w:jc w:val="center"/>
            </w:pPr>
            <w:r w:rsidRPr="00DC4C78">
              <w:t>98%</w:t>
            </w:r>
          </w:p>
        </w:tc>
      </w:tr>
      <w:tr w:rsidR="00C30B65" w:rsidRPr="00DC4C78" w:rsidTr="00C30B65">
        <w:trPr>
          <w:cantSplit/>
        </w:trPr>
        <w:tc>
          <w:tcPr>
            <w:tcW w:w="531" w:type="pct"/>
            <w:vMerge/>
            <w:shd w:val="clear" w:color="auto" w:fill="auto"/>
          </w:tcPr>
          <w:p w:rsidR="00C30B65" w:rsidRPr="00DC4C78" w:rsidRDefault="00C30B65" w:rsidP="00C30B65">
            <w:pPr>
              <w:pStyle w:val="TableText"/>
              <w:spacing w:before="40" w:after="40"/>
            </w:pPr>
          </w:p>
        </w:tc>
        <w:tc>
          <w:tcPr>
            <w:tcW w:w="260" w:type="pct"/>
            <w:tcBorders>
              <w:top w:val="nil"/>
              <w:bottom w:val="nil"/>
            </w:tcBorders>
            <w:shd w:val="clear" w:color="auto" w:fill="auto"/>
          </w:tcPr>
          <w:p w:rsidR="00C30B65" w:rsidRPr="00DC4C78" w:rsidRDefault="00C30B65" w:rsidP="00C30B65">
            <w:pPr>
              <w:pStyle w:val="TableText"/>
              <w:spacing w:before="40" w:after="40"/>
            </w:pPr>
            <w:r w:rsidRPr="00DC4C78">
              <w:t>2</w:t>
            </w:r>
          </w:p>
        </w:tc>
        <w:tc>
          <w:tcPr>
            <w:tcW w:w="2997" w:type="pct"/>
            <w:tcBorders>
              <w:top w:val="nil"/>
              <w:bottom w:val="nil"/>
            </w:tcBorders>
            <w:shd w:val="clear" w:color="auto" w:fill="auto"/>
          </w:tcPr>
          <w:p w:rsidR="00C30B65" w:rsidRPr="00DC4C78" w:rsidRDefault="00C30B65" w:rsidP="00C30B65">
            <w:pPr>
              <w:pStyle w:val="TableText"/>
              <w:spacing w:before="40" w:after="40"/>
            </w:pPr>
            <w:r w:rsidRPr="00DC4C78">
              <w:rPr>
                <w:spacing w:val="-4"/>
              </w:rPr>
              <w:t xml:space="preserve">Families and </w:t>
            </w:r>
            <w:proofErr w:type="spellStart"/>
            <w:r w:rsidRPr="00DC4C78">
              <w:rPr>
                <w:rFonts w:cs="Helvetica"/>
                <w:color w:val="000000"/>
                <w:spacing w:val="-4"/>
                <w:lang w:eastAsia="en-NZ"/>
              </w:rPr>
              <w:t>whānau</w:t>
            </w:r>
            <w:proofErr w:type="spellEnd"/>
            <w:r w:rsidRPr="00DC4C78">
              <w:rPr>
                <w:spacing w:val="-4"/>
              </w:rPr>
              <w:t xml:space="preserve"> are referred from their LMC to a WCTO provider</w:t>
            </w:r>
          </w:p>
        </w:tc>
        <w:tc>
          <w:tcPr>
            <w:tcW w:w="606" w:type="pct"/>
            <w:tcBorders>
              <w:top w:val="nil"/>
              <w:bottom w:val="nil"/>
            </w:tcBorders>
            <w:shd w:val="clear" w:color="auto" w:fill="auto"/>
          </w:tcPr>
          <w:p w:rsidR="00C30B65" w:rsidRPr="00DC4C78" w:rsidRDefault="00C30B65" w:rsidP="00C30B65">
            <w:pPr>
              <w:pStyle w:val="TableText"/>
              <w:spacing w:before="40" w:after="40"/>
              <w:jc w:val="center"/>
            </w:pPr>
            <w:r w:rsidRPr="00DC4C78">
              <w:t>88%</w:t>
            </w:r>
          </w:p>
        </w:tc>
        <w:tc>
          <w:tcPr>
            <w:tcW w:w="606" w:type="pct"/>
            <w:tcBorders>
              <w:top w:val="nil"/>
              <w:bottom w:val="nil"/>
            </w:tcBorders>
            <w:shd w:val="clear" w:color="auto" w:fill="auto"/>
          </w:tcPr>
          <w:p w:rsidR="00C30B65" w:rsidRPr="00DC4C78" w:rsidRDefault="00C30B65" w:rsidP="00C30B65">
            <w:pPr>
              <w:pStyle w:val="TableText"/>
              <w:spacing w:before="40" w:after="40"/>
              <w:jc w:val="center"/>
            </w:pPr>
            <w:r w:rsidRPr="00DC4C78">
              <w:t>98%</w:t>
            </w:r>
          </w:p>
        </w:tc>
      </w:tr>
      <w:tr w:rsidR="00C30B65" w:rsidRPr="00DC4C78" w:rsidTr="00C30B65">
        <w:trPr>
          <w:cantSplit/>
        </w:trPr>
        <w:tc>
          <w:tcPr>
            <w:tcW w:w="531" w:type="pct"/>
            <w:vMerge/>
            <w:shd w:val="clear" w:color="auto" w:fill="auto"/>
          </w:tcPr>
          <w:p w:rsidR="00C30B65" w:rsidRPr="00DC4C78" w:rsidRDefault="00C30B65" w:rsidP="00C30B65">
            <w:pPr>
              <w:pStyle w:val="TableText"/>
              <w:spacing w:before="40" w:after="40"/>
            </w:pPr>
          </w:p>
        </w:tc>
        <w:tc>
          <w:tcPr>
            <w:tcW w:w="260" w:type="pct"/>
            <w:tcBorders>
              <w:top w:val="nil"/>
              <w:bottom w:val="nil"/>
            </w:tcBorders>
            <w:shd w:val="clear" w:color="auto" w:fill="F2F2F2"/>
          </w:tcPr>
          <w:p w:rsidR="00C30B65" w:rsidRPr="00DC4C78" w:rsidRDefault="00C30B65" w:rsidP="00C30B65">
            <w:pPr>
              <w:pStyle w:val="TableText"/>
              <w:spacing w:before="40" w:after="40"/>
            </w:pPr>
            <w:r w:rsidRPr="00DC4C78">
              <w:t>3</w:t>
            </w:r>
          </w:p>
        </w:tc>
        <w:tc>
          <w:tcPr>
            <w:tcW w:w="2997" w:type="pct"/>
            <w:tcBorders>
              <w:top w:val="nil"/>
              <w:bottom w:val="nil"/>
            </w:tcBorders>
            <w:shd w:val="clear" w:color="auto" w:fill="F2F2F2"/>
          </w:tcPr>
          <w:p w:rsidR="00C30B65" w:rsidRPr="00DC4C78" w:rsidRDefault="00C30B65" w:rsidP="00C30B65">
            <w:pPr>
              <w:pStyle w:val="TableText"/>
              <w:spacing w:before="40" w:after="40"/>
            </w:pPr>
            <w:r w:rsidRPr="00DC4C78">
              <w:t>Infants receive all WCTO core contacts due in their first year</w:t>
            </w:r>
          </w:p>
        </w:tc>
        <w:tc>
          <w:tcPr>
            <w:tcW w:w="606" w:type="pct"/>
            <w:tcBorders>
              <w:top w:val="nil"/>
              <w:bottom w:val="nil"/>
            </w:tcBorders>
            <w:shd w:val="clear" w:color="auto" w:fill="F2F2F2"/>
          </w:tcPr>
          <w:p w:rsidR="00C30B65" w:rsidRPr="00DC4C78" w:rsidRDefault="00C30B65" w:rsidP="00C30B65">
            <w:pPr>
              <w:pStyle w:val="TableText"/>
              <w:spacing w:before="40" w:after="40"/>
              <w:jc w:val="center"/>
            </w:pPr>
            <w:r w:rsidRPr="00DC4C78">
              <w:t>86%</w:t>
            </w:r>
          </w:p>
        </w:tc>
        <w:tc>
          <w:tcPr>
            <w:tcW w:w="606" w:type="pct"/>
            <w:tcBorders>
              <w:top w:val="nil"/>
              <w:bottom w:val="nil"/>
            </w:tcBorders>
            <w:shd w:val="clear" w:color="auto" w:fill="F2F2F2"/>
          </w:tcPr>
          <w:p w:rsidR="00C30B65" w:rsidRPr="00DC4C78" w:rsidRDefault="00C30B65" w:rsidP="00C30B65">
            <w:pPr>
              <w:pStyle w:val="TableText"/>
              <w:spacing w:before="40" w:after="40"/>
              <w:jc w:val="center"/>
            </w:pPr>
            <w:r w:rsidRPr="00DC4C78">
              <w:t>95%</w:t>
            </w:r>
          </w:p>
        </w:tc>
      </w:tr>
      <w:tr w:rsidR="00C30B65" w:rsidRPr="00DC4C78" w:rsidTr="00C30B65">
        <w:trPr>
          <w:cantSplit/>
        </w:trPr>
        <w:tc>
          <w:tcPr>
            <w:tcW w:w="531" w:type="pct"/>
            <w:vMerge/>
            <w:shd w:val="clear" w:color="auto" w:fill="auto"/>
          </w:tcPr>
          <w:p w:rsidR="00C30B65" w:rsidRPr="00DC4C78" w:rsidRDefault="00C30B65" w:rsidP="00C30B65">
            <w:pPr>
              <w:pStyle w:val="TableText"/>
              <w:spacing w:before="40" w:after="40"/>
            </w:pPr>
          </w:p>
        </w:tc>
        <w:tc>
          <w:tcPr>
            <w:tcW w:w="260" w:type="pct"/>
            <w:tcBorders>
              <w:top w:val="nil"/>
              <w:bottom w:val="nil"/>
            </w:tcBorders>
            <w:shd w:val="clear" w:color="auto" w:fill="auto"/>
          </w:tcPr>
          <w:p w:rsidR="00C30B65" w:rsidRPr="00DC4C78" w:rsidRDefault="00C30B65" w:rsidP="00C30B65">
            <w:pPr>
              <w:pStyle w:val="TableText"/>
              <w:spacing w:before="40" w:after="40"/>
            </w:pPr>
            <w:r w:rsidRPr="00DC4C78">
              <w:t>4</w:t>
            </w:r>
          </w:p>
        </w:tc>
        <w:tc>
          <w:tcPr>
            <w:tcW w:w="2997" w:type="pct"/>
            <w:tcBorders>
              <w:top w:val="nil"/>
              <w:bottom w:val="nil"/>
            </w:tcBorders>
            <w:shd w:val="clear" w:color="auto" w:fill="auto"/>
          </w:tcPr>
          <w:p w:rsidR="00C30B65" w:rsidRPr="00DC4C78" w:rsidRDefault="00C30B65" w:rsidP="00C30B65">
            <w:pPr>
              <w:pStyle w:val="TableText"/>
              <w:spacing w:before="40" w:after="40"/>
            </w:pPr>
            <w:r w:rsidRPr="00DC4C78">
              <w:t>Four-year-olds receive a B4 School Check</w:t>
            </w:r>
          </w:p>
        </w:tc>
        <w:tc>
          <w:tcPr>
            <w:tcW w:w="606" w:type="pct"/>
            <w:tcBorders>
              <w:top w:val="nil"/>
              <w:bottom w:val="nil"/>
            </w:tcBorders>
            <w:shd w:val="clear" w:color="auto" w:fill="auto"/>
          </w:tcPr>
          <w:p w:rsidR="00C30B65" w:rsidRPr="00DC4C78" w:rsidRDefault="00C30B65" w:rsidP="00C30B65">
            <w:pPr>
              <w:pStyle w:val="TableText"/>
              <w:spacing w:before="40" w:after="40"/>
              <w:jc w:val="center"/>
            </w:pPr>
            <w:r w:rsidRPr="00DC4C78">
              <w:t>90%</w:t>
            </w:r>
          </w:p>
        </w:tc>
        <w:tc>
          <w:tcPr>
            <w:tcW w:w="606" w:type="pct"/>
            <w:tcBorders>
              <w:top w:val="nil"/>
              <w:bottom w:val="nil"/>
            </w:tcBorders>
            <w:shd w:val="clear" w:color="auto" w:fill="auto"/>
          </w:tcPr>
          <w:p w:rsidR="00C30B65" w:rsidRPr="00DC4C78" w:rsidRDefault="00C30B65" w:rsidP="00C30B65">
            <w:pPr>
              <w:pStyle w:val="TableText"/>
              <w:spacing w:before="40" w:after="40"/>
              <w:jc w:val="center"/>
            </w:pPr>
            <w:r w:rsidRPr="00DC4C78">
              <w:t>90%</w:t>
            </w:r>
          </w:p>
        </w:tc>
      </w:tr>
      <w:tr w:rsidR="00C30B65" w:rsidRPr="00DC4C78" w:rsidTr="00C30B65">
        <w:trPr>
          <w:cantSplit/>
        </w:trPr>
        <w:tc>
          <w:tcPr>
            <w:tcW w:w="531" w:type="pct"/>
            <w:vMerge/>
            <w:shd w:val="clear" w:color="auto" w:fill="auto"/>
          </w:tcPr>
          <w:p w:rsidR="00C30B65" w:rsidRPr="00DC4C78" w:rsidRDefault="00C30B65" w:rsidP="00C30B65">
            <w:pPr>
              <w:pStyle w:val="TableText"/>
              <w:spacing w:before="40" w:after="40"/>
            </w:pPr>
          </w:p>
        </w:tc>
        <w:tc>
          <w:tcPr>
            <w:tcW w:w="260" w:type="pct"/>
            <w:tcBorders>
              <w:top w:val="nil"/>
              <w:bottom w:val="nil"/>
            </w:tcBorders>
            <w:shd w:val="clear" w:color="auto" w:fill="F2F2F2"/>
          </w:tcPr>
          <w:p w:rsidR="00C30B65" w:rsidRPr="00DC4C78" w:rsidRDefault="00C30B65" w:rsidP="00C30B65">
            <w:pPr>
              <w:pStyle w:val="TableText"/>
              <w:spacing w:before="40" w:after="40"/>
            </w:pPr>
            <w:r w:rsidRPr="00DC4C78">
              <w:t>5</w:t>
            </w:r>
          </w:p>
        </w:tc>
        <w:tc>
          <w:tcPr>
            <w:tcW w:w="2997" w:type="pct"/>
            <w:tcBorders>
              <w:top w:val="nil"/>
              <w:bottom w:val="nil"/>
            </w:tcBorders>
            <w:shd w:val="clear" w:color="auto" w:fill="F2F2F2"/>
          </w:tcPr>
          <w:p w:rsidR="00C30B65" w:rsidRPr="00DC4C78" w:rsidRDefault="00C30B65" w:rsidP="00C30B65">
            <w:pPr>
              <w:pStyle w:val="TableText"/>
              <w:spacing w:before="40" w:after="40"/>
            </w:pPr>
            <w:r w:rsidRPr="00DC4C78">
              <w:t>Children are enrolled with child oral health services</w:t>
            </w:r>
          </w:p>
        </w:tc>
        <w:tc>
          <w:tcPr>
            <w:tcW w:w="606" w:type="pct"/>
            <w:tcBorders>
              <w:top w:val="nil"/>
              <w:bottom w:val="nil"/>
            </w:tcBorders>
            <w:shd w:val="clear" w:color="auto" w:fill="F2F2F2"/>
          </w:tcPr>
          <w:p w:rsidR="00C30B65" w:rsidRPr="00DC4C78" w:rsidRDefault="00C30B65" w:rsidP="00C30B65">
            <w:pPr>
              <w:pStyle w:val="TableText"/>
              <w:spacing w:before="40" w:after="40"/>
              <w:jc w:val="center"/>
            </w:pPr>
            <w:r w:rsidRPr="00DC4C78">
              <w:t>86%</w:t>
            </w:r>
          </w:p>
        </w:tc>
        <w:tc>
          <w:tcPr>
            <w:tcW w:w="606" w:type="pct"/>
            <w:tcBorders>
              <w:top w:val="nil"/>
              <w:bottom w:val="nil"/>
            </w:tcBorders>
            <w:shd w:val="clear" w:color="auto" w:fill="F2F2F2"/>
          </w:tcPr>
          <w:p w:rsidR="00C30B65" w:rsidRPr="00DC4C78" w:rsidRDefault="00C30B65" w:rsidP="00C30B65">
            <w:pPr>
              <w:pStyle w:val="TableText"/>
              <w:spacing w:before="40" w:after="40"/>
              <w:jc w:val="center"/>
            </w:pPr>
            <w:r w:rsidRPr="00DC4C78">
              <w:t>95%</w:t>
            </w:r>
          </w:p>
        </w:tc>
      </w:tr>
      <w:tr w:rsidR="00C30B65" w:rsidRPr="00DC4C78" w:rsidTr="00C30B65">
        <w:trPr>
          <w:cantSplit/>
        </w:trPr>
        <w:tc>
          <w:tcPr>
            <w:tcW w:w="531" w:type="pct"/>
            <w:vMerge/>
            <w:shd w:val="clear" w:color="auto" w:fill="auto"/>
          </w:tcPr>
          <w:p w:rsidR="00C30B65" w:rsidRPr="00DC4C78" w:rsidRDefault="00C30B65" w:rsidP="00C30B65">
            <w:pPr>
              <w:pStyle w:val="TableText"/>
              <w:spacing w:before="40" w:after="40"/>
            </w:pPr>
          </w:p>
        </w:tc>
        <w:tc>
          <w:tcPr>
            <w:tcW w:w="260" w:type="pct"/>
            <w:tcBorders>
              <w:top w:val="nil"/>
              <w:bottom w:val="nil"/>
            </w:tcBorders>
            <w:shd w:val="clear" w:color="auto" w:fill="auto"/>
          </w:tcPr>
          <w:p w:rsidR="00C30B65" w:rsidRPr="00DC4C78" w:rsidRDefault="00C30B65" w:rsidP="00C30B65">
            <w:pPr>
              <w:pStyle w:val="TableText"/>
              <w:spacing w:before="40" w:after="40"/>
            </w:pPr>
            <w:r w:rsidRPr="00DC4C78">
              <w:t>6</w:t>
            </w:r>
          </w:p>
        </w:tc>
        <w:tc>
          <w:tcPr>
            <w:tcW w:w="2997" w:type="pct"/>
            <w:tcBorders>
              <w:top w:val="nil"/>
              <w:bottom w:val="nil"/>
            </w:tcBorders>
            <w:shd w:val="clear" w:color="auto" w:fill="auto"/>
          </w:tcPr>
          <w:p w:rsidR="00C30B65" w:rsidRPr="00DC4C78" w:rsidRDefault="00C30B65" w:rsidP="00C30B65">
            <w:pPr>
              <w:pStyle w:val="TableText"/>
              <w:spacing w:before="40" w:after="40"/>
            </w:pPr>
            <w:r w:rsidRPr="00DC4C78">
              <w:t>Immunisations are up to date by eight months</w:t>
            </w:r>
          </w:p>
        </w:tc>
        <w:tc>
          <w:tcPr>
            <w:tcW w:w="606" w:type="pct"/>
            <w:tcBorders>
              <w:top w:val="nil"/>
              <w:bottom w:val="nil"/>
            </w:tcBorders>
            <w:shd w:val="clear" w:color="auto" w:fill="auto"/>
          </w:tcPr>
          <w:p w:rsidR="00C30B65" w:rsidRPr="00DC4C78" w:rsidRDefault="00C30B65" w:rsidP="00C30B65">
            <w:pPr>
              <w:pStyle w:val="TableText"/>
              <w:spacing w:before="40" w:after="40"/>
              <w:jc w:val="center"/>
            </w:pPr>
            <w:r w:rsidRPr="00DC4C78">
              <w:t>95%</w:t>
            </w:r>
          </w:p>
        </w:tc>
        <w:tc>
          <w:tcPr>
            <w:tcW w:w="606" w:type="pct"/>
            <w:tcBorders>
              <w:top w:val="nil"/>
              <w:bottom w:val="nil"/>
            </w:tcBorders>
            <w:shd w:val="clear" w:color="auto" w:fill="auto"/>
          </w:tcPr>
          <w:p w:rsidR="00C30B65" w:rsidRPr="00DC4C78" w:rsidRDefault="00C30B65" w:rsidP="00C30B65">
            <w:pPr>
              <w:pStyle w:val="TableText"/>
              <w:spacing w:before="40" w:after="40"/>
              <w:jc w:val="center"/>
            </w:pPr>
            <w:r w:rsidRPr="00DC4C78">
              <w:t>95%</w:t>
            </w:r>
          </w:p>
        </w:tc>
      </w:tr>
      <w:tr w:rsidR="00C30B65" w:rsidRPr="00DC4C78" w:rsidTr="00C30B65">
        <w:trPr>
          <w:cantSplit/>
        </w:trPr>
        <w:tc>
          <w:tcPr>
            <w:tcW w:w="531" w:type="pct"/>
            <w:vMerge/>
            <w:shd w:val="clear" w:color="auto" w:fill="auto"/>
          </w:tcPr>
          <w:p w:rsidR="00C30B65" w:rsidRPr="00DC4C78" w:rsidRDefault="00C30B65" w:rsidP="00C30B65">
            <w:pPr>
              <w:pStyle w:val="TableText"/>
              <w:spacing w:before="40" w:after="40"/>
            </w:pPr>
          </w:p>
        </w:tc>
        <w:tc>
          <w:tcPr>
            <w:tcW w:w="260" w:type="pct"/>
            <w:tcBorders>
              <w:top w:val="nil"/>
              <w:bottom w:val="nil"/>
            </w:tcBorders>
            <w:shd w:val="clear" w:color="auto" w:fill="F2F2F2"/>
          </w:tcPr>
          <w:p w:rsidR="00C30B65" w:rsidRPr="00DC4C78" w:rsidRDefault="00C30B65" w:rsidP="00C30B65">
            <w:pPr>
              <w:pStyle w:val="TableText"/>
              <w:spacing w:before="40" w:after="40"/>
            </w:pPr>
            <w:r w:rsidRPr="00DC4C78">
              <w:t>7</w:t>
            </w:r>
          </w:p>
        </w:tc>
        <w:tc>
          <w:tcPr>
            <w:tcW w:w="2997" w:type="pct"/>
            <w:tcBorders>
              <w:top w:val="nil"/>
              <w:bottom w:val="nil"/>
            </w:tcBorders>
            <w:shd w:val="clear" w:color="auto" w:fill="F2F2F2"/>
          </w:tcPr>
          <w:p w:rsidR="00C30B65" w:rsidRPr="00DC4C78" w:rsidRDefault="00C30B65" w:rsidP="00C30B65">
            <w:pPr>
              <w:pStyle w:val="TableText"/>
              <w:spacing w:before="40" w:after="40"/>
            </w:pPr>
            <w:r w:rsidRPr="00DC4C78">
              <w:t>Children participate in early childhood education</w:t>
            </w:r>
          </w:p>
        </w:tc>
        <w:tc>
          <w:tcPr>
            <w:tcW w:w="606" w:type="pct"/>
            <w:tcBorders>
              <w:top w:val="nil"/>
              <w:bottom w:val="nil"/>
            </w:tcBorders>
            <w:shd w:val="clear" w:color="auto" w:fill="F2F2F2"/>
          </w:tcPr>
          <w:p w:rsidR="00C30B65" w:rsidRPr="00DC4C78" w:rsidRDefault="00C30B65" w:rsidP="00C30B65">
            <w:pPr>
              <w:pStyle w:val="TableText"/>
              <w:spacing w:before="40" w:after="40"/>
              <w:jc w:val="center"/>
            </w:pPr>
            <w:r w:rsidRPr="00DC4C78">
              <w:t>98%</w:t>
            </w:r>
          </w:p>
        </w:tc>
        <w:tc>
          <w:tcPr>
            <w:tcW w:w="606" w:type="pct"/>
            <w:tcBorders>
              <w:top w:val="nil"/>
              <w:bottom w:val="nil"/>
            </w:tcBorders>
            <w:shd w:val="clear" w:color="auto" w:fill="F2F2F2"/>
          </w:tcPr>
          <w:p w:rsidR="00C30B65" w:rsidRPr="00DC4C78" w:rsidRDefault="00C30B65" w:rsidP="00C30B65">
            <w:pPr>
              <w:pStyle w:val="TableText"/>
              <w:spacing w:before="40" w:after="40"/>
              <w:jc w:val="center"/>
            </w:pPr>
            <w:r w:rsidRPr="00DC4C78">
              <w:t>98%</w:t>
            </w:r>
          </w:p>
        </w:tc>
      </w:tr>
      <w:tr w:rsidR="00C30B65" w:rsidRPr="00DC4C78" w:rsidTr="00C30B65">
        <w:trPr>
          <w:cantSplit/>
        </w:trPr>
        <w:tc>
          <w:tcPr>
            <w:tcW w:w="531" w:type="pct"/>
            <w:vMerge/>
            <w:shd w:val="clear" w:color="auto" w:fill="auto"/>
          </w:tcPr>
          <w:p w:rsidR="00C30B65" w:rsidRPr="00DC4C78" w:rsidRDefault="00C30B65" w:rsidP="00C30B65">
            <w:pPr>
              <w:pStyle w:val="TableText"/>
              <w:spacing w:before="40" w:after="40"/>
            </w:pPr>
          </w:p>
        </w:tc>
        <w:tc>
          <w:tcPr>
            <w:tcW w:w="260" w:type="pct"/>
            <w:tcBorders>
              <w:top w:val="nil"/>
              <w:bottom w:val="nil"/>
            </w:tcBorders>
            <w:shd w:val="clear" w:color="auto" w:fill="auto"/>
          </w:tcPr>
          <w:p w:rsidR="00C30B65" w:rsidRPr="00DC4C78" w:rsidRDefault="00C30B65" w:rsidP="00C30B65">
            <w:pPr>
              <w:pStyle w:val="TableText"/>
              <w:spacing w:before="40" w:after="40"/>
            </w:pPr>
            <w:r w:rsidRPr="00DC4C78">
              <w:t>8</w:t>
            </w:r>
          </w:p>
        </w:tc>
        <w:tc>
          <w:tcPr>
            <w:tcW w:w="2997" w:type="pct"/>
            <w:tcBorders>
              <w:top w:val="nil"/>
              <w:bottom w:val="nil"/>
            </w:tcBorders>
            <w:shd w:val="clear" w:color="auto" w:fill="auto"/>
          </w:tcPr>
          <w:p w:rsidR="00C30B65" w:rsidRPr="00DC4C78" w:rsidRDefault="00C30B65" w:rsidP="00C30B65">
            <w:pPr>
              <w:pStyle w:val="TableText"/>
              <w:spacing w:before="40" w:after="40"/>
            </w:pPr>
            <w:r w:rsidRPr="00DC4C78">
              <w:t>Children under six years have access to free primary care</w:t>
            </w:r>
          </w:p>
        </w:tc>
        <w:tc>
          <w:tcPr>
            <w:tcW w:w="606" w:type="pct"/>
            <w:tcBorders>
              <w:top w:val="nil"/>
              <w:bottom w:val="nil"/>
            </w:tcBorders>
            <w:shd w:val="clear" w:color="auto" w:fill="auto"/>
          </w:tcPr>
          <w:p w:rsidR="00C30B65" w:rsidRPr="00DC4C78" w:rsidRDefault="00C30B65" w:rsidP="00C30B65">
            <w:pPr>
              <w:pStyle w:val="TableText"/>
              <w:spacing w:before="40" w:after="40"/>
              <w:jc w:val="center"/>
            </w:pPr>
            <w:r w:rsidRPr="00DC4C78">
              <w:t>98%</w:t>
            </w:r>
          </w:p>
        </w:tc>
        <w:tc>
          <w:tcPr>
            <w:tcW w:w="606" w:type="pct"/>
            <w:tcBorders>
              <w:top w:val="nil"/>
              <w:bottom w:val="nil"/>
            </w:tcBorders>
            <w:shd w:val="clear" w:color="auto" w:fill="auto"/>
          </w:tcPr>
          <w:p w:rsidR="00C30B65" w:rsidRPr="00DC4C78" w:rsidRDefault="00C30B65" w:rsidP="00C30B65">
            <w:pPr>
              <w:pStyle w:val="TableText"/>
              <w:spacing w:before="40" w:after="40"/>
              <w:jc w:val="center"/>
            </w:pPr>
            <w:r w:rsidRPr="00DC4C78">
              <w:t>100%</w:t>
            </w:r>
          </w:p>
        </w:tc>
      </w:tr>
      <w:tr w:rsidR="00C30B65" w:rsidRPr="00DC4C78" w:rsidTr="00C30B65">
        <w:trPr>
          <w:cantSplit/>
        </w:trPr>
        <w:tc>
          <w:tcPr>
            <w:tcW w:w="531" w:type="pct"/>
            <w:vMerge/>
            <w:shd w:val="clear" w:color="auto" w:fill="auto"/>
          </w:tcPr>
          <w:p w:rsidR="00C30B65" w:rsidRPr="00DC4C78" w:rsidRDefault="00C30B65" w:rsidP="00C30B65">
            <w:pPr>
              <w:pStyle w:val="TableText"/>
              <w:spacing w:before="40" w:after="40"/>
            </w:pPr>
          </w:p>
        </w:tc>
        <w:tc>
          <w:tcPr>
            <w:tcW w:w="260" w:type="pct"/>
            <w:tcBorders>
              <w:top w:val="nil"/>
              <w:bottom w:val="nil"/>
            </w:tcBorders>
            <w:shd w:val="clear" w:color="auto" w:fill="F2F2F2"/>
          </w:tcPr>
          <w:p w:rsidR="00C30B65" w:rsidRPr="00DC4C78" w:rsidRDefault="00C30B65" w:rsidP="00C30B65">
            <w:pPr>
              <w:pStyle w:val="TableText"/>
              <w:spacing w:before="40" w:after="40"/>
            </w:pPr>
            <w:r w:rsidRPr="00DC4C78">
              <w:t>9</w:t>
            </w:r>
          </w:p>
        </w:tc>
        <w:tc>
          <w:tcPr>
            <w:tcW w:w="2997" w:type="pct"/>
            <w:tcBorders>
              <w:top w:val="nil"/>
              <w:bottom w:val="nil"/>
            </w:tcBorders>
            <w:shd w:val="clear" w:color="auto" w:fill="F2F2F2"/>
          </w:tcPr>
          <w:p w:rsidR="00C30B65" w:rsidRPr="00DC4C78" w:rsidRDefault="00C30B65" w:rsidP="00C30B65">
            <w:pPr>
              <w:pStyle w:val="TableText"/>
              <w:spacing w:before="40" w:after="40"/>
            </w:pPr>
            <w:r w:rsidRPr="00DC4C78">
              <w:rPr>
                <w:spacing w:val="-2"/>
              </w:rPr>
              <w:t>Children under six years have access to free after-hours primary care</w:t>
            </w:r>
          </w:p>
        </w:tc>
        <w:tc>
          <w:tcPr>
            <w:tcW w:w="606" w:type="pct"/>
            <w:tcBorders>
              <w:top w:val="nil"/>
              <w:bottom w:val="nil"/>
            </w:tcBorders>
            <w:shd w:val="clear" w:color="auto" w:fill="F2F2F2"/>
          </w:tcPr>
          <w:p w:rsidR="00C30B65" w:rsidRPr="00DC4C78" w:rsidRDefault="00C30B65" w:rsidP="00C30B65">
            <w:pPr>
              <w:pStyle w:val="TableText"/>
              <w:spacing w:before="40" w:after="40"/>
              <w:jc w:val="center"/>
            </w:pPr>
            <w:r w:rsidRPr="00DC4C78">
              <w:t>98%</w:t>
            </w:r>
          </w:p>
        </w:tc>
        <w:tc>
          <w:tcPr>
            <w:tcW w:w="606" w:type="pct"/>
            <w:tcBorders>
              <w:top w:val="nil"/>
              <w:bottom w:val="nil"/>
            </w:tcBorders>
            <w:shd w:val="clear" w:color="auto" w:fill="F2F2F2"/>
          </w:tcPr>
          <w:p w:rsidR="00C30B65" w:rsidRPr="00DC4C78" w:rsidRDefault="00C30B65" w:rsidP="00C30B65">
            <w:pPr>
              <w:pStyle w:val="TableText"/>
              <w:spacing w:before="40" w:after="40"/>
              <w:jc w:val="center"/>
            </w:pPr>
            <w:r w:rsidRPr="00DC4C78">
              <w:t>100%</w:t>
            </w:r>
          </w:p>
        </w:tc>
      </w:tr>
      <w:tr w:rsidR="00C30B65" w:rsidRPr="00DC4C78" w:rsidTr="00C30B65">
        <w:trPr>
          <w:cantSplit/>
        </w:trPr>
        <w:tc>
          <w:tcPr>
            <w:tcW w:w="531" w:type="pct"/>
            <w:vMerge/>
            <w:tcBorders>
              <w:bottom w:val="single" w:sz="4" w:space="0" w:color="A6A6A6"/>
            </w:tcBorders>
            <w:shd w:val="clear" w:color="auto" w:fill="auto"/>
          </w:tcPr>
          <w:p w:rsidR="00C30B65" w:rsidRPr="00DC4C78" w:rsidRDefault="00C30B65" w:rsidP="00C30B65">
            <w:pPr>
              <w:pStyle w:val="TableText"/>
              <w:spacing w:before="40" w:after="40"/>
            </w:pPr>
          </w:p>
        </w:tc>
        <w:tc>
          <w:tcPr>
            <w:tcW w:w="260" w:type="pct"/>
            <w:tcBorders>
              <w:top w:val="nil"/>
              <w:bottom w:val="single" w:sz="4" w:space="0" w:color="A6A6A6"/>
            </w:tcBorders>
            <w:shd w:val="clear" w:color="auto" w:fill="auto"/>
          </w:tcPr>
          <w:p w:rsidR="00C30B65" w:rsidRPr="00DC4C78" w:rsidRDefault="00C30B65" w:rsidP="00C30B65">
            <w:pPr>
              <w:pStyle w:val="TableText"/>
              <w:spacing w:before="40" w:after="40"/>
            </w:pPr>
            <w:r w:rsidRPr="00DC4C78">
              <w:t>10</w:t>
            </w:r>
          </w:p>
        </w:tc>
        <w:tc>
          <w:tcPr>
            <w:tcW w:w="2997" w:type="pct"/>
            <w:tcBorders>
              <w:top w:val="nil"/>
              <w:bottom w:val="single" w:sz="4" w:space="0" w:color="A6A6A6"/>
            </w:tcBorders>
            <w:shd w:val="clear" w:color="auto" w:fill="auto"/>
          </w:tcPr>
          <w:p w:rsidR="00C30B65" w:rsidRPr="00DC4C78" w:rsidRDefault="00C30B65" w:rsidP="00C30B65">
            <w:pPr>
              <w:pStyle w:val="TableText"/>
              <w:spacing w:before="40" w:after="40"/>
            </w:pPr>
            <w:r w:rsidRPr="00DC4C78">
              <w:t xml:space="preserve">Children are seen promptly </w:t>
            </w:r>
            <w:r>
              <w:t>by</w:t>
            </w:r>
            <w:r w:rsidRPr="00DC4C78">
              <w:t xml:space="preserve"> specialist services</w:t>
            </w:r>
          </w:p>
        </w:tc>
        <w:tc>
          <w:tcPr>
            <w:tcW w:w="606" w:type="pct"/>
            <w:tcBorders>
              <w:top w:val="nil"/>
              <w:bottom w:val="single" w:sz="4" w:space="0" w:color="A6A6A6"/>
            </w:tcBorders>
            <w:shd w:val="clear" w:color="auto" w:fill="auto"/>
          </w:tcPr>
          <w:p w:rsidR="00C30B65" w:rsidRPr="00DC4C78" w:rsidRDefault="00C30B65" w:rsidP="00C30B65">
            <w:pPr>
              <w:pStyle w:val="TableText"/>
              <w:spacing w:before="40" w:after="40"/>
              <w:jc w:val="center"/>
            </w:pPr>
            <w:r w:rsidRPr="00DC4C78">
              <w:t>100%</w:t>
            </w:r>
            <w:r w:rsidRPr="00DC4C78">
              <w:br/>
              <w:t>in 5 months</w:t>
            </w:r>
          </w:p>
        </w:tc>
        <w:tc>
          <w:tcPr>
            <w:tcW w:w="606" w:type="pct"/>
            <w:tcBorders>
              <w:top w:val="nil"/>
              <w:bottom w:val="single" w:sz="4" w:space="0" w:color="A6A6A6"/>
            </w:tcBorders>
            <w:shd w:val="clear" w:color="auto" w:fill="auto"/>
          </w:tcPr>
          <w:p w:rsidR="00C30B65" w:rsidRPr="00DC4C78" w:rsidRDefault="00C30B65" w:rsidP="00C30B65">
            <w:pPr>
              <w:pStyle w:val="TableText"/>
              <w:spacing w:before="40" w:after="40"/>
              <w:jc w:val="center"/>
            </w:pPr>
            <w:r w:rsidRPr="00DC4C78">
              <w:t>100%</w:t>
            </w:r>
            <w:r w:rsidRPr="00DC4C78">
              <w:br/>
              <w:t>in 4 months</w:t>
            </w:r>
          </w:p>
        </w:tc>
      </w:tr>
      <w:tr w:rsidR="00C30B65" w:rsidRPr="00DC4C78" w:rsidTr="00C30B65">
        <w:trPr>
          <w:cantSplit/>
        </w:trPr>
        <w:tc>
          <w:tcPr>
            <w:tcW w:w="531" w:type="pct"/>
            <w:vMerge w:val="restart"/>
            <w:tcBorders>
              <w:top w:val="single" w:sz="4" w:space="0" w:color="A6A6A6"/>
              <w:bottom w:val="nil"/>
            </w:tcBorders>
            <w:shd w:val="clear" w:color="auto" w:fill="auto"/>
          </w:tcPr>
          <w:p w:rsidR="00C30B65" w:rsidRPr="00DC4C78" w:rsidRDefault="00C30B65" w:rsidP="00C30B65">
            <w:pPr>
              <w:pStyle w:val="TableText"/>
              <w:spacing w:before="40" w:after="40"/>
            </w:pPr>
            <w:r w:rsidRPr="00DC4C78">
              <w:t>Outcomes</w:t>
            </w:r>
          </w:p>
        </w:tc>
        <w:tc>
          <w:tcPr>
            <w:tcW w:w="260" w:type="pct"/>
            <w:tcBorders>
              <w:top w:val="single" w:sz="4" w:space="0" w:color="A6A6A6"/>
              <w:bottom w:val="nil"/>
            </w:tcBorders>
            <w:shd w:val="clear" w:color="auto" w:fill="F2F2F2"/>
          </w:tcPr>
          <w:p w:rsidR="00C30B65" w:rsidRPr="00DC4C78" w:rsidRDefault="00C30B65" w:rsidP="00C30B65">
            <w:pPr>
              <w:pStyle w:val="TableText"/>
              <w:spacing w:before="40" w:after="40"/>
            </w:pPr>
            <w:r w:rsidRPr="00DC4C78">
              <w:t>11</w:t>
            </w:r>
          </w:p>
        </w:tc>
        <w:tc>
          <w:tcPr>
            <w:tcW w:w="2997" w:type="pct"/>
            <w:tcBorders>
              <w:top w:val="single" w:sz="4" w:space="0" w:color="A6A6A6"/>
              <w:bottom w:val="nil"/>
            </w:tcBorders>
            <w:shd w:val="clear" w:color="auto" w:fill="F2F2F2"/>
          </w:tcPr>
          <w:p w:rsidR="00C30B65" w:rsidRPr="00DC4C78" w:rsidRDefault="00C30B65" w:rsidP="00C30B65">
            <w:pPr>
              <w:pStyle w:val="TableText"/>
              <w:spacing w:before="40" w:after="40"/>
            </w:pPr>
            <w:r w:rsidRPr="00DC4C78">
              <w:t>Infants are exclusively or fully breastfed at two weeks</w:t>
            </w:r>
          </w:p>
        </w:tc>
        <w:tc>
          <w:tcPr>
            <w:tcW w:w="606" w:type="pct"/>
            <w:tcBorders>
              <w:top w:val="single" w:sz="4" w:space="0" w:color="A6A6A6"/>
              <w:bottom w:val="nil"/>
            </w:tcBorders>
            <w:shd w:val="clear" w:color="auto" w:fill="F2F2F2"/>
          </w:tcPr>
          <w:p w:rsidR="00C30B65" w:rsidRPr="00DC4C78" w:rsidRDefault="00C30B65" w:rsidP="00C30B65">
            <w:pPr>
              <w:pStyle w:val="TableText"/>
              <w:spacing w:before="40" w:after="40"/>
              <w:jc w:val="center"/>
            </w:pPr>
            <w:r w:rsidRPr="00DC4C78">
              <w:t>72%</w:t>
            </w:r>
          </w:p>
        </w:tc>
        <w:tc>
          <w:tcPr>
            <w:tcW w:w="606" w:type="pct"/>
            <w:tcBorders>
              <w:top w:val="single" w:sz="4" w:space="0" w:color="A6A6A6"/>
              <w:bottom w:val="nil"/>
            </w:tcBorders>
            <w:shd w:val="clear" w:color="auto" w:fill="F2F2F2"/>
          </w:tcPr>
          <w:p w:rsidR="00C30B65" w:rsidRPr="00DC4C78" w:rsidRDefault="00C30B65" w:rsidP="00C30B65">
            <w:pPr>
              <w:pStyle w:val="TableText"/>
              <w:spacing w:before="40" w:after="40"/>
              <w:jc w:val="center"/>
            </w:pPr>
            <w:r w:rsidRPr="00DC4C78">
              <w:t>80%</w:t>
            </w:r>
          </w:p>
        </w:tc>
      </w:tr>
      <w:tr w:rsidR="00C30B65" w:rsidRPr="00DC4C78" w:rsidTr="00C30B65">
        <w:trPr>
          <w:cantSplit/>
        </w:trPr>
        <w:tc>
          <w:tcPr>
            <w:tcW w:w="531" w:type="pct"/>
            <w:vMerge/>
            <w:tcBorders>
              <w:top w:val="nil"/>
            </w:tcBorders>
            <w:shd w:val="clear" w:color="auto" w:fill="auto"/>
          </w:tcPr>
          <w:p w:rsidR="00C30B65" w:rsidRPr="00DC4C78" w:rsidRDefault="00C30B65" w:rsidP="00C30B65">
            <w:pPr>
              <w:pStyle w:val="TableText"/>
              <w:spacing w:before="40" w:after="40"/>
            </w:pPr>
          </w:p>
        </w:tc>
        <w:tc>
          <w:tcPr>
            <w:tcW w:w="260" w:type="pct"/>
            <w:tcBorders>
              <w:top w:val="nil"/>
              <w:bottom w:val="nil"/>
            </w:tcBorders>
            <w:shd w:val="clear" w:color="auto" w:fill="auto"/>
          </w:tcPr>
          <w:p w:rsidR="00C30B65" w:rsidRPr="00DC4C78" w:rsidRDefault="00C30B65" w:rsidP="00C30B65">
            <w:pPr>
              <w:pStyle w:val="TableText"/>
              <w:spacing w:before="40" w:after="40"/>
            </w:pPr>
            <w:r w:rsidRPr="00DC4C78">
              <w:t>12</w:t>
            </w:r>
          </w:p>
        </w:tc>
        <w:tc>
          <w:tcPr>
            <w:tcW w:w="2997" w:type="pct"/>
            <w:tcBorders>
              <w:top w:val="nil"/>
              <w:bottom w:val="nil"/>
            </w:tcBorders>
            <w:shd w:val="clear" w:color="auto" w:fill="auto"/>
          </w:tcPr>
          <w:p w:rsidR="00C30B65" w:rsidRPr="00DC4C78" w:rsidRDefault="00C30B65" w:rsidP="00C30B65">
            <w:pPr>
              <w:pStyle w:val="TableText"/>
              <w:spacing w:before="40" w:after="40"/>
            </w:pPr>
            <w:r w:rsidRPr="00DC4C78">
              <w:t>Infants are exclusively or fully breastfed at discharge from LMC</w:t>
            </w:r>
          </w:p>
        </w:tc>
        <w:tc>
          <w:tcPr>
            <w:tcW w:w="606" w:type="pct"/>
            <w:tcBorders>
              <w:top w:val="nil"/>
              <w:bottom w:val="nil"/>
            </w:tcBorders>
            <w:shd w:val="clear" w:color="auto" w:fill="auto"/>
          </w:tcPr>
          <w:p w:rsidR="00C30B65" w:rsidRPr="00DC4C78" w:rsidRDefault="00C30B65" w:rsidP="00C30B65">
            <w:pPr>
              <w:pStyle w:val="TableText"/>
              <w:spacing w:before="40" w:after="40"/>
              <w:jc w:val="center"/>
            </w:pPr>
            <w:r w:rsidRPr="00DC4C78">
              <w:t>68%</w:t>
            </w:r>
          </w:p>
        </w:tc>
        <w:tc>
          <w:tcPr>
            <w:tcW w:w="606" w:type="pct"/>
            <w:tcBorders>
              <w:top w:val="nil"/>
              <w:bottom w:val="nil"/>
            </w:tcBorders>
            <w:shd w:val="clear" w:color="auto" w:fill="auto"/>
          </w:tcPr>
          <w:p w:rsidR="00C30B65" w:rsidRPr="00DC4C78" w:rsidRDefault="00C30B65" w:rsidP="00C30B65">
            <w:pPr>
              <w:pStyle w:val="TableText"/>
              <w:spacing w:before="40" w:after="40"/>
              <w:jc w:val="center"/>
            </w:pPr>
            <w:r w:rsidRPr="00DC4C78">
              <w:t>75%</w:t>
            </w:r>
          </w:p>
        </w:tc>
      </w:tr>
      <w:tr w:rsidR="00C30B65" w:rsidRPr="00DC4C78" w:rsidTr="00C30B65">
        <w:trPr>
          <w:cantSplit/>
        </w:trPr>
        <w:tc>
          <w:tcPr>
            <w:tcW w:w="531" w:type="pct"/>
            <w:vMerge/>
            <w:shd w:val="clear" w:color="auto" w:fill="auto"/>
          </w:tcPr>
          <w:p w:rsidR="00C30B65" w:rsidRPr="00DC4C78" w:rsidRDefault="00C30B65" w:rsidP="00C30B65">
            <w:pPr>
              <w:pStyle w:val="TableText"/>
              <w:spacing w:before="40" w:after="40"/>
            </w:pPr>
          </w:p>
        </w:tc>
        <w:tc>
          <w:tcPr>
            <w:tcW w:w="260" w:type="pct"/>
            <w:tcBorders>
              <w:top w:val="nil"/>
              <w:bottom w:val="nil"/>
            </w:tcBorders>
            <w:shd w:val="clear" w:color="auto" w:fill="F2F2F2"/>
          </w:tcPr>
          <w:p w:rsidR="00C30B65" w:rsidRPr="00DC4C78" w:rsidRDefault="00C30B65" w:rsidP="00C30B65">
            <w:pPr>
              <w:pStyle w:val="TableText"/>
              <w:spacing w:before="40" w:after="40"/>
            </w:pPr>
            <w:r w:rsidRPr="00DC4C78">
              <w:t>13</w:t>
            </w:r>
          </w:p>
        </w:tc>
        <w:tc>
          <w:tcPr>
            <w:tcW w:w="2997" w:type="pct"/>
            <w:tcBorders>
              <w:top w:val="nil"/>
              <w:bottom w:val="nil"/>
            </w:tcBorders>
            <w:shd w:val="clear" w:color="auto" w:fill="F2F2F2"/>
          </w:tcPr>
          <w:p w:rsidR="00C30B65" w:rsidRPr="00DC4C78" w:rsidRDefault="00C30B65" w:rsidP="00C30B65">
            <w:pPr>
              <w:pStyle w:val="TableText"/>
              <w:spacing w:before="40" w:after="40"/>
            </w:pPr>
            <w:r w:rsidRPr="00DC4C78">
              <w:t>Infants are exclusively or fully breastfed at three months</w:t>
            </w:r>
          </w:p>
        </w:tc>
        <w:tc>
          <w:tcPr>
            <w:tcW w:w="606" w:type="pct"/>
            <w:tcBorders>
              <w:top w:val="nil"/>
              <w:bottom w:val="nil"/>
            </w:tcBorders>
            <w:shd w:val="clear" w:color="auto" w:fill="F2F2F2"/>
          </w:tcPr>
          <w:p w:rsidR="00C30B65" w:rsidRPr="00DC4C78" w:rsidRDefault="00C30B65" w:rsidP="00C30B65">
            <w:pPr>
              <w:pStyle w:val="TableText"/>
              <w:spacing w:before="40" w:after="40"/>
              <w:jc w:val="center"/>
            </w:pPr>
            <w:r w:rsidRPr="00DC4C78">
              <w:t>54%</w:t>
            </w:r>
          </w:p>
        </w:tc>
        <w:tc>
          <w:tcPr>
            <w:tcW w:w="606" w:type="pct"/>
            <w:tcBorders>
              <w:top w:val="nil"/>
              <w:bottom w:val="nil"/>
            </w:tcBorders>
            <w:shd w:val="clear" w:color="auto" w:fill="F2F2F2"/>
          </w:tcPr>
          <w:p w:rsidR="00C30B65" w:rsidRPr="00DC4C78" w:rsidRDefault="00C30B65" w:rsidP="00C30B65">
            <w:pPr>
              <w:pStyle w:val="TableText"/>
              <w:spacing w:before="40" w:after="40"/>
              <w:jc w:val="center"/>
            </w:pPr>
            <w:r w:rsidRPr="00DC4C78">
              <w:t>60%</w:t>
            </w:r>
          </w:p>
        </w:tc>
      </w:tr>
      <w:tr w:rsidR="00C30B65" w:rsidRPr="00DC4C78" w:rsidTr="00C30B65">
        <w:trPr>
          <w:cantSplit/>
        </w:trPr>
        <w:tc>
          <w:tcPr>
            <w:tcW w:w="531" w:type="pct"/>
            <w:vMerge/>
            <w:shd w:val="clear" w:color="auto" w:fill="auto"/>
          </w:tcPr>
          <w:p w:rsidR="00C30B65" w:rsidRPr="00DC4C78" w:rsidRDefault="00C30B65" w:rsidP="00C30B65">
            <w:pPr>
              <w:pStyle w:val="TableText"/>
              <w:spacing w:before="40" w:after="40"/>
            </w:pPr>
          </w:p>
        </w:tc>
        <w:tc>
          <w:tcPr>
            <w:tcW w:w="260" w:type="pct"/>
            <w:tcBorders>
              <w:top w:val="nil"/>
              <w:bottom w:val="nil"/>
            </w:tcBorders>
            <w:shd w:val="clear" w:color="auto" w:fill="auto"/>
          </w:tcPr>
          <w:p w:rsidR="00C30B65" w:rsidRPr="00DC4C78" w:rsidRDefault="00C30B65" w:rsidP="00C30B65">
            <w:pPr>
              <w:pStyle w:val="TableText"/>
              <w:spacing w:before="40" w:after="40"/>
            </w:pPr>
            <w:r w:rsidRPr="00DC4C78">
              <w:t>14</w:t>
            </w:r>
          </w:p>
        </w:tc>
        <w:tc>
          <w:tcPr>
            <w:tcW w:w="2997" w:type="pct"/>
            <w:tcBorders>
              <w:top w:val="nil"/>
              <w:bottom w:val="nil"/>
            </w:tcBorders>
            <w:shd w:val="clear" w:color="auto" w:fill="auto"/>
          </w:tcPr>
          <w:p w:rsidR="00C30B65" w:rsidRPr="00DC4C78" w:rsidRDefault="00C30B65" w:rsidP="00C30B65">
            <w:pPr>
              <w:pStyle w:val="TableText"/>
              <w:spacing w:before="40" w:after="40"/>
            </w:pPr>
            <w:r w:rsidRPr="00DC4C78">
              <w:t>Infants are receiving breast milk at six months (exclusively, fully or partially</w:t>
            </w:r>
            <w:r>
              <w:t>)</w:t>
            </w:r>
          </w:p>
        </w:tc>
        <w:tc>
          <w:tcPr>
            <w:tcW w:w="606" w:type="pct"/>
            <w:tcBorders>
              <w:top w:val="nil"/>
              <w:bottom w:val="nil"/>
            </w:tcBorders>
            <w:shd w:val="clear" w:color="auto" w:fill="auto"/>
          </w:tcPr>
          <w:p w:rsidR="00C30B65" w:rsidRPr="00DC4C78" w:rsidRDefault="00C30B65" w:rsidP="00C30B65">
            <w:pPr>
              <w:pStyle w:val="TableText"/>
              <w:spacing w:before="40" w:after="40"/>
              <w:jc w:val="center"/>
            </w:pPr>
            <w:r w:rsidRPr="00DC4C78">
              <w:t>59%</w:t>
            </w:r>
          </w:p>
        </w:tc>
        <w:tc>
          <w:tcPr>
            <w:tcW w:w="606" w:type="pct"/>
            <w:tcBorders>
              <w:top w:val="nil"/>
              <w:bottom w:val="nil"/>
            </w:tcBorders>
            <w:shd w:val="clear" w:color="auto" w:fill="auto"/>
          </w:tcPr>
          <w:p w:rsidR="00C30B65" w:rsidRPr="00DC4C78" w:rsidRDefault="00C30B65" w:rsidP="00C30B65">
            <w:pPr>
              <w:pStyle w:val="TableText"/>
              <w:spacing w:before="40" w:after="40"/>
              <w:jc w:val="center"/>
            </w:pPr>
            <w:r w:rsidRPr="00DC4C78">
              <w:t>65%</w:t>
            </w:r>
          </w:p>
        </w:tc>
      </w:tr>
      <w:tr w:rsidR="00C30B65" w:rsidRPr="00DC4C78" w:rsidTr="00C30B65">
        <w:trPr>
          <w:cantSplit/>
        </w:trPr>
        <w:tc>
          <w:tcPr>
            <w:tcW w:w="531" w:type="pct"/>
            <w:vMerge/>
            <w:shd w:val="clear" w:color="auto" w:fill="auto"/>
          </w:tcPr>
          <w:p w:rsidR="00C30B65" w:rsidRPr="00DC4C78" w:rsidRDefault="00C30B65" w:rsidP="00C30B65">
            <w:pPr>
              <w:pStyle w:val="TableText"/>
              <w:spacing w:before="40" w:after="40"/>
            </w:pPr>
          </w:p>
        </w:tc>
        <w:tc>
          <w:tcPr>
            <w:tcW w:w="260" w:type="pct"/>
            <w:tcBorders>
              <w:top w:val="nil"/>
              <w:bottom w:val="nil"/>
            </w:tcBorders>
            <w:shd w:val="clear" w:color="auto" w:fill="F2F2F2"/>
          </w:tcPr>
          <w:p w:rsidR="00C30B65" w:rsidRPr="00DC4C78" w:rsidRDefault="00C30B65" w:rsidP="00C30B65">
            <w:pPr>
              <w:pStyle w:val="TableText"/>
              <w:spacing w:before="40" w:after="40"/>
            </w:pPr>
            <w:r w:rsidRPr="00DC4C78">
              <w:t>15</w:t>
            </w:r>
          </w:p>
        </w:tc>
        <w:tc>
          <w:tcPr>
            <w:tcW w:w="2997" w:type="pct"/>
            <w:tcBorders>
              <w:top w:val="nil"/>
              <w:bottom w:val="nil"/>
            </w:tcBorders>
            <w:shd w:val="clear" w:color="auto" w:fill="F2F2F2"/>
          </w:tcPr>
          <w:p w:rsidR="00C30B65" w:rsidRPr="00DC4C78" w:rsidRDefault="00C30B65" w:rsidP="00C30B65">
            <w:pPr>
              <w:pStyle w:val="TableText"/>
              <w:spacing w:before="40" w:after="40"/>
            </w:pPr>
            <w:r w:rsidRPr="00DC4C78">
              <w:t>Children are a healthy weight at four years</w:t>
            </w:r>
          </w:p>
        </w:tc>
        <w:tc>
          <w:tcPr>
            <w:tcW w:w="606" w:type="pct"/>
            <w:tcBorders>
              <w:top w:val="nil"/>
              <w:bottom w:val="nil"/>
            </w:tcBorders>
            <w:shd w:val="clear" w:color="auto" w:fill="F2F2F2"/>
          </w:tcPr>
          <w:p w:rsidR="00C30B65" w:rsidRPr="00DC4C78" w:rsidRDefault="00C30B65" w:rsidP="00C30B65">
            <w:pPr>
              <w:pStyle w:val="TableText"/>
              <w:spacing w:before="40" w:after="40"/>
              <w:jc w:val="center"/>
            </w:pPr>
            <w:r w:rsidRPr="00DC4C78">
              <w:t>68%</w:t>
            </w:r>
          </w:p>
        </w:tc>
        <w:tc>
          <w:tcPr>
            <w:tcW w:w="606" w:type="pct"/>
            <w:tcBorders>
              <w:top w:val="nil"/>
              <w:bottom w:val="nil"/>
            </w:tcBorders>
            <w:shd w:val="clear" w:color="auto" w:fill="F2F2F2"/>
          </w:tcPr>
          <w:p w:rsidR="00C30B65" w:rsidRPr="00DC4C78" w:rsidRDefault="00C30B65" w:rsidP="00C30B65">
            <w:pPr>
              <w:pStyle w:val="TableText"/>
              <w:spacing w:before="40" w:after="40"/>
              <w:jc w:val="center"/>
            </w:pPr>
            <w:r w:rsidRPr="00DC4C78">
              <w:t>75%</w:t>
            </w:r>
          </w:p>
        </w:tc>
      </w:tr>
      <w:tr w:rsidR="00C30B65" w:rsidRPr="00DC4C78" w:rsidTr="00C30B65">
        <w:trPr>
          <w:cantSplit/>
        </w:trPr>
        <w:tc>
          <w:tcPr>
            <w:tcW w:w="531" w:type="pct"/>
            <w:vMerge/>
            <w:shd w:val="clear" w:color="auto" w:fill="auto"/>
          </w:tcPr>
          <w:p w:rsidR="00C30B65" w:rsidRPr="00DC4C78" w:rsidRDefault="00C30B65" w:rsidP="00C30B65">
            <w:pPr>
              <w:pStyle w:val="TableText"/>
              <w:spacing w:before="40" w:after="40"/>
            </w:pPr>
          </w:p>
        </w:tc>
        <w:tc>
          <w:tcPr>
            <w:tcW w:w="260" w:type="pct"/>
            <w:tcBorders>
              <w:top w:val="nil"/>
              <w:bottom w:val="nil"/>
            </w:tcBorders>
            <w:shd w:val="clear" w:color="auto" w:fill="auto"/>
          </w:tcPr>
          <w:p w:rsidR="00C30B65" w:rsidRPr="00DC4C78" w:rsidRDefault="00C30B65" w:rsidP="00C30B65">
            <w:pPr>
              <w:pStyle w:val="TableText"/>
              <w:spacing w:before="40" w:after="40"/>
            </w:pPr>
            <w:r w:rsidRPr="00DC4C78">
              <w:t>16</w:t>
            </w:r>
          </w:p>
        </w:tc>
        <w:tc>
          <w:tcPr>
            <w:tcW w:w="2997" w:type="pct"/>
            <w:tcBorders>
              <w:top w:val="nil"/>
              <w:bottom w:val="nil"/>
            </w:tcBorders>
            <w:shd w:val="clear" w:color="auto" w:fill="auto"/>
          </w:tcPr>
          <w:p w:rsidR="00C30B65" w:rsidRPr="00DC4C78" w:rsidRDefault="00C30B65" w:rsidP="00C30B65">
            <w:pPr>
              <w:pStyle w:val="TableText"/>
              <w:spacing w:before="40" w:after="40"/>
            </w:pPr>
            <w:r w:rsidRPr="00DC4C78">
              <w:t>Children are caries free at five years</w:t>
            </w:r>
          </w:p>
        </w:tc>
        <w:tc>
          <w:tcPr>
            <w:tcW w:w="606" w:type="pct"/>
            <w:tcBorders>
              <w:top w:val="nil"/>
              <w:bottom w:val="nil"/>
            </w:tcBorders>
            <w:shd w:val="clear" w:color="auto" w:fill="auto"/>
          </w:tcPr>
          <w:p w:rsidR="00C30B65" w:rsidRPr="00DC4C78" w:rsidRDefault="00C30B65" w:rsidP="00C30B65">
            <w:pPr>
              <w:pStyle w:val="TableText"/>
              <w:spacing w:before="40" w:after="40"/>
              <w:jc w:val="center"/>
            </w:pPr>
            <w:r w:rsidRPr="00DC4C78">
              <w:t>65%</w:t>
            </w:r>
          </w:p>
        </w:tc>
        <w:tc>
          <w:tcPr>
            <w:tcW w:w="606" w:type="pct"/>
            <w:tcBorders>
              <w:top w:val="nil"/>
              <w:bottom w:val="nil"/>
            </w:tcBorders>
            <w:shd w:val="clear" w:color="auto" w:fill="auto"/>
          </w:tcPr>
          <w:p w:rsidR="00C30B65" w:rsidRPr="00DC4C78" w:rsidRDefault="00C30B65" w:rsidP="00C30B65">
            <w:pPr>
              <w:pStyle w:val="TableText"/>
              <w:spacing w:before="40" w:after="40"/>
              <w:jc w:val="center"/>
            </w:pPr>
            <w:r w:rsidRPr="00DC4C78">
              <w:t>65%</w:t>
            </w:r>
          </w:p>
        </w:tc>
      </w:tr>
      <w:tr w:rsidR="00C30B65" w:rsidRPr="00DC4C78" w:rsidTr="00C30B65">
        <w:trPr>
          <w:cantSplit/>
        </w:trPr>
        <w:tc>
          <w:tcPr>
            <w:tcW w:w="531" w:type="pct"/>
            <w:vMerge/>
            <w:shd w:val="clear" w:color="auto" w:fill="auto"/>
          </w:tcPr>
          <w:p w:rsidR="00C30B65" w:rsidRPr="00DC4C78" w:rsidRDefault="00C30B65" w:rsidP="00C30B65">
            <w:pPr>
              <w:pStyle w:val="TableText"/>
              <w:spacing w:before="40" w:after="40"/>
            </w:pPr>
          </w:p>
        </w:tc>
        <w:tc>
          <w:tcPr>
            <w:tcW w:w="260" w:type="pct"/>
            <w:tcBorders>
              <w:top w:val="nil"/>
              <w:bottom w:val="nil"/>
            </w:tcBorders>
            <w:shd w:val="clear" w:color="auto" w:fill="F2F2F2"/>
          </w:tcPr>
          <w:p w:rsidR="00C30B65" w:rsidRPr="00DC4C78" w:rsidRDefault="00C30B65" w:rsidP="00C30B65">
            <w:pPr>
              <w:pStyle w:val="TableText"/>
              <w:spacing w:before="40" w:after="40"/>
            </w:pPr>
            <w:r w:rsidRPr="00DC4C78">
              <w:t>17</w:t>
            </w:r>
          </w:p>
        </w:tc>
        <w:tc>
          <w:tcPr>
            <w:tcW w:w="2997" w:type="pct"/>
            <w:tcBorders>
              <w:top w:val="nil"/>
              <w:bottom w:val="nil"/>
            </w:tcBorders>
            <w:shd w:val="clear" w:color="auto" w:fill="F2F2F2"/>
          </w:tcPr>
          <w:p w:rsidR="00C30B65" w:rsidRPr="00DC4C78" w:rsidRDefault="00C30B65" w:rsidP="00C30B65">
            <w:pPr>
              <w:pStyle w:val="TableText"/>
              <w:spacing w:before="40" w:after="40"/>
            </w:pPr>
            <w:r w:rsidRPr="00DC4C78">
              <w:t>The burden of dental decay among children with one or more decayed, missing and filled teeth (</w:t>
            </w:r>
            <w:proofErr w:type="spellStart"/>
            <w:r w:rsidRPr="00DC4C78">
              <w:t>dmft</w:t>
            </w:r>
            <w:proofErr w:type="spellEnd"/>
            <w:r w:rsidRPr="00DC4C78">
              <w:t>) is minimised</w:t>
            </w:r>
            <w:r>
              <w:t xml:space="preserve"> (average </w:t>
            </w:r>
            <w:proofErr w:type="spellStart"/>
            <w:r>
              <w:t>dmft</w:t>
            </w:r>
            <w:proofErr w:type="spellEnd"/>
            <w:r>
              <w:t>)</w:t>
            </w:r>
          </w:p>
        </w:tc>
        <w:tc>
          <w:tcPr>
            <w:tcW w:w="606" w:type="pct"/>
            <w:tcBorders>
              <w:top w:val="nil"/>
              <w:bottom w:val="nil"/>
            </w:tcBorders>
            <w:shd w:val="clear" w:color="auto" w:fill="F2F2F2"/>
          </w:tcPr>
          <w:p w:rsidR="00C30B65" w:rsidRPr="00DC4C78" w:rsidRDefault="00C30B65" w:rsidP="00C30B65">
            <w:pPr>
              <w:pStyle w:val="TableText"/>
              <w:spacing w:before="40" w:after="40"/>
              <w:jc w:val="center"/>
            </w:pPr>
            <w:r w:rsidRPr="00DC4C78">
              <w:t>4.4</w:t>
            </w:r>
          </w:p>
        </w:tc>
        <w:tc>
          <w:tcPr>
            <w:tcW w:w="606" w:type="pct"/>
            <w:tcBorders>
              <w:top w:val="nil"/>
              <w:bottom w:val="nil"/>
            </w:tcBorders>
            <w:shd w:val="clear" w:color="auto" w:fill="F2F2F2"/>
          </w:tcPr>
          <w:p w:rsidR="00C30B65" w:rsidRPr="00DC4C78" w:rsidRDefault="00C30B65" w:rsidP="00C30B65">
            <w:pPr>
              <w:pStyle w:val="TableText"/>
              <w:spacing w:before="40" w:after="40"/>
              <w:jc w:val="center"/>
            </w:pPr>
            <w:r w:rsidRPr="00DC4C78">
              <w:t>4</w:t>
            </w:r>
          </w:p>
        </w:tc>
      </w:tr>
      <w:tr w:rsidR="00C30B65" w:rsidRPr="00DC4C78" w:rsidTr="00C30B65">
        <w:trPr>
          <w:cantSplit/>
        </w:trPr>
        <w:tc>
          <w:tcPr>
            <w:tcW w:w="531" w:type="pct"/>
            <w:vMerge/>
            <w:shd w:val="clear" w:color="auto" w:fill="auto"/>
          </w:tcPr>
          <w:p w:rsidR="00C30B65" w:rsidRPr="00DC4C78" w:rsidRDefault="00C30B65" w:rsidP="00C30B65">
            <w:pPr>
              <w:pStyle w:val="TableText"/>
              <w:spacing w:before="40" w:after="40"/>
            </w:pPr>
          </w:p>
        </w:tc>
        <w:tc>
          <w:tcPr>
            <w:tcW w:w="260" w:type="pct"/>
            <w:tcBorders>
              <w:top w:val="nil"/>
              <w:bottom w:val="nil"/>
            </w:tcBorders>
            <w:shd w:val="clear" w:color="auto" w:fill="auto"/>
          </w:tcPr>
          <w:p w:rsidR="00C30B65" w:rsidRPr="00DC4C78" w:rsidRDefault="00C30B65" w:rsidP="00C30B65">
            <w:pPr>
              <w:pStyle w:val="TableText"/>
              <w:spacing w:before="40" w:after="40"/>
            </w:pPr>
            <w:r w:rsidRPr="00DC4C78">
              <w:t>18</w:t>
            </w:r>
          </w:p>
        </w:tc>
        <w:tc>
          <w:tcPr>
            <w:tcW w:w="2997" w:type="pct"/>
            <w:tcBorders>
              <w:top w:val="nil"/>
              <w:bottom w:val="nil"/>
            </w:tcBorders>
            <w:shd w:val="clear" w:color="auto" w:fill="auto"/>
          </w:tcPr>
          <w:p w:rsidR="00C30B65" w:rsidRPr="00DC4C78" w:rsidRDefault="00C30B65" w:rsidP="00C30B65">
            <w:pPr>
              <w:pStyle w:val="TableText"/>
              <w:spacing w:before="40" w:after="40"/>
            </w:pPr>
            <w:r w:rsidRPr="00DC4C78">
              <w:t>Child mental health is supported (</w:t>
            </w:r>
            <w:r>
              <w:t xml:space="preserve">normal </w:t>
            </w:r>
            <w:r w:rsidRPr="00DC4C78">
              <w:t>SDQ-P score)</w:t>
            </w:r>
          </w:p>
        </w:tc>
        <w:tc>
          <w:tcPr>
            <w:tcW w:w="606" w:type="pct"/>
            <w:tcBorders>
              <w:top w:val="nil"/>
              <w:bottom w:val="nil"/>
            </w:tcBorders>
            <w:shd w:val="clear" w:color="auto" w:fill="auto"/>
          </w:tcPr>
          <w:p w:rsidR="00C30B65" w:rsidRPr="00DC4C78" w:rsidRDefault="00C30B65" w:rsidP="00C30B65">
            <w:pPr>
              <w:pStyle w:val="TableText"/>
              <w:spacing w:before="40" w:after="40"/>
              <w:jc w:val="center"/>
            </w:pPr>
            <w:r w:rsidRPr="00DC4C78">
              <w:t>86%</w:t>
            </w:r>
          </w:p>
        </w:tc>
        <w:tc>
          <w:tcPr>
            <w:tcW w:w="606" w:type="pct"/>
            <w:tcBorders>
              <w:top w:val="nil"/>
              <w:bottom w:val="nil"/>
            </w:tcBorders>
            <w:shd w:val="clear" w:color="auto" w:fill="auto"/>
          </w:tcPr>
          <w:p w:rsidR="00C30B65" w:rsidRPr="00DC4C78" w:rsidRDefault="00C30B65" w:rsidP="00C30B65">
            <w:pPr>
              <w:pStyle w:val="TableText"/>
              <w:spacing w:before="40" w:after="40"/>
              <w:jc w:val="center"/>
            </w:pPr>
            <w:r w:rsidRPr="00DC4C78">
              <w:t>95%</w:t>
            </w:r>
          </w:p>
        </w:tc>
      </w:tr>
      <w:tr w:rsidR="00C30B65" w:rsidRPr="00DC4C78" w:rsidTr="00C30B65">
        <w:trPr>
          <w:cantSplit/>
        </w:trPr>
        <w:tc>
          <w:tcPr>
            <w:tcW w:w="531" w:type="pct"/>
            <w:vMerge/>
            <w:shd w:val="clear" w:color="auto" w:fill="auto"/>
          </w:tcPr>
          <w:p w:rsidR="00C30B65" w:rsidRPr="00DC4C78" w:rsidRDefault="00C30B65" w:rsidP="00C30B65">
            <w:pPr>
              <w:pStyle w:val="TableText"/>
              <w:spacing w:before="40" w:after="40"/>
            </w:pPr>
          </w:p>
        </w:tc>
        <w:tc>
          <w:tcPr>
            <w:tcW w:w="260" w:type="pct"/>
            <w:tcBorders>
              <w:top w:val="nil"/>
              <w:bottom w:val="nil"/>
            </w:tcBorders>
            <w:shd w:val="clear" w:color="auto" w:fill="F2F2F2"/>
          </w:tcPr>
          <w:p w:rsidR="00C30B65" w:rsidRPr="00DC4C78" w:rsidRDefault="00C30B65" w:rsidP="00C30B65">
            <w:pPr>
              <w:pStyle w:val="TableText"/>
              <w:spacing w:before="40" w:after="40"/>
            </w:pPr>
            <w:r w:rsidRPr="00DC4C78">
              <w:t>19</w:t>
            </w:r>
          </w:p>
        </w:tc>
        <w:tc>
          <w:tcPr>
            <w:tcW w:w="2997" w:type="pct"/>
            <w:tcBorders>
              <w:top w:val="nil"/>
              <w:bottom w:val="nil"/>
            </w:tcBorders>
            <w:shd w:val="clear" w:color="auto" w:fill="F2F2F2"/>
          </w:tcPr>
          <w:p w:rsidR="00C30B65" w:rsidRPr="00DC4C78" w:rsidRDefault="00C30B65" w:rsidP="00C30B65">
            <w:pPr>
              <w:pStyle w:val="TableText"/>
              <w:spacing w:before="40" w:after="40"/>
            </w:pPr>
            <w:r w:rsidRPr="00DC4C78">
              <w:t xml:space="preserve">Mothers are </w:t>
            </w:r>
            <w:proofErr w:type="spellStart"/>
            <w:r w:rsidRPr="00DC4C78">
              <w:t>smokefree</w:t>
            </w:r>
            <w:proofErr w:type="spellEnd"/>
            <w:r w:rsidRPr="00DC4C78">
              <w:t xml:space="preserve"> at two weeks postnatal</w:t>
            </w:r>
          </w:p>
        </w:tc>
        <w:tc>
          <w:tcPr>
            <w:tcW w:w="606" w:type="pct"/>
            <w:tcBorders>
              <w:top w:val="nil"/>
              <w:bottom w:val="nil"/>
            </w:tcBorders>
            <w:shd w:val="clear" w:color="auto" w:fill="F2F2F2"/>
          </w:tcPr>
          <w:p w:rsidR="00C30B65" w:rsidRPr="00DC4C78" w:rsidRDefault="00C30B65" w:rsidP="00C30B65">
            <w:pPr>
              <w:pStyle w:val="TableText"/>
              <w:spacing w:before="40" w:after="40"/>
              <w:jc w:val="center"/>
            </w:pPr>
            <w:r w:rsidRPr="00DC4C78">
              <w:t>86%</w:t>
            </w:r>
          </w:p>
        </w:tc>
        <w:tc>
          <w:tcPr>
            <w:tcW w:w="606" w:type="pct"/>
            <w:tcBorders>
              <w:top w:val="nil"/>
              <w:bottom w:val="nil"/>
            </w:tcBorders>
            <w:shd w:val="clear" w:color="auto" w:fill="F2F2F2"/>
          </w:tcPr>
          <w:p w:rsidR="00C30B65" w:rsidRPr="00DC4C78" w:rsidRDefault="00C30B65" w:rsidP="00C30B65">
            <w:pPr>
              <w:pStyle w:val="TableText"/>
              <w:spacing w:before="40" w:after="40"/>
              <w:jc w:val="center"/>
            </w:pPr>
            <w:r w:rsidRPr="00DC4C78">
              <w:t>95%</w:t>
            </w:r>
          </w:p>
        </w:tc>
      </w:tr>
      <w:tr w:rsidR="00C30B65" w:rsidRPr="00DC4C78" w:rsidTr="00C30B65">
        <w:trPr>
          <w:cantSplit/>
        </w:trPr>
        <w:tc>
          <w:tcPr>
            <w:tcW w:w="531" w:type="pct"/>
            <w:vMerge/>
            <w:tcBorders>
              <w:bottom w:val="single" w:sz="4" w:space="0" w:color="A6A6A6"/>
            </w:tcBorders>
            <w:shd w:val="clear" w:color="auto" w:fill="auto"/>
          </w:tcPr>
          <w:p w:rsidR="00C30B65" w:rsidRPr="00DC4C78" w:rsidRDefault="00C30B65" w:rsidP="00C30B65">
            <w:pPr>
              <w:pStyle w:val="TableText"/>
              <w:spacing w:before="40" w:after="40"/>
            </w:pPr>
          </w:p>
        </w:tc>
        <w:tc>
          <w:tcPr>
            <w:tcW w:w="260" w:type="pct"/>
            <w:tcBorders>
              <w:top w:val="nil"/>
              <w:bottom w:val="single" w:sz="4" w:space="0" w:color="A6A6A6"/>
            </w:tcBorders>
            <w:shd w:val="clear" w:color="auto" w:fill="auto"/>
          </w:tcPr>
          <w:p w:rsidR="00C30B65" w:rsidRPr="00DC4C78" w:rsidRDefault="00C30B65" w:rsidP="00C30B65">
            <w:pPr>
              <w:pStyle w:val="TableText"/>
              <w:spacing w:before="40" w:after="40"/>
            </w:pPr>
            <w:r w:rsidRPr="00DC4C78">
              <w:t>20</w:t>
            </w:r>
          </w:p>
        </w:tc>
        <w:tc>
          <w:tcPr>
            <w:tcW w:w="2997" w:type="pct"/>
            <w:tcBorders>
              <w:top w:val="nil"/>
              <w:bottom w:val="single" w:sz="4" w:space="0" w:color="A6A6A6"/>
            </w:tcBorders>
            <w:shd w:val="clear" w:color="auto" w:fill="auto"/>
          </w:tcPr>
          <w:p w:rsidR="00C30B65" w:rsidRPr="00DC4C78" w:rsidRDefault="00C30B65" w:rsidP="00C30B65">
            <w:pPr>
              <w:pStyle w:val="TableText"/>
              <w:spacing w:before="40" w:after="40"/>
            </w:pPr>
            <w:r w:rsidRPr="00DC4C78">
              <w:t xml:space="preserve">Children live in </w:t>
            </w:r>
            <w:r>
              <w:t xml:space="preserve">a </w:t>
            </w:r>
            <w:proofErr w:type="spellStart"/>
            <w:r w:rsidRPr="00DC4C78">
              <w:t>smokefree</w:t>
            </w:r>
            <w:proofErr w:type="spellEnd"/>
            <w:r w:rsidRPr="00DC4C78">
              <w:t xml:space="preserve"> home (age four years)</w:t>
            </w:r>
          </w:p>
        </w:tc>
        <w:tc>
          <w:tcPr>
            <w:tcW w:w="606" w:type="pct"/>
            <w:tcBorders>
              <w:top w:val="nil"/>
              <w:bottom w:val="single" w:sz="4" w:space="0" w:color="A6A6A6"/>
            </w:tcBorders>
            <w:shd w:val="clear" w:color="auto" w:fill="auto"/>
          </w:tcPr>
          <w:p w:rsidR="00C30B65" w:rsidRPr="00DC4C78" w:rsidRDefault="00C30B65" w:rsidP="00C30B65">
            <w:pPr>
              <w:pStyle w:val="TableText"/>
              <w:spacing w:before="40" w:after="40"/>
              <w:jc w:val="center"/>
            </w:pPr>
            <w:r w:rsidRPr="00DC4C78">
              <w:t>90%</w:t>
            </w:r>
          </w:p>
        </w:tc>
        <w:tc>
          <w:tcPr>
            <w:tcW w:w="606" w:type="pct"/>
            <w:tcBorders>
              <w:top w:val="nil"/>
              <w:bottom w:val="single" w:sz="4" w:space="0" w:color="A6A6A6"/>
            </w:tcBorders>
            <w:shd w:val="clear" w:color="auto" w:fill="auto"/>
          </w:tcPr>
          <w:p w:rsidR="00C30B65" w:rsidRPr="00DC4C78" w:rsidRDefault="00C30B65" w:rsidP="00C30B65">
            <w:pPr>
              <w:pStyle w:val="TableText"/>
              <w:spacing w:before="40" w:after="40"/>
              <w:jc w:val="center"/>
            </w:pPr>
            <w:r w:rsidRPr="00DC4C78">
              <w:t>100%</w:t>
            </w:r>
          </w:p>
        </w:tc>
      </w:tr>
      <w:tr w:rsidR="00C30B65" w:rsidRPr="00DC4C78" w:rsidTr="00C30B65">
        <w:trPr>
          <w:cantSplit/>
        </w:trPr>
        <w:tc>
          <w:tcPr>
            <w:tcW w:w="531" w:type="pct"/>
            <w:vMerge w:val="restart"/>
            <w:tcBorders>
              <w:top w:val="single" w:sz="4" w:space="0" w:color="A6A6A6"/>
              <w:bottom w:val="nil"/>
            </w:tcBorders>
            <w:shd w:val="clear" w:color="auto" w:fill="auto"/>
          </w:tcPr>
          <w:p w:rsidR="00C30B65" w:rsidRPr="00DC4C78" w:rsidRDefault="00C30B65" w:rsidP="00C30B65">
            <w:pPr>
              <w:pStyle w:val="TableText"/>
              <w:spacing w:before="40" w:after="40"/>
              <w:rPr>
                <w:spacing w:val="-4"/>
              </w:rPr>
            </w:pPr>
            <w:r w:rsidRPr="00DC4C78">
              <w:rPr>
                <w:spacing w:val="-4"/>
              </w:rPr>
              <w:t>Quality</w:t>
            </w:r>
          </w:p>
        </w:tc>
        <w:tc>
          <w:tcPr>
            <w:tcW w:w="260" w:type="pct"/>
            <w:tcBorders>
              <w:top w:val="single" w:sz="4" w:space="0" w:color="A6A6A6"/>
              <w:bottom w:val="nil"/>
            </w:tcBorders>
            <w:shd w:val="clear" w:color="auto" w:fill="F2F2F2"/>
          </w:tcPr>
          <w:p w:rsidR="00C30B65" w:rsidRPr="00DC4C78" w:rsidRDefault="00C30B65" w:rsidP="00C30B65">
            <w:pPr>
              <w:pStyle w:val="TableText"/>
              <w:spacing w:before="40" w:after="40"/>
            </w:pPr>
            <w:r w:rsidRPr="00DC4C78">
              <w:t>21</w:t>
            </w:r>
          </w:p>
        </w:tc>
        <w:tc>
          <w:tcPr>
            <w:tcW w:w="2997" w:type="pct"/>
            <w:tcBorders>
              <w:top w:val="single" w:sz="4" w:space="0" w:color="A6A6A6"/>
              <w:bottom w:val="nil"/>
            </w:tcBorders>
            <w:shd w:val="clear" w:color="auto" w:fill="F2F2F2"/>
          </w:tcPr>
          <w:p w:rsidR="00C30B65" w:rsidRPr="00DC4C78" w:rsidRDefault="00C30B65" w:rsidP="00C30B65">
            <w:pPr>
              <w:pStyle w:val="TableText"/>
              <w:spacing w:before="40" w:after="40"/>
            </w:pPr>
            <w:r w:rsidRPr="00DC4C78">
              <w:t>B4School Checks are started before children are 4½ years</w:t>
            </w:r>
          </w:p>
        </w:tc>
        <w:tc>
          <w:tcPr>
            <w:tcW w:w="606" w:type="pct"/>
            <w:tcBorders>
              <w:top w:val="single" w:sz="4" w:space="0" w:color="A6A6A6"/>
              <w:bottom w:val="nil"/>
            </w:tcBorders>
            <w:shd w:val="clear" w:color="auto" w:fill="F2F2F2"/>
          </w:tcPr>
          <w:p w:rsidR="00C30B65" w:rsidRPr="00DC4C78" w:rsidRDefault="00C30B65" w:rsidP="00C30B65">
            <w:pPr>
              <w:pStyle w:val="TableText"/>
              <w:spacing w:before="40" w:after="40"/>
              <w:jc w:val="center"/>
            </w:pPr>
            <w:r w:rsidRPr="00DC4C78">
              <w:t>81%</w:t>
            </w:r>
          </w:p>
        </w:tc>
        <w:tc>
          <w:tcPr>
            <w:tcW w:w="606" w:type="pct"/>
            <w:tcBorders>
              <w:top w:val="single" w:sz="4" w:space="0" w:color="A6A6A6"/>
              <w:bottom w:val="nil"/>
            </w:tcBorders>
            <w:shd w:val="clear" w:color="auto" w:fill="F2F2F2"/>
          </w:tcPr>
          <w:p w:rsidR="00C30B65" w:rsidRPr="00DC4C78" w:rsidRDefault="00C30B65" w:rsidP="00C30B65">
            <w:pPr>
              <w:pStyle w:val="TableText"/>
              <w:spacing w:before="40" w:after="40"/>
              <w:jc w:val="center"/>
            </w:pPr>
            <w:r w:rsidRPr="00DC4C78">
              <w:t>90%</w:t>
            </w:r>
          </w:p>
        </w:tc>
      </w:tr>
      <w:tr w:rsidR="00C30B65" w:rsidRPr="00DC4C78" w:rsidTr="00C30B65">
        <w:trPr>
          <w:cantSplit/>
        </w:trPr>
        <w:tc>
          <w:tcPr>
            <w:tcW w:w="531" w:type="pct"/>
            <w:vMerge/>
            <w:tcBorders>
              <w:top w:val="nil"/>
            </w:tcBorders>
            <w:shd w:val="clear" w:color="auto" w:fill="auto"/>
          </w:tcPr>
          <w:p w:rsidR="00C30B65" w:rsidRPr="00DC4C78" w:rsidRDefault="00C30B65" w:rsidP="00C30B65">
            <w:pPr>
              <w:pStyle w:val="TableText"/>
              <w:spacing w:before="40" w:after="40"/>
            </w:pPr>
          </w:p>
        </w:tc>
        <w:tc>
          <w:tcPr>
            <w:tcW w:w="260" w:type="pct"/>
            <w:tcBorders>
              <w:top w:val="nil"/>
              <w:bottom w:val="nil"/>
            </w:tcBorders>
            <w:shd w:val="clear" w:color="auto" w:fill="auto"/>
          </w:tcPr>
          <w:p w:rsidR="00C30B65" w:rsidRPr="00DC4C78" w:rsidRDefault="00C30B65" w:rsidP="00C30B65">
            <w:pPr>
              <w:pStyle w:val="TableText"/>
              <w:spacing w:before="40" w:after="40"/>
            </w:pPr>
            <w:r w:rsidRPr="00DC4C78">
              <w:t>22</w:t>
            </w:r>
          </w:p>
        </w:tc>
        <w:tc>
          <w:tcPr>
            <w:tcW w:w="2997" w:type="pct"/>
            <w:tcBorders>
              <w:top w:val="nil"/>
              <w:bottom w:val="nil"/>
            </w:tcBorders>
            <w:shd w:val="clear" w:color="auto" w:fill="auto"/>
          </w:tcPr>
          <w:p w:rsidR="00C30B65" w:rsidRPr="00DC4C78" w:rsidRDefault="00C30B65" w:rsidP="00C30B65">
            <w:pPr>
              <w:pStyle w:val="TableText"/>
              <w:spacing w:before="40" w:after="40"/>
            </w:pPr>
            <w:r w:rsidRPr="00DC4C78">
              <w:t xml:space="preserve">Children with an abnormal SDQ-P score are referred </w:t>
            </w:r>
          </w:p>
        </w:tc>
        <w:tc>
          <w:tcPr>
            <w:tcW w:w="606" w:type="pct"/>
            <w:tcBorders>
              <w:top w:val="nil"/>
              <w:bottom w:val="nil"/>
            </w:tcBorders>
            <w:shd w:val="clear" w:color="auto" w:fill="auto"/>
          </w:tcPr>
          <w:p w:rsidR="00C30B65" w:rsidRPr="00DC4C78" w:rsidRDefault="00C30B65" w:rsidP="00C30B65">
            <w:pPr>
              <w:pStyle w:val="TableText"/>
              <w:spacing w:before="40" w:after="40"/>
              <w:jc w:val="center"/>
            </w:pPr>
            <w:r w:rsidRPr="00DC4C78">
              <w:t>86%</w:t>
            </w:r>
          </w:p>
        </w:tc>
        <w:tc>
          <w:tcPr>
            <w:tcW w:w="606" w:type="pct"/>
            <w:tcBorders>
              <w:top w:val="nil"/>
              <w:bottom w:val="nil"/>
            </w:tcBorders>
            <w:shd w:val="clear" w:color="auto" w:fill="auto"/>
          </w:tcPr>
          <w:p w:rsidR="00C30B65" w:rsidRPr="00DC4C78" w:rsidRDefault="00C30B65" w:rsidP="00C30B65">
            <w:pPr>
              <w:pStyle w:val="TableText"/>
              <w:spacing w:before="40" w:after="40"/>
              <w:jc w:val="center"/>
            </w:pPr>
            <w:r w:rsidRPr="00DC4C78">
              <w:t>95%</w:t>
            </w:r>
          </w:p>
        </w:tc>
      </w:tr>
      <w:tr w:rsidR="00C30B65" w:rsidRPr="00DC4C78" w:rsidTr="00C30B65">
        <w:trPr>
          <w:cantSplit/>
        </w:trPr>
        <w:tc>
          <w:tcPr>
            <w:tcW w:w="531" w:type="pct"/>
            <w:vMerge/>
            <w:shd w:val="clear" w:color="auto" w:fill="auto"/>
          </w:tcPr>
          <w:p w:rsidR="00C30B65" w:rsidRPr="00DC4C78" w:rsidRDefault="00C30B65" w:rsidP="00C30B65">
            <w:pPr>
              <w:pStyle w:val="TableText"/>
              <w:spacing w:before="40" w:after="40"/>
            </w:pPr>
          </w:p>
        </w:tc>
        <w:tc>
          <w:tcPr>
            <w:tcW w:w="260" w:type="pct"/>
            <w:tcBorders>
              <w:top w:val="nil"/>
              <w:bottom w:val="nil"/>
            </w:tcBorders>
            <w:shd w:val="clear" w:color="auto" w:fill="F2F2F2"/>
          </w:tcPr>
          <w:p w:rsidR="00C30B65" w:rsidRPr="00DC4C78" w:rsidRDefault="00C30B65" w:rsidP="00C30B65">
            <w:pPr>
              <w:pStyle w:val="TableText"/>
              <w:spacing w:before="40" w:after="40"/>
            </w:pPr>
            <w:r w:rsidRPr="00DC4C78">
              <w:t>23</w:t>
            </w:r>
          </w:p>
        </w:tc>
        <w:tc>
          <w:tcPr>
            <w:tcW w:w="2997" w:type="pct"/>
            <w:tcBorders>
              <w:top w:val="nil"/>
              <w:bottom w:val="nil"/>
            </w:tcBorders>
            <w:shd w:val="clear" w:color="auto" w:fill="F2F2F2"/>
          </w:tcPr>
          <w:p w:rsidR="00C30B65" w:rsidRPr="00DC4C78" w:rsidRDefault="00C30B65" w:rsidP="00C30B65">
            <w:pPr>
              <w:pStyle w:val="TableText"/>
              <w:spacing w:before="40" w:after="40"/>
            </w:pPr>
            <w:r w:rsidRPr="00DC4C78">
              <w:t xml:space="preserve">Children with a PEDS Pathway A are referred </w:t>
            </w:r>
          </w:p>
        </w:tc>
        <w:tc>
          <w:tcPr>
            <w:tcW w:w="606" w:type="pct"/>
            <w:tcBorders>
              <w:top w:val="nil"/>
              <w:bottom w:val="nil"/>
            </w:tcBorders>
            <w:shd w:val="clear" w:color="auto" w:fill="F2F2F2"/>
          </w:tcPr>
          <w:p w:rsidR="00C30B65" w:rsidRPr="00DC4C78" w:rsidRDefault="00C30B65" w:rsidP="00C30B65">
            <w:pPr>
              <w:pStyle w:val="TableText"/>
              <w:spacing w:before="40" w:after="40"/>
              <w:jc w:val="center"/>
            </w:pPr>
            <w:r w:rsidRPr="00DC4C78">
              <w:t>86%</w:t>
            </w:r>
          </w:p>
        </w:tc>
        <w:tc>
          <w:tcPr>
            <w:tcW w:w="606" w:type="pct"/>
            <w:tcBorders>
              <w:top w:val="nil"/>
              <w:bottom w:val="nil"/>
            </w:tcBorders>
            <w:shd w:val="clear" w:color="auto" w:fill="F2F2F2"/>
          </w:tcPr>
          <w:p w:rsidR="00C30B65" w:rsidRPr="00DC4C78" w:rsidRDefault="00C30B65" w:rsidP="00C30B65">
            <w:pPr>
              <w:pStyle w:val="TableText"/>
              <w:spacing w:before="40" w:after="40"/>
              <w:jc w:val="center"/>
            </w:pPr>
            <w:r w:rsidRPr="00DC4C78">
              <w:t>95%</w:t>
            </w:r>
          </w:p>
        </w:tc>
      </w:tr>
      <w:tr w:rsidR="00C30B65" w:rsidRPr="00DC4C78" w:rsidTr="00C30B65">
        <w:trPr>
          <w:cantSplit/>
        </w:trPr>
        <w:tc>
          <w:tcPr>
            <w:tcW w:w="531" w:type="pct"/>
            <w:vMerge/>
            <w:shd w:val="clear" w:color="auto" w:fill="auto"/>
          </w:tcPr>
          <w:p w:rsidR="00C30B65" w:rsidRPr="00DC4C78" w:rsidRDefault="00C30B65" w:rsidP="00C30B65">
            <w:pPr>
              <w:pStyle w:val="TableText"/>
              <w:spacing w:before="40" w:after="40"/>
            </w:pPr>
          </w:p>
        </w:tc>
        <w:tc>
          <w:tcPr>
            <w:tcW w:w="260" w:type="pct"/>
            <w:tcBorders>
              <w:top w:val="nil"/>
              <w:bottom w:val="nil"/>
            </w:tcBorders>
            <w:shd w:val="clear" w:color="auto" w:fill="auto"/>
          </w:tcPr>
          <w:p w:rsidR="00C30B65" w:rsidRPr="00DC4C78" w:rsidRDefault="00C30B65" w:rsidP="00C30B65">
            <w:pPr>
              <w:pStyle w:val="TableText"/>
              <w:spacing w:before="40" w:after="40"/>
            </w:pPr>
            <w:r w:rsidRPr="00DC4C78">
              <w:t>24</w:t>
            </w:r>
          </w:p>
        </w:tc>
        <w:tc>
          <w:tcPr>
            <w:tcW w:w="2997" w:type="pct"/>
            <w:tcBorders>
              <w:top w:val="nil"/>
              <w:bottom w:val="nil"/>
            </w:tcBorders>
            <w:shd w:val="clear" w:color="auto" w:fill="auto"/>
          </w:tcPr>
          <w:p w:rsidR="00C30B65" w:rsidRPr="00DC4C78" w:rsidRDefault="00C30B65" w:rsidP="00C30B65">
            <w:pPr>
              <w:pStyle w:val="TableText"/>
              <w:spacing w:before="40" w:after="40"/>
            </w:pPr>
            <w:r w:rsidRPr="00DC4C78">
              <w:t xml:space="preserve">Children with </w:t>
            </w:r>
            <w:r>
              <w:t xml:space="preserve">a Lift the Lip (oral health) </w:t>
            </w:r>
            <w:r w:rsidRPr="00DC4C78">
              <w:t xml:space="preserve">score of 2–6 are referred </w:t>
            </w:r>
          </w:p>
        </w:tc>
        <w:tc>
          <w:tcPr>
            <w:tcW w:w="606" w:type="pct"/>
            <w:tcBorders>
              <w:top w:val="nil"/>
              <w:bottom w:val="nil"/>
            </w:tcBorders>
            <w:shd w:val="clear" w:color="auto" w:fill="auto"/>
          </w:tcPr>
          <w:p w:rsidR="00C30B65" w:rsidRPr="00DC4C78" w:rsidRDefault="00C30B65" w:rsidP="00C30B65">
            <w:pPr>
              <w:pStyle w:val="TableText"/>
              <w:spacing w:before="40" w:after="40"/>
              <w:jc w:val="center"/>
            </w:pPr>
            <w:r w:rsidRPr="00DC4C78">
              <w:t>86%</w:t>
            </w:r>
          </w:p>
        </w:tc>
        <w:tc>
          <w:tcPr>
            <w:tcW w:w="606" w:type="pct"/>
            <w:tcBorders>
              <w:top w:val="nil"/>
              <w:bottom w:val="nil"/>
            </w:tcBorders>
            <w:shd w:val="clear" w:color="auto" w:fill="auto"/>
          </w:tcPr>
          <w:p w:rsidR="00C30B65" w:rsidRPr="00DC4C78" w:rsidRDefault="00C30B65" w:rsidP="00C30B65">
            <w:pPr>
              <w:pStyle w:val="TableText"/>
              <w:spacing w:before="40" w:after="40"/>
              <w:jc w:val="center"/>
            </w:pPr>
            <w:r w:rsidRPr="00DC4C78">
              <w:t>95%</w:t>
            </w:r>
          </w:p>
        </w:tc>
      </w:tr>
      <w:tr w:rsidR="00C30B65" w:rsidRPr="00DC4C78" w:rsidTr="00C30B65">
        <w:trPr>
          <w:cantSplit/>
        </w:trPr>
        <w:tc>
          <w:tcPr>
            <w:tcW w:w="531" w:type="pct"/>
            <w:vMerge/>
            <w:shd w:val="clear" w:color="auto" w:fill="auto"/>
          </w:tcPr>
          <w:p w:rsidR="00C30B65" w:rsidRPr="00DC4C78" w:rsidRDefault="00C30B65" w:rsidP="00C30B65">
            <w:pPr>
              <w:pStyle w:val="TableText"/>
              <w:spacing w:before="40" w:after="40"/>
            </w:pPr>
          </w:p>
        </w:tc>
        <w:tc>
          <w:tcPr>
            <w:tcW w:w="260" w:type="pct"/>
            <w:tcBorders>
              <w:top w:val="nil"/>
              <w:bottom w:val="nil"/>
            </w:tcBorders>
            <w:shd w:val="clear" w:color="auto" w:fill="F2F2F2"/>
          </w:tcPr>
          <w:p w:rsidR="00C30B65" w:rsidRPr="00DC4C78" w:rsidRDefault="00C30B65" w:rsidP="00C30B65">
            <w:pPr>
              <w:pStyle w:val="TableText"/>
              <w:spacing w:before="40" w:after="40"/>
            </w:pPr>
            <w:r w:rsidRPr="00DC4C78">
              <w:t>25</w:t>
            </w:r>
          </w:p>
        </w:tc>
        <w:tc>
          <w:tcPr>
            <w:tcW w:w="2997" w:type="pct"/>
            <w:tcBorders>
              <w:top w:val="nil"/>
              <w:bottom w:val="nil"/>
            </w:tcBorders>
            <w:shd w:val="clear" w:color="auto" w:fill="F2F2F2"/>
          </w:tcPr>
          <w:p w:rsidR="00C30B65" w:rsidRPr="00DC4C78" w:rsidRDefault="00C30B65" w:rsidP="00C30B65">
            <w:pPr>
              <w:pStyle w:val="TableText"/>
              <w:spacing w:before="40" w:after="40"/>
            </w:pPr>
            <w:r w:rsidRPr="00DC4C78">
              <w:t>Children with an untreated vision problem are referred</w:t>
            </w:r>
          </w:p>
        </w:tc>
        <w:tc>
          <w:tcPr>
            <w:tcW w:w="606" w:type="pct"/>
            <w:tcBorders>
              <w:top w:val="nil"/>
              <w:bottom w:val="nil"/>
            </w:tcBorders>
            <w:shd w:val="clear" w:color="auto" w:fill="F2F2F2"/>
          </w:tcPr>
          <w:p w:rsidR="00C30B65" w:rsidRPr="00DC4C78" w:rsidRDefault="00C30B65" w:rsidP="00C30B65">
            <w:pPr>
              <w:pStyle w:val="TableText"/>
              <w:spacing w:before="40" w:after="40"/>
              <w:jc w:val="center"/>
            </w:pPr>
            <w:r w:rsidRPr="00DC4C78">
              <w:t>86%</w:t>
            </w:r>
          </w:p>
        </w:tc>
        <w:tc>
          <w:tcPr>
            <w:tcW w:w="606" w:type="pct"/>
            <w:tcBorders>
              <w:top w:val="nil"/>
              <w:bottom w:val="nil"/>
            </w:tcBorders>
            <w:shd w:val="clear" w:color="auto" w:fill="F2F2F2"/>
          </w:tcPr>
          <w:p w:rsidR="00C30B65" w:rsidRPr="00DC4C78" w:rsidRDefault="00C30B65" w:rsidP="00C30B65">
            <w:pPr>
              <w:pStyle w:val="TableText"/>
              <w:spacing w:before="40" w:after="40"/>
              <w:jc w:val="center"/>
            </w:pPr>
            <w:r w:rsidRPr="00DC4C78">
              <w:t>95%</w:t>
            </w:r>
          </w:p>
        </w:tc>
      </w:tr>
      <w:tr w:rsidR="00C30B65" w:rsidRPr="00DC4C78" w:rsidTr="00C30B65">
        <w:trPr>
          <w:cantSplit/>
        </w:trPr>
        <w:tc>
          <w:tcPr>
            <w:tcW w:w="531" w:type="pct"/>
            <w:vMerge/>
            <w:shd w:val="clear" w:color="auto" w:fill="auto"/>
          </w:tcPr>
          <w:p w:rsidR="00C30B65" w:rsidRPr="00DC4C78" w:rsidRDefault="00C30B65" w:rsidP="00C30B65">
            <w:pPr>
              <w:pStyle w:val="TableText"/>
              <w:spacing w:before="40" w:after="40"/>
            </w:pPr>
          </w:p>
        </w:tc>
        <w:tc>
          <w:tcPr>
            <w:tcW w:w="260" w:type="pct"/>
            <w:tcBorders>
              <w:top w:val="nil"/>
              <w:bottom w:val="nil"/>
            </w:tcBorders>
            <w:shd w:val="clear" w:color="auto" w:fill="auto"/>
          </w:tcPr>
          <w:p w:rsidR="00C30B65" w:rsidRPr="00DC4C78" w:rsidRDefault="00C30B65" w:rsidP="00C30B65">
            <w:pPr>
              <w:pStyle w:val="TableText"/>
              <w:spacing w:before="40" w:after="40"/>
            </w:pPr>
            <w:r w:rsidRPr="00DC4C78">
              <w:t>26</w:t>
            </w:r>
          </w:p>
        </w:tc>
        <w:tc>
          <w:tcPr>
            <w:tcW w:w="2997" w:type="pct"/>
            <w:tcBorders>
              <w:top w:val="nil"/>
              <w:bottom w:val="nil"/>
            </w:tcBorders>
            <w:shd w:val="clear" w:color="auto" w:fill="auto"/>
          </w:tcPr>
          <w:p w:rsidR="00C30B65" w:rsidRPr="00DC4C78" w:rsidRDefault="00C30B65" w:rsidP="00C30B65">
            <w:pPr>
              <w:pStyle w:val="TableText"/>
              <w:spacing w:before="40" w:after="40"/>
            </w:pPr>
            <w:r w:rsidRPr="00DC4C78">
              <w:t xml:space="preserve">Children with an untreated hearing problem are referred </w:t>
            </w:r>
          </w:p>
        </w:tc>
        <w:tc>
          <w:tcPr>
            <w:tcW w:w="606" w:type="pct"/>
            <w:tcBorders>
              <w:top w:val="nil"/>
              <w:bottom w:val="nil"/>
            </w:tcBorders>
            <w:shd w:val="clear" w:color="auto" w:fill="auto"/>
          </w:tcPr>
          <w:p w:rsidR="00C30B65" w:rsidRPr="00DC4C78" w:rsidRDefault="00C30B65" w:rsidP="00C30B65">
            <w:pPr>
              <w:pStyle w:val="TableText"/>
              <w:spacing w:before="40" w:after="40"/>
              <w:jc w:val="center"/>
            </w:pPr>
            <w:r w:rsidRPr="00DC4C78">
              <w:t>86%</w:t>
            </w:r>
          </w:p>
        </w:tc>
        <w:tc>
          <w:tcPr>
            <w:tcW w:w="606" w:type="pct"/>
            <w:tcBorders>
              <w:top w:val="nil"/>
              <w:bottom w:val="nil"/>
            </w:tcBorders>
            <w:shd w:val="clear" w:color="auto" w:fill="auto"/>
          </w:tcPr>
          <w:p w:rsidR="00C30B65" w:rsidRPr="00DC4C78" w:rsidRDefault="00C30B65" w:rsidP="00C30B65">
            <w:pPr>
              <w:pStyle w:val="TableText"/>
              <w:spacing w:before="40" w:after="40"/>
              <w:jc w:val="center"/>
            </w:pPr>
            <w:r w:rsidRPr="00DC4C78">
              <w:t>95%</w:t>
            </w:r>
          </w:p>
        </w:tc>
      </w:tr>
      <w:tr w:rsidR="00C30B65" w:rsidRPr="00DC4C78" w:rsidTr="00C30B65">
        <w:trPr>
          <w:cantSplit/>
        </w:trPr>
        <w:tc>
          <w:tcPr>
            <w:tcW w:w="531" w:type="pct"/>
            <w:vMerge/>
            <w:shd w:val="clear" w:color="auto" w:fill="auto"/>
          </w:tcPr>
          <w:p w:rsidR="00C30B65" w:rsidRPr="00DC4C78" w:rsidRDefault="00C30B65" w:rsidP="00C30B65">
            <w:pPr>
              <w:pStyle w:val="TableText"/>
              <w:spacing w:before="40" w:after="40"/>
            </w:pPr>
          </w:p>
        </w:tc>
        <w:tc>
          <w:tcPr>
            <w:tcW w:w="260" w:type="pct"/>
            <w:tcBorders>
              <w:top w:val="nil"/>
              <w:bottom w:val="single" w:sz="4" w:space="0" w:color="auto"/>
            </w:tcBorders>
            <w:shd w:val="clear" w:color="auto" w:fill="F2F2F2"/>
          </w:tcPr>
          <w:p w:rsidR="00C30B65" w:rsidRPr="00DC4C78" w:rsidRDefault="00C30B65" w:rsidP="00C30B65">
            <w:pPr>
              <w:pStyle w:val="TableText"/>
              <w:spacing w:before="40" w:after="40"/>
            </w:pPr>
            <w:r w:rsidRPr="00DC4C78">
              <w:t>27</w:t>
            </w:r>
          </w:p>
        </w:tc>
        <w:tc>
          <w:tcPr>
            <w:tcW w:w="2997" w:type="pct"/>
            <w:tcBorders>
              <w:top w:val="nil"/>
              <w:bottom w:val="single" w:sz="4" w:space="0" w:color="auto"/>
            </w:tcBorders>
            <w:shd w:val="clear" w:color="auto" w:fill="F2F2F2"/>
          </w:tcPr>
          <w:p w:rsidR="00C30B65" w:rsidRPr="00DC4C78" w:rsidRDefault="00C30B65" w:rsidP="00C30B65">
            <w:pPr>
              <w:pStyle w:val="TableText"/>
              <w:spacing w:before="40" w:after="40"/>
            </w:pPr>
            <w:r w:rsidRPr="00DC4C78">
              <w:t xml:space="preserve">Children with a BMI </w:t>
            </w:r>
            <w:r>
              <w:t xml:space="preserve">&gt; </w:t>
            </w:r>
            <w:r w:rsidRPr="00DC4C78">
              <w:t xml:space="preserve">99.4th percentile are referred </w:t>
            </w:r>
          </w:p>
        </w:tc>
        <w:tc>
          <w:tcPr>
            <w:tcW w:w="606" w:type="pct"/>
            <w:tcBorders>
              <w:top w:val="nil"/>
              <w:bottom w:val="single" w:sz="4" w:space="0" w:color="auto"/>
            </w:tcBorders>
            <w:shd w:val="clear" w:color="auto" w:fill="F2F2F2"/>
          </w:tcPr>
          <w:p w:rsidR="00C30B65" w:rsidRPr="00DC4C78" w:rsidRDefault="00C30B65" w:rsidP="00C30B65">
            <w:pPr>
              <w:pStyle w:val="TableText"/>
              <w:spacing w:before="40" w:after="40"/>
              <w:jc w:val="center"/>
            </w:pPr>
            <w:r w:rsidRPr="00DC4C78">
              <w:t>86%</w:t>
            </w:r>
          </w:p>
        </w:tc>
        <w:tc>
          <w:tcPr>
            <w:tcW w:w="606" w:type="pct"/>
            <w:tcBorders>
              <w:top w:val="nil"/>
              <w:bottom w:val="single" w:sz="4" w:space="0" w:color="auto"/>
            </w:tcBorders>
            <w:shd w:val="clear" w:color="auto" w:fill="F2F2F2"/>
          </w:tcPr>
          <w:p w:rsidR="00C30B65" w:rsidRPr="00DC4C78" w:rsidRDefault="00C30B65" w:rsidP="00C30B65">
            <w:pPr>
              <w:pStyle w:val="TableText"/>
              <w:spacing w:before="40" w:after="40"/>
              <w:jc w:val="center"/>
            </w:pPr>
            <w:r w:rsidRPr="00DC4C78">
              <w:t>95%</w:t>
            </w:r>
          </w:p>
        </w:tc>
      </w:tr>
    </w:tbl>
    <w:p w:rsidR="00C30B65" w:rsidRPr="00DC4C78" w:rsidRDefault="00C30B65" w:rsidP="00C30B65">
      <w:pPr>
        <w:pStyle w:val="Note"/>
        <w:spacing w:before="40"/>
        <w:ind w:right="0"/>
        <w:rPr>
          <w:lang w:eastAsia="en-NZ"/>
        </w:rPr>
      </w:pPr>
      <w:r w:rsidRPr="00DC4C78">
        <w:rPr>
          <w:lang w:eastAsia="en-NZ"/>
        </w:rPr>
        <w:t>Notes</w:t>
      </w:r>
    </w:p>
    <w:p w:rsidR="00C30B65" w:rsidRPr="00DC4C78" w:rsidRDefault="00C30B65" w:rsidP="00C30B65">
      <w:pPr>
        <w:pStyle w:val="Note"/>
        <w:spacing w:before="40"/>
        <w:ind w:right="0"/>
        <w:rPr>
          <w:lang w:eastAsia="en-NZ"/>
        </w:rPr>
      </w:pPr>
      <w:r w:rsidRPr="00DC4C78">
        <w:rPr>
          <w:lang w:eastAsia="en-NZ"/>
        </w:rPr>
        <w:t>*</w:t>
      </w:r>
      <w:r w:rsidRPr="00DC4C78">
        <w:rPr>
          <w:lang w:eastAsia="en-NZ"/>
        </w:rPr>
        <w:tab/>
        <w:t xml:space="preserve">Data to monitor this indicator is not yet available. </w:t>
      </w:r>
      <w:r>
        <w:rPr>
          <w:lang w:eastAsia="en-NZ"/>
        </w:rPr>
        <w:t>Primary health organisation</w:t>
      </w:r>
      <w:r w:rsidRPr="00DC4C78">
        <w:rPr>
          <w:lang w:eastAsia="en-NZ"/>
        </w:rPr>
        <w:t xml:space="preserve"> enrolment at three months will be used as a de </w:t>
      </w:r>
      <w:r>
        <w:rPr>
          <w:lang w:eastAsia="en-NZ"/>
        </w:rPr>
        <w:t>facto indicator in the interim.</w:t>
      </w:r>
    </w:p>
    <w:p w:rsidR="00C30B65" w:rsidRPr="00DC4C78" w:rsidRDefault="00C30B65" w:rsidP="00C30B65">
      <w:pPr>
        <w:rPr>
          <w:lang w:eastAsia="en-NZ"/>
        </w:rPr>
      </w:pPr>
    </w:p>
    <w:p w:rsidR="00C30B65" w:rsidRPr="00DC4C78" w:rsidRDefault="00C30B65" w:rsidP="00C30B65">
      <w:pPr>
        <w:pStyle w:val="Heading1"/>
        <w:rPr>
          <w:lang w:eastAsia="en-NZ"/>
        </w:rPr>
      </w:pPr>
      <w:r w:rsidRPr="00DC4C78">
        <w:rPr>
          <w:lang w:eastAsia="en-NZ"/>
        </w:rPr>
        <w:br w:type="page"/>
      </w:r>
      <w:bookmarkStart w:id="571" w:name="_Toc384620296"/>
      <w:bookmarkStart w:id="572" w:name="_Toc418322805"/>
      <w:bookmarkStart w:id="573" w:name="_Toc419099474"/>
      <w:bookmarkStart w:id="574" w:name="_Toc440387820"/>
      <w:r w:rsidRPr="00DC4C78">
        <w:rPr>
          <w:lang w:eastAsia="en-NZ"/>
        </w:rPr>
        <w:lastRenderedPageBreak/>
        <w:t>Appendix 2: Membership of the Expert Advisory Group</w:t>
      </w:r>
      <w:bookmarkEnd w:id="571"/>
      <w:bookmarkEnd w:id="572"/>
      <w:bookmarkEnd w:id="573"/>
      <w:bookmarkEnd w:id="574"/>
    </w:p>
    <w:tbl>
      <w:tblPr>
        <w:tblW w:w="4940" w:type="pct"/>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841"/>
        <w:gridCol w:w="4397"/>
        <w:gridCol w:w="3117"/>
      </w:tblGrid>
      <w:tr w:rsidR="00C30B65" w:rsidRPr="00DC4C78" w:rsidTr="00C30B65">
        <w:trPr>
          <w:cantSplit/>
        </w:trPr>
        <w:tc>
          <w:tcPr>
            <w:tcW w:w="984" w:type="pct"/>
            <w:tcBorders>
              <w:top w:val="single" w:sz="4" w:space="0" w:color="auto"/>
              <w:bottom w:val="single" w:sz="4" w:space="0" w:color="auto"/>
            </w:tcBorders>
            <w:shd w:val="clear" w:color="auto" w:fill="F2F2F2"/>
          </w:tcPr>
          <w:p w:rsidR="00C30B65" w:rsidRPr="00DC4C78" w:rsidRDefault="00C30B65" w:rsidP="00C30B65">
            <w:pPr>
              <w:pStyle w:val="TableText"/>
              <w:rPr>
                <w:b/>
              </w:rPr>
            </w:pPr>
            <w:r w:rsidRPr="00DC4C78">
              <w:rPr>
                <w:b/>
              </w:rPr>
              <w:t>Name</w:t>
            </w:r>
          </w:p>
        </w:tc>
        <w:tc>
          <w:tcPr>
            <w:tcW w:w="2350" w:type="pct"/>
            <w:tcBorders>
              <w:top w:val="single" w:sz="4" w:space="0" w:color="auto"/>
              <w:bottom w:val="single" w:sz="4" w:space="0" w:color="auto"/>
            </w:tcBorders>
            <w:shd w:val="clear" w:color="auto" w:fill="F2F2F2"/>
          </w:tcPr>
          <w:p w:rsidR="00C30B65" w:rsidRPr="00DC4C78" w:rsidRDefault="00C30B65" w:rsidP="00C30B65">
            <w:pPr>
              <w:pStyle w:val="TableText"/>
              <w:ind w:right="142"/>
              <w:rPr>
                <w:b/>
              </w:rPr>
            </w:pPr>
            <w:r w:rsidRPr="00DC4C78">
              <w:rPr>
                <w:b/>
              </w:rPr>
              <w:t>Role(s)</w:t>
            </w:r>
          </w:p>
        </w:tc>
        <w:tc>
          <w:tcPr>
            <w:tcW w:w="1666" w:type="pct"/>
            <w:tcBorders>
              <w:top w:val="single" w:sz="4" w:space="0" w:color="auto"/>
              <w:bottom w:val="single" w:sz="4" w:space="0" w:color="auto"/>
            </w:tcBorders>
            <w:shd w:val="clear" w:color="auto" w:fill="F2F2F2"/>
          </w:tcPr>
          <w:p w:rsidR="00C30B65" w:rsidRPr="00DC4C78" w:rsidRDefault="00C30B65" w:rsidP="00C30B65">
            <w:pPr>
              <w:pStyle w:val="TableText"/>
              <w:rPr>
                <w:b/>
              </w:rPr>
            </w:pPr>
            <w:r w:rsidRPr="00DC4C78">
              <w:rPr>
                <w:b/>
              </w:rPr>
              <w:t>Representing</w:t>
            </w:r>
          </w:p>
        </w:tc>
      </w:tr>
      <w:tr w:rsidR="00C30B65" w:rsidRPr="00DC4C78" w:rsidTr="00C30B65">
        <w:trPr>
          <w:cantSplit/>
        </w:trPr>
        <w:tc>
          <w:tcPr>
            <w:tcW w:w="984" w:type="pct"/>
            <w:tcBorders>
              <w:top w:val="single" w:sz="4" w:space="0" w:color="auto"/>
              <w:bottom w:val="nil"/>
            </w:tcBorders>
            <w:shd w:val="clear" w:color="auto" w:fill="auto"/>
          </w:tcPr>
          <w:p w:rsidR="00C30B65" w:rsidRPr="00DC4C78" w:rsidRDefault="00C30B65" w:rsidP="00C30B65">
            <w:pPr>
              <w:pStyle w:val="TableText"/>
            </w:pPr>
            <w:r w:rsidRPr="00DC4C78">
              <w:t>Helen Connors</w:t>
            </w:r>
          </w:p>
        </w:tc>
        <w:tc>
          <w:tcPr>
            <w:tcW w:w="2350" w:type="pct"/>
            <w:tcBorders>
              <w:top w:val="single" w:sz="4" w:space="0" w:color="auto"/>
              <w:bottom w:val="nil"/>
            </w:tcBorders>
            <w:shd w:val="clear" w:color="auto" w:fill="auto"/>
          </w:tcPr>
          <w:p w:rsidR="00C30B65" w:rsidRPr="00DC4C78" w:rsidRDefault="00C30B65" w:rsidP="00C30B65">
            <w:pPr>
              <w:pStyle w:val="TableText"/>
              <w:ind w:right="142"/>
            </w:pPr>
            <w:r w:rsidRPr="00DC4C78">
              <w:t xml:space="preserve">WCTO </w:t>
            </w:r>
            <w:r>
              <w:t>n</w:t>
            </w:r>
            <w:r w:rsidRPr="00DC4C78">
              <w:t xml:space="preserve">urse and </w:t>
            </w:r>
            <w:r>
              <w:t>c</w:t>
            </w:r>
            <w:r w:rsidRPr="00DC4C78">
              <w:t xml:space="preserve">linical </w:t>
            </w:r>
            <w:r>
              <w:t>a</w:t>
            </w:r>
            <w:r w:rsidRPr="00DC4C78">
              <w:t xml:space="preserve">dvisor </w:t>
            </w:r>
          </w:p>
        </w:tc>
        <w:tc>
          <w:tcPr>
            <w:tcW w:w="1666" w:type="pct"/>
            <w:tcBorders>
              <w:top w:val="single" w:sz="4" w:space="0" w:color="auto"/>
              <w:bottom w:val="nil"/>
            </w:tcBorders>
            <w:shd w:val="clear" w:color="auto" w:fill="auto"/>
          </w:tcPr>
          <w:p w:rsidR="00C30B65" w:rsidRPr="00DC4C78" w:rsidRDefault="00C30B65" w:rsidP="00C30B65">
            <w:pPr>
              <w:pStyle w:val="TableText"/>
            </w:pPr>
            <w:r w:rsidRPr="00DC4C78">
              <w:t>Royal New Zealand Plunket Society</w:t>
            </w:r>
          </w:p>
        </w:tc>
      </w:tr>
      <w:tr w:rsidR="00C30B65" w:rsidRPr="00DC4C78" w:rsidTr="00C30B65">
        <w:trPr>
          <w:cantSplit/>
        </w:trPr>
        <w:tc>
          <w:tcPr>
            <w:tcW w:w="984" w:type="pct"/>
            <w:tcBorders>
              <w:top w:val="nil"/>
              <w:bottom w:val="nil"/>
            </w:tcBorders>
            <w:shd w:val="clear" w:color="auto" w:fill="F2F2F2"/>
          </w:tcPr>
          <w:p w:rsidR="00C30B65" w:rsidRPr="00DC4C78" w:rsidRDefault="00C30B65" w:rsidP="00C30B65">
            <w:pPr>
              <w:pStyle w:val="TableText"/>
            </w:pPr>
            <w:r w:rsidRPr="00DC4C78">
              <w:t>Dave Graham</w:t>
            </w:r>
          </w:p>
        </w:tc>
        <w:tc>
          <w:tcPr>
            <w:tcW w:w="2350" w:type="pct"/>
            <w:tcBorders>
              <w:top w:val="nil"/>
              <w:bottom w:val="nil"/>
            </w:tcBorders>
            <w:shd w:val="clear" w:color="auto" w:fill="F2F2F2"/>
          </w:tcPr>
          <w:p w:rsidR="00C30B65" w:rsidRPr="00DC4C78" w:rsidRDefault="00C30B65" w:rsidP="00C30B65">
            <w:pPr>
              <w:pStyle w:val="TableText"/>
              <w:ind w:right="142"/>
            </w:pPr>
            <w:r w:rsidRPr="00DC4C78">
              <w:t xml:space="preserve">Paediatrician – Waikato DHB, </w:t>
            </w:r>
            <w:r>
              <w:t>c</w:t>
            </w:r>
            <w:r w:rsidRPr="00DC4C78">
              <w:t xml:space="preserve">hair of Midland Child Health Action Group and </w:t>
            </w:r>
            <w:r>
              <w:t>m</w:t>
            </w:r>
            <w:r w:rsidRPr="00DC4C78">
              <w:t>ember of the Paediatric Society of New Zealand</w:t>
            </w:r>
          </w:p>
        </w:tc>
        <w:tc>
          <w:tcPr>
            <w:tcW w:w="1666" w:type="pct"/>
            <w:tcBorders>
              <w:top w:val="nil"/>
              <w:bottom w:val="nil"/>
            </w:tcBorders>
            <w:shd w:val="clear" w:color="auto" w:fill="F2F2F2"/>
          </w:tcPr>
          <w:p w:rsidR="00C30B65" w:rsidRPr="00DC4C78" w:rsidRDefault="00C30B65" w:rsidP="00C30B65">
            <w:pPr>
              <w:pStyle w:val="TableText"/>
            </w:pPr>
            <w:r w:rsidRPr="00DC4C78">
              <w:t>Paediatric Society of New Zealand</w:t>
            </w:r>
          </w:p>
        </w:tc>
      </w:tr>
      <w:tr w:rsidR="00C30B65" w:rsidRPr="00DC4C78" w:rsidTr="00C30B65">
        <w:trPr>
          <w:cantSplit/>
        </w:trPr>
        <w:tc>
          <w:tcPr>
            <w:tcW w:w="984" w:type="pct"/>
            <w:tcBorders>
              <w:top w:val="nil"/>
              <w:bottom w:val="nil"/>
            </w:tcBorders>
            <w:shd w:val="clear" w:color="auto" w:fill="auto"/>
          </w:tcPr>
          <w:p w:rsidR="00C30B65" w:rsidRPr="00DC4C78" w:rsidRDefault="00C30B65" w:rsidP="00C30B65">
            <w:pPr>
              <w:pStyle w:val="TableText"/>
            </w:pPr>
            <w:r w:rsidRPr="00DC4C78">
              <w:t>Christine Griffiths</w:t>
            </w:r>
          </w:p>
        </w:tc>
        <w:tc>
          <w:tcPr>
            <w:tcW w:w="2350" w:type="pct"/>
            <w:tcBorders>
              <w:top w:val="nil"/>
              <w:bottom w:val="nil"/>
            </w:tcBorders>
            <w:shd w:val="clear" w:color="auto" w:fill="auto"/>
          </w:tcPr>
          <w:p w:rsidR="00C30B65" w:rsidRPr="00DC4C78" w:rsidRDefault="00C30B65" w:rsidP="00C30B65">
            <w:pPr>
              <w:pStyle w:val="TableText"/>
              <w:ind w:right="142"/>
            </w:pPr>
            <w:r w:rsidRPr="00DC4C78">
              <w:t xml:space="preserve">Lead </w:t>
            </w:r>
            <w:r>
              <w:t>m</w:t>
            </w:r>
            <w:r w:rsidRPr="00DC4C78">
              <w:t xml:space="preserve">aternity </w:t>
            </w:r>
            <w:r>
              <w:t>c</w:t>
            </w:r>
            <w:r w:rsidRPr="00DC4C78">
              <w:t xml:space="preserve">arer, </w:t>
            </w:r>
            <w:r>
              <w:t>l</w:t>
            </w:r>
            <w:r w:rsidRPr="00DC4C78">
              <w:t xml:space="preserve">ecturer </w:t>
            </w:r>
            <w:proofErr w:type="spellStart"/>
            <w:r w:rsidRPr="00DC4C78">
              <w:t>Otago</w:t>
            </w:r>
            <w:proofErr w:type="spellEnd"/>
            <w:r w:rsidRPr="00DC4C78">
              <w:t xml:space="preserve"> Polytechnic and </w:t>
            </w:r>
            <w:r>
              <w:t>e</w:t>
            </w:r>
            <w:r w:rsidRPr="00DC4C78">
              <w:t xml:space="preserve">xpert </w:t>
            </w:r>
            <w:r>
              <w:t>a</w:t>
            </w:r>
            <w:r w:rsidRPr="00DC4C78">
              <w:t>dvisor to the New Zealand College of Midwives</w:t>
            </w:r>
          </w:p>
        </w:tc>
        <w:tc>
          <w:tcPr>
            <w:tcW w:w="1666" w:type="pct"/>
            <w:tcBorders>
              <w:top w:val="nil"/>
              <w:bottom w:val="nil"/>
            </w:tcBorders>
            <w:shd w:val="clear" w:color="auto" w:fill="auto"/>
          </w:tcPr>
          <w:p w:rsidR="00C30B65" w:rsidRPr="00DC4C78" w:rsidRDefault="00C30B65" w:rsidP="00C30B65">
            <w:pPr>
              <w:pStyle w:val="TableText"/>
            </w:pPr>
            <w:r w:rsidRPr="00DC4C78">
              <w:t>New Zealand College of Midwives</w:t>
            </w:r>
          </w:p>
        </w:tc>
      </w:tr>
      <w:tr w:rsidR="00C30B65" w:rsidRPr="00DC4C78" w:rsidTr="00C30B65">
        <w:trPr>
          <w:cantSplit/>
        </w:trPr>
        <w:tc>
          <w:tcPr>
            <w:tcW w:w="984" w:type="pct"/>
            <w:tcBorders>
              <w:top w:val="nil"/>
              <w:bottom w:val="nil"/>
            </w:tcBorders>
            <w:shd w:val="clear" w:color="auto" w:fill="auto"/>
          </w:tcPr>
          <w:p w:rsidR="00C30B65" w:rsidRPr="00DC4C78" w:rsidRDefault="00C30B65" w:rsidP="00C30B65">
            <w:pPr>
              <w:pStyle w:val="TableText"/>
            </w:pPr>
            <w:proofErr w:type="spellStart"/>
            <w:r w:rsidRPr="00DC4C78">
              <w:t>Tui</w:t>
            </w:r>
            <w:proofErr w:type="spellEnd"/>
            <w:r w:rsidRPr="00DC4C78">
              <w:t xml:space="preserve"> </w:t>
            </w:r>
            <w:proofErr w:type="spellStart"/>
            <w:r w:rsidRPr="00DC4C78">
              <w:t>Makoare-Iefata</w:t>
            </w:r>
            <w:proofErr w:type="spellEnd"/>
          </w:p>
        </w:tc>
        <w:tc>
          <w:tcPr>
            <w:tcW w:w="2350" w:type="pct"/>
            <w:tcBorders>
              <w:top w:val="nil"/>
              <w:bottom w:val="nil"/>
            </w:tcBorders>
            <w:shd w:val="clear" w:color="auto" w:fill="auto"/>
          </w:tcPr>
          <w:p w:rsidR="00C30B65" w:rsidRPr="00DC4C78" w:rsidRDefault="00C30B65" w:rsidP="00C30B65">
            <w:pPr>
              <w:pStyle w:val="TableText"/>
              <w:ind w:right="142"/>
            </w:pPr>
            <w:r w:rsidRPr="00DC4C78">
              <w:t xml:space="preserve">WCTO </w:t>
            </w:r>
            <w:r>
              <w:t>n</w:t>
            </w:r>
            <w:r w:rsidRPr="00DC4C78">
              <w:t>urse/</w:t>
            </w:r>
            <w:r>
              <w:t>t</w:t>
            </w:r>
            <w:r w:rsidRPr="00DC4C78">
              <w:t xml:space="preserve">eam </w:t>
            </w:r>
            <w:r>
              <w:t>l</w:t>
            </w:r>
            <w:r w:rsidRPr="00DC4C78">
              <w:t xml:space="preserve">eader – </w:t>
            </w:r>
            <w:proofErr w:type="spellStart"/>
            <w:r w:rsidRPr="00DC4C78">
              <w:t>Ng</w:t>
            </w:r>
            <w:r w:rsidRPr="00835809">
              <w:t>ā</w:t>
            </w:r>
            <w:r w:rsidRPr="00DC4C78">
              <w:t>ti</w:t>
            </w:r>
            <w:proofErr w:type="spellEnd"/>
            <w:r w:rsidRPr="00DC4C78">
              <w:t xml:space="preserve"> </w:t>
            </w:r>
            <w:proofErr w:type="spellStart"/>
            <w:r w:rsidRPr="00DC4C78">
              <w:t>Wh</w:t>
            </w:r>
            <w:r w:rsidRPr="00835809">
              <w:t>ā</w:t>
            </w:r>
            <w:r w:rsidRPr="00DC4C78">
              <w:t>tua</w:t>
            </w:r>
            <w:proofErr w:type="spellEnd"/>
            <w:r w:rsidRPr="00DC4C78">
              <w:t xml:space="preserve"> o </w:t>
            </w:r>
            <w:proofErr w:type="spellStart"/>
            <w:r w:rsidRPr="00DC4C78">
              <w:t>Orakei</w:t>
            </w:r>
            <w:proofErr w:type="spellEnd"/>
            <w:r w:rsidRPr="00DC4C78">
              <w:t xml:space="preserve"> and </w:t>
            </w:r>
            <w:proofErr w:type="spellStart"/>
            <w:r w:rsidRPr="00DC4C78">
              <w:t>Tamariki</w:t>
            </w:r>
            <w:proofErr w:type="spellEnd"/>
            <w:r w:rsidRPr="00DC4C78">
              <w:t xml:space="preserve"> </w:t>
            </w:r>
            <w:proofErr w:type="spellStart"/>
            <w:r w:rsidRPr="00DC4C78">
              <w:t>Ora</w:t>
            </w:r>
            <w:proofErr w:type="spellEnd"/>
            <w:r w:rsidRPr="00DC4C78">
              <w:t xml:space="preserve"> provider national representative</w:t>
            </w:r>
          </w:p>
        </w:tc>
        <w:tc>
          <w:tcPr>
            <w:tcW w:w="1666" w:type="pct"/>
            <w:tcBorders>
              <w:top w:val="nil"/>
              <w:bottom w:val="nil"/>
            </w:tcBorders>
            <w:shd w:val="clear" w:color="auto" w:fill="auto"/>
          </w:tcPr>
          <w:p w:rsidR="00C30B65" w:rsidRPr="00DC4C78" w:rsidRDefault="00C30B65" w:rsidP="00C30B65">
            <w:pPr>
              <w:pStyle w:val="TableText"/>
            </w:pPr>
            <w:proofErr w:type="spellStart"/>
            <w:r w:rsidRPr="00DC4C78">
              <w:t>Tamariki</w:t>
            </w:r>
            <w:proofErr w:type="spellEnd"/>
            <w:r w:rsidRPr="00DC4C78">
              <w:t xml:space="preserve"> </w:t>
            </w:r>
            <w:proofErr w:type="spellStart"/>
            <w:r w:rsidRPr="00DC4C78">
              <w:t>Ora</w:t>
            </w:r>
            <w:proofErr w:type="spellEnd"/>
            <w:r w:rsidRPr="00DC4C78">
              <w:t xml:space="preserve"> providers</w:t>
            </w:r>
          </w:p>
        </w:tc>
      </w:tr>
      <w:tr w:rsidR="00C30B65" w:rsidRPr="00DC4C78" w:rsidTr="00C30B65">
        <w:trPr>
          <w:cantSplit/>
        </w:trPr>
        <w:tc>
          <w:tcPr>
            <w:tcW w:w="984" w:type="pct"/>
            <w:tcBorders>
              <w:top w:val="nil"/>
              <w:bottom w:val="nil"/>
            </w:tcBorders>
            <w:shd w:val="clear" w:color="auto" w:fill="F2F2F2"/>
          </w:tcPr>
          <w:p w:rsidR="00C30B65" w:rsidRPr="00DC4C78" w:rsidRDefault="00C30B65" w:rsidP="00C30B65">
            <w:pPr>
              <w:pStyle w:val="TableText"/>
            </w:pPr>
            <w:r w:rsidRPr="00DC4C78">
              <w:t xml:space="preserve">Gail </w:t>
            </w:r>
            <w:proofErr w:type="spellStart"/>
            <w:r w:rsidRPr="00DC4C78">
              <w:t>Tihore</w:t>
            </w:r>
            <w:proofErr w:type="spellEnd"/>
          </w:p>
        </w:tc>
        <w:tc>
          <w:tcPr>
            <w:tcW w:w="2350" w:type="pct"/>
            <w:tcBorders>
              <w:top w:val="nil"/>
              <w:bottom w:val="nil"/>
            </w:tcBorders>
            <w:shd w:val="clear" w:color="auto" w:fill="F2F2F2"/>
          </w:tcPr>
          <w:p w:rsidR="00C30B65" w:rsidRPr="00DC4C78" w:rsidRDefault="00C30B65" w:rsidP="00C30B65">
            <w:pPr>
              <w:pStyle w:val="TableText"/>
              <w:ind w:right="142"/>
            </w:pPr>
            <w:r w:rsidRPr="00DC4C78">
              <w:t xml:space="preserve">Vision and </w:t>
            </w:r>
            <w:r>
              <w:t>h</w:t>
            </w:r>
            <w:r w:rsidRPr="00DC4C78">
              <w:t xml:space="preserve">earing </w:t>
            </w:r>
            <w:r>
              <w:t>t</w:t>
            </w:r>
            <w:r w:rsidRPr="00DC4C78">
              <w:t>echnician – Hutt Valley DHB</w:t>
            </w:r>
          </w:p>
        </w:tc>
        <w:tc>
          <w:tcPr>
            <w:tcW w:w="1666" w:type="pct"/>
            <w:tcBorders>
              <w:top w:val="nil"/>
              <w:bottom w:val="nil"/>
            </w:tcBorders>
            <w:shd w:val="clear" w:color="auto" w:fill="F2F2F2"/>
          </w:tcPr>
          <w:p w:rsidR="00C30B65" w:rsidRPr="00DC4C78" w:rsidRDefault="00C30B65" w:rsidP="00C30B65">
            <w:pPr>
              <w:pStyle w:val="TableText"/>
            </w:pPr>
            <w:r w:rsidRPr="00DC4C78">
              <w:t>V</w:t>
            </w:r>
            <w:r>
              <w:t xml:space="preserve">ision </w:t>
            </w:r>
            <w:r w:rsidRPr="00DC4C78">
              <w:t>H</w:t>
            </w:r>
            <w:r>
              <w:t xml:space="preserve">earing </w:t>
            </w:r>
            <w:r w:rsidRPr="00DC4C78">
              <w:t>T</w:t>
            </w:r>
            <w:r>
              <w:t>echnicians</w:t>
            </w:r>
            <w:r w:rsidRPr="00DC4C78">
              <w:t xml:space="preserve"> Society</w:t>
            </w:r>
          </w:p>
        </w:tc>
      </w:tr>
      <w:tr w:rsidR="00C30B65" w:rsidRPr="00DC4C78" w:rsidTr="00C30B65">
        <w:trPr>
          <w:cantSplit/>
        </w:trPr>
        <w:tc>
          <w:tcPr>
            <w:tcW w:w="984" w:type="pct"/>
            <w:tcBorders>
              <w:top w:val="nil"/>
              <w:bottom w:val="nil"/>
            </w:tcBorders>
            <w:shd w:val="clear" w:color="auto" w:fill="auto"/>
          </w:tcPr>
          <w:p w:rsidR="00C30B65" w:rsidRPr="00DC4C78" w:rsidRDefault="00C30B65" w:rsidP="00C30B65">
            <w:pPr>
              <w:pStyle w:val="TableText"/>
            </w:pPr>
            <w:r w:rsidRPr="00DC4C78">
              <w:t xml:space="preserve">Pat </w:t>
            </w:r>
            <w:proofErr w:type="spellStart"/>
            <w:r w:rsidRPr="00DC4C78">
              <w:t>Tuohy</w:t>
            </w:r>
            <w:proofErr w:type="spellEnd"/>
          </w:p>
        </w:tc>
        <w:tc>
          <w:tcPr>
            <w:tcW w:w="2350" w:type="pct"/>
            <w:tcBorders>
              <w:top w:val="nil"/>
              <w:bottom w:val="nil"/>
            </w:tcBorders>
            <w:shd w:val="clear" w:color="auto" w:fill="auto"/>
          </w:tcPr>
          <w:p w:rsidR="00C30B65" w:rsidRPr="00DC4C78" w:rsidRDefault="00C30B65" w:rsidP="00C30B65">
            <w:pPr>
              <w:pStyle w:val="TableText"/>
              <w:ind w:right="142"/>
            </w:pPr>
            <w:r w:rsidRPr="00DC4C78">
              <w:t xml:space="preserve">Paediatrician – Hutt Valley DHB and </w:t>
            </w:r>
            <w:r>
              <w:t>c</w:t>
            </w:r>
            <w:r w:rsidRPr="00DC4C78">
              <w:t xml:space="preserve">hief </w:t>
            </w:r>
            <w:r>
              <w:t>a</w:t>
            </w:r>
            <w:r w:rsidRPr="00DC4C78">
              <w:t xml:space="preserve">dvisor </w:t>
            </w:r>
            <w:r>
              <w:t>c</w:t>
            </w:r>
            <w:r w:rsidRPr="00DC4C78">
              <w:t xml:space="preserve">hild and </w:t>
            </w:r>
            <w:r>
              <w:t>y</w:t>
            </w:r>
            <w:r w:rsidRPr="00DC4C78">
              <w:t xml:space="preserve">outh </w:t>
            </w:r>
            <w:r>
              <w:t>h</w:t>
            </w:r>
            <w:r w:rsidRPr="00DC4C78">
              <w:t>ealth</w:t>
            </w:r>
          </w:p>
        </w:tc>
        <w:tc>
          <w:tcPr>
            <w:tcW w:w="1666" w:type="pct"/>
            <w:tcBorders>
              <w:top w:val="nil"/>
              <w:bottom w:val="nil"/>
            </w:tcBorders>
            <w:shd w:val="clear" w:color="auto" w:fill="auto"/>
          </w:tcPr>
          <w:p w:rsidR="00C30B65" w:rsidRPr="00DC4C78" w:rsidRDefault="00C30B65" w:rsidP="00C30B65">
            <w:pPr>
              <w:pStyle w:val="TableText"/>
            </w:pPr>
            <w:r w:rsidRPr="00DC4C78">
              <w:t>Ministry of Health</w:t>
            </w:r>
          </w:p>
        </w:tc>
      </w:tr>
      <w:tr w:rsidR="00C30B65" w:rsidRPr="00DC4C78" w:rsidTr="00C30B65">
        <w:trPr>
          <w:cantSplit/>
        </w:trPr>
        <w:tc>
          <w:tcPr>
            <w:tcW w:w="984" w:type="pct"/>
            <w:tcBorders>
              <w:top w:val="nil"/>
              <w:bottom w:val="nil"/>
            </w:tcBorders>
            <w:shd w:val="clear" w:color="auto" w:fill="F2F2F2"/>
          </w:tcPr>
          <w:p w:rsidR="00C30B65" w:rsidRPr="00DC4C78" w:rsidRDefault="00C30B65" w:rsidP="00C30B65">
            <w:pPr>
              <w:pStyle w:val="TableText"/>
            </w:pPr>
            <w:r w:rsidRPr="00DC4C78">
              <w:t>Nikki Turner</w:t>
            </w:r>
          </w:p>
        </w:tc>
        <w:tc>
          <w:tcPr>
            <w:tcW w:w="2350" w:type="pct"/>
            <w:tcBorders>
              <w:top w:val="nil"/>
              <w:bottom w:val="nil"/>
            </w:tcBorders>
            <w:shd w:val="clear" w:color="auto" w:fill="F2F2F2"/>
          </w:tcPr>
          <w:p w:rsidR="00C30B65" w:rsidRPr="00DC4C78" w:rsidRDefault="00C30B65" w:rsidP="00C30B65">
            <w:pPr>
              <w:pStyle w:val="TableText"/>
              <w:ind w:right="142"/>
            </w:pPr>
            <w:r w:rsidRPr="00DC4C78">
              <w:t xml:space="preserve">General </w:t>
            </w:r>
            <w:r>
              <w:t>p</w:t>
            </w:r>
            <w:r w:rsidRPr="00DC4C78">
              <w:t xml:space="preserve">ractitioner, </w:t>
            </w:r>
            <w:r>
              <w:t>a</w:t>
            </w:r>
            <w:r w:rsidRPr="00DC4C78">
              <w:t xml:space="preserve">ssociate </w:t>
            </w:r>
            <w:r>
              <w:t>p</w:t>
            </w:r>
            <w:r w:rsidRPr="00DC4C78">
              <w:t xml:space="preserve">rofessor Auckland University and </w:t>
            </w:r>
            <w:r>
              <w:t>d</w:t>
            </w:r>
            <w:r w:rsidRPr="00DC4C78">
              <w:t xml:space="preserve">irector of </w:t>
            </w:r>
            <w:proofErr w:type="spellStart"/>
            <w:r>
              <w:t>Conectus</w:t>
            </w:r>
            <w:proofErr w:type="spellEnd"/>
            <w:r w:rsidRPr="00DC4C78">
              <w:t xml:space="preserve"> and the Immunisation Advisory Centre</w:t>
            </w:r>
          </w:p>
        </w:tc>
        <w:tc>
          <w:tcPr>
            <w:tcW w:w="1666" w:type="pct"/>
            <w:tcBorders>
              <w:top w:val="nil"/>
              <w:bottom w:val="nil"/>
            </w:tcBorders>
            <w:shd w:val="clear" w:color="auto" w:fill="F2F2F2"/>
          </w:tcPr>
          <w:p w:rsidR="00C30B65" w:rsidRPr="00DC4C78" w:rsidRDefault="00C30B65" w:rsidP="00C30B65">
            <w:pPr>
              <w:pStyle w:val="TableText"/>
            </w:pPr>
            <w:r w:rsidRPr="00DC4C78">
              <w:t>New Zealand College of General Practitioners</w:t>
            </w:r>
          </w:p>
        </w:tc>
      </w:tr>
      <w:tr w:rsidR="00C30B65" w:rsidRPr="00DC4C78" w:rsidTr="00C30B65">
        <w:trPr>
          <w:cantSplit/>
        </w:trPr>
        <w:tc>
          <w:tcPr>
            <w:tcW w:w="984" w:type="pct"/>
            <w:tcBorders>
              <w:top w:val="nil"/>
              <w:bottom w:val="nil"/>
            </w:tcBorders>
            <w:shd w:val="clear" w:color="auto" w:fill="auto"/>
          </w:tcPr>
          <w:p w:rsidR="00C30B65" w:rsidRPr="00DC4C78" w:rsidRDefault="00C30B65" w:rsidP="00C30B65">
            <w:pPr>
              <w:pStyle w:val="TableText"/>
            </w:pPr>
            <w:r w:rsidRPr="00DC4C78">
              <w:t>Russell Wills</w:t>
            </w:r>
          </w:p>
        </w:tc>
        <w:tc>
          <w:tcPr>
            <w:tcW w:w="2350" w:type="pct"/>
            <w:tcBorders>
              <w:top w:val="nil"/>
              <w:bottom w:val="nil"/>
            </w:tcBorders>
            <w:shd w:val="clear" w:color="auto" w:fill="auto"/>
          </w:tcPr>
          <w:p w:rsidR="00C30B65" w:rsidRPr="00DC4C78" w:rsidRDefault="00C30B65" w:rsidP="00C30B65">
            <w:pPr>
              <w:pStyle w:val="TableText"/>
              <w:ind w:right="142"/>
            </w:pPr>
            <w:r w:rsidRPr="00DC4C78">
              <w:t>Paediatrician – Hawke</w:t>
            </w:r>
            <w:r w:rsidR="00700141">
              <w:t>’</w:t>
            </w:r>
            <w:r w:rsidRPr="00DC4C78">
              <w:t xml:space="preserve">s Bay DHB and </w:t>
            </w:r>
            <w:r>
              <w:t>c</w:t>
            </w:r>
            <w:r w:rsidRPr="00DC4C78">
              <w:t>hildren</w:t>
            </w:r>
            <w:r w:rsidR="00700141">
              <w:t>’</w:t>
            </w:r>
            <w:r w:rsidRPr="00DC4C78">
              <w:t xml:space="preserve">s </w:t>
            </w:r>
            <w:r>
              <w:t>c</w:t>
            </w:r>
            <w:r w:rsidRPr="00DC4C78">
              <w:t>ommissioner</w:t>
            </w:r>
          </w:p>
        </w:tc>
        <w:tc>
          <w:tcPr>
            <w:tcW w:w="1666" w:type="pct"/>
            <w:tcBorders>
              <w:top w:val="nil"/>
              <w:bottom w:val="nil"/>
            </w:tcBorders>
            <w:shd w:val="clear" w:color="auto" w:fill="auto"/>
          </w:tcPr>
          <w:p w:rsidR="00C30B65" w:rsidRPr="00DC4C78" w:rsidRDefault="00C30B65" w:rsidP="00C30B65">
            <w:pPr>
              <w:pStyle w:val="TableText"/>
            </w:pPr>
            <w:r w:rsidRPr="00DC4C78">
              <w:t>Office of the Children</w:t>
            </w:r>
            <w:r w:rsidR="00700141">
              <w:t>’</w:t>
            </w:r>
            <w:r w:rsidRPr="00DC4C78">
              <w:t>s Commissioner</w:t>
            </w:r>
          </w:p>
        </w:tc>
      </w:tr>
      <w:tr w:rsidR="00C30B65" w:rsidRPr="00DC4C78" w:rsidTr="00C30B65">
        <w:trPr>
          <w:cantSplit/>
        </w:trPr>
        <w:tc>
          <w:tcPr>
            <w:tcW w:w="984" w:type="pct"/>
            <w:tcBorders>
              <w:top w:val="nil"/>
              <w:bottom w:val="single" w:sz="4" w:space="0" w:color="auto"/>
            </w:tcBorders>
            <w:shd w:val="clear" w:color="auto" w:fill="F2F2F2"/>
          </w:tcPr>
          <w:p w:rsidR="00C30B65" w:rsidRPr="00DC4C78" w:rsidRDefault="00C30B65" w:rsidP="00C30B65">
            <w:pPr>
              <w:pStyle w:val="TableText"/>
            </w:pPr>
            <w:r w:rsidRPr="00DC4C78">
              <w:t>Mollie Wilson</w:t>
            </w:r>
          </w:p>
        </w:tc>
        <w:tc>
          <w:tcPr>
            <w:tcW w:w="2350" w:type="pct"/>
            <w:tcBorders>
              <w:top w:val="nil"/>
              <w:bottom w:val="single" w:sz="4" w:space="0" w:color="auto"/>
            </w:tcBorders>
            <w:shd w:val="clear" w:color="auto" w:fill="F2F2F2"/>
          </w:tcPr>
          <w:p w:rsidR="00C30B65" w:rsidRPr="00DC4C78" w:rsidRDefault="00C30B65" w:rsidP="00C30B65">
            <w:pPr>
              <w:pStyle w:val="TableText"/>
              <w:ind w:right="142"/>
            </w:pPr>
            <w:r w:rsidRPr="00DC4C78">
              <w:t xml:space="preserve">WCTO </w:t>
            </w:r>
            <w:r>
              <w:t>n</w:t>
            </w:r>
            <w:r w:rsidRPr="00DC4C78">
              <w:t>urse and CEO of the Paediatric Society of New Zealand</w:t>
            </w:r>
          </w:p>
        </w:tc>
        <w:tc>
          <w:tcPr>
            <w:tcW w:w="1666" w:type="pct"/>
            <w:tcBorders>
              <w:top w:val="nil"/>
              <w:bottom w:val="single" w:sz="4" w:space="0" w:color="auto"/>
            </w:tcBorders>
            <w:shd w:val="clear" w:color="auto" w:fill="F2F2F2"/>
          </w:tcPr>
          <w:p w:rsidR="00C30B65" w:rsidRPr="00DC4C78" w:rsidRDefault="00C30B65" w:rsidP="00C30B65">
            <w:pPr>
              <w:pStyle w:val="TableText"/>
            </w:pPr>
            <w:r w:rsidRPr="00DC4C78">
              <w:t>Paediatric Society of New Zealand</w:t>
            </w:r>
          </w:p>
        </w:tc>
      </w:tr>
    </w:tbl>
    <w:p w:rsidR="00C30B65" w:rsidRPr="004F4341" w:rsidRDefault="00C30B65" w:rsidP="00C30B65">
      <w:pPr>
        <w:pStyle w:val="Note"/>
        <w:spacing w:before="60" w:after="60" w:line="240" w:lineRule="auto"/>
        <w:ind w:left="0" w:right="0" w:firstLine="0"/>
        <w:rPr>
          <w:lang w:eastAsia="en-NZ"/>
        </w:rPr>
      </w:pPr>
      <w:r w:rsidRPr="00DC4C78">
        <w:rPr>
          <w:lang w:eastAsia="en-NZ"/>
        </w:rPr>
        <w:t>Note:</w:t>
      </w:r>
      <w:r w:rsidRPr="00DC4C78">
        <w:t xml:space="preserve"> </w:t>
      </w:r>
      <w:r>
        <w:t>This list presents m</w:t>
      </w:r>
      <w:r w:rsidRPr="00DC4C78">
        <w:t>embership as at September 2015. The Ministry would like to thank previous members of the EAG for their work.</w:t>
      </w:r>
    </w:p>
    <w:p w:rsidR="00F25970" w:rsidRPr="00E76D66" w:rsidRDefault="00F25970" w:rsidP="00E76D66"/>
    <w:sectPr w:rsidR="00F25970" w:rsidRPr="00E76D66" w:rsidSect="009D5125">
      <w:headerReference w:type="default" r:id="rId120"/>
      <w:footerReference w:type="default" r:id="rId121"/>
      <w:pgSz w:w="11907" w:h="16834" w:code="9"/>
      <w:pgMar w:top="851" w:right="1134" w:bottom="1134" w:left="1134" w:header="284" w:footer="567" w:gutter="284"/>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6308" w:rsidRDefault="003F6308">
      <w:pPr>
        <w:spacing w:line="240" w:lineRule="auto"/>
      </w:pPr>
      <w:r>
        <w:separator/>
      </w:r>
    </w:p>
    <w:p w:rsidR="003F6308" w:rsidRDefault="003F6308"/>
  </w:endnote>
  <w:endnote w:type="continuationSeparator" w:id="0">
    <w:p w:rsidR="003F6308" w:rsidRDefault="003F6308">
      <w:pPr>
        <w:spacing w:line="240" w:lineRule="auto"/>
      </w:pPr>
      <w:r>
        <w:continuationSeparator/>
      </w:r>
    </w:p>
    <w:p w:rsidR="003F6308" w:rsidRDefault="003F63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Mäori">
    <w:altName w:val="Arial"/>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F59" w:rsidRPr="00581136" w:rsidRDefault="00426F59" w:rsidP="00F9366A">
    <w:pPr>
      <w:pStyle w:val="Footer"/>
      <w:pBdr>
        <w:bottom w:val="single" w:sz="4" w:space="1" w:color="auto"/>
      </w:pBdr>
      <w:tabs>
        <w:tab w:val="right" w:pos="8504"/>
      </w:tabs>
      <w:ind w:left="-1559"/>
      <w:rPr>
        <w:b/>
      </w:rPr>
    </w:pPr>
    <w:r w:rsidRPr="00581136">
      <w:rPr>
        <w:b/>
      </w:rPr>
      <w:t>Released 201</w:t>
    </w:r>
    <w:r>
      <w:rPr>
        <w:b/>
      </w:rPr>
      <w:t>6</w:t>
    </w:r>
    <w:r w:rsidRPr="00581136">
      <w:rPr>
        <w:b/>
      </w:rPr>
      <w:tab/>
      <w:t>health.govt.nz</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F59" w:rsidRDefault="00426F59" w:rsidP="004D6689">
    <w:pPr>
      <w:pStyle w:val="Footer"/>
      <w:pBdr>
        <w:bottom w:val="none" w:sz="0" w:space="0" w:color="auto"/>
      </w:pBd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F59" w:rsidRDefault="00426F5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F59" w:rsidRPr="00275D08" w:rsidRDefault="00426F59" w:rsidP="00FC46E7">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3943F4">
      <w:rPr>
        <w:rStyle w:val="PageNumber"/>
        <w:noProof/>
      </w:rPr>
      <w:t>iv</w:t>
    </w:r>
    <w:r w:rsidRPr="00FC46E7">
      <w:rPr>
        <w:rStyle w:val="PageNumber"/>
      </w:rPr>
      <w:fldChar w:fldCharType="end"/>
    </w:r>
    <w:r>
      <w:tab/>
    </w:r>
    <w:r w:rsidRPr="00DC4C78">
      <w:t>Indicators for the Well Child /</w:t>
    </w:r>
    <w:r>
      <w:t xml:space="preserve"> </w:t>
    </w:r>
    <w:proofErr w:type="spellStart"/>
    <w:r w:rsidRPr="00DC4C78">
      <w:t>Tamariki</w:t>
    </w:r>
    <w:proofErr w:type="spellEnd"/>
    <w:r w:rsidRPr="00DC4C78">
      <w:t xml:space="preserve"> </w:t>
    </w:r>
    <w:proofErr w:type="spellStart"/>
    <w:r w:rsidRPr="00DC4C78">
      <w:t>Ora</w:t>
    </w:r>
    <w:proofErr w:type="spellEnd"/>
    <w:r>
      <w:t xml:space="preserve"> </w:t>
    </w:r>
    <w:r w:rsidRPr="00DC4C78">
      <w:t>Quality Improvement Framework</w:t>
    </w:r>
    <w:r>
      <w:t>: September 2015</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F59" w:rsidRDefault="00426F59" w:rsidP="00533B90">
    <w:pPr>
      <w:pStyle w:val="RectoFooter"/>
    </w:pPr>
    <w:r>
      <w:tab/>
    </w:r>
    <w:r w:rsidRPr="00DC4C78">
      <w:t>Indicators for the Well Child /</w:t>
    </w:r>
    <w:r>
      <w:t xml:space="preserve"> </w:t>
    </w:r>
    <w:proofErr w:type="spellStart"/>
    <w:r w:rsidRPr="00DC4C78">
      <w:t>Tamariki</w:t>
    </w:r>
    <w:proofErr w:type="spellEnd"/>
    <w:r w:rsidRPr="00DC4C78">
      <w:t xml:space="preserve"> </w:t>
    </w:r>
    <w:proofErr w:type="spellStart"/>
    <w:r w:rsidRPr="00DC4C78">
      <w:t>Ora</w:t>
    </w:r>
    <w:proofErr w:type="spellEnd"/>
    <w:r>
      <w:t xml:space="preserve"> </w:t>
    </w:r>
    <w:r w:rsidRPr="00DC4C78">
      <w:t>Quality Improvement Framework</w:t>
    </w:r>
    <w:r>
      <w:t>: September 2015</w:t>
    </w:r>
    <w:r>
      <w:tab/>
    </w:r>
    <w:r>
      <w:rPr>
        <w:rStyle w:val="PageNumber"/>
      </w:rPr>
      <w:fldChar w:fldCharType="begin"/>
    </w:r>
    <w:r>
      <w:rPr>
        <w:rStyle w:val="PageNumber"/>
      </w:rPr>
      <w:instrText xml:space="preserve"> PAGE </w:instrText>
    </w:r>
    <w:r>
      <w:rPr>
        <w:rStyle w:val="PageNumber"/>
      </w:rPr>
      <w:fldChar w:fldCharType="separate"/>
    </w:r>
    <w:r w:rsidR="003943F4">
      <w:rPr>
        <w:rStyle w:val="PageNumber"/>
        <w:noProof/>
      </w:rPr>
      <w:t>iii</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F59" w:rsidRDefault="00426F59" w:rsidP="009E3C8C">
    <w:pPr>
      <w:pStyle w:val="RectoFooter"/>
    </w:pPr>
    <w:r>
      <w:tab/>
    </w:r>
    <w:r w:rsidRPr="00DC4C78">
      <w:t>Indicators for the Well Child /</w:t>
    </w:r>
    <w:r>
      <w:t xml:space="preserve"> </w:t>
    </w:r>
    <w:proofErr w:type="spellStart"/>
    <w:r w:rsidRPr="00DC4C78">
      <w:t>Tamariki</w:t>
    </w:r>
    <w:proofErr w:type="spellEnd"/>
    <w:r w:rsidRPr="00DC4C78">
      <w:t xml:space="preserve"> </w:t>
    </w:r>
    <w:proofErr w:type="spellStart"/>
    <w:r w:rsidRPr="00DC4C78">
      <w:t>Ora</w:t>
    </w:r>
    <w:proofErr w:type="spellEnd"/>
    <w:r>
      <w:t xml:space="preserve"> </w:t>
    </w:r>
    <w:r w:rsidRPr="00DC4C78">
      <w:t>Quality Improvement Framework</w:t>
    </w:r>
    <w:r>
      <w:t>: September 2015</w:t>
    </w:r>
    <w:r>
      <w:tab/>
    </w:r>
    <w:r>
      <w:rPr>
        <w:rStyle w:val="PageNumber"/>
      </w:rPr>
      <w:fldChar w:fldCharType="begin"/>
    </w:r>
    <w:r>
      <w:rPr>
        <w:rStyle w:val="PageNumber"/>
      </w:rPr>
      <w:instrText xml:space="preserve"> PAGE </w:instrText>
    </w:r>
    <w:r>
      <w:rPr>
        <w:rStyle w:val="PageNumber"/>
      </w:rPr>
      <w:fldChar w:fldCharType="separate"/>
    </w:r>
    <w:r w:rsidR="003943F4">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6308" w:rsidRPr="00A26E6B" w:rsidRDefault="003F6308" w:rsidP="00A26E6B"/>
  </w:footnote>
  <w:footnote w:type="continuationSeparator" w:id="0">
    <w:p w:rsidR="003F6308" w:rsidRDefault="003F6308">
      <w:pPr>
        <w:spacing w:line="240" w:lineRule="auto"/>
      </w:pPr>
      <w:r>
        <w:continuationSeparator/>
      </w:r>
    </w:p>
    <w:p w:rsidR="003F6308" w:rsidRDefault="003F6308"/>
  </w:footnote>
  <w:footnote w:id="1">
    <w:p w:rsidR="00426F59" w:rsidRDefault="00426F59" w:rsidP="00C30B65">
      <w:pPr>
        <w:pStyle w:val="FootnoteText"/>
      </w:pPr>
      <w:r w:rsidRPr="007D15E2">
        <w:rPr>
          <w:rStyle w:val="FootnoteReference"/>
        </w:rPr>
        <w:footnoteRef/>
      </w:r>
      <w:r>
        <w:tab/>
      </w:r>
      <w:r w:rsidRPr="00B00B26">
        <w:t xml:space="preserve">Indicator </w:t>
      </w:r>
      <w:r>
        <w:t xml:space="preserve">1 was </w:t>
      </w:r>
      <w:r w:rsidRPr="00B00B26">
        <w:t xml:space="preserve">designed to measure enrolment with a </w:t>
      </w:r>
      <w:r>
        <w:t>general practice by</w:t>
      </w:r>
      <w:r w:rsidRPr="00B00B26">
        <w:t xml:space="preserve"> two weeks of age. This data was not available at the time of writing</w:t>
      </w:r>
      <w:r>
        <w:t>, and so</w:t>
      </w:r>
      <w:r w:rsidRPr="00B00B26">
        <w:t xml:space="preserve"> </w:t>
      </w:r>
      <w:r>
        <w:t>e</w:t>
      </w:r>
      <w:r w:rsidRPr="00B00B26">
        <w:t xml:space="preserve">nrolment with a PHO by three months of age </w:t>
      </w:r>
      <w:r>
        <w:t>ha</w:t>
      </w:r>
      <w:r w:rsidRPr="00B00B26">
        <w:t xml:space="preserve">s </w:t>
      </w:r>
      <w:r>
        <w:t xml:space="preserve">been </w:t>
      </w:r>
      <w:r w:rsidRPr="00B00B26">
        <w:t>used as an interim measure.</w:t>
      </w:r>
    </w:p>
  </w:footnote>
  <w:footnote w:id="2">
    <w:p w:rsidR="00426F59" w:rsidRDefault="00426F59" w:rsidP="00C30B65">
      <w:pPr>
        <w:pStyle w:val="FootnoteText"/>
      </w:pPr>
      <w:r w:rsidRPr="00903592">
        <w:rPr>
          <w:rStyle w:val="FootnoteReference"/>
        </w:rPr>
        <w:footnoteRef/>
      </w:r>
      <w:r>
        <w:tab/>
      </w:r>
      <w:r w:rsidRPr="000D6D9C">
        <w:t>SDQ</w:t>
      </w:r>
      <w:r>
        <w:t xml:space="preserve"> stands for ‘strengths and difficulties questionnaire’. It refers to a questionnaire</w:t>
      </w:r>
      <w:r w:rsidRPr="000D6D9C">
        <w:t xml:space="preserve"> used </w:t>
      </w:r>
      <w:r>
        <w:t xml:space="preserve">within the B4SC </w:t>
      </w:r>
      <w:r w:rsidRPr="000D6D9C">
        <w:t>to assess a child</w:t>
      </w:r>
      <w:r>
        <w:t>’</w:t>
      </w:r>
      <w:r w:rsidRPr="000D6D9C">
        <w:t>s social and emotional development.</w:t>
      </w:r>
      <w:r>
        <w:t xml:space="preserve"> </w:t>
      </w:r>
      <w:r w:rsidRPr="000D6D9C">
        <w:t xml:space="preserve">There are two versions: one for parents (SDQ-P) and </w:t>
      </w:r>
      <w:r>
        <w:t xml:space="preserve">one </w:t>
      </w:r>
      <w:r w:rsidRPr="000D6D9C">
        <w:t>for teachers (SDQ-T).</w:t>
      </w:r>
    </w:p>
  </w:footnote>
  <w:footnote w:id="3">
    <w:p w:rsidR="00426F59" w:rsidRPr="00700141" w:rsidRDefault="00426F59" w:rsidP="00C30B65">
      <w:pPr>
        <w:pStyle w:val="FootnoteText"/>
      </w:pPr>
      <w:r>
        <w:rPr>
          <w:rStyle w:val="FootnoteReference"/>
        </w:rPr>
        <w:footnoteRef/>
      </w:r>
      <w:r>
        <w:tab/>
        <w:t>A ‘</w:t>
      </w:r>
      <w:proofErr w:type="spellStart"/>
      <w:r>
        <w:t>smokefree</w:t>
      </w:r>
      <w:proofErr w:type="spellEnd"/>
      <w:r>
        <w:t xml:space="preserve"> home’ for the purposes of the indicator is defined as one in which parents do not smoke indoors.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F59" w:rsidRDefault="00426F59" w:rsidP="009216CC">
    <w:pPr>
      <w:pStyle w:val="Header"/>
      <w:ind w:left="-1559"/>
    </w:pPr>
    <w:r>
      <w:rPr>
        <w:noProof/>
        <w:lang w:eastAsia="en-NZ"/>
      </w:rPr>
      <w:drawing>
        <wp:inline distT="0" distB="0" distL="0" distR="0" wp14:anchorId="43D2A9C8" wp14:editId="03C835DA">
          <wp:extent cx="6467302" cy="534632"/>
          <wp:effectExtent l="0" t="0" r="0" b="0"/>
          <wp:docPr id="10" name="Picture 10" title="Ministry of Health banner 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banner-final.jpg"/>
                  <pic:cNvPicPr/>
                </pic:nvPicPr>
                <pic:blipFill>
                  <a:blip r:embed="rId1">
                    <a:extLst>
                      <a:ext uri="{28A0092B-C50C-407E-A947-70E740481C1C}">
                        <a14:useLocalDpi xmlns:a14="http://schemas.microsoft.com/office/drawing/2010/main" val="0"/>
                      </a:ext>
                    </a:extLst>
                  </a:blip>
                  <a:stretch>
                    <a:fillRect/>
                  </a:stretch>
                </pic:blipFill>
                <pic:spPr>
                  <a:xfrm>
                    <a:off x="0" y="0"/>
                    <a:ext cx="6465795" cy="534507"/>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F59" w:rsidRDefault="00426F59" w:rsidP="00533B9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F59" w:rsidRDefault="00426F59" w:rsidP="0090019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F59" w:rsidRDefault="00426F5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CBE423A"/>
    <w:lvl w:ilvl="0">
      <w:start w:val="1"/>
      <w:numFmt w:val="bullet"/>
      <w:lvlText w:val=""/>
      <w:lvlJc w:val="left"/>
      <w:pPr>
        <w:tabs>
          <w:tab w:val="num" w:pos="360"/>
        </w:tabs>
        <w:ind w:left="360" w:hanging="360"/>
      </w:pPr>
      <w:rPr>
        <w:rFonts w:ascii="Symbol" w:hAnsi="Symbol" w:hint="default"/>
      </w:rPr>
    </w:lvl>
  </w:abstractNum>
  <w:abstractNum w:abstractNumId="1">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2">
    <w:nsid w:val="0DB2250D"/>
    <w:multiLevelType w:val="hybridMultilevel"/>
    <w:tmpl w:val="56240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FA6A5C"/>
    <w:multiLevelType w:val="hybridMultilevel"/>
    <w:tmpl w:val="55400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CA785B"/>
    <w:multiLevelType w:val="hybridMultilevel"/>
    <w:tmpl w:val="304E954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nsid w:val="19784D26"/>
    <w:multiLevelType w:val="hybridMultilevel"/>
    <w:tmpl w:val="ED789B62"/>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
    <w:nsid w:val="1B955638"/>
    <w:multiLevelType w:val="hybridMultilevel"/>
    <w:tmpl w:val="BE9AB4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20CD0FBA"/>
    <w:multiLevelType w:val="hybridMultilevel"/>
    <w:tmpl w:val="1294FB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2D05565C"/>
    <w:multiLevelType w:val="hybridMultilevel"/>
    <w:tmpl w:val="BE66CF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3EE9302F"/>
    <w:multiLevelType w:val="hybridMultilevel"/>
    <w:tmpl w:val="6C2C62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41786758"/>
    <w:multiLevelType w:val="hybridMultilevel"/>
    <w:tmpl w:val="DF36C1C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nsid w:val="455166E6"/>
    <w:multiLevelType w:val="hybridMultilevel"/>
    <w:tmpl w:val="C152E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5B86AA0"/>
    <w:multiLevelType w:val="hybridMultilevel"/>
    <w:tmpl w:val="9758B2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4EE565A2"/>
    <w:multiLevelType w:val="hybridMultilevel"/>
    <w:tmpl w:val="D7E2B1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4FFF2C3D"/>
    <w:multiLevelType w:val="hybridMultilevel"/>
    <w:tmpl w:val="D368F4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57A82147"/>
    <w:multiLevelType w:val="hybridMultilevel"/>
    <w:tmpl w:val="D6D2B84C"/>
    <w:lvl w:ilvl="0" w:tplc="59E4FACC">
      <w:numFmt w:val="bullet"/>
      <w:lvlText w:val="•"/>
      <w:lvlJc w:val="left"/>
      <w:pPr>
        <w:ind w:left="360" w:hanging="360"/>
      </w:pPr>
      <w:rPr>
        <w:rFonts w:ascii="Arial" w:eastAsia="Arial" w:hAnsi="Arial"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
    <w:nsid w:val="688D2C9E"/>
    <w:multiLevelType w:val="singleLevel"/>
    <w:tmpl w:val="976C8326"/>
    <w:lvl w:ilvl="0">
      <w:start w:val="1"/>
      <w:numFmt w:val="bullet"/>
      <w:pStyle w:val="BoxBullet"/>
      <w:lvlText w:val=""/>
      <w:lvlJc w:val="left"/>
      <w:pPr>
        <w:tabs>
          <w:tab w:val="num" w:pos="360"/>
        </w:tabs>
        <w:ind w:left="284" w:hanging="284"/>
      </w:pPr>
      <w:rPr>
        <w:rFonts w:ascii="Symbol" w:hAnsi="Symbol" w:hint="default"/>
        <w:sz w:val="18"/>
      </w:rPr>
    </w:lvl>
  </w:abstractNum>
  <w:abstractNum w:abstractNumId="19">
    <w:nsid w:val="6F887168"/>
    <w:multiLevelType w:val="hybridMultilevel"/>
    <w:tmpl w:val="3A869B30"/>
    <w:lvl w:ilvl="0" w:tplc="234C7098">
      <w:start w:val="1"/>
      <w:numFmt w:val="bullet"/>
      <w:lvlText w:val=""/>
      <w:lvlJc w:val="left"/>
      <w:pPr>
        <w:ind w:left="720" w:hanging="360"/>
      </w:pPr>
      <w:rPr>
        <w:rFonts w:ascii="Symbol" w:hAnsi="Symbol" w:hint="default"/>
        <w:sz w:val="2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72711B2E"/>
    <w:multiLevelType w:val="hybridMultilevel"/>
    <w:tmpl w:val="B36EFD3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821" w:hanging="360"/>
      </w:pPr>
      <w:rPr>
        <w:rFonts w:ascii="Courier New" w:hAnsi="Courier New" w:cs="Courier New" w:hint="default"/>
      </w:rPr>
    </w:lvl>
    <w:lvl w:ilvl="2" w:tplc="14090005" w:tentative="1">
      <w:start w:val="1"/>
      <w:numFmt w:val="bullet"/>
      <w:lvlText w:val=""/>
      <w:lvlJc w:val="left"/>
      <w:pPr>
        <w:ind w:left="-1101" w:hanging="360"/>
      </w:pPr>
      <w:rPr>
        <w:rFonts w:ascii="Wingdings" w:hAnsi="Wingdings" w:hint="default"/>
      </w:rPr>
    </w:lvl>
    <w:lvl w:ilvl="3" w:tplc="14090001" w:tentative="1">
      <w:start w:val="1"/>
      <w:numFmt w:val="bullet"/>
      <w:lvlText w:val=""/>
      <w:lvlJc w:val="left"/>
      <w:pPr>
        <w:ind w:left="-381" w:hanging="360"/>
      </w:pPr>
      <w:rPr>
        <w:rFonts w:ascii="Symbol" w:hAnsi="Symbol" w:hint="default"/>
      </w:rPr>
    </w:lvl>
    <w:lvl w:ilvl="4" w:tplc="14090003" w:tentative="1">
      <w:start w:val="1"/>
      <w:numFmt w:val="bullet"/>
      <w:lvlText w:val="o"/>
      <w:lvlJc w:val="left"/>
      <w:pPr>
        <w:ind w:left="339" w:hanging="360"/>
      </w:pPr>
      <w:rPr>
        <w:rFonts w:ascii="Courier New" w:hAnsi="Courier New" w:cs="Courier New" w:hint="default"/>
      </w:rPr>
    </w:lvl>
    <w:lvl w:ilvl="5" w:tplc="14090005" w:tentative="1">
      <w:start w:val="1"/>
      <w:numFmt w:val="bullet"/>
      <w:lvlText w:val=""/>
      <w:lvlJc w:val="left"/>
      <w:pPr>
        <w:ind w:left="1059" w:hanging="360"/>
      </w:pPr>
      <w:rPr>
        <w:rFonts w:ascii="Wingdings" w:hAnsi="Wingdings" w:hint="default"/>
      </w:rPr>
    </w:lvl>
    <w:lvl w:ilvl="6" w:tplc="14090001" w:tentative="1">
      <w:start w:val="1"/>
      <w:numFmt w:val="bullet"/>
      <w:lvlText w:val=""/>
      <w:lvlJc w:val="left"/>
      <w:pPr>
        <w:ind w:left="1779" w:hanging="360"/>
      </w:pPr>
      <w:rPr>
        <w:rFonts w:ascii="Symbol" w:hAnsi="Symbol" w:hint="default"/>
      </w:rPr>
    </w:lvl>
    <w:lvl w:ilvl="7" w:tplc="14090003" w:tentative="1">
      <w:start w:val="1"/>
      <w:numFmt w:val="bullet"/>
      <w:lvlText w:val="o"/>
      <w:lvlJc w:val="left"/>
      <w:pPr>
        <w:ind w:left="2499" w:hanging="360"/>
      </w:pPr>
      <w:rPr>
        <w:rFonts w:ascii="Courier New" w:hAnsi="Courier New" w:cs="Courier New" w:hint="default"/>
      </w:rPr>
    </w:lvl>
    <w:lvl w:ilvl="8" w:tplc="14090005" w:tentative="1">
      <w:start w:val="1"/>
      <w:numFmt w:val="bullet"/>
      <w:lvlText w:val=""/>
      <w:lvlJc w:val="left"/>
      <w:pPr>
        <w:ind w:left="3219" w:hanging="360"/>
      </w:pPr>
      <w:rPr>
        <w:rFonts w:ascii="Wingdings" w:hAnsi="Wingdings" w:hint="default"/>
      </w:rPr>
    </w:lvl>
  </w:abstractNum>
  <w:abstractNum w:abstractNumId="21">
    <w:nsid w:val="74595C5F"/>
    <w:multiLevelType w:val="hybridMultilevel"/>
    <w:tmpl w:val="AA88C196"/>
    <w:lvl w:ilvl="0" w:tplc="14090005">
      <w:start w:val="1"/>
      <w:numFmt w:val="bullet"/>
      <w:lvlText w:val=""/>
      <w:lvlJc w:val="left"/>
      <w:pPr>
        <w:ind w:left="1069" w:hanging="360"/>
      </w:pPr>
      <w:rPr>
        <w:rFonts w:ascii="Wingdings" w:hAnsi="Wingdings" w:hint="default"/>
        <w:sz w:val="20"/>
      </w:rPr>
    </w:lvl>
    <w:lvl w:ilvl="1" w:tplc="14090003">
      <w:start w:val="1"/>
      <w:numFmt w:val="bullet"/>
      <w:lvlText w:val="o"/>
      <w:lvlJc w:val="left"/>
      <w:pPr>
        <w:ind w:left="1789" w:hanging="360"/>
      </w:pPr>
      <w:rPr>
        <w:rFonts w:ascii="Courier New" w:hAnsi="Courier New" w:cs="Courier New" w:hint="default"/>
      </w:rPr>
    </w:lvl>
    <w:lvl w:ilvl="2" w:tplc="3EF24B10">
      <w:start w:val="3"/>
      <w:numFmt w:val="bullet"/>
      <w:lvlText w:val="-"/>
      <w:lvlJc w:val="left"/>
      <w:pPr>
        <w:ind w:left="2509" w:hanging="360"/>
      </w:pPr>
      <w:rPr>
        <w:rFonts w:ascii="Arial" w:eastAsia="Times New Roman" w:hAnsi="Arial" w:cs="Arial" w:hint="default"/>
      </w:rPr>
    </w:lvl>
    <w:lvl w:ilvl="3" w:tplc="14090001" w:tentative="1">
      <w:start w:val="1"/>
      <w:numFmt w:val="bullet"/>
      <w:lvlText w:val=""/>
      <w:lvlJc w:val="left"/>
      <w:pPr>
        <w:ind w:left="3229" w:hanging="360"/>
      </w:pPr>
      <w:rPr>
        <w:rFonts w:ascii="Symbol" w:hAnsi="Symbol" w:hint="default"/>
      </w:rPr>
    </w:lvl>
    <w:lvl w:ilvl="4" w:tplc="14090003" w:tentative="1">
      <w:start w:val="1"/>
      <w:numFmt w:val="bullet"/>
      <w:lvlText w:val="o"/>
      <w:lvlJc w:val="left"/>
      <w:pPr>
        <w:ind w:left="3949" w:hanging="360"/>
      </w:pPr>
      <w:rPr>
        <w:rFonts w:ascii="Courier New" w:hAnsi="Courier New" w:cs="Courier New" w:hint="default"/>
      </w:rPr>
    </w:lvl>
    <w:lvl w:ilvl="5" w:tplc="14090005" w:tentative="1">
      <w:start w:val="1"/>
      <w:numFmt w:val="bullet"/>
      <w:lvlText w:val=""/>
      <w:lvlJc w:val="left"/>
      <w:pPr>
        <w:ind w:left="4669" w:hanging="360"/>
      </w:pPr>
      <w:rPr>
        <w:rFonts w:ascii="Wingdings" w:hAnsi="Wingdings" w:hint="default"/>
      </w:rPr>
    </w:lvl>
    <w:lvl w:ilvl="6" w:tplc="14090001" w:tentative="1">
      <w:start w:val="1"/>
      <w:numFmt w:val="bullet"/>
      <w:lvlText w:val=""/>
      <w:lvlJc w:val="left"/>
      <w:pPr>
        <w:ind w:left="5389" w:hanging="360"/>
      </w:pPr>
      <w:rPr>
        <w:rFonts w:ascii="Symbol" w:hAnsi="Symbol" w:hint="default"/>
      </w:rPr>
    </w:lvl>
    <w:lvl w:ilvl="7" w:tplc="14090003" w:tentative="1">
      <w:start w:val="1"/>
      <w:numFmt w:val="bullet"/>
      <w:lvlText w:val="o"/>
      <w:lvlJc w:val="left"/>
      <w:pPr>
        <w:ind w:left="6109" w:hanging="360"/>
      </w:pPr>
      <w:rPr>
        <w:rFonts w:ascii="Courier New" w:hAnsi="Courier New" w:cs="Courier New" w:hint="default"/>
      </w:rPr>
    </w:lvl>
    <w:lvl w:ilvl="8" w:tplc="14090005" w:tentative="1">
      <w:start w:val="1"/>
      <w:numFmt w:val="bullet"/>
      <w:lvlText w:val=""/>
      <w:lvlJc w:val="left"/>
      <w:pPr>
        <w:ind w:left="6829" w:hanging="360"/>
      </w:pPr>
      <w:rPr>
        <w:rFonts w:ascii="Wingdings" w:hAnsi="Wingdings" w:hint="default"/>
      </w:rPr>
    </w:lvl>
  </w:abstractNum>
  <w:abstractNum w:abstractNumId="22">
    <w:nsid w:val="7C1218D3"/>
    <w:multiLevelType w:val="singleLevel"/>
    <w:tmpl w:val="C58C0308"/>
    <w:lvl w:ilvl="0">
      <w:start w:val="1"/>
      <w:numFmt w:val="bullet"/>
      <w:pStyle w:val="Bullet"/>
      <w:lvlText w:val=""/>
      <w:lvlJc w:val="left"/>
      <w:pPr>
        <w:tabs>
          <w:tab w:val="num" w:pos="284"/>
        </w:tabs>
        <w:ind w:left="284" w:hanging="284"/>
      </w:pPr>
      <w:rPr>
        <w:rFonts w:ascii="Symbol" w:hAnsi="Symbol" w:hint="default"/>
        <w:sz w:val="18"/>
      </w:rPr>
    </w:lvl>
  </w:abstractNum>
  <w:abstractNum w:abstractNumId="23">
    <w:nsid w:val="7CDD77EA"/>
    <w:multiLevelType w:val="hybridMultilevel"/>
    <w:tmpl w:val="183AE2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2"/>
  </w:num>
  <w:num w:numId="2">
    <w:abstractNumId w:val="18"/>
  </w:num>
  <w:num w:numId="3">
    <w:abstractNumId w:val="9"/>
  </w:num>
  <w:num w:numId="4">
    <w:abstractNumId w:val="11"/>
  </w:num>
  <w:num w:numId="5">
    <w:abstractNumId w:val="1"/>
  </w:num>
  <w:num w:numId="6">
    <w:abstractNumId w:val="17"/>
  </w:num>
  <w:num w:numId="7">
    <w:abstractNumId w:val="5"/>
  </w:num>
  <w:num w:numId="8">
    <w:abstractNumId w:val="20"/>
  </w:num>
  <w:num w:numId="9">
    <w:abstractNumId w:val="4"/>
  </w:num>
  <w:num w:numId="10">
    <w:abstractNumId w:val="7"/>
  </w:num>
  <w:num w:numId="11">
    <w:abstractNumId w:val="12"/>
  </w:num>
  <w:num w:numId="12">
    <w:abstractNumId w:val="0"/>
  </w:num>
  <w:num w:numId="13">
    <w:abstractNumId w:val="14"/>
  </w:num>
  <w:num w:numId="14">
    <w:abstractNumId w:val="16"/>
  </w:num>
  <w:num w:numId="15">
    <w:abstractNumId w:val="21"/>
  </w:num>
  <w:num w:numId="16">
    <w:abstractNumId w:val="15"/>
  </w:num>
  <w:num w:numId="17">
    <w:abstractNumId w:val="8"/>
  </w:num>
  <w:num w:numId="18">
    <w:abstractNumId w:val="6"/>
  </w:num>
  <w:num w:numId="19">
    <w:abstractNumId w:val="23"/>
  </w:num>
  <w:num w:numId="20">
    <w:abstractNumId w:val="19"/>
  </w:num>
  <w:num w:numId="21">
    <w:abstractNumId w:val="10"/>
  </w:num>
  <w:num w:numId="22">
    <w:abstractNumId w:val="3"/>
  </w:num>
  <w:num w:numId="23">
    <w:abstractNumId w:val="13"/>
  </w:num>
  <w:num w:numId="24">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mirrorMargin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revisionView w:inkAnnotations="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78EB"/>
    <w:rsid w:val="00030B26"/>
    <w:rsid w:val="000473F2"/>
    <w:rsid w:val="0006228D"/>
    <w:rsid w:val="00072BD6"/>
    <w:rsid w:val="00075B78"/>
    <w:rsid w:val="00082CD6"/>
    <w:rsid w:val="00085AFE"/>
    <w:rsid w:val="000B0730"/>
    <w:rsid w:val="000E3662"/>
    <w:rsid w:val="000F2AE2"/>
    <w:rsid w:val="00102063"/>
    <w:rsid w:val="0010541C"/>
    <w:rsid w:val="00106F93"/>
    <w:rsid w:val="00111D50"/>
    <w:rsid w:val="00113B8E"/>
    <w:rsid w:val="001154C5"/>
    <w:rsid w:val="001239B0"/>
    <w:rsid w:val="001342C7"/>
    <w:rsid w:val="0013585C"/>
    <w:rsid w:val="00142954"/>
    <w:rsid w:val="001460E0"/>
    <w:rsid w:val="00147F71"/>
    <w:rsid w:val="00150A6E"/>
    <w:rsid w:val="001638E7"/>
    <w:rsid w:val="0016468A"/>
    <w:rsid w:val="001A5CF5"/>
    <w:rsid w:val="001B39D2"/>
    <w:rsid w:val="001B4BF8"/>
    <w:rsid w:val="001C4326"/>
    <w:rsid w:val="001D3541"/>
    <w:rsid w:val="00201A01"/>
    <w:rsid w:val="002104D3"/>
    <w:rsid w:val="00213A33"/>
    <w:rsid w:val="0021763B"/>
    <w:rsid w:val="00246DB1"/>
    <w:rsid w:val="002476B5"/>
    <w:rsid w:val="00253ECF"/>
    <w:rsid w:val="002546A1"/>
    <w:rsid w:val="00275D08"/>
    <w:rsid w:val="0028403B"/>
    <w:rsid w:val="002858E3"/>
    <w:rsid w:val="0029190A"/>
    <w:rsid w:val="00292C5A"/>
    <w:rsid w:val="00295241"/>
    <w:rsid w:val="002B047D"/>
    <w:rsid w:val="002B39BA"/>
    <w:rsid w:val="002B732B"/>
    <w:rsid w:val="002C2219"/>
    <w:rsid w:val="002D0DF2"/>
    <w:rsid w:val="002D23BD"/>
    <w:rsid w:val="002E0B47"/>
    <w:rsid w:val="002F7213"/>
    <w:rsid w:val="0030382F"/>
    <w:rsid w:val="0030408D"/>
    <w:rsid w:val="003060E4"/>
    <w:rsid w:val="0031304C"/>
    <w:rsid w:val="003160E7"/>
    <w:rsid w:val="0031739E"/>
    <w:rsid w:val="003208F7"/>
    <w:rsid w:val="00322081"/>
    <w:rsid w:val="003325AB"/>
    <w:rsid w:val="0033412B"/>
    <w:rsid w:val="00343365"/>
    <w:rsid w:val="00353501"/>
    <w:rsid w:val="003606F8"/>
    <w:rsid w:val="003648EF"/>
    <w:rsid w:val="003673E6"/>
    <w:rsid w:val="00372CD0"/>
    <w:rsid w:val="00377264"/>
    <w:rsid w:val="00377582"/>
    <w:rsid w:val="003943F4"/>
    <w:rsid w:val="003A26A5"/>
    <w:rsid w:val="003A29DA"/>
    <w:rsid w:val="003A3761"/>
    <w:rsid w:val="003A5FEA"/>
    <w:rsid w:val="003B022F"/>
    <w:rsid w:val="003B1D10"/>
    <w:rsid w:val="003C76D4"/>
    <w:rsid w:val="003D2CC5"/>
    <w:rsid w:val="003E7C46"/>
    <w:rsid w:val="003F52A7"/>
    <w:rsid w:val="003F6308"/>
    <w:rsid w:val="0040240C"/>
    <w:rsid w:val="00413021"/>
    <w:rsid w:val="00426F59"/>
    <w:rsid w:val="00440BE0"/>
    <w:rsid w:val="00442B0E"/>
    <w:rsid w:val="00442C1C"/>
    <w:rsid w:val="0044584B"/>
    <w:rsid w:val="00447CB7"/>
    <w:rsid w:val="00460826"/>
    <w:rsid w:val="00460EA7"/>
    <w:rsid w:val="0046195B"/>
    <w:rsid w:val="0046596D"/>
    <w:rsid w:val="00486129"/>
    <w:rsid w:val="00487C04"/>
    <w:rsid w:val="004907E1"/>
    <w:rsid w:val="004A035B"/>
    <w:rsid w:val="004A38D7"/>
    <w:rsid w:val="004A778C"/>
    <w:rsid w:val="004C2E6A"/>
    <w:rsid w:val="004C3BBF"/>
    <w:rsid w:val="004C64B8"/>
    <w:rsid w:val="004D2A2D"/>
    <w:rsid w:val="004D5C8B"/>
    <w:rsid w:val="004D6689"/>
    <w:rsid w:val="004D70F2"/>
    <w:rsid w:val="004E1D1D"/>
    <w:rsid w:val="004E7AC8"/>
    <w:rsid w:val="004F0C94"/>
    <w:rsid w:val="005019AE"/>
    <w:rsid w:val="00503749"/>
    <w:rsid w:val="00504CF4"/>
    <w:rsid w:val="0050635B"/>
    <w:rsid w:val="005135BF"/>
    <w:rsid w:val="0053199F"/>
    <w:rsid w:val="00533B90"/>
    <w:rsid w:val="005410F8"/>
    <w:rsid w:val="005448EC"/>
    <w:rsid w:val="00545963"/>
    <w:rsid w:val="00550256"/>
    <w:rsid w:val="00553958"/>
    <w:rsid w:val="0055763D"/>
    <w:rsid w:val="00561BD4"/>
    <w:rsid w:val="005621F2"/>
    <w:rsid w:val="00567B58"/>
    <w:rsid w:val="005763E0"/>
    <w:rsid w:val="00581136"/>
    <w:rsid w:val="005A27CA"/>
    <w:rsid w:val="005A43BD"/>
    <w:rsid w:val="005E226E"/>
    <w:rsid w:val="005E2D08"/>
    <w:rsid w:val="006015D7"/>
    <w:rsid w:val="00601B21"/>
    <w:rsid w:val="00612EC7"/>
    <w:rsid w:val="00626CF8"/>
    <w:rsid w:val="00636D7D"/>
    <w:rsid w:val="00637408"/>
    <w:rsid w:val="00642868"/>
    <w:rsid w:val="00647AFE"/>
    <w:rsid w:val="006512BC"/>
    <w:rsid w:val="00653666"/>
    <w:rsid w:val="00653A5A"/>
    <w:rsid w:val="006575F4"/>
    <w:rsid w:val="006579E6"/>
    <w:rsid w:val="00663EDC"/>
    <w:rsid w:val="00667863"/>
    <w:rsid w:val="00671078"/>
    <w:rsid w:val="006758CA"/>
    <w:rsid w:val="00680A04"/>
    <w:rsid w:val="00686D80"/>
    <w:rsid w:val="00694895"/>
    <w:rsid w:val="00697E2E"/>
    <w:rsid w:val="006A25A2"/>
    <w:rsid w:val="006B0E73"/>
    <w:rsid w:val="006B4A4D"/>
    <w:rsid w:val="006B5695"/>
    <w:rsid w:val="006C78EB"/>
    <w:rsid w:val="006D1660"/>
    <w:rsid w:val="006D5F6C"/>
    <w:rsid w:val="006E15EF"/>
    <w:rsid w:val="006F1B67"/>
    <w:rsid w:val="006F377F"/>
    <w:rsid w:val="00700141"/>
    <w:rsid w:val="0070091D"/>
    <w:rsid w:val="00702854"/>
    <w:rsid w:val="0070340B"/>
    <w:rsid w:val="0071741C"/>
    <w:rsid w:val="00742999"/>
    <w:rsid w:val="00742B90"/>
    <w:rsid w:val="0074434D"/>
    <w:rsid w:val="00771B1E"/>
    <w:rsid w:val="00773C95"/>
    <w:rsid w:val="00781033"/>
    <w:rsid w:val="0078171E"/>
    <w:rsid w:val="00795B34"/>
    <w:rsid w:val="007A4167"/>
    <w:rsid w:val="007B1770"/>
    <w:rsid w:val="007B4D3E"/>
    <w:rsid w:val="007B7C70"/>
    <w:rsid w:val="007D2151"/>
    <w:rsid w:val="007D42CC"/>
    <w:rsid w:val="007D5DE4"/>
    <w:rsid w:val="007E0777"/>
    <w:rsid w:val="007E1341"/>
    <w:rsid w:val="007E1B41"/>
    <w:rsid w:val="007E30B9"/>
    <w:rsid w:val="007E74F1"/>
    <w:rsid w:val="007F0F0C"/>
    <w:rsid w:val="007F1288"/>
    <w:rsid w:val="00800A8A"/>
    <w:rsid w:val="0080155C"/>
    <w:rsid w:val="008052E1"/>
    <w:rsid w:val="00807C68"/>
    <w:rsid w:val="00820BBF"/>
    <w:rsid w:val="00822F2C"/>
    <w:rsid w:val="008305E8"/>
    <w:rsid w:val="00842135"/>
    <w:rsid w:val="0085532B"/>
    <w:rsid w:val="00860826"/>
    <w:rsid w:val="00860E21"/>
    <w:rsid w:val="00863117"/>
    <w:rsid w:val="0086388B"/>
    <w:rsid w:val="008642E5"/>
    <w:rsid w:val="0087231D"/>
    <w:rsid w:val="00872D93"/>
    <w:rsid w:val="00880470"/>
    <w:rsid w:val="00880D94"/>
    <w:rsid w:val="008924DE"/>
    <w:rsid w:val="008A3755"/>
    <w:rsid w:val="008B264F"/>
    <w:rsid w:val="008B6F83"/>
    <w:rsid w:val="008B7FD8"/>
    <w:rsid w:val="008C2973"/>
    <w:rsid w:val="008C64C4"/>
    <w:rsid w:val="008D24D4"/>
    <w:rsid w:val="008D74D5"/>
    <w:rsid w:val="008F1E52"/>
    <w:rsid w:val="008F29BE"/>
    <w:rsid w:val="008F4AE5"/>
    <w:rsid w:val="008F51EB"/>
    <w:rsid w:val="00900197"/>
    <w:rsid w:val="00902F55"/>
    <w:rsid w:val="0090582B"/>
    <w:rsid w:val="009060C0"/>
    <w:rsid w:val="009133F5"/>
    <w:rsid w:val="00920A27"/>
    <w:rsid w:val="00921216"/>
    <w:rsid w:val="009216CC"/>
    <w:rsid w:val="00932D69"/>
    <w:rsid w:val="0094385A"/>
    <w:rsid w:val="00944647"/>
    <w:rsid w:val="00977B8A"/>
    <w:rsid w:val="00982971"/>
    <w:rsid w:val="009845AD"/>
    <w:rsid w:val="00992541"/>
    <w:rsid w:val="00995BA0"/>
    <w:rsid w:val="009A345E"/>
    <w:rsid w:val="009A418B"/>
    <w:rsid w:val="009A4473"/>
    <w:rsid w:val="009C151C"/>
    <w:rsid w:val="009D5125"/>
    <w:rsid w:val="009D60B8"/>
    <w:rsid w:val="009D7D4B"/>
    <w:rsid w:val="009E36ED"/>
    <w:rsid w:val="009E3C8C"/>
    <w:rsid w:val="009E6B77"/>
    <w:rsid w:val="009F460A"/>
    <w:rsid w:val="00A043FB"/>
    <w:rsid w:val="00A0729C"/>
    <w:rsid w:val="00A07779"/>
    <w:rsid w:val="00A20B2E"/>
    <w:rsid w:val="00A26E6B"/>
    <w:rsid w:val="00A3068F"/>
    <w:rsid w:val="00A3145B"/>
    <w:rsid w:val="00A315F9"/>
    <w:rsid w:val="00A339D0"/>
    <w:rsid w:val="00A41002"/>
    <w:rsid w:val="00A4201A"/>
    <w:rsid w:val="00A4478F"/>
    <w:rsid w:val="00A553CE"/>
    <w:rsid w:val="00A5677A"/>
    <w:rsid w:val="00A6490D"/>
    <w:rsid w:val="00A80363"/>
    <w:rsid w:val="00A9169D"/>
    <w:rsid w:val="00A95EFC"/>
    <w:rsid w:val="00AA240C"/>
    <w:rsid w:val="00AC101C"/>
    <w:rsid w:val="00AD4CF1"/>
    <w:rsid w:val="00AD5988"/>
    <w:rsid w:val="00AF7800"/>
    <w:rsid w:val="00B072E0"/>
    <w:rsid w:val="00B253F6"/>
    <w:rsid w:val="00B332F8"/>
    <w:rsid w:val="00B3492B"/>
    <w:rsid w:val="00B3668D"/>
    <w:rsid w:val="00B453B3"/>
    <w:rsid w:val="00B4646F"/>
    <w:rsid w:val="00B52739"/>
    <w:rsid w:val="00B55C7D"/>
    <w:rsid w:val="00B6022B"/>
    <w:rsid w:val="00B63038"/>
    <w:rsid w:val="00B64BD8"/>
    <w:rsid w:val="00B701D1"/>
    <w:rsid w:val="00B73AF2"/>
    <w:rsid w:val="00B7457E"/>
    <w:rsid w:val="00B7551A"/>
    <w:rsid w:val="00B82827"/>
    <w:rsid w:val="00B9304D"/>
    <w:rsid w:val="00BC59F1"/>
    <w:rsid w:val="00BE7C0D"/>
    <w:rsid w:val="00BF3DE1"/>
    <w:rsid w:val="00BF4843"/>
    <w:rsid w:val="00BF5205"/>
    <w:rsid w:val="00C12508"/>
    <w:rsid w:val="00C30B65"/>
    <w:rsid w:val="00C420D3"/>
    <w:rsid w:val="00C45AA2"/>
    <w:rsid w:val="00C633BC"/>
    <w:rsid w:val="00C66296"/>
    <w:rsid w:val="00C77282"/>
    <w:rsid w:val="00C84DE5"/>
    <w:rsid w:val="00C86248"/>
    <w:rsid w:val="00CA4C33"/>
    <w:rsid w:val="00CA52D8"/>
    <w:rsid w:val="00CA6F4A"/>
    <w:rsid w:val="00CC1747"/>
    <w:rsid w:val="00CD2119"/>
    <w:rsid w:val="00CD237A"/>
    <w:rsid w:val="00CD36AC"/>
    <w:rsid w:val="00CE2369"/>
    <w:rsid w:val="00CF1747"/>
    <w:rsid w:val="00D23323"/>
    <w:rsid w:val="00D2392A"/>
    <w:rsid w:val="00D25FFE"/>
    <w:rsid w:val="00D4476F"/>
    <w:rsid w:val="00D54D50"/>
    <w:rsid w:val="00D65EA6"/>
    <w:rsid w:val="00D66797"/>
    <w:rsid w:val="00D7087C"/>
    <w:rsid w:val="00D70C3C"/>
    <w:rsid w:val="00D72BE5"/>
    <w:rsid w:val="00D82F26"/>
    <w:rsid w:val="00D863D0"/>
    <w:rsid w:val="00D87C87"/>
    <w:rsid w:val="00DB39CF"/>
    <w:rsid w:val="00DD447A"/>
    <w:rsid w:val="00DE3B20"/>
    <w:rsid w:val="00DE6C94"/>
    <w:rsid w:val="00DE6FD7"/>
    <w:rsid w:val="00E23271"/>
    <w:rsid w:val="00E24F80"/>
    <w:rsid w:val="00E259F3"/>
    <w:rsid w:val="00E33238"/>
    <w:rsid w:val="00E4486C"/>
    <w:rsid w:val="00E460B6"/>
    <w:rsid w:val="00E462BC"/>
    <w:rsid w:val="00E511D5"/>
    <w:rsid w:val="00E60249"/>
    <w:rsid w:val="00E65269"/>
    <w:rsid w:val="00E76D66"/>
    <w:rsid w:val="00EA796A"/>
    <w:rsid w:val="00EB1856"/>
    <w:rsid w:val="00EC50CE"/>
    <w:rsid w:val="00EC5B34"/>
    <w:rsid w:val="00ED55DA"/>
    <w:rsid w:val="00ED7AB3"/>
    <w:rsid w:val="00EE4ADE"/>
    <w:rsid w:val="00EE5CB7"/>
    <w:rsid w:val="00F024FE"/>
    <w:rsid w:val="00F05AD4"/>
    <w:rsid w:val="00F25970"/>
    <w:rsid w:val="00F5180D"/>
    <w:rsid w:val="00F67496"/>
    <w:rsid w:val="00F801BA"/>
    <w:rsid w:val="00F9366A"/>
    <w:rsid w:val="00F946C9"/>
    <w:rsid w:val="00FA74EE"/>
    <w:rsid w:val="00FA7AB7"/>
    <w:rsid w:val="00FB4131"/>
    <w:rsid w:val="00FC3711"/>
    <w:rsid w:val="00FC46E7"/>
    <w:rsid w:val="00FC5D25"/>
    <w:rsid w:val="00FD0D7E"/>
    <w:rsid w:val="00FE019C"/>
    <w:rsid w:val="00FE4704"/>
    <w:rsid w:val="00FE6E13"/>
    <w:rsid w:val="00FF15F6"/>
    <w:rsid w:val="00FF4AB8"/>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30B65"/>
    <w:pPr>
      <w:spacing w:line="264" w:lineRule="auto"/>
    </w:pPr>
    <w:rPr>
      <w:rFonts w:ascii="Georgia" w:hAnsi="Georgia"/>
      <w:sz w:val="22"/>
      <w:lang w:eastAsia="en-GB"/>
    </w:rPr>
  </w:style>
  <w:style w:type="paragraph" w:styleId="Heading1">
    <w:name w:val="heading 1"/>
    <w:basedOn w:val="Normal"/>
    <w:next w:val="Normal"/>
    <w:link w:val="Heading1Char"/>
    <w:uiPriority w:val="9"/>
    <w:qFormat/>
    <w:rsid w:val="00F024FE"/>
    <w:pPr>
      <w:pBdr>
        <w:top w:val="single" w:sz="48" w:space="16" w:color="auto"/>
      </w:pBdr>
      <w:spacing w:after="360"/>
      <w:outlineLvl w:val="0"/>
    </w:pPr>
    <w:rPr>
      <w:b/>
      <w:sz w:val="60"/>
    </w:rPr>
  </w:style>
  <w:style w:type="paragraph" w:styleId="Heading2">
    <w:name w:val="heading 2"/>
    <w:basedOn w:val="Normal"/>
    <w:next w:val="Normal"/>
    <w:link w:val="Heading2Char"/>
    <w:qFormat/>
    <w:rsid w:val="00D2392A"/>
    <w:pPr>
      <w:keepNext/>
      <w:spacing w:before="120" w:after="120"/>
      <w:outlineLvl w:val="1"/>
    </w:pPr>
    <w:rPr>
      <w:b/>
      <w:sz w:val="40"/>
    </w:rPr>
  </w:style>
  <w:style w:type="paragraph" w:styleId="Heading3">
    <w:name w:val="heading 3"/>
    <w:basedOn w:val="Normal"/>
    <w:next w:val="Normal"/>
    <w:link w:val="Heading3Char"/>
    <w:uiPriority w:val="9"/>
    <w:qFormat/>
    <w:rsid w:val="0033412B"/>
    <w:pPr>
      <w:keepNext/>
      <w:spacing w:before="120" w:after="120"/>
      <w:outlineLvl w:val="2"/>
    </w:pPr>
    <w:rPr>
      <w:b/>
      <w:sz w:val="28"/>
    </w:rPr>
  </w:style>
  <w:style w:type="paragraph" w:styleId="Heading4">
    <w:name w:val="heading 4"/>
    <w:basedOn w:val="Normal"/>
    <w:next w:val="Normal"/>
    <w:qFormat/>
    <w:rsid w:val="007D5DE4"/>
    <w:pPr>
      <w:keepNext/>
      <w:spacing w:before="120" w:after="120"/>
      <w:outlineLvl w:val="3"/>
    </w:pPr>
    <w:rPr>
      <w:b/>
    </w:rPr>
  </w:style>
  <w:style w:type="paragraph" w:styleId="Heading5">
    <w:name w:val="heading 5"/>
    <w:basedOn w:val="Normal"/>
    <w:next w:val="Normal"/>
    <w:qFormat/>
    <w:rsid w:val="0013585C"/>
    <w:pPr>
      <w:keepNext/>
      <w:spacing w:before="120" w:after="120"/>
      <w:outlineLvl w:val="4"/>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rsid w:val="0006228D"/>
    <w:pPr>
      <w:tabs>
        <w:tab w:val="right" w:pos="9356"/>
      </w:tabs>
      <w:spacing w:before="300"/>
      <w:ind w:right="567"/>
    </w:pPr>
    <w:rPr>
      <w:b/>
    </w:rPr>
  </w:style>
  <w:style w:type="paragraph" w:styleId="TOC2">
    <w:name w:val="toc 2"/>
    <w:basedOn w:val="Normal"/>
    <w:next w:val="Normal"/>
    <w:uiPriority w:val="39"/>
    <w:rsid w:val="0006228D"/>
    <w:pPr>
      <w:tabs>
        <w:tab w:val="left" w:pos="284"/>
        <w:tab w:val="right" w:pos="9356"/>
      </w:tabs>
      <w:spacing w:before="60"/>
      <w:ind w:left="284" w:right="567"/>
    </w:pPr>
  </w:style>
  <w:style w:type="paragraph" w:styleId="TOC3">
    <w:name w:val="toc 3"/>
    <w:basedOn w:val="Normal"/>
    <w:next w:val="Normal"/>
    <w:uiPriority w:val="39"/>
    <w:rsid w:val="0087231D"/>
    <w:pPr>
      <w:tabs>
        <w:tab w:val="right" w:pos="9356"/>
      </w:tabs>
      <w:spacing w:before="80"/>
      <w:ind w:left="1276" w:right="425" w:hanging="1276"/>
    </w:pPr>
  </w:style>
  <w:style w:type="paragraph" w:customStyle="1" w:styleId="Bullet">
    <w:name w:val="Bullet"/>
    <w:basedOn w:val="Normal"/>
    <w:link w:val="BulletChar"/>
    <w:qFormat/>
    <w:rsid w:val="0033412B"/>
    <w:pPr>
      <w:numPr>
        <w:numId w:val="1"/>
      </w:numPr>
      <w:spacing w:before="90"/>
    </w:pPr>
  </w:style>
  <w:style w:type="paragraph" w:styleId="Quote">
    <w:name w:val="Quote"/>
    <w:basedOn w:val="Normal"/>
    <w:next w:val="Normal"/>
    <w:qFormat/>
    <w:pPr>
      <w:spacing w:before="120"/>
      <w:ind w:left="284" w:right="284"/>
    </w:pPr>
  </w:style>
  <w:style w:type="paragraph" w:styleId="FootnoteText">
    <w:name w:val="footnote text"/>
    <w:basedOn w:val="Normal"/>
    <w:link w:val="FootnoteTextChar"/>
    <w:uiPriority w:val="99"/>
    <w:semiHidden/>
    <w:rsid w:val="003060E4"/>
    <w:pPr>
      <w:spacing w:before="60"/>
      <w:ind w:left="284" w:hanging="284"/>
    </w:pPr>
    <w:rPr>
      <w:sz w:val="18"/>
    </w:rPr>
  </w:style>
  <w:style w:type="paragraph" w:styleId="Header">
    <w:name w:val="header"/>
    <w:basedOn w:val="Normal"/>
    <w:link w:val="HeaderChar"/>
    <w:uiPriority w:val="99"/>
    <w:qFormat/>
    <w:rsid w:val="00D25FFE"/>
  </w:style>
  <w:style w:type="paragraph" w:styleId="Title">
    <w:name w:val="Title"/>
    <w:basedOn w:val="Normal"/>
    <w:next w:val="Normal"/>
    <w:link w:val="TitleChar"/>
    <w:qFormat/>
    <w:rsid w:val="00C30B65"/>
    <w:pPr>
      <w:pBdr>
        <w:bottom w:val="single" w:sz="48" w:space="6" w:color="auto"/>
      </w:pBdr>
      <w:ind w:right="1701"/>
    </w:pPr>
    <w:rPr>
      <w:b/>
      <w:sz w:val="60"/>
    </w:rPr>
  </w:style>
  <w:style w:type="paragraph" w:customStyle="1" w:styleId="Imprint">
    <w:name w:val="Imprint"/>
    <w:basedOn w:val="Normal"/>
    <w:next w:val="Normal"/>
    <w:qFormat/>
    <w:rsid w:val="0071741C"/>
    <w:pPr>
      <w:spacing w:after="240"/>
      <w:jc w:val="center"/>
    </w:pPr>
  </w:style>
  <w:style w:type="paragraph" w:styleId="Footer">
    <w:name w:val="footer"/>
    <w:basedOn w:val="Normal"/>
    <w:link w:val="FooterChar"/>
    <w:uiPriority w:val="99"/>
    <w:qFormat/>
    <w:rsid w:val="00447CB7"/>
    <w:pPr>
      <w:pBdr>
        <w:bottom w:val="single" w:sz="4" w:space="4" w:color="auto"/>
      </w:pBdr>
    </w:pPr>
  </w:style>
  <w:style w:type="character" w:styleId="PageNumber">
    <w:name w:val="page number"/>
    <w:rsid w:val="008D74D5"/>
    <w:rPr>
      <w:rFonts w:ascii="Georgia" w:hAnsi="Georgia"/>
      <w:b/>
      <w:sz w:val="22"/>
    </w:rPr>
  </w:style>
  <w:style w:type="paragraph" w:customStyle="1" w:styleId="VersoFooter">
    <w:name w:val="Verso Footer"/>
    <w:basedOn w:val="Footer"/>
    <w:rsid w:val="002546A1"/>
    <w:pPr>
      <w:pBdr>
        <w:top w:val="single" w:sz="4" w:space="4" w:color="auto"/>
        <w:bottom w:val="none" w:sz="0" w:space="0" w:color="auto"/>
      </w:pBdr>
      <w:ind w:left="709" w:hanging="709"/>
    </w:pPr>
    <w:rPr>
      <w:sz w:val="20"/>
    </w:rPr>
  </w:style>
  <w:style w:type="paragraph" w:customStyle="1" w:styleId="RectoFooter">
    <w:name w:val="Recto Footer"/>
    <w:basedOn w:val="Footer"/>
    <w:rsid w:val="002546A1"/>
    <w:pPr>
      <w:pBdr>
        <w:top w:val="single" w:sz="4" w:space="4" w:color="auto"/>
        <w:bottom w:val="none" w:sz="0" w:space="0" w:color="auto"/>
      </w:pBdr>
      <w:tabs>
        <w:tab w:val="right" w:pos="8647"/>
        <w:tab w:val="right" w:pos="9356"/>
      </w:tabs>
      <w:spacing w:line="240" w:lineRule="auto"/>
    </w:pPr>
    <w:rPr>
      <w:sz w:val="20"/>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uiPriority w:val="99"/>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qFormat/>
    <w:rsid w:val="007B7C70"/>
    <w:pPr>
      <w:spacing w:before="60" w:after="60" w:line="240" w:lineRule="auto"/>
    </w:pPr>
    <w:rPr>
      <w:rFonts w:ascii="Arial" w:hAnsi="Arial"/>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Box"/>
    <w:qFormat/>
    <w:rPr>
      <w:b/>
      <w:sz w:val="24"/>
    </w:rPr>
  </w:style>
  <w:style w:type="paragraph" w:customStyle="1" w:styleId="BoxBullet">
    <w:name w:val="BoxBullet"/>
    <w:basedOn w:val="Box"/>
    <w:qFormat/>
    <w:pPr>
      <w:numPr>
        <w:numId w:val="2"/>
      </w:numPr>
      <w:tabs>
        <w:tab w:val="clear" w:pos="360"/>
      </w:tabs>
      <w:spacing w:before="60"/>
      <w:ind w:left="568"/>
    </w:pPr>
  </w:style>
  <w:style w:type="paragraph" w:customStyle="1" w:styleId="IntroHead">
    <w:name w:val="IntroHead"/>
    <w:basedOn w:val="Heading1"/>
    <w:next w:val="Normal"/>
    <w:qFormat/>
    <w:rsid w:val="00D7087C"/>
    <w:pPr>
      <w:outlineLvl w:val="9"/>
    </w:pPr>
  </w:style>
  <w:style w:type="paragraph" w:customStyle="1" w:styleId="Source">
    <w:name w:val="Source"/>
    <w:basedOn w:val="Note"/>
    <w:next w:val="Normal"/>
    <w:qFormat/>
    <w:rsid w:val="0053199F"/>
  </w:style>
  <w:style w:type="paragraph" w:customStyle="1" w:styleId="Note">
    <w:name w:val="Note"/>
    <w:basedOn w:val="Normal"/>
    <w:next w:val="Normal"/>
    <w:link w:val="NoteChar"/>
    <w:qFormat/>
    <w:rsid w:val="004F0C94"/>
    <w:pPr>
      <w:pBdr>
        <w:bottom w:val="single" w:sz="4" w:space="6" w:color="auto"/>
      </w:pBdr>
      <w:spacing w:before="80"/>
      <w:ind w:left="284" w:right="2552" w:hanging="284"/>
    </w:pPr>
    <w:rPr>
      <w:rFonts w:ascii="Arial" w:hAnsi="Arial"/>
      <w:sz w:val="18"/>
    </w:rPr>
  </w:style>
  <w:style w:type="paragraph" w:customStyle="1" w:styleId="Subhead">
    <w:name w:val="Subhead"/>
    <w:basedOn w:val="Normal"/>
    <w:next w:val="Normal"/>
    <w:qFormat/>
    <w:rsid w:val="00343365"/>
    <w:pPr>
      <w:spacing w:before="180"/>
      <w:ind w:right="1701"/>
    </w:pPr>
    <w:rPr>
      <w:sz w:val="48"/>
    </w:rPr>
  </w:style>
  <w:style w:type="character" w:styleId="Hyperlink">
    <w:name w:val="Hyperlink"/>
    <w:uiPriority w:val="99"/>
    <w:rPr>
      <w:color w:val="auto"/>
      <w:u w:val="none"/>
    </w:rPr>
  </w:style>
  <w:style w:type="paragraph" w:customStyle="1" w:styleId="References">
    <w:name w:val="References"/>
    <w:basedOn w:val="Normal"/>
    <w:qFormat/>
    <w:rsid w:val="001460E0"/>
    <w:pPr>
      <w:spacing w:after="180"/>
    </w:pPr>
    <w:rPr>
      <w:sz w:val="21"/>
    </w:rPr>
  </w:style>
  <w:style w:type="paragraph" w:customStyle="1" w:styleId="TableDash">
    <w:name w:val="TableDash"/>
    <w:basedOn w:val="TableText"/>
    <w:qFormat/>
    <w:rsid w:val="0010541C"/>
    <w:pPr>
      <w:numPr>
        <w:numId w:val="4"/>
      </w:numPr>
      <w:spacing w:before="40" w:after="0"/>
    </w:pPr>
    <w:rPr>
      <w:szCs w:val="22"/>
    </w:rPr>
  </w:style>
  <w:style w:type="character" w:customStyle="1" w:styleId="NoteChar">
    <w:name w:val="Note Char"/>
    <w:link w:val="Note"/>
    <w:rsid w:val="004F0C94"/>
    <w:rPr>
      <w:rFonts w:ascii="Arial" w:hAnsi="Arial"/>
      <w:sz w:val="18"/>
      <w:lang w:eastAsia="en-GB"/>
    </w:rPr>
  </w:style>
  <w:style w:type="character" w:customStyle="1" w:styleId="FootnoteTextChar">
    <w:name w:val="Footnote Text Char"/>
    <w:link w:val="FootnoteText"/>
    <w:uiPriority w:val="99"/>
    <w:semiHidden/>
    <w:rsid w:val="003060E4"/>
    <w:rPr>
      <w:rFonts w:ascii="Georgia" w:hAnsi="Georgia"/>
      <w:sz w:val="18"/>
      <w:lang w:eastAsia="en-GB"/>
    </w:rPr>
  </w:style>
  <w:style w:type="table" w:styleId="TableGrid">
    <w:name w:val="Table Grid"/>
    <w:basedOn w:val="TableNormal"/>
    <w:uiPriority w:val="5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86388B"/>
    <w:rPr>
      <w:rFonts w:ascii="Georgia" w:hAnsi="Georgia"/>
      <w:sz w:val="22"/>
      <w:lang w:eastAsia="en-GB"/>
    </w:rPr>
  </w:style>
  <w:style w:type="character" w:customStyle="1" w:styleId="FooterChar">
    <w:name w:val="Footer Char"/>
    <w:link w:val="Footer"/>
    <w:uiPriority w:val="99"/>
    <w:rsid w:val="0086388B"/>
    <w:rPr>
      <w:rFonts w:ascii="Georgia" w:hAnsi="Georgia"/>
      <w:sz w:val="22"/>
      <w:lang w:eastAsia="en-GB"/>
    </w:rPr>
  </w:style>
  <w:style w:type="character" w:customStyle="1" w:styleId="Heading1Char">
    <w:name w:val="Heading 1 Char"/>
    <w:link w:val="Heading1"/>
    <w:uiPriority w:val="9"/>
    <w:rsid w:val="0086388B"/>
    <w:rPr>
      <w:rFonts w:ascii="Georgia" w:hAnsi="Georgia"/>
      <w:b/>
      <w:sz w:val="60"/>
      <w:lang w:eastAsia="en-GB"/>
    </w:rPr>
  </w:style>
  <w:style w:type="paragraph" w:styleId="Revision">
    <w:name w:val="Revision"/>
    <w:hidden/>
    <w:uiPriority w:val="99"/>
    <w:semiHidden/>
    <w:rsid w:val="0086388B"/>
    <w:rPr>
      <w:rFonts w:ascii="Calibri" w:eastAsia="Calibri" w:hAnsi="Calibri"/>
      <w:sz w:val="22"/>
      <w:szCs w:val="22"/>
      <w:lang w:val="en-US" w:eastAsia="en-US"/>
    </w:rPr>
  </w:style>
  <w:style w:type="character" w:customStyle="1" w:styleId="Heading2Char">
    <w:name w:val="Heading 2 Char"/>
    <w:link w:val="Heading2"/>
    <w:rsid w:val="0086388B"/>
    <w:rPr>
      <w:rFonts w:ascii="Georgia" w:hAnsi="Georgia"/>
      <w:b/>
      <w:sz w:val="40"/>
      <w:lang w:eastAsia="en-GB"/>
    </w:rPr>
  </w:style>
  <w:style w:type="character" w:customStyle="1" w:styleId="Heading3Char">
    <w:name w:val="Heading 3 Char"/>
    <w:link w:val="Heading3"/>
    <w:uiPriority w:val="9"/>
    <w:rsid w:val="0086388B"/>
    <w:rPr>
      <w:rFonts w:ascii="Georgia" w:hAnsi="Georgia"/>
      <w:b/>
      <w:sz w:val="28"/>
      <w:lang w:eastAsia="en-GB"/>
    </w:rPr>
  </w:style>
  <w:style w:type="character" w:customStyle="1" w:styleId="BulletChar">
    <w:name w:val="Bullet Char"/>
    <w:link w:val="Bullet"/>
    <w:locked/>
    <w:rsid w:val="00C30B65"/>
    <w:rPr>
      <w:rFonts w:ascii="Georgia" w:hAnsi="Georgia"/>
      <w:sz w:val="22"/>
      <w:lang w:eastAsia="en-GB"/>
    </w:rPr>
  </w:style>
  <w:style w:type="character" w:customStyle="1" w:styleId="TitleChar">
    <w:name w:val="Title Char"/>
    <w:link w:val="Title"/>
    <w:rsid w:val="00C30B65"/>
    <w:rPr>
      <w:rFonts w:ascii="Georgia" w:hAnsi="Georgia"/>
      <w:b/>
      <w:sz w:val="60"/>
      <w:lang w:eastAsia="en-GB"/>
    </w:rPr>
  </w:style>
  <w:style w:type="paragraph" w:customStyle="1" w:styleId="Year">
    <w:name w:val="Year"/>
    <w:basedOn w:val="Subhead"/>
    <w:next w:val="Subhead"/>
    <w:qFormat/>
    <w:rsid w:val="00C30B65"/>
    <w:pPr>
      <w:pBdr>
        <w:bottom w:val="single" w:sz="48" w:space="6" w:color="auto"/>
      </w:pBdr>
    </w:pPr>
  </w:style>
  <w:style w:type="paragraph" w:styleId="BalloonText">
    <w:name w:val="Balloon Text"/>
    <w:basedOn w:val="Normal"/>
    <w:link w:val="BalloonTextChar"/>
    <w:uiPriority w:val="99"/>
    <w:semiHidden/>
    <w:unhideWhenUsed/>
    <w:rsid w:val="00C30B6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0B65"/>
    <w:rPr>
      <w:rFonts w:ascii="Tahoma" w:hAnsi="Tahoma" w:cs="Tahoma"/>
      <w:sz w:val="16"/>
      <w:szCs w:val="16"/>
      <w:lang w:eastAsia="en-GB"/>
    </w:rPr>
  </w:style>
  <w:style w:type="character" w:styleId="CommentReference">
    <w:name w:val="annotation reference"/>
    <w:basedOn w:val="DefaultParagraphFont"/>
    <w:uiPriority w:val="99"/>
    <w:semiHidden/>
    <w:unhideWhenUsed/>
    <w:rsid w:val="00C30B65"/>
    <w:rPr>
      <w:sz w:val="16"/>
      <w:szCs w:val="16"/>
    </w:rPr>
  </w:style>
  <w:style w:type="paragraph" w:styleId="CommentSubject">
    <w:name w:val="annotation subject"/>
    <w:basedOn w:val="Normal"/>
    <w:link w:val="CommentSubjectChar"/>
    <w:uiPriority w:val="99"/>
    <w:semiHidden/>
    <w:unhideWhenUsed/>
    <w:rsid w:val="00700141"/>
    <w:rPr>
      <w:b/>
      <w:bCs/>
    </w:rPr>
  </w:style>
  <w:style w:type="character" w:customStyle="1" w:styleId="CommentSubjectChar">
    <w:name w:val="Comment Subject Char"/>
    <w:basedOn w:val="DefaultParagraphFont"/>
    <w:link w:val="CommentSubject"/>
    <w:uiPriority w:val="99"/>
    <w:semiHidden/>
    <w:rsid w:val="0070014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30B65"/>
    <w:pPr>
      <w:spacing w:line="264" w:lineRule="auto"/>
    </w:pPr>
    <w:rPr>
      <w:rFonts w:ascii="Georgia" w:hAnsi="Georgia"/>
      <w:sz w:val="22"/>
      <w:lang w:eastAsia="en-GB"/>
    </w:rPr>
  </w:style>
  <w:style w:type="paragraph" w:styleId="Heading1">
    <w:name w:val="heading 1"/>
    <w:basedOn w:val="Normal"/>
    <w:next w:val="Normal"/>
    <w:link w:val="Heading1Char"/>
    <w:uiPriority w:val="9"/>
    <w:qFormat/>
    <w:rsid w:val="00F024FE"/>
    <w:pPr>
      <w:pBdr>
        <w:top w:val="single" w:sz="48" w:space="16" w:color="auto"/>
      </w:pBdr>
      <w:spacing w:after="360"/>
      <w:outlineLvl w:val="0"/>
    </w:pPr>
    <w:rPr>
      <w:b/>
      <w:sz w:val="60"/>
    </w:rPr>
  </w:style>
  <w:style w:type="paragraph" w:styleId="Heading2">
    <w:name w:val="heading 2"/>
    <w:basedOn w:val="Normal"/>
    <w:next w:val="Normal"/>
    <w:link w:val="Heading2Char"/>
    <w:qFormat/>
    <w:rsid w:val="00D2392A"/>
    <w:pPr>
      <w:keepNext/>
      <w:spacing w:before="120" w:after="120"/>
      <w:outlineLvl w:val="1"/>
    </w:pPr>
    <w:rPr>
      <w:b/>
      <w:sz w:val="40"/>
    </w:rPr>
  </w:style>
  <w:style w:type="paragraph" w:styleId="Heading3">
    <w:name w:val="heading 3"/>
    <w:basedOn w:val="Normal"/>
    <w:next w:val="Normal"/>
    <w:link w:val="Heading3Char"/>
    <w:uiPriority w:val="9"/>
    <w:qFormat/>
    <w:rsid w:val="0033412B"/>
    <w:pPr>
      <w:keepNext/>
      <w:spacing w:before="120" w:after="120"/>
      <w:outlineLvl w:val="2"/>
    </w:pPr>
    <w:rPr>
      <w:b/>
      <w:sz w:val="28"/>
    </w:rPr>
  </w:style>
  <w:style w:type="paragraph" w:styleId="Heading4">
    <w:name w:val="heading 4"/>
    <w:basedOn w:val="Normal"/>
    <w:next w:val="Normal"/>
    <w:qFormat/>
    <w:rsid w:val="007D5DE4"/>
    <w:pPr>
      <w:keepNext/>
      <w:spacing w:before="120" w:after="120"/>
      <w:outlineLvl w:val="3"/>
    </w:pPr>
    <w:rPr>
      <w:b/>
    </w:rPr>
  </w:style>
  <w:style w:type="paragraph" w:styleId="Heading5">
    <w:name w:val="heading 5"/>
    <w:basedOn w:val="Normal"/>
    <w:next w:val="Normal"/>
    <w:qFormat/>
    <w:rsid w:val="0013585C"/>
    <w:pPr>
      <w:keepNext/>
      <w:spacing w:before="120" w:after="120"/>
      <w:outlineLvl w:val="4"/>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rsid w:val="0006228D"/>
    <w:pPr>
      <w:tabs>
        <w:tab w:val="right" w:pos="9356"/>
      </w:tabs>
      <w:spacing w:before="300"/>
      <w:ind w:right="567"/>
    </w:pPr>
    <w:rPr>
      <w:b/>
    </w:rPr>
  </w:style>
  <w:style w:type="paragraph" w:styleId="TOC2">
    <w:name w:val="toc 2"/>
    <w:basedOn w:val="Normal"/>
    <w:next w:val="Normal"/>
    <w:uiPriority w:val="39"/>
    <w:rsid w:val="0006228D"/>
    <w:pPr>
      <w:tabs>
        <w:tab w:val="left" w:pos="284"/>
        <w:tab w:val="right" w:pos="9356"/>
      </w:tabs>
      <w:spacing w:before="60"/>
      <w:ind w:left="284" w:right="567"/>
    </w:pPr>
  </w:style>
  <w:style w:type="paragraph" w:styleId="TOC3">
    <w:name w:val="toc 3"/>
    <w:basedOn w:val="Normal"/>
    <w:next w:val="Normal"/>
    <w:uiPriority w:val="39"/>
    <w:rsid w:val="0087231D"/>
    <w:pPr>
      <w:tabs>
        <w:tab w:val="right" w:pos="9356"/>
      </w:tabs>
      <w:spacing w:before="80"/>
      <w:ind w:left="1276" w:right="425" w:hanging="1276"/>
    </w:pPr>
  </w:style>
  <w:style w:type="paragraph" w:customStyle="1" w:styleId="Bullet">
    <w:name w:val="Bullet"/>
    <w:basedOn w:val="Normal"/>
    <w:link w:val="BulletChar"/>
    <w:qFormat/>
    <w:rsid w:val="0033412B"/>
    <w:pPr>
      <w:numPr>
        <w:numId w:val="1"/>
      </w:numPr>
      <w:spacing w:before="90"/>
    </w:pPr>
  </w:style>
  <w:style w:type="paragraph" w:styleId="Quote">
    <w:name w:val="Quote"/>
    <w:basedOn w:val="Normal"/>
    <w:next w:val="Normal"/>
    <w:qFormat/>
    <w:pPr>
      <w:spacing w:before="120"/>
      <w:ind w:left="284" w:right="284"/>
    </w:pPr>
  </w:style>
  <w:style w:type="paragraph" w:styleId="FootnoteText">
    <w:name w:val="footnote text"/>
    <w:basedOn w:val="Normal"/>
    <w:link w:val="FootnoteTextChar"/>
    <w:uiPriority w:val="99"/>
    <w:semiHidden/>
    <w:rsid w:val="003060E4"/>
    <w:pPr>
      <w:spacing w:before="60"/>
      <w:ind w:left="284" w:hanging="284"/>
    </w:pPr>
    <w:rPr>
      <w:sz w:val="18"/>
    </w:rPr>
  </w:style>
  <w:style w:type="paragraph" w:styleId="Header">
    <w:name w:val="header"/>
    <w:basedOn w:val="Normal"/>
    <w:link w:val="HeaderChar"/>
    <w:uiPriority w:val="99"/>
    <w:qFormat/>
    <w:rsid w:val="00D25FFE"/>
  </w:style>
  <w:style w:type="paragraph" w:styleId="Title">
    <w:name w:val="Title"/>
    <w:basedOn w:val="Normal"/>
    <w:next w:val="Normal"/>
    <w:link w:val="TitleChar"/>
    <w:qFormat/>
    <w:rsid w:val="00C30B65"/>
    <w:pPr>
      <w:pBdr>
        <w:bottom w:val="single" w:sz="48" w:space="6" w:color="auto"/>
      </w:pBdr>
      <w:ind w:right="1701"/>
    </w:pPr>
    <w:rPr>
      <w:b/>
      <w:sz w:val="60"/>
    </w:rPr>
  </w:style>
  <w:style w:type="paragraph" w:customStyle="1" w:styleId="Imprint">
    <w:name w:val="Imprint"/>
    <w:basedOn w:val="Normal"/>
    <w:next w:val="Normal"/>
    <w:qFormat/>
    <w:rsid w:val="0071741C"/>
    <w:pPr>
      <w:spacing w:after="240"/>
      <w:jc w:val="center"/>
    </w:pPr>
  </w:style>
  <w:style w:type="paragraph" w:styleId="Footer">
    <w:name w:val="footer"/>
    <w:basedOn w:val="Normal"/>
    <w:link w:val="FooterChar"/>
    <w:uiPriority w:val="99"/>
    <w:qFormat/>
    <w:rsid w:val="00447CB7"/>
    <w:pPr>
      <w:pBdr>
        <w:bottom w:val="single" w:sz="4" w:space="4" w:color="auto"/>
      </w:pBdr>
    </w:pPr>
  </w:style>
  <w:style w:type="character" w:styleId="PageNumber">
    <w:name w:val="page number"/>
    <w:rsid w:val="008D74D5"/>
    <w:rPr>
      <w:rFonts w:ascii="Georgia" w:hAnsi="Georgia"/>
      <w:b/>
      <w:sz w:val="22"/>
    </w:rPr>
  </w:style>
  <w:style w:type="paragraph" w:customStyle="1" w:styleId="VersoFooter">
    <w:name w:val="Verso Footer"/>
    <w:basedOn w:val="Footer"/>
    <w:rsid w:val="002546A1"/>
    <w:pPr>
      <w:pBdr>
        <w:top w:val="single" w:sz="4" w:space="4" w:color="auto"/>
        <w:bottom w:val="none" w:sz="0" w:space="0" w:color="auto"/>
      </w:pBdr>
      <w:ind w:left="709" w:hanging="709"/>
    </w:pPr>
    <w:rPr>
      <w:sz w:val="20"/>
    </w:rPr>
  </w:style>
  <w:style w:type="paragraph" w:customStyle="1" w:styleId="RectoFooter">
    <w:name w:val="Recto Footer"/>
    <w:basedOn w:val="Footer"/>
    <w:rsid w:val="002546A1"/>
    <w:pPr>
      <w:pBdr>
        <w:top w:val="single" w:sz="4" w:space="4" w:color="auto"/>
        <w:bottom w:val="none" w:sz="0" w:space="0" w:color="auto"/>
      </w:pBdr>
      <w:tabs>
        <w:tab w:val="right" w:pos="8647"/>
        <w:tab w:val="right" w:pos="9356"/>
      </w:tabs>
      <w:spacing w:line="240" w:lineRule="auto"/>
    </w:pPr>
    <w:rPr>
      <w:sz w:val="20"/>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uiPriority w:val="99"/>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qFormat/>
    <w:rsid w:val="007B7C70"/>
    <w:pPr>
      <w:spacing w:before="60" w:after="60" w:line="240" w:lineRule="auto"/>
    </w:pPr>
    <w:rPr>
      <w:rFonts w:ascii="Arial" w:hAnsi="Arial"/>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Box"/>
    <w:qFormat/>
    <w:rPr>
      <w:b/>
      <w:sz w:val="24"/>
    </w:rPr>
  </w:style>
  <w:style w:type="paragraph" w:customStyle="1" w:styleId="BoxBullet">
    <w:name w:val="BoxBullet"/>
    <w:basedOn w:val="Box"/>
    <w:qFormat/>
    <w:pPr>
      <w:numPr>
        <w:numId w:val="2"/>
      </w:numPr>
      <w:tabs>
        <w:tab w:val="clear" w:pos="360"/>
      </w:tabs>
      <w:spacing w:before="60"/>
      <w:ind w:left="568"/>
    </w:pPr>
  </w:style>
  <w:style w:type="paragraph" w:customStyle="1" w:styleId="IntroHead">
    <w:name w:val="IntroHead"/>
    <w:basedOn w:val="Heading1"/>
    <w:next w:val="Normal"/>
    <w:qFormat/>
    <w:rsid w:val="00D7087C"/>
    <w:pPr>
      <w:outlineLvl w:val="9"/>
    </w:pPr>
  </w:style>
  <w:style w:type="paragraph" w:customStyle="1" w:styleId="Source">
    <w:name w:val="Source"/>
    <w:basedOn w:val="Note"/>
    <w:next w:val="Normal"/>
    <w:qFormat/>
    <w:rsid w:val="0053199F"/>
  </w:style>
  <w:style w:type="paragraph" w:customStyle="1" w:styleId="Note">
    <w:name w:val="Note"/>
    <w:basedOn w:val="Normal"/>
    <w:next w:val="Normal"/>
    <w:link w:val="NoteChar"/>
    <w:qFormat/>
    <w:rsid w:val="004F0C94"/>
    <w:pPr>
      <w:pBdr>
        <w:bottom w:val="single" w:sz="4" w:space="6" w:color="auto"/>
      </w:pBdr>
      <w:spacing w:before="80"/>
      <w:ind w:left="284" w:right="2552" w:hanging="284"/>
    </w:pPr>
    <w:rPr>
      <w:rFonts w:ascii="Arial" w:hAnsi="Arial"/>
      <w:sz w:val="18"/>
    </w:rPr>
  </w:style>
  <w:style w:type="paragraph" w:customStyle="1" w:styleId="Subhead">
    <w:name w:val="Subhead"/>
    <w:basedOn w:val="Normal"/>
    <w:next w:val="Normal"/>
    <w:qFormat/>
    <w:rsid w:val="00343365"/>
    <w:pPr>
      <w:spacing w:before="180"/>
      <w:ind w:right="1701"/>
    </w:pPr>
    <w:rPr>
      <w:sz w:val="48"/>
    </w:rPr>
  </w:style>
  <w:style w:type="character" w:styleId="Hyperlink">
    <w:name w:val="Hyperlink"/>
    <w:uiPriority w:val="99"/>
    <w:rPr>
      <w:color w:val="auto"/>
      <w:u w:val="none"/>
    </w:rPr>
  </w:style>
  <w:style w:type="paragraph" w:customStyle="1" w:styleId="References">
    <w:name w:val="References"/>
    <w:basedOn w:val="Normal"/>
    <w:qFormat/>
    <w:rsid w:val="001460E0"/>
    <w:pPr>
      <w:spacing w:after="180"/>
    </w:pPr>
    <w:rPr>
      <w:sz w:val="21"/>
    </w:rPr>
  </w:style>
  <w:style w:type="paragraph" w:customStyle="1" w:styleId="TableDash">
    <w:name w:val="TableDash"/>
    <w:basedOn w:val="TableText"/>
    <w:qFormat/>
    <w:rsid w:val="0010541C"/>
    <w:pPr>
      <w:numPr>
        <w:numId w:val="4"/>
      </w:numPr>
      <w:spacing w:before="40" w:after="0"/>
    </w:pPr>
    <w:rPr>
      <w:szCs w:val="22"/>
    </w:rPr>
  </w:style>
  <w:style w:type="character" w:customStyle="1" w:styleId="NoteChar">
    <w:name w:val="Note Char"/>
    <w:link w:val="Note"/>
    <w:rsid w:val="004F0C94"/>
    <w:rPr>
      <w:rFonts w:ascii="Arial" w:hAnsi="Arial"/>
      <w:sz w:val="18"/>
      <w:lang w:eastAsia="en-GB"/>
    </w:rPr>
  </w:style>
  <w:style w:type="character" w:customStyle="1" w:styleId="FootnoteTextChar">
    <w:name w:val="Footnote Text Char"/>
    <w:link w:val="FootnoteText"/>
    <w:uiPriority w:val="99"/>
    <w:semiHidden/>
    <w:rsid w:val="003060E4"/>
    <w:rPr>
      <w:rFonts w:ascii="Georgia" w:hAnsi="Georgia"/>
      <w:sz w:val="18"/>
      <w:lang w:eastAsia="en-GB"/>
    </w:rPr>
  </w:style>
  <w:style w:type="table" w:styleId="TableGrid">
    <w:name w:val="Table Grid"/>
    <w:basedOn w:val="TableNormal"/>
    <w:uiPriority w:val="5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86388B"/>
    <w:rPr>
      <w:rFonts w:ascii="Georgia" w:hAnsi="Georgia"/>
      <w:sz w:val="22"/>
      <w:lang w:eastAsia="en-GB"/>
    </w:rPr>
  </w:style>
  <w:style w:type="character" w:customStyle="1" w:styleId="FooterChar">
    <w:name w:val="Footer Char"/>
    <w:link w:val="Footer"/>
    <w:uiPriority w:val="99"/>
    <w:rsid w:val="0086388B"/>
    <w:rPr>
      <w:rFonts w:ascii="Georgia" w:hAnsi="Georgia"/>
      <w:sz w:val="22"/>
      <w:lang w:eastAsia="en-GB"/>
    </w:rPr>
  </w:style>
  <w:style w:type="character" w:customStyle="1" w:styleId="Heading1Char">
    <w:name w:val="Heading 1 Char"/>
    <w:link w:val="Heading1"/>
    <w:uiPriority w:val="9"/>
    <w:rsid w:val="0086388B"/>
    <w:rPr>
      <w:rFonts w:ascii="Georgia" w:hAnsi="Georgia"/>
      <w:b/>
      <w:sz w:val="60"/>
      <w:lang w:eastAsia="en-GB"/>
    </w:rPr>
  </w:style>
  <w:style w:type="paragraph" w:styleId="Revision">
    <w:name w:val="Revision"/>
    <w:hidden/>
    <w:uiPriority w:val="99"/>
    <w:semiHidden/>
    <w:rsid w:val="0086388B"/>
    <w:rPr>
      <w:rFonts w:ascii="Calibri" w:eastAsia="Calibri" w:hAnsi="Calibri"/>
      <w:sz w:val="22"/>
      <w:szCs w:val="22"/>
      <w:lang w:val="en-US" w:eastAsia="en-US"/>
    </w:rPr>
  </w:style>
  <w:style w:type="character" w:customStyle="1" w:styleId="Heading2Char">
    <w:name w:val="Heading 2 Char"/>
    <w:link w:val="Heading2"/>
    <w:rsid w:val="0086388B"/>
    <w:rPr>
      <w:rFonts w:ascii="Georgia" w:hAnsi="Georgia"/>
      <w:b/>
      <w:sz w:val="40"/>
      <w:lang w:eastAsia="en-GB"/>
    </w:rPr>
  </w:style>
  <w:style w:type="character" w:customStyle="1" w:styleId="Heading3Char">
    <w:name w:val="Heading 3 Char"/>
    <w:link w:val="Heading3"/>
    <w:uiPriority w:val="9"/>
    <w:rsid w:val="0086388B"/>
    <w:rPr>
      <w:rFonts w:ascii="Georgia" w:hAnsi="Georgia"/>
      <w:b/>
      <w:sz w:val="28"/>
      <w:lang w:eastAsia="en-GB"/>
    </w:rPr>
  </w:style>
  <w:style w:type="character" w:customStyle="1" w:styleId="BulletChar">
    <w:name w:val="Bullet Char"/>
    <w:link w:val="Bullet"/>
    <w:locked/>
    <w:rsid w:val="00C30B65"/>
    <w:rPr>
      <w:rFonts w:ascii="Georgia" w:hAnsi="Georgia"/>
      <w:sz w:val="22"/>
      <w:lang w:eastAsia="en-GB"/>
    </w:rPr>
  </w:style>
  <w:style w:type="character" w:customStyle="1" w:styleId="TitleChar">
    <w:name w:val="Title Char"/>
    <w:link w:val="Title"/>
    <w:rsid w:val="00C30B65"/>
    <w:rPr>
      <w:rFonts w:ascii="Georgia" w:hAnsi="Georgia"/>
      <w:b/>
      <w:sz w:val="60"/>
      <w:lang w:eastAsia="en-GB"/>
    </w:rPr>
  </w:style>
  <w:style w:type="paragraph" w:customStyle="1" w:styleId="Year">
    <w:name w:val="Year"/>
    <w:basedOn w:val="Subhead"/>
    <w:next w:val="Subhead"/>
    <w:qFormat/>
    <w:rsid w:val="00C30B65"/>
    <w:pPr>
      <w:pBdr>
        <w:bottom w:val="single" w:sz="48" w:space="6" w:color="auto"/>
      </w:pBdr>
    </w:pPr>
  </w:style>
  <w:style w:type="paragraph" w:styleId="BalloonText">
    <w:name w:val="Balloon Text"/>
    <w:basedOn w:val="Normal"/>
    <w:link w:val="BalloonTextChar"/>
    <w:uiPriority w:val="99"/>
    <w:semiHidden/>
    <w:unhideWhenUsed/>
    <w:rsid w:val="00C30B6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0B65"/>
    <w:rPr>
      <w:rFonts w:ascii="Tahoma" w:hAnsi="Tahoma" w:cs="Tahoma"/>
      <w:sz w:val="16"/>
      <w:szCs w:val="16"/>
      <w:lang w:eastAsia="en-GB"/>
    </w:rPr>
  </w:style>
  <w:style w:type="character" w:styleId="CommentReference">
    <w:name w:val="annotation reference"/>
    <w:basedOn w:val="DefaultParagraphFont"/>
    <w:uiPriority w:val="99"/>
    <w:semiHidden/>
    <w:unhideWhenUsed/>
    <w:rsid w:val="00C30B65"/>
    <w:rPr>
      <w:sz w:val="16"/>
      <w:szCs w:val="16"/>
    </w:rPr>
  </w:style>
  <w:style w:type="paragraph" w:styleId="CommentSubject">
    <w:name w:val="annotation subject"/>
    <w:basedOn w:val="Normal"/>
    <w:link w:val="CommentSubjectChar"/>
    <w:uiPriority w:val="99"/>
    <w:semiHidden/>
    <w:unhideWhenUsed/>
    <w:rsid w:val="00700141"/>
    <w:rPr>
      <w:b/>
      <w:bCs/>
    </w:rPr>
  </w:style>
  <w:style w:type="character" w:customStyle="1" w:styleId="CommentSubjectChar">
    <w:name w:val="Comment Subject Char"/>
    <w:basedOn w:val="DefaultParagraphFont"/>
    <w:link w:val="CommentSubject"/>
    <w:uiPriority w:val="99"/>
    <w:semiHidden/>
    <w:rsid w:val="0070014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image" Target="media/image99.png"/><Relationship Id="rId21" Type="http://schemas.openxmlformats.org/officeDocument/2006/relationships/image" Target="media/image4.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6.png"/><Relationship Id="rId89" Type="http://schemas.openxmlformats.org/officeDocument/2006/relationships/image" Target="media/image71.png"/><Relationship Id="rId112" Type="http://schemas.openxmlformats.org/officeDocument/2006/relationships/image" Target="media/image94.png"/><Relationship Id="rId16" Type="http://schemas.openxmlformats.org/officeDocument/2006/relationships/hyperlink" Target="file:///C:\tan's%20stuff\AppData\lneilson\AppData\Local\Microsoft\Windows\Temporary%20Internet%20Files\Content.MSO\28B57001.tmp" TargetMode="External"/><Relationship Id="rId107" Type="http://schemas.openxmlformats.org/officeDocument/2006/relationships/image" Target="media/image89.png"/><Relationship Id="rId11" Type="http://schemas.openxmlformats.org/officeDocument/2006/relationships/image" Target="media/image2.png"/><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hyperlink" Target="http://www.health.govt.nz/our-work/diseases-and-conditions/obesity/childhood-obesity-plan" TargetMode="External"/><Relationship Id="rId58" Type="http://schemas.openxmlformats.org/officeDocument/2006/relationships/image" Target="media/image40.png"/><Relationship Id="rId74" Type="http://schemas.openxmlformats.org/officeDocument/2006/relationships/image" Target="media/image56.png"/><Relationship Id="rId79" Type="http://schemas.openxmlformats.org/officeDocument/2006/relationships/image" Target="media/image61.png"/><Relationship Id="rId102" Type="http://schemas.openxmlformats.org/officeDocument/2006/relationships/image" Target="media/image84.png"/><Relationship Id="rId123"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3.png"/><Relationship Id="rId82" Type="http://schemas.openxmlformats.org/officeDocument/2006/relationships/image" Target="media/image64.png"/><Relationship Id="rId90" Type="http://schemas.openxmlformats.org/officeDocument/2006/relationships/image" Target="media/image72.png"/><Relationship Id="rId95" Type="http://schemas.openxmlformats.org/officeDocument/2006/relationships/image" Target="media/image77.png"/><Relationship Id="rId19" Type="http://schemas.openxmlformats.org/officeDocument/2006/relationships/footer" Target="footer4.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image" Target="media/image59.png"/><Relationship Id="rId100" Type="http://schemas.openxmlformats.org/officeDocument/2006/relationships/image" Target="media/image82.png"/><Relationship Id="rId105" Type="http://schemas.openxmlformats.org/officeDocument/2006/relationships/image" Target="media/image87.png"/><Relationship Id="rId113" Type="http://schemas.openxmlformats.org/officeDocument/2006/relationships/image" Target="media/image95.png"/><Relationship Id="rId118" Type="http://schemas.openxmlformats.org/officeDocument/2006/relationships/image" Target="media/image100.png"/><Relationship Id="rId8" Type="http://schemas.openxmlformats.org/officeDocument/2006/relationships/endnotes" Target="endnotes.xml"/><Relationship Id="rId51" Type="http://schemas.openxmlformats.org/officeDocument/2006/relationships/image" Target="media/image34.png"/><Relationship Id="rId72" Type="http://schemas.openxmlformats.org/officeDocument/2006/relationships/image" Target="media/image54.png"/><Relationship Id="rId80" Type="http://schemas.openxmlformats.org/officeDocument/2006/relationships/image" Target="media/image62.png"/><Relationship Id="rId85" Type="http://schemas.openxmlformats.org/officeDocument/2006/relationships/image" Target="media/image67.png"/><Relationship Id="rId93" Type="http://schemas.openxmlformats.org/officeDocument/2006/relationships/image" Target="media/image75.png"/><Relationship Id="rId98" Type="http://schemas.openxmlformats.org/officeDocument/2006/relationships/image" Target="media/image80.png"/><Relationship Id="rId121" Type="http://schemas.openxmlformats.org/officeDocument/2006/relationships/footer" Target="footer6.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1.png"/><Relationship Id="rId67" Type="http://schemas.openxmlformats.org/officeDocument/2006/relationships/image" Target="media/image49.png"/><Relationship Id="rId103" Type="http://schemas.openxmlformats.org/officeDocument/2006/relationships/image" Target="media/image85.png"/><Relationship Id="rId108" Type="http://schemas.openxmlformats.org/officeDocument/2006/relationships/image" Target="media/image90.png"/><Relationship Id="rId116" Type="http://schemas.openxmlformats.org/officeDocument/2006/relationships/image" Target="media/image98.png"/><Relationship Id="rId20" Type="http://schemas.openxmlformats.org/officeDocument/2006/relationships/footer" Target="footer5.xml"/><Relationship Id="rId41" Type="http://schemas.openxmlformats.org/officeDocument/2006/relationships/image" Target="media/image24.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image" Target="media/image65.png"/><Relationship Id="rId88" Type="http://schemas.openxmlformats.org/officeDocument/2006/relationships/image" Target="media/image70.png"/><Relationship Id="rId91" Type="http://schemas.openxmlformats.org/officeDocument/2006/relationships/image" Target="media/image73.png"/><Relationship Id="rId96" Type="http://schemas.openxmlformats.org/officeDocument/2006/relationships/image" Target="media/image78.png"/><Relationship Id="rId111" Type="http://schemas.openxmlformats.org/officeDocument/2006/relationships/image" Target="media/image9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tan's%20stuff\AppData\lneilson\AppData\Local\Microsoft\Windows\Temporary%20Internet%20Files\Content.MSO\28B57001.tmp"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39.png"/><Relationship Id="rId106" Type="http://schemas.openxmlformats.org/officeDocument/2006/relationships/image" Target="media/image88.png"/><Relationship Id="rId114" Type="http://schemas.openxmlformats.org/officeDocument/2006/relationships/image" Target="media/image96.png"/><Relationship Id="rId119" Type="http://schemas.openxmlformats.org/officeDocument/2006/relationships/image" Target="media/image101.png"/><Relationship Id="rId10" Type="http://schemas.openxmlformats.org/officeDocument/2006/relationships/footer" Target="footer1.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header" Target="header3.xml"/><Relationship Id="rId39" Type="http://schemas.openxmlformats.org/officeDocument/2006/relationships/image" Target="media/image22.png"/><Relationship Id="rId109" Type="http://schemas.openxmlformats.org/officeDocument/2006/relationships/image" Target="media/image91.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7.png"/><Relationship Id="rId76" Type="http://schemas.openxmlformats.org/officeDocument/2006/relationships/image" Target="media/image58.png"/><Relationship Id="rId97" Type="http://schemas.openxmlformats.org/officeDocument/2006/relationships/image" Target="media/image79.png"/><Relationship Id="rId104" Type="http://schemas.openxmlformats.org/officeDocument/2006/relationships/image" Target="media/image86.png"/><Relationship Id="rId120" Type="http://schemas.openxmlformats.org/officeDocument/2006/relationships/header" Target="header4.xml"/><Relationship Id="rId7" Type="http://schemas.openxmlformats.org/officeDocument/2006/relationships/footnotes" Target="footnotes.xml"/><Relationship Id="rId71" Type="http://schemas.openxmlformats.org/officeDocument/2006/relationships/image" Target="media/image53.png"/><Relationship Id="rId92" Type="http://schemas.openxmlformats.org/officeDocument/2006/relationships/image" Target="media/image74.png"/><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8.png"/><Relationship Id="rId87" Type="http://schemas.openxmlformats.org/officeDocument/2006/relationships/image" Target="media/image69.png"/><Relationship Id="rId110" Type="http://schemas.openxmlformats.org/officeDocument/2006/relationships/image" Target="media/image92.png"/><Relationship Id="rId115" Type="http://schemas.openxmlformats.org/officeDocument/2006/relationships/image" Target="media/image97.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054717-0353-4D09-BA6C-64D1D87D9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4</TotalTime>
  <Pages>71</Pages>
  <Words>12612</Words>
  <Characters>71814</Characters>
  <Application>Microsoft Office Word</Application>
  <DocSecurity>0</DocSecurity>
  <Lines>598</Lines>
  <Paragraphs>168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84258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Indicators for the Well Child / Tamariki Ora Quality Improvement Framework: September 2015</dc:title>
  <dc:creator>Dianne Grain</dc:creator>
  <cp:lastModifiedBy>Ministry of Health</cp:lastModifiedBy>
  <cp:revision>3</cp:revision>
  <cp:lastPrinted>2016-01-14T21:46:00Z</cp:lastPrinted>
  <dcterms:created xsi:type="dcterms:W3CDTF">2016-02-03T02:19:00Z</dcterms:created>
  <dcterms:modified xsi:type="dcterms:W3CDTF">2016-02-03T02:40:00Z</dcterms:modified>
</cp:coreProperties>
</file>