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8" w:rsidRPr="00D54D50" w:rsidRDefault="00ED6788" w:rsidP="00D54D50">
      <w:pPr>
        <w:pStyle w:val="Title"/>
      </w:pPr>
      <w:r>
        <w:t>Vote Health</w:t>
      </w:r>
    </w:p>
    <w:p w:rsidR="00343365" w:rsidRDefault="00ED6788" w:rsidP="00343365">
      <w:pPr>
        <w:pStyle w:val="Year"/>
      </w:pPr>
      <w:r>
        <w:t>Report in relation to selected non-departmental appropriations for the year ended 30 June 2015</w:t>
      </w:r>
    </w:p>
    <w:p w:rsidR="00C86248" w:rsidRDefault="00C86248" w:rsidP="00343365">
      <w:pPr>
        <w:pStyle w:val="Subhead"/>
      </w:pPr>
    </w:p>
    <w:p w:rsidR="00142954" w:rsidRPr="00142954" w:rsidRDefault="00142954" w:rsidP="00142954">
      <w:pPr>
        <w:sectPr w:rsidR="00142954" w:rsidRPr="00142954" w:rsidSect="000F2AE2">
          <w:headerReference w:type="default" r:id="rId9"/>
          <w:footerReference w:type="default" r:id="rId10"/>
          <w:pgSz w:w="11907" w:h="16834" w:code="9"/>
          <w:pgMar w:top="3969" w:right="851" w:bottom="851" w:left="2552" w:header="851" w:footer="851" w:gutter="0"/>
          <w:cols w:space="720"/>
        </w:sectPr>
      </w:pPr>
    </w:p>
    <w:p w:rsidR="00A80363" w:rsidRPr="004246D0" w:rsidRDefault="00A80363">
      <w:pPr>
        <w:pStyle w:val="Imprint"/>
      </w:pPr>
      <w:r>
        <w:lastRenderedPageBreak/>
        <w:t xml:space="preserve">Citation: </w:t>
      </w:r>
      <w:r w:rsidR="00442C1C">
        <w:t>Minist</w:t>
      </w:r>
      <w:r w:rsidR="00E754F5">
        <w:t>er</w:t>
      </w:r>
      <w:r w:rsidR="00442C1C">
        <w:t xml:space="preserve"> of Health. </w:t>
      </w:r>
      <w:r w:rsidR="00ED6788">
        <w:t>2015</w:t>
      </w:r>
      <w:r w:rsidR="00442C1C">
        <w:t xml:space="preserve">. </w:t>
      </w:r>
      <w:r w:rsidR="00ED6788">
        <w:rPr>
          <w:i/>
        </w:rPr>
        <w:t>Vote Health: Report in relation to selected non</w:t>
      </w:r>
      <w:r w:rsidR="00ED6788">
        <w:rPr>
          <w:i/>
        </w:rPr>
        <w:noBreakHyphen/>
        <w:t>departmental appropriations for the year ended 30 June 2015</w:t>
      </w:r>
      <w:r w:rsidR="00442C1C">
        <w:t>.</w:t>
      </w:r>
      <w:r w:rsidR="00ED6788">
        <w:br/>
      </w:r>
      <w:r w:rsidR="00442C1C" w:rsidRPr="004246D0">
        <w:t>Wellington: Ministry of Health.</w:t>
      </w:r>
    </w:p>
    <w:p w:rsidR="00C86248" w:rsidRDefault="00C86248">
      <w:pPr>
        <w:pStyle w:val="Imprint"/>
      </w:pPr>
      <w:r w:rsidRPr="004246D0">
        <w:t xml:space="preserve">Published in </w:t>
      </w:r>
      <w:r w:rsidR="00ED6788" w:rsidRPr="004246D0">
        <w:t>October 2015</w:t>
      </w:r>
      <w:r w:rsidR="005019AE" w:rsidRPr="004246D0">
        <w:br/>
      </w:r>
      <w:r w:rsidRPr="004246D0">
        <w:t>by the</w:t>
      </w:r>
      <w:r w:rsidR="00442C1C" w:rsidRPr="004246D0">
        <w:t xml:space="preserve"> </w:t>
      </w:r>
      <w:r w:rsidRPr="004246D0">
        <w:t>Ministry of Health</w:t>
      </w:r>
      <w:r>
        <w:br/>
        <w:t>PO Box 5013, Wellington</w:t>
      </w:r>
      <w:r w:rsidR="00A80363">
        <w:t xml:space="preserve"> 6145</w:t>
      </w:r>
      <w:r>
        <w:t>, New Zealand</w:t>
      </w:r>
    </w:p>
    <w:p w:rsidR="00082CD6" w:rsidRPr="009C0F2D" w:rsidRDefault="00D863D0" w:rsidP="00082CD6">
      <w:pPr>
        <w:pStyle w:val="Imprint"/>
      </w:pPr>
      <w:r>
        <w:t>ISBN</w:t>
      </w:r>
      <w:r w:rsidR="00ED6788">
        <w:t xml:space="preserve"> </w:t>
      </w:r>
      <w:r w:rsidR="002C0577">
        <w:t>978-0-947491-25-3</w:t>
      </w:r>
      <w:r w:rsidR="00ED6788">
        <w:t xml:space="preserve"> </w:t>
      </w:r>
      <w:r>
        <w:t>(</w:t>
      </w:r>
      <w:r w:rsidR="00ED6788">
        <w:t>print</w:t>
      </w:r>
      <w:r>
        <w:t>)</w:t>
      </w:r>
      <w:r w:rsidR="00ED6788">
        <w:br/>
        <w:t xml:space="preserve">ISBN </w:t>
      </w:r>
      <w:r w:rsidR="002C0577">
        <w:t>978-0-947491-26-0</w:t>
      </w:r>
      <w:r w:rsidR="00ED6788">
        <w:t xml:space="preserve"> (online)</w:t>
      </w:r>
      <w:r w:rsidR="00082CD6">
        <w:br/>
      </w:r>
      <w:r w:rsidR="00082CD6" w:rsidRPr="009C0F2D">
        <w:t xml:space="preserve">HP </w:t>
      </w:r>
      <w:r w:rsidR="002C0577">
        <w:t>6290</w:t>
      </w:r>
    </w:p>
    <w:p w:rsidR="00C86248" w:rsidRDefault="00C86248">
      <w:pPr>
        <w:pStyle w:val="Imprint"/>
      </w:pPr>
      <w:r>
        <w:t xml:space="preserve">This document is available </w:t>
      </w:r>
      <w:r w:rsidR="0071741C">
        <w:t xml:space="preserve">at </w:t>
      </w:r>
      <w:r>
        <w:t>h</w:t>
      </w:r>
      <w:r w:rsidR="00A80363">
        <w:t>ealth</w:t>
      </w:r>
      <w:r>
        <w:t>.govt.nz</w:t>
      </w:r>
    </w:p>
    <w:p w:rsidR="00C86248" w:rsidRDefault="00C86248">
      <w:pPr>
        <w:jc w:val="center"/>
      </w:pPr>
    </w:p>
    <w:p w:rsidR="007E74F1" w:rsidRPr="007E74F1" w:rsidRDefault="007E74F1" w:rsidP="007E74F1">
      <w:pPr>
        <w:pStyle w:val="Heading3"/>
        <w:keepNext w:val="0"/>
        <w:shd w:val="clear" w:color="auto" w:fill="FFFFFF"/>
        <w:ind w:right="-851"/>
        <w:rPr>
          <w:sz w:val="18"/>
          <w:szCs w:val="18"/>
        </w:rPr>
      </w:pPr>
      <w:r>
        <w:rPr>
          <w:b w:val="0"/>
          <w:noProof/>
          <w:sz w:val="22"/>
          <w:szCs w:val="22"/>
          <w:lang w:eastAsia="en-NZ"/>
        </w:rPr>
        <w:drawing>
          <wp:inline distT="0" distB="0" distL="0" distR="0" wp14:anchorId="4A2956B0" wp14:editId="2EEF7861">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b w:val="0"/>
          <w:sz w:val="22"/>
          <w:szCs w:val="22"/>
        </w:rPr>
        <w:t xml:space="preserve"> </w:t>
      </w:r>
      <w:r w:rsidRPr="00D535D0">
        <w:rPr>
          <w:b w:val="0"/>
          <w:sz w:val="18"/>
          <w:szCs w:val="18"/>
        </w:rPr>
        <w:t>This work is licensed under the Creative Commons Attribution 4.0 Interna</w:t>
      </w:r>
      <w:r>
        <w:rPr>
          <w:b w:val="0"/>
          <w:sz w:val="18"/>
          <w:szCs w:val="18"/>
        </w:rPr>
        <w:t>tional</w:t>
      </w:r>
      <w:r w:rsidRPr="00D535D0">
        <w:rPr>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DE3B20" w:rsidRDefault="00DE3B20" w:rsidP="0021763B">
      <w:pPr>
        <w:pStyle w:val="Heading1"/>
      </w:pPr>
      <w:bookmarkStart w:id="0" w:name="_Toc433713772"/>
      <w:bookmarkStart w:id="1" w:name="_Toc405792991"/>
      <w:bookmarkStart w:id="2" w:name="_Toc405793224"/>
      <w:r>
        <w:lastRenderedPageBreak/>
        <w:t>Foreword</w:t>
      </w:r>
      <w:bookmarkEnd w:id="0"/>
    </w:p>
    <w:p w:rsidR="00ED6788" w:rsidRDefault="00ED6788" w:rsidP="00ED6788">
      <w:r>
        <w:t>As Minister of Health, I purchase advisory and support services from a number of organisations working in the health and disability sector. A significant number of those service providers do not report to Parliament directly.</w:t>
      </w:r>
    </w:p>
    <w:p w:rsidR="00ED6788" w:rsidRDefault="00ED6788" w:rsidP="00ED6788"/>
    <w:p w:rsidR="00ED6788" w:rsidRDefault="00ED6788" w:rsidP="00ED6788">
      <w:r>
        <w:t>In accordance with section 19 of the Public Finance Act 1989, the purpose of this report is to articulate service performance of those outputs delivered by third-party service providers funded directly by the Ministry of Health and not covered by other reporting to Parliament.</w:t>
      </w:r>
    </w:p>
    <w:p w:rsidR="00ED6788" w:rsidRDefault="00ED6788" w:rsidP="00ED6788"/>
    <w:p w:rsidR="00ED6788" w:rsidRDefault="00ED6788" w:rsidP="00ED6788"/>
    <w:p w:rsidR="00ED6788" w:rsidRDefault="00ED6788" w:rsidP="00ED6788"/>
    <w:p w:rsidR="00ED6788" w:rsidRDefault="00ED6788" w:rsidP="00ED6788"/>
    <w:p w:rsidR="00ED6788" w:rsidRDefault="00ED6788" w:rsidP="00ED6788"/>
    <w:p w:rsidR="00ED6788" w:rsidRDefault="00ED6788" w:rsidP="00ED6788"/>
    <w:p w:rsidR="00ED6788" w:rsidRDefault="00ED6788" w:rsidP="00ED6788">
      <w:r w:rsidRPr="000F4460">
        <w:t>Hon Dr Jonathan Coleman</w:t>
      </w:r>
    </w:p>
    <w:p w:rsidR="00DE3B20" w:rsidRDefault="00ED6788" w:rsidP="00ED6788">
      <w:r>
        <w:t>Minister of Health</w:t>
      </w:r>
    </w:p>
    <w:p w:rsidR="00E33238" w:rsidRDefault="00E33238" w:rsidP="00E33238"/>
    <w:p w:rsidR="006845C7" w:rsidRDefault="006845C7" w:rsidP="00E33238">
      <w:pPr>
        <w:sectPr w:rsidR="006845C7" w:rsidSect="00EA2E93">
          <w:headerReference w:type="even" r:id="rId14"/>
          <w:headerReference w:type="default" r:id="rId15"/>
          <w:footerReference w:type="even" r:id="rId16"/>
          <w:footerReference w:type="default" r:id="rId17"/>
          <w:pgSz w:w="11907" w:h="16840" w:code="9"/>
          <w:pgMar w:top="851" w:right="1134" w:bottom="1134" w:left="1134" w:header="284" w:footer="425" w:gutter="284"/>
          <w:pgNumType w:fmt="lowerRoman"/>
          <w:cols w:space="720"/>
        </w:sectPr>
      </w:pPr>
    </w:p>
    <w:p w:rsidR="006845C7" w:rsidRDefault="006845C7" w:rsidP="00E33238"/>
    <w:p w:rsidR="006845C7" w:rsidRDefault="006845C7" w:rsidP="00E33238">
      <w:pPr>
        <w:sectPr w:rsidR="006845C7" w:rsidSect="009D5125">
          <w:footerReference w:type="even" r:id="rId18"/>
          <w:pgSz w:w="11907" w:h="16840" w:code="9"/>
          <w:pgMar w:top="851" w:right="1134" w:bottom="1134" w:left="1134" w:header="284" w:footer="567" w:gutter="284"/>
          <w:pgNumType w:fmt="lowerRoman"/>
          <w:cols w:space="720"/>
        </w:sectPr>
      </w:pPr>
    </w:p>
    <w:p w:rsidR="00C86248" w:rsidRDefault="00C86248">
      <w:pPr>
        <w:pStyle w:val="IntroHead"/>
      </w:pPr>
      <w:r>
        <w:lastRenderedPageBreak/>
        <w:t>Contents</w:t>
      </w:r>
      <w:bookmarkEnd w:id="1"/>
      <w:bookmarkEnd w:id="2"/>
    </w:p>
    <w:p w:rsidR="0093145A"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93145A">
        <w:rPr>
          <w:noProof/>
        </w:rPr>
        <w:t>Foreword</w:t>
      </w:r>
      <w:r w:rsidR="0093145A">
        <w:rPr>
          <w:noProof/>
        </w:rPr>
        <w:tab/>
      </w:r>
      <w:r w:rsidR="0093145A">
        <w:rPr>
          <w:noProof/>
        </w:rPr>
        <w:fldChar w:fldCharType="begin"/>
      </w:r>
      <w:r w:rsidR="0093145A">
        <w:rPr>
          <w:noProof/>
        </w:rPr>
        <w:instrText xml:space="preserve"> PAGEREF _Toc433713772 \h </w:instrText>
      </w:r>
      <w:r w:rsidR="0093145A">
        <w:rPr>
          <w:noProof/>
        </w:rPr>
      </w:r>
      <w:r w:rsidR="0093145A">
        <w:rPr>
          <w:noProof/>
        </w:rPr>
        <w:fldChar w:fldCharType="separate"/>
      </w:r>
      <w:r w:rsidR="0093145A">
        <w:rPr>
          <w:noProof/>
        </w:rPr>
        <w:t>iii</w:t>
      </w:r>
      <w:r w:rsidR="0093145A">
        <w:rPr>
          <w:noProof/>
        </w:rPr>
        <w:fldChar w:fldCharType="end"/>
      </w:r>
    </w:p>
    <w:p w:rsidR="0093145A" w:rsidRDefault="0093145A">
      <w:pPr>
        <w:pStyle w:val="TOC1"/>
        <w:rPr>
          <w:rFonts w:asciiTheme="minorHAnsi" w:eastAsiaTheme="minorEastAsia" w:hAnsiTheme="minorHAnsi" w:cstheme="minorBidi"/>
          <w:b w:val="0"/>
          <w:noProof/>
          <w:szCs w:val="22"/>
          <w:lang w:eastAsia="en-NZ"/>
        </w:rPr>
      </w:pPr>
      <w:r>
        <w:rPr>
          <w:noProof/>
        </w:rPr>
        <w:t>Statement of performance</w:t>
      </w:r>
      <w:r>
        <w:rPr>
          <w:noProof/>
        </w:rPr>
        <w:tab/>
      </w:r>
      <w:r>
        <w:rPr>
          <w:noProof/>
        </w:rPr>
        <w:fldChar w:fldCharType="begin"/>
      </w:r>
      <w:r>
        <w:rPr>
          <w:noProof/>
        </w:rPr>
        <w:instrText xml:space="preserve"> PAGEREF _Toc433713773 \h </w:instrText>
      </w:r>
      <w:r>
        <w:rPr>
          <w:noProof/>
        </w:rPr>
      </w:r>
      <w:r>
        <w:rPr>
          <w:noProof/>
        </w:rPr>
        <w:fldChar w:fldCharType="separate"/>
      </w:r>
      <w:r>
        <w:rPr>
          <w:noProof/>
        </w:rPr>
        <w:t>1</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_Toc433713774 \h </w:instrText>
      </w:r>
      <w:r>
        <w:rPr>
          <w:noProof/>
        </w:rPr>
      </w:r>
      <w:r>
        <w:rPr>
          <w:noProof/>
        </w:rPr>
        <w:fldChar w:fldCharType="separate"/>
      </w:r>
      <w:r>
        <w:rPr>
          <w:noProof/>
        </w:rPr>
        <w:t>1</w:t>
      </w:r>
      <w:r>
        <w:rPr>
          <w:noProof/>
        </w:rPr>
        <w:fldChar w:fldCharType="end"/>
      </w:r>
    </w:p>
    <w:p w:rsidR="0093145A" w:rsidRDefault="0093145A">
      <w:pPr>
        <w:pStyle w:val="TOC1"/>
        <w:rPr>
          <w:rFonts w:asciiTheme="minorHAnsi" w:eastAsiaTheme="minorEastAsia" w:hAnsiTheme="minorHAnsi" w:cstheme="minorBidi"/>
          <w:b w:val="0"/>
          <w:noProof/>
          <w:szCs w:val="22"/>
          <w:lang w:eastAsia="en-NZ"/>
        </w:rPr>
      </w:pPr>
      <w:r>
        <w:rPr>
          <w:noProof/>
        </w:rPr>
        <w:t>Non-departmental expenses</w:t>
      </w:r>
      <w:r>
        <w:rPr>
          <w:noProof/>
        </w:rPr>
        <w:tab/>
      </w:r>
      <w:r>
        <w:rPr>
          <w:noProof/>
        </w:rPr>
        <w:fldChar w:fldCharType="begin"/>
      </w:r>
      <w:r>
        <w:rPr>
          <w:noProof/>
        </w:rPr>
        <w:instrText xml:space="preserve"> PAGEREF _Toc433713775 \h </w:instrText>
      </w:r>
      <w:r>
        <w:rPr>
          <w:noProof/>
        </w:rPr>
      </w:r>
      <w:r>
        <w:rPr>
          <w:noProof/>
        </w:rPr>
        <w:fldChar w:fldCharType="separate"/>
      </w:r>
      <w:r>
        <w:rPr>
          <w:noProof/>
        </w:rPr>
        <w:t>2</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Health workforce training and development</w:t>
      </w:r>
      <w:r>
        <w:rPr>
          <w:noProof/>
        </w:rPr>
        <w:tab/>
      </w:r>
      <w:r>
        <w:rPr>
          <w:noProof/>
        </w:rPr>
        <w:fldChar w:fldCharType="begin"/>
      </w:r>
      <w:r>
        <w:rPr>
          <w:noProof/>
        </w:rPr>
        <w:instrText xml:space="preserve"> PAGEREF _Toc433713776 \h </w:instrText>
      </w:r>
      <w:r>
        <w:rPr>
          <w:noProof/>
        </w:rPr>
      </w:r>
      <w:r>
        <w:rPr>
          <w:noProof/>
        </w:rPr>
        <w:fldChar w:fldCharType="separate"/>
      </w:r>
      <w:r>
        <w:rPr>
          <w:noProof/>
        </w:rPr>
        <w:t>2</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Monitoring and protecting health and disability consumer interests</w:t>
      </w:r>
      <w:r>
        <w:rPr>
          <w:noProof/>
        </w:rPr>
        <w:tab/>
      </w:r>
      <w:r>
        <w:rPr>
          <w:noProof/>
        </w:rPr>
        <w:fldChar w:fldCharType="begin"/>
      </w:r>
      <w:r>
        <w:rPr>
          <w:noProof/>
        </w:rPr>
        <w:instrText xml:space="preserve"> PAGEREF _Toc433713777 \h </w:instrText>
      </w:r>
      <w:r>
        <w:rPr>
          <w:noProof/>
        </w:rPr>
      </w:r>
      <w:r>
        <w:rPr>
          <w:noProof/>
        </w:rPr>
        <w:fldChar w:fldCharType="separate"/>
      </w:r>
      <w:r>
        <w:rPr>
          <w:noProof/>
        </w:rPr>
        <w:t>7</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National child health services</w:t>
      </w:r>
      <w:r>
        <w:rPr>
          <w:noProof/>
        </w:rPr>
        <w:tab/>
      </w:r>
      <w:r>
        <w:rPr>
          <w:noProof/>
        </w:rPr>
        <w:fldChar w:fldCharType="begin"/>
      </w:r>
      <w:r>
        <w:rPr>
          <w:noProof/>
        </w:rPr>
        <w:instrText xml:space="preserve"> PAGEREF _Toc433713778 \h </w:instrText>
      </w:r>
      <w:r>
        <w:rPr>
          <w:noProof/>
        </w:rPr>
      </w:r>
      <w:r>
        <w:rPr>
          <w:noProof/>
        </w:rPr>
        <w:fldChar w:fldCharType="separate"/>
      </w:r>
      <w:r>
        <w:rPr>
          <w:noProof/>
        </w:rPr>
        <w:t>10</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National contracted services – other</w:t>
      </w:r>
      <w:r>
        <w:rPr>
          <w:noProof/>
        </w:rPr>
        <w:tab/>
      </w:r>
      <w:r>
        <w:rPr>
          <w:noProof/>
        </w:rPr>
        <w:fldChar w:fldCharType="begin"/>
      </w:r>
      <w:r>
        <w:rPr>
          <w:noProof/>
        </w:rPr>
        <w:instrText xml:space="preserve"> PAGEREF _Toc433713779 \h </w:instrText>
      </w:r>
      <w:r>
        <w:rPr>
          <w:noProof/>
        </w:rPr>
      </w:r>
      <w:r>
        <w:rPr>
          <w:noProof/>
        </w:rPr>
        <w:fldChar w:fldCharType="separate"/>
      </w:r>
      <w:r>
        <w:rPr>
          <w:noProof/>
        </w:rPr>
        <w:t>13</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National disability support services</w:t>
      </w:r>
      <w:r>
        <w:rPr>
          <w:noProof/>
        </w:rPr>
        <w:tab/>
      </w:r>
      <w:r>
        <w:rPr>
          <w:noProof/>
        </w:rPr>
        <w:fldChar w:fldCharType="begin"/>
      </w:r>
      <w:r>
        <w:rPr>
          <w:noProof/>
        </w:rPr>
        <w:instrText xml:space="preserve"> PAGEREF _Toc433713780 \h </w:instrText>
      </w:r>
      <w:r>
        <w:rPr>
          <w:noProof/>
        </w:rPr>
      </w:r>
      <w:r>
        <w:rPr>
          <w:noProof/>
        </w:rPr>
        <w:fldChar w:fldCharType="separate"/>
      </w:r>
      <w:r>
        <w:rPr>
          <w:noProof/>
        </w:rPr>
        <w:t>15</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National elective services</w:t>
      </w:r>
      <w:r>
        <w:rPr>
          <w:noProof/>
        </w:rPr>
        <w:tab/>
      </w:r>
      <w:r>
        <w:rPr>
          <w:noProof/>
        </w:rPr>
        <w:fldChar w:fldCharType="begin"/>
      </w:r>
      <w:r>
        <w:rPr>
          <w:noProof/>
        </w:rPr>
        <w:instrText xml:space="preserve"> PAGEREF _Toc433713781 \h </w:instrText>
      </w:r>
      <w:r>
        <w:rPr>
          <w:noProof/>
        </w:rPr>
      </w:r>
      <w:r>
        <w:rPr>
          <w:noProof/>
        </w:rPr>
        <w:fldChar w:fldCharType="separate"/>
      </w:r>
      <w:r>
        <w:rPr>
          <w:noProof/>
        </w:rPr>
        <w:t>19</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National emergency services</w:t>
      </w:r>
      <w:r>
        <w:rPr>
          <w:noProof/>
        </w:rPr>
        <w:tab/>
      </w:r>
      <w:r>
        <w:rPr>
          <w:noProof/>
        </w:rPr>
        <w:fldChar w:fldCharType="begin"/>
      </w:r>
      <w:r>
        <w:rPr>
          <w:noProof/>
        </w:rPr>
        <w:instrText xml:space="preserve"> PAGEREF _Toc433713782 \h </w:instrText>
      </w:r>
      <w:r>
        <w:rPr>
          <w:noProof/>
        </w:rPr>
      </w:r>
      <w:r>
        <w:rPr>
          <w:noProof/>
        </w:rPr>
        <w:fldChar w:fldCharType="separate"/>
      </w:r>
      <w:r>
        <w:rPr>
          <w:noProof/>
        </w:rPr>
        <w:t>21</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National health information systems</w:t>
      </w:r>
      <w:r>
        <w:rPr>
          <w:noProof/>
        </w:rPr>
        <w:tab/>
      </w:r>
      <w:r>
        <w:rPr>
          <w:noProof/>
        </w:rPr>
        <w:fldChar w:fldCharType="begin"/>
      </w:r>
      <w:r>
        <w:rPr>
          <w:noProof/>
        </w:rPr>
        <w:instrText xml:space="preserve"> PAGEREF _Toc433713783 \h </w:instrText>
      </w:r>
      <w:r>
        <w:rPr>
          <w:noProof/>
        </w:rPr>
      </w:r>
      <w:r>
        <w:rPr>
          <w:noProof/>
        </w:rPr>
        <w:fldChar w:fldCharType="separate"/>
      </w:r>
      <w:r>
        <w:rPr>
          <w:noProof/>
        </w:rPr>
        <w:t>24</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National Māori health services</w:t>
      </w:r>
      <w:r>
        <w:rPr>
          <w:noProof/>
        </w:rPr>
        <w:tab/>
      </w:r>
      <w:r>
        <w:rPr>
          <w:noProof/>
        </w:rPr>
        <w:fldChar w:fldCharType="begin"/>
      </w:r>
      <w:r>
        <w:rPr>
          <w:noProof/>
        </w:rPr>
        <w:instrText xml:space="preserve"> PAGEREF _Toc433713784 \h </w:instrText>
      </w:r>
      <w:r>
        <w:rPr>
          <w:noProof/>
        </w:rPr>
      </w:r>
      <w:r>
        <w:rPr>
          <w:noProof/>
        </w:rPr>
        <w:fldChar w:fldCharType="separate"/>
      </w:r>
      <w:r>
        <w:rPr>
          <w:noProof/>
        </w:rPr>
        <w:t>26</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National maternity services</w:t>
      </w:r>
      <w:r>
        <w:rPr>
          <w:noProof/>
        </w:rPr>
        <w:tab/>
      </w:r>
      <w:r>
        <w:rPr>
          <w:noProof/>
        </w:rPr>
        <w:fldChar w:fldCharType="begin"/>
      </w:r>
      <w:r>
        <w:rPr>
          <w:noProof/>
        </w:rPr>
        <w:instrText xml:space="preserve"> PAGEREF _Toc433713785 \h </w:instrText>
      </w:r>
      <w:r>
        <w:rPr>
          <w:noProof/>
        </w:rPr>
      </w:r>
      <w:r>
        <w:rPr>
          <w:noProof/>
        </w:rPr>
        <w:fldChar w:fldCharType="separate"/>
      </w:r>
      <w:r>
        <w:rPr>
          <w:noProof/>
        </w:rPr>
        <w:t>29</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National mental health services</w:t>
      </w:r>
      <w:r>
        <w:rPr>
          <w:noProof/>
        </w:rPr>
        <w:tab/>
      </w:r>
      <w:r>
        <w:rPr>
          <w:noProof/>
        </w:rPr>
        <w:fldChar w:fldCharType="begin"/>
      </w:r>
      <w:r>
        <w:rPr>
          <w:noProof/>
        </w:rPr>
        <w:instrText xml:space="preserve"> PAGEREF _Toc433713786 \h </w:instrText>
      </w:r>
      <w:r>
        <w:rPr>
          <w:noProof/>
        </w:rPr>
      </w:r>
      <w:r>
        <w:rPr>
          <w:noProof/>
        </w:rPr>
        <w:fldChar w:fldCharType="separate"/>
      </w:r>
      <w:r>
        <w:rPr>
          <w:noProof/>
        </w:rPr>
        <w:t>31</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National personal health services</w:t>
      </w:r>
      <w:r>
        <w:rPr>
          <w:noProof/>
        </w:rPr>
        <w:tab/>
      </w:r>
      <w:r>
        <w:rPr>
          <w:noProof/>
        </w:rPr>
        <w:fldChar w:fldCharType="begin"/>
      </w:r>
      <w:r>
        <w:rPr>
          <w:noProof/>
        </w:rPr>
        <w:instrText xml:space="preserve"> PAGEREF _Toc433713787 \h </w:instrText>
      </w:r>
      <w:r>
        <w:rPr>
          <w:noProof/>
        </w:rPr>
      </w:r>
      <w:r>
        <w:rPr>
          <w:noProof/>
        </w:rPr>
        <w:fldChar w:fldCharType="separate"/>
      </w:r>
      <w:r>
        <w:rPr>
          <w:noProof/>
        </w:rPr>
        <w:t>38</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Primary Health Care Strategy</w:t>
      </w:r>
      <w:r>
        <w:rPr>
          <w:noProof/>
        </w:rPr>
        <w:tab/>
      </w:r>
      <w:r>
        <w:rPr>
          <w:noProof/>
        </w:rPr>
        <w:fldChar w:fldCharType="begin"/>
      </w:r>
      <w:r>
        <w:rPr>
          <w:noProof/>
        </w:rPr>
        <w:instrText xml:space="preserve"> PAGEREF _Toc433713788 \h </w:instrText>
      </w:r>
      <w:r>
        <w:rPr>
          <w:noProof/>
        </w:rPr>
      </w:r>
      <w:r>
        <w:rPr>
          <w:noProof/>
        </w:rPr>
        <w:fldChar w:fldCharType="separate"/>
      </w:r>
      <w:r>
        <w:rPr>
          <w:noProof/>
        </w:rPr>
        <w:t>42</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Problem gambling services</w:t>
      </w:r>
      <w:r>
        <w:rPr>
          <w:noProof/>
        </w:rPr>
        <w:tab/>
      </w:r>
      <w:r>
        <w:rPr>
          <w:noProof/>
        </w:rPr>
        <w:fldChar w:fldCharType="begin"/>
      </w:r>
      <w:r>
        <w:rPr>
          <w:noProof/>
        </w:rPr>
        <w:instrText xml:space="preserve"> PAGEREF _Toc433713789 \h </w:instrText>
      </w:r>
      <w:r>
        <w:rPr>
          <w:noProof/>
        </w:rPr>
      </w:r>
      <w:r>
        <w:rPr>
          <w:noProof/>
        </w:rPr>
        <w:fldChar w:fldCharType="separate"/>
      </w:r>
      <w:r>
        <w:rPr>
          <w:noProof/>
        </w:rPr>
        <w:t>45</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Public health service purchasing</w:t>
      </w:r>
      <w:r>
        <w:rPr>
          <w:noProof/>
        </w:rPr>
        <w:tab/>
      </w:r>
      <w:r>
        <w:rPr>
          <w:noProof/>
        </w:rPr>
        <w:fldChar w:fldCharType="begin"/>
      </w:r>
      <w:r>
        <w:rPr>
          <w:noProof/>
        </w:rPr>
        <w:instrText xml:space="preserve"> PAGEREF _Toc433713790 \h </w:instrText>
      </w:r>
      <w:r>
        <w:rPr>
          <w:noProof/>
        </w:rPr>
      </w:r>
      <w:r>
        <w:rPr>
          <w:noProof/>
        </w:rPr>
        <w:fldChar w:fldCharType="separate"/>
      </w:r>
      <w:r>
        <w:rPr>
          <w:noProof/>
        </w:rPr>
        <w:t>47</w:t>
      </w:r>
      <w:r>
        <w:rPr>
          <w:noProof/>
        </w:rPr>
        <w:fldChar w:fldCharType="end"/>
      </w:r>
    </w:p>
    <w:p w:rsidR="0093145A" w:rsidRDefault="0093145A">
      <w:pPr>
        <w:pStyle w:val="TOC1"/>
        <w:rPr>
          <w:rFonts w:asciiTheme="minorHAnsi" w:eastAsiaTheme="minorEastAsia" w:hAnsiTheme="minorHAnsi" w:cstheme="minorBidi"/>
          <w:b w:val="0"/>
          <w:noProof/>
          <w:szCs w:val="22"/>
          <w:lang w:eastAsia="en-NZ"/>
        </w:rPr>
      </w:pPr>
      <w:r>
        <w:rPr>
          <w:noProof/>
        </w:rPr>
        <w:t>Non-departmental other expenses</w:t>
      </w:r>
      <w:r>
        <w:rPr>
          <w:noProof/>
        </w:rPr>
        <w:tab/>
      </w:r>
      <w:r>
        <w:rPr>
          <w:noProof/>
        </w:rPr>
        <w:fldChar w:fldCharType="begin"/>
      </w:r>
      <w:r>
        <w:rPr>
          <w:noProof/>
        </w:rPr>
        <w:instrText xml:space="preserve"> PAGEREF _Toc433713791 \h </w:instrText>
      </w:r>
      <w:r>
        <w:rPr>
          <w:noProof/>
        </w:rPr>
      </w:r>
      <w:r>
        <w:rPr>
          <w:noProof/>
        </w:rPr>
        <w:fldChar w:fldCharType="separate"/>
      </w:r>
      <w:r>
        <w:rPr>
          <w:noProof/>
        </w:rPr>
        <w:t>63</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Provider development</w:t>
      </w:r>
      <w:r>
        <w:rPr>
          <w:noProof/>
        </w:rPr>
        <w:tab/>
      </w:r>
      <w:r>
        <w:rPr>
          <w:noProof/>
        </w:rPr>
        <w:fldChar w:fldCharType="begin"/>
      </w:r>
      <w:r>
        <w:rPr>
          <w:noProof/>
        </w:rPr>
        <w:instrText xml:space="preserve"> PAGEREF _Toc433713792 \h </w:instrText>
      </w:r>
      <w:r>
        <w:rPr>
          <w:noProof/>
        </w:rPr>
      </w:r>
      <w:r>
        <w:rPr>
          <w:noProof/>
        </w:rPr>
        <w:fldChar w:fldCharType="separate"/>
      </w:r>
      <w:r>
        <w:rPr>
          <w:noProof/>
        </w:rPr>
        <w:t>63</w:t>
      </w:r>
      <w:r>
        <w:rPr>
          <w:noProof/>
        </w:rPr>
        <w:fldChar w:fldCharType="end"/>
      </w:r>
    </w:p>
    <w:p w:rsidR="0093145A" w:rsidRDefault="0093145A">
      <w:pPr>
        <w:pStyle w:val="TOC1"/>
        <w:rPr>
          <w:rFonts w:asciiTheme="minorHAnsi" w:eastAsiaTheme="minorEastAsia" w:hAnsiTheme="minorHAnsi" w:cstheme="minorBidi"/>
          <w:b w:val="0"/>
          <w:noProof/>
          <w:szCs w:val="22"/>
          <w:lang w:eastAsia="en-NZ"/>
        </w:rPr>
      </w:pPr>
      <w:r>
        <w:rPr>
          <w:noProof/>
        </w:rPr>
        <w:t>Non-departmental capital expenditure</w:t>
      </w:r>
      <w:r>
        <w:rPr>
          <w:noProof/>
        </w:rPr>
        <w:tab/>
      </w:r>
      <w:r>
        <w:rPr>
          <w:noProof/>
        </w:rPr>
        <w:fldChar w:fldCharType="begin"/>
      </w:r>
      <w:r>
        <w:rPr>
          <w:noProof/>
        </w:rPr>
        <w:instrText xml:space="preserve"> PAGEREF _Toc433713793 \h </w:instrText>
      </w:r>
      <w:r>
        <w:rPr>
          <w:noProof/>
        </w:rPr>
      </w:r>
      <w:r>
        <w:rPr>
          <w:noProof/>
        </w:rPr>
        <w:fldChar w:fldCharType="separate"/>
      </w:r>
      <w:r>
        <w:rPr>
          <w:noProof/>
        </w:rPr>
        <w:t>67</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Equity for capital projects for DHBs and health sector Crown agencies</w:t>
      </w:r>
      <w:r>
        <w:rPr>
          <w:noProof/>
        </w:rPr>
        <w:tab/>
      </w:r>
      <w:r>
        <w:rPr>
          <w:noProof/>
        </w:rPr>
        <w:fldChar w:fldCharType="begin"/>
      </w:r>
      <w:r>
        <w:rPr>
          <w:noProof/>
        </w:rPr>
        <w:instrText xml:space="preserve"> PAGEREF _Toc433713794 \h </w:instrText>
      </w:r>
      <w:r>
        <w:rPr>
          <w:noProof/>
        </w:rPr>
      </w:r>
      <w:r>
        <w:rPr>
          <w:noProof/>
        </w:rPr>
        <w:fldChar w:fldCharType="separate"/>
      </w:r>
      <w:r>
        <w:rPr>
          <w:noProof/>
        </w:rPr>
        <w:t>67</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Health sector projects</w:t>
      </w:r>
      <w:r>
        <w:rPr>
          <w:noProof/>
        </w:rPr>
        <w:tab/>
      </w:r>
      <w:r>
        <w:rPr>
          <w:noProof/>
        </w:rPr>
        <w:fldChar w:fldCharType="begin"/>
      </w:r>
      <w:r>
        <w:rPr>
          <w:noProof/>
        </w:rPr>
        <w:instrText xml:space="preserve"> PAGEREF _Toc433713795 \h </w:instrText>
      </w:r>
      <w:r>
        <w:rPr>
          <w:noProof/>
        </w:rPr>
      </w:r>
      <w:r>
        <w:rPr>
          <w:noProof/>
        </w:rPr>
        <w:fldChar w:fldCharType="separate"/>
      </w:r>
      <w:r>
        <w:rPr>
          <w:noProof/>
        </w:rPr>
        <w:t>68</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Refinance of Crown loans</w:t>
      </w:r>
      <w:r>
        <w:rPr>
          <w:noProof/>
        </w:rPr>
        <w:tab/>
      </w:r>
      <w:r>
        <w:rPr>
          <w:noProof/>
        </w:rPr>
        <w:fldChar w:fldCharType="begin"/>
      </w:r>
      <w:r>
        <w:rPr>
          <w:noProof/>
        </w:rPr>
        <w:instrText xml:space="preserve"> PAGEREF _Toc433713796 \h </w:instrText>
      </w:r>
      <w:r>
        <w:rPr>
          <w:noProof/>
        </w:rPr>
      </w:r>
      <w:r>
        <w:rPr>
          <w:noProof/>
        </w:rPr>
        <w:fldChar w:fldCharType="separate"/>
      </w:r>
      <w:r>
        <w:rPr>
          <w:noProof/>
        </w:rPr>
        <w:t>69</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Refinance of DHB private debt</w:t>
      </w:r>
      <w:r>
        <w:rPr>
          <w:noProof/>
        </w:rPr>
        <w:tab/>
      </w:r>
      <w:r>
        <w:rPr>
          <w:noProof/>
        </w:rPr>
        <w:fldChar w:fldCharType="begin"/>
      </w:r>
      <w:r>
        <w:rPr>
          <w:noProof/>
        </w:rPr>
        <w:instrText xml:space="preserve"> PAGEREF _Toc433713797 \h </w:instrText>
      </w:r>
      <w:r>
        <w:rPr>
          <w:noProof/>
        </w:rPr>
      </w:r>
      <w:r>
        <w:rPr>
          <w:noProof/>
        </w:rPr>
        <w:fldChar w:fldCharType="separate"/>
      </w:r>
      <w:r>
        <w:rPr>
          <w:noProof/>
        </w:rPr>
        <w:t>70</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Residential care loans – payments</w:t>
      </w:r>
      <w:r>
        <w:rPr>
          <w:noProof/>
        </w:rPr>
        <w:tab/>
      </w:r>
      <w:r>
        <w:rPr>
          <w:noProof/>
        </w:rPr>
        <w:fldChar w:fldCharType="begin"/>
      </w:r>
      <w:r>
        <w:rPr>
          <w:noProof/>
        </w:rPr>
        <w:instrText xml:space="preserve"> PAGEREF _Toc433713798 \h </w:instrText>
      </w:r>
      <w:r>
        <w:rPr>
          <w:noProof/>
        </w:rPr>
      </w:r>
      <w:r>
        <w:rPr>
          <w:noProof/>
        </w:rPr>
        <w:fldChar w:fldCharType="separate"/>
      </w:r>
      <w:r>
        <w:rPr>
          <w:noProof/>
        </w:rPr>
        <w:t>71</w:t>
      </w:r>
      <w:r>
        <w:rPr>
          <w:noProof/>
        </w:rPr>
        <w:fldChar w:fldCharType="end"/>
      </w:r>
    </w:p>
    <w:p w:rsidR="0093145A" w:rsidRDefault="0093145A">
      <w:pPr>
        <w:pStyle w:val="TOC2"/>
        <w:rPr>
          <w:rFonts w:asciiTheme="minorHAnsi" w:eastAsiaTheme="minorEastAsia" w:hAnsiTheme="minorHAnsi" w:cstheme="minorBidi"/>
          <w:noProof/>
          <w:szCs w:val="22"/>
          <w:lang w:eastAsia="en-NZ"/>
        </w:rPr>
      </w:pPr>
      <w:r>
        <w:rPr>
          <w:noProof/>
        </w:rPr>
        <w:t>Loans for capital projects</w:t>
      </w:r>
      <w:r>
        <w:rPr>
          <w:noProof/>
        </w:rPr>
        <w:tab/>
      </w:r>
      <w:r>
        <w:rPr>
          <w:noProof/>
        </w:rPr>
        <w:fldChar w:fldCharType="begin"/>
      </w:r>
      <w:r>
        <w:rPr>
          <w:noProof/>
        </w:rPr>
        <w:instrText xml:space="preserve"> PAGEREF _Toc433713799 \h </w:instrText>
      </w:r>
      <w:r>
        <w:rPr>
          <w:noProof/>
        </w:rPr>
      </w:r>
      <w:r>
        <w:rPr>
          <w:noProof/>
        </w:rPr>
        <w:fldChar w:fldCharType="separate"/>
      </w:r>
      <w:r>
        <w:rPr>
          <w:noProof/>
        </w:rPr>
        <w:t>72</w:t>
      </w:r>
      <w:r>
        <w:rPr>
          <w:noProof/>
        </w:rPr>
        <w:fldChar w:fldCharType="end"/>
      </w:r>
    </w:p>
    <w:p w:rsidR="00C86248" w:rsidRDefault="00C86248">
      <w:r>
        <w:rPr>
          <w:b/>
        </w:rPr>
        <w:fldChar w:fldCharType="end"/>
      </w:r>
    </w:p>
    <w:p w:rsidR="00C86248" w:rsidRDefault="00C86248" w:rsidP="00ED6788"/>
    <w:p w:rsidR="00C86248" w:rsidRDefault="00C86248">
      <w:pPr>
        <w:sectPr w:rsidR="00C86248" w:rsidSect="00EA2E93">
          <w:pgSz w:w="11907" w:h="16840" w:code="9"/>
          <w:pgMar w:top="851" w:right="1134" w:bottom="1134" w:left="1134" w:header="284" w:footer="425" w:gutter="284"/>
          <w:pgNumType w:fmt="lowerRoman"/>
          <w:cols w:space="720"/>
        </w:sectPr>
      </w:pPr>
    </w:p>
    <w:p w:rsidR="008C2973" w:rsidRDefault="00ED6788" w:rsidP="0086388B">
      <w:pPr>
        <w:pStyle w:val="Heading1"/>
      </w:pPr>
      <w:bookmarkStart w:id="3" w:name="_Toc433713773"/>
      <w:r>
        <w:lastRenderedPageBreak/>
        <w:t xml:space="preserve">Statement of </w:t>
      </w:r>
      <w:r w:rsidR="00103978">
        <w:t>p</w:t>
      </w:r>
      <w:r>
        <w:t>erformance</w:t>
      </w:r>
      <w:bookmarkEnd w:id="3"/>
    </w:p>
    <w:p w:rsidR="0086388B" w:rsidRDefault="00ED6788" w:rsidP="00E76D66">
      <w:pPr>
        <w:pStyle w:val="Heading2"/>
      </w:pPr>
      <w:bookmarkStart w:id="4" w:name="_Toc433713774"/>
      <w:r>
        <w:t>Introduction</w:t>
      </w:r>
      <w:bookmarkEnd w:id="4"/>
    </w:p>
    <w:p w:rsidR="00ED6788" w:rsidRDefault="00ED6788" w:rsidP="006845C7">
      <w:bookmarkStart w:id="5" w:name="_Toc366851371"/>
      <w:r w:rsidRPr="007F473C">
        <w:t>This report</w:t>
      </w:r>
      <w:r>
        <w:t xml:space="preserve"> </w:t>
      </w:r>
      <w:r w:rsidRPr="007F473C">
        <w:t xml:space="preserve">is prepared under Section </w:t>
      </w:r>
      <w:r>
        <w:t>19</w:t>
      </w:r>
      <w:r w:rsidRPr="007F473C">
        <w:t xml:space="preserve"> of the Public Finance Act 1989, and covers the Vote Health appropriations used for purchasing outputs supplied by third-party service providers that do not report to Parliament directly on that expenditure.</w:t>
      </w:r>
    </w:p>
    <w:p w:rsidR="00ED6788" w:rsidRDefault="00ED6788" w:rsidP="006845C7"/>
    <w:p w:rsidR="006845C7" w:rsidRDefault="006845C7" w:rsidP="006845C7">
      <w:bookmarkStart w:id="6" w:name="_Toc432765742"/>
      <w:bookmarkEnd w:id="5"/>
      <w:r>
        <w:br w:type="page"/>
      </w:r>
    </w:p>
    <w:p w:rsidR="00ED6788" w:rsidRPr="0082782D" w:rsidRDefault="00ED6788" w:rsidP="006845C7">
      <w:pPr>
        <w:pStyle w:val="Heading1"/>
      </w:pPr>
      <w:bookmarkStart w:id="7" w:name="_Toc433713775"/>
      <w:r w:rsidRPr="005F4883">
        <w:lastRenderedPageBreak/>
        <w:t>N</w:t>
      </w:r>
      <w:r w:rsidR="006845C7">
        <w:t>on</w:t>
      </w:r>
      <w:r w:rsidRPr="005F4883">
        <w:t>-</w:t>
      </w:r>
      <w:r w:rsidR="006845C7">
        <w:t>departmental expenses</w:t>
      </w:r>
      <w:bookmarkStart w:id="8" w:name="_Toc334024786"/>
      <w:bookmarkStart w:id="9" w:name="_Toc336344018"/>
      <w:bookmarkStart w:id="10" w:name="_Toc337209189"/>
      <w:bookmarkStart w:id="11" w:name="_Toc368320023"/>
      <w:bookmarkStart w:id="12" w:name="_Toc388007464"/>
      <w:bookmarkStart w:id="13" w:name="_Toc388008157"/>
      <w:bookmarkEnd w:id="6"/>
      <w:bookmarkEnd w:id="7"/>
    </w:p>
    <w:p w:rsidR="000845D9" w:rsidRDefault="00ED6788" w:rsidP="006845C7">
      <w:pPr>
        <w:pStyle w:val="Heading2"/>
      </w:pPr>
      <w:bookmarkStart w:id="14" w:name="_Toc432765743"/>
      <w:bookmarkStart w:id="15" w:name="_Toc433713776"/>
      <w:bookmarkEnd w:id="8"/>
      <w:bookmarkEnd w:id="9"/>
      <w:bookmarkEnd w:id="10"/>
      <w:bookmarkEnd w:id="11"/>
      <w:bookmarkEnd w:id="12"/>
      <w:bookmarkEnd w:id="13"/>
      <w:r w:rsidRPr="000C7904">
        <w:t xml:space="preserve">Health </w:t>
      </w:r>
      <w:r w:rsidR="00103978">
        <w:t>w</w:t>
      </w:r>
      <w:r w:rsidRPr="000C7904">
        <w:t xml:space="preserve">orkforce </w:t>
      </w:r>
      <w:r w:rsidR="00103978">
        <w:t>t</w:t>
      </w:r>
      <w:r w:rsidRPr="000C7904">
        <w:t xml:space="preserve">raining and </w:t>
      </w:r>
      <w:r w:rsidR="00103978">
        <w:t>d</w:t>
      </w:r>
      <w:r w:rsidRPr="000C7904">
        <w:t>evelopment</w:t>
      </w:r>
      <w:bookmarkEnd w:id="14"/>
      <w:bookmarkEnd w:id="15"/>
    </w:p>
    <w:p w:rsidR="00ED6788" w:rsidRDefault="00ED6788" w:rsidP="006845C7">
      <w:r w:rsidRPr="00B15FCD">
        <w:t>This appropriation is</w:t>
      </w:r>
      <w:r>
        <w:t xml:space="preserve"> for the </w:t>
      </w:r>
      <w:r w:rsidRPr="00B15FCD">
        <w:t>provision of clinical training for doctors, nurses, dentists and other health professionals, and Voluntary Bonding Scheme claims</w:t>
      </w:r>
      <w:r>
        <w:t>.</w:t>
      </w:r>
      <w:r w:rsidRPr="00B15FCD">
        <w:t xml:space="preserve"> This appropriation is intended to </w:t>
      </w:r>
      <w:r>
        <w:t>ensure</w:t>
      </w:r>
      <w:r w:rsidRPr="00B15FCD">
        <w:t xml:space="preserve"> the New Zealand health sector is supported to develop a sustainable, flexible, and fit-for-purpose workforce through the funding of clinical training and other initiatives</w:t>
      </w:r>
      <w:r>
        <w:t>.</w:t>
      </w:r>
    </w:p>
    <w:p w:rsidR="006845C7" w:rsidRDefault="006845C7" w:rsidP="006845C7"/>
    <w:p w:rsidR="00ED6788" w:rsidRPr="00E43FA7" w:rsidRDefault="00ED6788" w:rsidP="006845C7">
      <w:pPr>
        <w:pStyle w:val="Heading3"/>
      </w:pPr>
      <w:r w:rsidRPr="00A6159F">
        <w:t xml:space="preserve">Summary of </w:t>
      </w:r>
      <w:r w:rsidR="006845C7">
        <w:t>o</w:t>
      </w:r>
      <w:r w:rsidRPr="00E170A6">
        <w:t>utput performance</w:t>
      </w:r>
    </w:p>
    <w:tbl>
      <w:tblPr>
        <w:tblW w:w="5000" w:type="pct"/>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1104"/>
        <w:gridCol w:w="4708"/>
        <w:gridCol w:w="1843"/>
        <w:gridCol w:w="1814"/>
      </w:tblGrid>
      <w:tr w:rsidR="006845C7" w:rsidRPr="006845C7" w:rsidTr="006845C7">
        <w:trPr>
          <w:cantSplit/>
        </w:trPr>
        <w:tc>
          <w:tcPr>
            <w:tcW w:w="583" w:type="pct"/>
            <w:tcBorders>
              <w:top w:val="single" w:sz="4" w:space="0" w:color="auto"/>
              <w:bottom w:val="single" w:sz="4" w:space="0" w:color="auto"/>
            </w:tcBorders>
          </w:tcPr>
          <w:p w:rsidR="00ED6788" w:rsidRPr="006845C7" w:rsidRDefault="00ED6788" w:rsidP="006845C7">
            <w:pPr>
              <w:pStyle w:val="TableText"/>
              <w:ind w:right="142"/>
              <w:jc w:val="right"/>
              <w:rPr>
                <w:b/>
              </w:rPr>
            </w:pPr>
            <w:r w:rsidRPr="006845C7">
              <w:rPr>
                <w:b/>
              </w:rPr>
              <w:t>Actual 2013/14</w:t>
            </w:r>
          </w:p>
        </w:tc>
        <w:tc>
          <w:tcPr>
            <w:tcW w:w="2486" w:type="pct"/>
            <w:tcBorders>
              <w:top w:val="single" w:sz="4" w:space="0" w:color="auto"/>
              <w:bottom w:val="single" w:sz="4" w:space="0" w:color="auto"/>
            </w:tcBorders>
          </w:tcPr>
          <w:p w:rsidR="00ED6788" w:rsidRPr="006845C7" w:rsidRDefault="00ED6788" w:rsidP="006845C7">
            <w:pPr>
              <w:pStyle w:val="TableText"/>
              <w:rPr>
                <w:b/>
              </w:rPr>
            </w:pPr>
            <w:r w:rsidRPr="006845C7">
              <w:rPr>
                <w:b/>
              </w:rPr>
              <w:t>Performance measure</w:t>
            </w:r>
          </w:p>
        </w:tc>
        <w:tc>
          <w:tcPr>
            <w:tcW w:w="973" w:type="pct"/>
            <w:tcBorders>
              <w:top w:val="single" w:sz="4" w:space="0" w:color="auto"/>
              <w:bottom w:val="single" w:sz="4" w:space="0" w:color="auto"/>
            </w:tcBorders>
          </w:tcPr>
          <w:p w:rsidR="00ED6788" w:rsidRPr="006845C7" w:rsidRDefault="00ED6788" w:rsidP="006845C7">
            <w:pPr>
              <w:pStyle w:val="TableText"/>
              <w:ind w:right="142"/>
              <w:jc w:val="right"/>
              <w:rPr>
                <w:b/>
              </w:rPr>
            </w:pPr>
            <w:r w:rsidRPr="006845C7">
              <w:rPr>
                <w:b/>
              </w:rPr>
              <w:t>Standard</w:t>
            </w:r>
            <w:r w:rsidRPr="006845C7">
              <w:rPr>
                <w:b/>
              </w:rPr>
              <w:br/>
              <w:t>2014/15</w:t>
            </w:r>
          </w:p>
        </w:tc>
        <w:tc>
          <w:tcPr>
            <w:tcW w:w="958" w:type="pct"/>
            <w:tcBorders>
              <w:top w:val="single" w:sz="4" w:space="0" w:color="auto"/>
              <w:bottom w:val="single" w:sz="4" w:space="0" w:color="auto"/>
            </w:tcBorders>
            <w:shd w:val="clear" w:color="auto" w:fill="D9D9D9"/>
          </w:tcPr>
          <w:p w:rsidR="00ED6788" w:rsidRPr="006845C7" w:rsidRDefault="00ED6788" w:rsidP="006845C7">
            <w:pPr>
              <w:pStyle w:val="TableText"/>
              <w:ind w:right="57"/>
              <w:jc w:val="right"/>
              <w:rPr>
                <w:b/>
              </w:rPr>
            </w:pPr>
            <w:r w:rsidRPr="006845C7">
              <w:rPr>
                <w:b/>
              </w:rPr>
              <w:t>Actual</w:t>
            </w:r>
            <w:r w:rsidRPr="006845C7">
              <w:rPr>
                <w:b/>
              </w:rPr>
              <w:br/>
              <w:t>2014/15</w:t>
            </w:r>
          </w:p>
        </w:tc>
      </w:tr>
      <w:tr w:rsidR="006845C7" w:rsidRPr="0031110B" w:rsidTr="006845C7">
        <w:trPr>
          <w:cantSplit/>
        </w:trPr>
        <w:tc>
          <w:tcPr>
            <w:tcW w:w="583" w:type="pct"/>
          </w:tcPr>
          <w:p w:rsidR="00ED6788" w:rsidRPr="00F45139" w:rsidRDefault="00ED6788" w:rsidP="006845C7">
            <w:pPr>
              <w:pStyle w:val="TableText"/>
              <w:ind w:right="142"/>
              <w:jc w:val="right"/>
            </w:pPr>
            <w:r w:rsidRPr="00F45139">
              <w:t>New</w:t>
            </w:r>
          </w:p>
        </w:tc>
        <w:tc>
          <w:tcPr>
            <w:tcW w:w="2486" w:type="pct"/>
          </w:tcPr>
          <w:p w:rsidR="00ED6788" w:rsidRPr="0031110B" w:rsidRDefault="00ED6788" w:rsidP="006845C7">
            <w:pPr>
              <w:pStyle w:val="TableText"/>
            </w:pPr>
            <w:r w:rsidRPr="0031110B">
              <w:t>The number of post-entry clinical trainees funded, or</w:t>
            </w:r>
          </w:p>
        </w:tc>
        <w:tc>
          <w:tcPr>
            <w:tcW w:w="973" w:type="pct"/>
          </w:tcPr>
          <w:p w:rsidR="00ED6788" w:rsidRPr="0031110B" w:rsidRDefault="00ED6788" w:rsidP="006845C7">
            <w:pPr>
              <w:pStyle w:val="TableText"/>
              <w:ind w:right="142"/>
              <w:jc w:val="right"/>
            </w:pPr>
            <w:r w:rsidRPr="0031110B">
              <w:t>5057 trainees</w:t>
            </w:r>
          </w:p>
        </w:tc>
        <w:tc>
          <w:tcPr>
            <w:tcW w:w="958" w:type="pct"/>
            <w:shd w:val="clear" w:color="auto" w:fill="D9D9D9"/>
          </w:tcPr>
          <w:p w:rsidR="00ED6788" w:rsidRPr="0031110B" w:rsidRDefault="006845C7" w:rsidP="006845C7">
            <w:pPr>
              <w:pStyle w:val="TableText"/>
              <w:ind w:right="57"/>
              <w:jc w:val="right"/>
            </w:pPr>
            <w:r>
              <w:t>5</w:t>
            </w:r>
            <w:r w:rsidR="00ED6788">
              <w:t>369</w:t>
            </w:r>
            <w:r w:rsidR="000845D9">
              <w:t xml:space="preserve"> </w:t>
            </w:r>
            <w:r w:rsidR="00ED6788" w:rsidRPr="00D90FB0">
              <w:t>trainees</w:t>
            </w:r>
          </w:p>
        </w:tc>
      </w:tr>
      <w:tr w:rsidR="006845C7" w:rsidRPr="0031110B" w:rsidTr="006845C7">
        <w:trPr>
          <w:cantSplit/>
        </w:trPr>
        <w:tc>
          <w:tcPr>
            <w:tcW w:w="583" w:type="pct"/>
          </w:tcPr>
          <w:p w:rsidR="00ED6788" w:rsidRPr="00F45139" w:rsidRDefault="00ED6788" w:rsidP="006845C7">
            <w:pPr>
              <w:pStyle w:val="TableText"/>
              <w:ind w:right="142"/>
              <w:jc w:val="right"/>
            </w:pPr>
            <w:r w:rsidRPr="00F45139">
              <w:t>New</w:t>
            </w:r>
          </w:p>
        </w:tc>
        <w:tc>
          <w:tcPr>
            <w:tcW w:w="2486" w:type="pct"/>
          </w:tcPr>
          <w:p w:rsidR="00ED6788" w:rsidRPr="0031110B" w:rsidRDefault="006845C7" w:rsidP="006845C7">
            <w:pPr>
              <w:pStyle w:val="TableText"/>
            </w:pPr>
            <w:r>
              <w:t>R</w:t>
            </w:r>
            <w:r w:rsidR="00ED6788" w:rsidRPr="0031110B">
              <w:t>elevant training units delivered and funded:</w:t>
            </w:r>
          </w:p>
        </w:tc>
        <w:tc>
          <w:tcPr>
            <w:tcW w:w="973" w:type="pct"/>
          </w:tcPr>
          <w:p w:rsidR="00ED6788" w:rsidRPr="0031110B" w:rsidRDefault="006845C7" w:rsidP="006845C7">
            <w:pPr>
              <w:pStyle w:val="TableText"/>
              <w:ind w:right="142"/>
              <w:jc w:val="right"/>
            </w:pPr>
            <w:r>
              <w:t>1901 training units</w:t>
            </w:r>
          </w:p>
        </w:tc>
        <w:tc>
          <w:tcPr>
            <w:tcW w:w="958" w:type="pct"/>
            <w:shd w:val="clear" w:color="auto" w:fill="D9D9D9"/>
          </w:tcPr>
          <w:p w:rsidR="00ED6788" w:rsidRPr="0031110B" w:rsidRDefault="00ED6788" w:rsidP="006845C7">
            <w:pPr>
              <w:pStyle w:val="TableText"/>
              <w:ind w:right="57"/>
              <w:jc w:val="right"/>
            </w:pPr>
            <w:r w:rsidRPr="00D90FB0">
              <w:t>1</w:t>
            </w:r>
            <w:r>
              <w:t>826</w:t>
            </w:r>
            <w:r w:rsidR="006845C7">
              <w:t xml:space="preserve"> </w:t>
            </w:r>
            <w:r w:rsidRPr="00D90FB0">
              <w:t>training units</w:t>
            </w:r>
          </w:p>
        </w:tc>
      </w:tr>
      <w:tr w:rsidR="006845C7" w:rsidRPr="0031110B" w:rsidTr="006845C7">
        <w:trPr>
          <w:cantSplit/>
        </w:trPr>
        <w:tc>
          <w:tcPr>
            <w:tcW w:w="583" w:type="pct"/>
          </w:tcPr>
          <w:p w:rsidR="00ED6788" w:rsidRPr="0031110B" w:rsidRDefault="00ED6788" w:rsidP="006845C7">
            <w:pPr>
              <w:pStyle w:val="TableText"/>
              <w:ind w:right="142"/>
              <w:jc w:val="right"/>
            </w:pPr>
          </w:p>
        </w:tc>
        <w:tc>
          <w:tcPr>
            <w:tcW w:w="2486" w:type="pct"/>
          </w:tcPr>
          <w:p w:rsidR="00ED6788" w:rsidRPr="006845C7" w:rsidRDefault="00ED6788" w:rsidP="006845C7">
            <w:pPr>
              <w:pStyle w:val="TableText"/>
              <w:rPr>
                <w:b/>
              </w:rPr>
            </w:pPr>
            <w:r w:rsidRPr="006845C7">
              <w:rPr>
                <w:b/>
              </w:rPr>
              <w:t>The number of funded trainees:</w:t>
            </w:r>
          </w:p>
        </w:tc>
        <w:tc>
          <w:tcPr>
            <w:tcW w:w="973" w:type="pct"/>
          </w:tcPr>
          <w:p w:rsidR="00ED6788" w:rsidRPr="0031110B" w:rsidRDefault="00ED6788" w:rsidP="006845C7">
            <w:pPr>
              <w:pStyle w:val="TableText"/>
              <w:ind w:right="142"/>
              <w:jc w:val="right"/>
            </w:pPr>
          </w:p>
        </w:tc>
        <w:tc>
          <w:tcPr>
            <w:tcW w:w="958" w:type="pct"/>
            <w:shd w:val="clear" w:color="auto" w:fill="D9D9D9"/>
          </w:tcPr>
          <w:p w:rsidR="00ED6788" w:rsidRPr="0031110B" w:rsidRDefault="00ED6788" w:rsidP="006845C7">
            <w:pPr>
              <w:pStyle w:val="TableText"/>
              <w:ind w:right="57"/>
              <w:jc w:val="right"/>
            </w:pPr>
          </w:p>
        </w:tc>
      </w:tr>
      <w:tr w:rsidR="006845C7" w:rsidRPr="0031110B" w:rsidTr="006845C7">
        <w:trPr>
          <w:cantSplit/>
        </w:trPr>
        <w:tc>
          <w:tcPr>
            <w:tcW w:w="583" w:type="pct"/>
          </w:tcPr>
          <w:p w:rsidR="00ED6788" w:rsidRPr="0031110B" w:rsidRDefault="00ED6788" w:rsidP="00C25CC8">
            <w:pPr>
              <w:pStyle w:val="TableText"/>
              <w:spacing w:before="0"/>
              <w:ind w:right="142"/>
              <w:jc w:val="right"/>
            </w:pPr>
            <w:r>
              <w:t>708</w:t>
            </w:r>
          </w:p>
        </w:tc>
        <w:tc>
          <w:tcPr>
            <w:tcW w:w="2486" w:type="pct"/>
          </w:tcPr>
          <w:p w:rsidR="00ED6788" w:rsidRPr="000F4460" w:rsidRDefault="00ED6788" w:rsidP="00C25CC8">
            <w:pPr>
              <w:pStyle w:val="TableBullet"/>
            </w:pPr>
            <w:r w:rsidRPr="000F4460">
              <w:t>Non-vocational medical</w:t>
            </w:r>
          </w:p>
        </w:tc>
        <w:tc>
          <w:tcPr>
            <w:tcW w:w="973" w:type="pct"/>
          </w:tcPr>
          <w:p w:rsidR="00ED6788" w:rsidRPr="0031110B" w:rsidRDefault="00ED6788" w:rsidP="00C25CC8">
            <w:pPr>
              <w:pStyle w:val="TableText"/>
              <w:spacing w:before="0"/>
              <w:ind w:right="142"/>
              <w:jc w:val="right"/>
            </w:pPr>
            <w:r w:rsidRPr="0031110B">
              <w:t>627</w:t>
            </w:r>
          </w:p>
        </w:tc>
        <w:tc>
          <w:tcPr>
            <w:tcW w:w="958" w:type="pct"/>
            <w:shd w:val="clear" w:color="auto" w:fill="D9D9D9"/>
          </w:tcPr>
          <w:p w:rsidR="00ED6788" w:rsidRPr="00D90FB0" w:rsidRDefault="00ED6788" w:rsidP="00C25CC8">
            <w:pPr>
              <w:pStyle w:val="TableText"/>
              <w:spacing w:before="0"/>
              <w:ind w:right="57"/>
              <w:jc w:val="right"/>
            </w:pPr>
            <w:r w:rsidRPr="00D90FB0">
              <w:t>7</w:t>
            </w:r>
            <w:r>
              <w:t>52</w:t>
            </w:r>
            <w:r w:rsidR="006845C7">
              <w:br/>
            </w:r>
            <w:r w:rsidRPr="00175060">
              <w:t xml:space="preserve">see Note </w:t>
            </w:r>
            <w:r>
              <w:t>A</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t>1485</w:t>
            </w:r>
          </w:p>
        </w:tc>
        <w:tc>
          <w:tcPr>
            <w:tcW w:w="2486" w:type="pct"/>
          </w:tcPr>
          <w:p w:rsidR="00ED6788" w:rsidRPr="000F4460" w:rsidRDefault="00ED6788" w:rsidP="00C25CC8">
            <w:pPr>
              <w:pStyle w:val="TableBullet"/>
            </w:pPr>
            <w:r w:rsidRPr="000F4460">
              <w:t>Vocational medical</w:t>
            </w:r>
          </w:p>
        </w:tc>
        <w:tc>
          <w:tcPr>
            <w:tcW w:w="973" w:type="pct"/>
          </w:tcPr>
          <w:p w:rsidR="00ED6788" w:rsidRPr="0031110B" w:rsidRDefault="00ED6788" w:rsidP="00C25CC8">
            <w:pPr>
              <w:pStyle w:val="TableText"/>
              <w:spacing w:before="0"/>
              <w:ind w:right="142"/>
              <w:jc w:val="right"/>
            </w:pPr>
            <w:r w:rsidRPr="0031110B">
              <w:t>1146</w:t>
            </w:r>
          </w:p>
        </w:tc>
        <w:tc>
          <w:tcPr>
            <w:tcW w:w="958" w:type="pct"/>
            <w:shd w:val="clear" w:color="auto" w:fill="D9D9D9"/>
          </w:tcPr>
          <w:p w:rsidR="00ED6788" w:rsidRPr="00D90FB0" w:rsidRDefault="006845C7" w:rsidP="00C25CC8">
            <w:pPr>
              <w:pStyle w:val="TableText"/>
              <w:spacing w:before="0"/>
              <w:ind w:right="57"/>
              <w:jc w:val="right"/>
            </w:pPr>
            <w:r>
              <w:t>1</w:t>
            </w:r>
            <w:r w:rsidR="00ED6788">
              <w:t>269</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t>159</w:t>
            </w:r>
          </w:p>
        </w:tc>
        <w:tc>
          <w:tcPr>
            <w:tcW w:w="2486" w:type="pct"/>
          </w:tcPr>
          <w:p w:rsidR="00ED6788" w:rsidRPr="000F4460" w:rsidRDefault="00ED6788" w:rsidP="00C25CC8">
            <w:pPr>
              <w:pStyle w:val="TableBullet"/>
            </w:pPr>
            <w:r w:rsidRPr="000F4460">
              <w:t>Technician medical</w:t>
            </w:r>
          </w:p>
        </w:tc>
        <w:tc>
          <w:tcPr>
            <w:tcW w:w="973" w:type="pct"/>
          </w:tcPr>
          <w:p w:rsidR="00ED6788" w:rsidRPr="0031110B" w:rsidRDefault="00ED6788" w:rsidP="00C25CC8">
            <w:pPr>
              <w:pStyle w:val="TableText"/>
              <w:spacing w:before="0"/>
              <w:ind w:right="142"/>
              <w:jc w:val="right"/>
            </w:pPr>
            <w:r w:rsidRPr="0031110B">
              <w:t>148</w:t>
            </w:r>
          </w:p>
        </w:tc>
        <w:tc>
          <w:tcPr>
            <w:tcW w:w="958" w:type="pct"/>
            <w:shd w:val="clear" w:color="auto" w:fill="D9D9D9"/>
          </w:tcPr>
          <w:p w:rsidR="00ED6788" w:rsidRPr="00D90FB0" w:rsidRDefault="00ED6788" w:rsidP="00C25CC8">
            <w:pPr>
              <w:pStyle w:val="TableText"/>
              <w:spacing w:before="0"/>
              <w:ind w:right="57"/>
              <w:jc w:val="right"/>
            </w:pPr>
            <w:r w:rsidRPr="00D90FB0">
              <w:t>17</w:t>
            </w:r>
            <w:r>
              <w:t>8</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t>278</w:t>
            </w:r>
          </w:p>
        </w:tc>
        <w:tc>
          <w:tcPr>
            <w:tcW w:w="2486" w:type="pct"/>
          </w:tcPr>
          <w:p w:rsidR="00ED6788" w:rsidRPr="000F4460" w:rsidRDefault="00ED6788" w:rsidP="00C25CC8">
            <w:pPr>
              <w:pStyle w:val="TableBullet"/>
            </w:pPr>
            <w:r w:rsidRPr="000F4460">
              <w:t>General practice</w:t>
            </w:r>
          </w:p>
        </w:tc>
        <w:tc>
          <w:tcPr>
            <w:tcW w:w="973" w:type="pct"/>
          </w:tcPr>
          <w:p w:rsidR="00ED6788" w:rsidRPr="0031110B" w:rsidRDefault="00ED6788" w:rsidP="00C25CC8">
            <w:pPr>
              <w:pStyle w:val="TableText"/>
              <w:spacing w:before="0"/>
              <w:ind w:right="142"/>
              <w:jc w:val="right"/>
            </w:pPr>
            <w:r w:rsidRPr="0031110B">
              <w:t>260</w:t>
            </w:r>
          </w:p>
        </w:tc>
        <w:tc>
          <w:tcPr>
            <w:tcW w:w="958" w:type="pct"/>
            <w:shd w:val="clear" w:color="auto" w:fill="D9D9D9"/>
          </w:tcPr>
          <w:p w:rsidR="00ED6788" w:rsidRPr="00D90FB0" w:rsidRDefault="00ED6788" w:rsidP="00C25CC8">
            <w:pPr>
              <w:pStyle w:val="TableText"/>
              <w:spacing w:before="0"/>
              <w:ind w:right="57"/>
              <w:jc w:val="right"/>
            </w:pPr>
            <w:r w:rsidRPr="00D90FB0">
              <w:t>2</w:t>
            </w:r>
            <w:r>
              <w:t>83</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t>13</w:t>
            </w:r>
          </w:p>
        </w:tc>
        <w:tc>
          <w:tcPr>
            <w:tcW w:w="2486" w:type="pct"/>
          </w:tcPr>
          <w:p w:rsidR="00ED6788" w:rsidRPr="000F4460" w:rsidRDefault="00ED6788" w:rsidP="00C25CC8">
            <w:pPr>
              <w:pStyle w:val="TableBullet"/>
            </w:pPr>
            <w:r w:rsidRPr="000F4460">
              <w:t>Clinical Rehabilitation Certificate</w:t>
            </w:r>
          </w:p>
        </w:tc>
        <w:tc>
          <w:tcPr>
            <w:tcW w:w="973" w:type="pct"/>
          </w:tcPr>
          <w:p w:rsidR="00ED6788" w:rsidRPr="0031110B" w:rsidRDefault="00ED6788" w:rsidP="00C25CC8">
            <w:pPr>
              <w:pStyle w:val="TableText"/>
              <w:spacing w:before="0"/>
              <w:ind w:right="142"/>
              <w:jc w:val="right"/>
            </w:pPr>
            <w:r w:rsidRPr="0031110B">
              <w:t>18</w:t>
            </w:r>
          </w:p>
        </w:tc>
        <w:tc>
          <w:tcPr>
            <w:tcW w:w="958" w:type="pct"/>
            <w:shd w:val="clear" w:color="auto" w:fill="D9D9D9"/>
          </w:tcPr>
          <w:p w:rsidR="00ED6788" w:rsidRPr="00D90FB0" w:rsidRDefault="00ED6788" w:rsidP="00C25CC8">
            <w:pPr>
              <w:pStyle w:val="TableText"/>
              <w:spacing w:before="0"/>
              <w:ind w:right="57"/>
              <w:jc w:val="right"/>
            </w:pPr>
            <w:r w:rsidRPr="00D90FB0">
              <w:t>1</w:t>
            </w:r>
            <w:r>
              <w:t>4</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rsidRPr="00F45139">
              <w:t>New</w:t>
            </w:r>
          </w:p>
        </w:tc>
        <w:tc>
          <w:tcPr>
            <w:tcW w:w="2486" w:type="pct"/>
          </w:tcPr>
          <w:p w:rsidR="00ED6788" w:rsidRPr="000F4460" w:rsidRDefault="00ED6788" w:rsidP="00C25CC8">
            <w:pPr>
              <w:pStyle w:val="TableBullet"/>
            </w:pPr>
            <w:r w:rsidRPr="000F4460">
              <w:t>Nursing entry to practise</w:t>
            </w:r>
          </w:p>
        </w:tc>
        <w:tc>
          <w:tcPr>
            <w:tcW w:w="973" w:type="pct"/>
          </w:tcPr>
          <w:p w:rsidR="00ED6788" w:rsidRPr="0031110B" w:rsidRDefault="00ED6788" w:rsidP="00C25CC8">
            <w:pPr>
              <w:pStyle w:val="TableText"/>
              <w:spacing w:before="0"/>
              <w:ind w:right="142"/>
              <w:jc w:val="right"/>
            </w:pPr>
            <w:r w:rsidRPr="0031110B">
              <w:t>1081</w:t>
            </w:r>
          </w:p>
        </w:tc>
        <w:tc>
          <w:tcPr>
            <w:tcW w:w="958" w:type="pct"/>
            <w:shd w:val="clear" w:color="auto" w:fill="D9D9D9"/>
          </w:tcPr>
          <w:p w:rsidR="00ED6788" w:rsidRPr="00D90FB0" w:rsidRDefault="00ED6788" w:rsidP="00C25CC8">
            <w:pPr>
              <w:pStyle w:val="TableText"/>
              <w:spacing w:before="0"/>
              <w:ind w:right="57"/>
              <w:jc w:val="right"/>
            </w:pPr>
            <w:r w:rsidRPr="00D90FB0">
              <w:t>11</w:t>
            </w:r>
            <w:r>
              <w:t>61</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t>170</w:t>
            </w:r>
          </w:p>
        </w:tc>
        <w:tc>
          <w:tcPr>
            <w:tcW w:w="2486" w:type="pct"/>
          </w:tcPr>
          <w:p w:rsidR="00ED6788" w:rsidRPr="000F4460" w:rsidRDefault="00ED6788" w:rsidP="00C25CC8">
            <w:pPr>
              <w:pStyle w:val="TableBullet"/>
            </w:pPr>
            <w:r w:rsidRPr="000F4460">
              <w:t>Midwifery</w:t>
            </w:r>
          </w:p>
        </w:tc>
        <w:tc>
          <w:tcPr>
            <w:tcW w:w="973" w:type="pct"/>
          </w:tcPr>
          <w:p w:rsidR="00ED6788" w:rsidRPr="0031110B" w:rsidRDefault="00ED6788" w:rsidP="00C25CC8">
            <w:pPr>
              <w:pStyle w:val="TableText"/>
              <w:spacing w:before="0"/>
              <w:ind w:right="142"/>
              <w:jc w:val="right"/>
            </w:pPr>
            <w:r w:rsidRPr="0031110B">
              <w:t>170</w:t>
            </w:r>
          </w:p>
        </w:tc>
        <w:tc>
          <w:tcPr>
            <w:tcW w:w="958" w:type="pct"/>
            <w:shd w:val="clear" w:color="auto" w:fill="D9D9D9"/>
          </w:tcPr>
          <w:p w:rsidR="00ED6788" w:rsidRPr="00D90FB0" w:rsidRDefault="00ED6788" w:rsidP="00C25CC8">
            <w:pPr>
              <w:pStyle w:val="TableText"/>
              <w:spacing w:before="0"/>
              <w:ind w:right="57"/>
              <w:jc w:val="right"/>
            </w:pPr>
            <w:r>
              <w:t>161</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t>199</w:t>
            </w:r>
          </w:p>
        </w:tc>
        <w:tc>
          <w:tcPr>
            <w:tcW w:w="2486" w:type="pct"/>
          </w:tcPr>
          <w:p w:rsidR="00ED6788" w:rsidRPr="000F4460" w:rsidRDefault="00ED6788" w:rsidP="00C25CC8">
            <w:pPr>
              <w:pStyle w:val="TableBullet"/>
            </w:pPr>
            <w:r w:rsidRPr="000F4460">
              <w:t>Hauora Māori</w:t>
            </w:r>
          </w:p>
        </w:tc>
        <w:tc>
          <w:tcPr>
            <w:tcW w:w="973" w:type="pct"/>
          </w:tcPr>
          <w:p w:rsidR="00ED6788" w:rsidRPr="0031110B" w:rsidRDefault="00ED6788" w:rsidP="00C25CC8">
            <w:pPr>
              <w:pStyle w:val="TableText"/>
              <w:spacing w:before="0"/>
              <w:ind w:right="142"/>
              <w:jc w:val="right"/>
            </w:pPr>
            <w:r w:rsidRPr="0031110B">
              <w:t>200</w:t>
            </w:r>
          </w:p>
        </w:tc>
        <w:tc>
          <w:tcPr>
            <w:tcW w:w="958" w:type="pct"/>
            <w:shd w:val="clear" w:color="auto" w:fill="D9D9D9"/>
          </w:tcPr>
          <w:p w:rsidR="00ED6788" w:rsidRPr="00D90FB0" w:rsidRDefault="00ED6788" w:rsidP="00C25CC8">
            <w:pPr>
              <w:pStyle w:val="TableText"/>
              <w:spacing w:before="0"/>
              <w:ind w:right="57"/>
              <w:jc w:val="right"/>
            </w:pPr>
            <w:r>
              <w:t>269</w:t>
            </w:r>
            <w:r w:rsidR="006845C7">
              <w:br/>
            </w:r>
            <w:r>
              <w:t>see Note B</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t>192</w:t>
            </w:r>
          </w:p>
        </w:tc>
        <w:tc>
          <w:tcPr>
            <w:tcW w:w="2486" w:type="pct"/>
          </w:tcPr>
          <w:p w:rsidR="00ED6788" w:rsidRPr="000F4460" w:rsidRDefault="00ED6788" w:rsidP="00C25CC8">
            <w:pPr>
              <w:pStyle w:val="TableBullet"/>
            </w:pPr>
            <w:r w:rsidRPr="000F4460">
              <w:t>Pharmacy internship</w:t>
            </w:r>
          </w:p>
        </w:tc>
        <w:tc>
          <w:tcPr>
            <w:tcW w:w="973" w:type="pct"/>
          </w:tcPr>
          <w:p w:rsidR="00ED6788" w:rsidRPr="0031110B" w:rsidRDefault="00ED6788" w:rsidP="00C25CC8">
            <w:pPr>
              <w:pStyle w:val="TableText"/>
              <w:spacing w:before="0"/>
              <w:ind w:right="142"/>
              <w:jc w:val="right"/>
            </w:pPr>
            <w:r w:rsidRPr="0031110B">
              <w:t>186</w:t>
            </w:r>
          </w:p>
        </w:tc>
        <w:tc>
          <w:tcPr>
            <w:tcW w:w="958" w:type="pct"/>
            <w:shd w:val="clear" w:color="auto" w:fill="D9D9D9"/>
          </w:tcPr>
          <w:p w:rsidR="00ED6788" w:rsidRPr="00D90FB0" w:rsidRDefault="00ED6788" w:rsidP="00C25CC8">
            <w:pPr>
              <w:pStyle w:val="TableText"/>
              <w:spacing w:before="0"/>
              <w:ind w:right="57"/>
              <w:jc w:val="right"/>
            </w:pPr>
            <w:r w:rsidRPr="00D90FB0">
              <w:t>180</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rsidRPr="00F45139">
              <w:t>New</w:t>
            </w:r>
          </w:p>
        </w:tc>
        <w:tc>
          <w:tcPr>
            <w:tcW w:w="2486" w:type="pct"/>
            <w:shd w:val="clear" w:color="auto" w:fill="auto"/>
          </w:tcPr>
          <w:p w:rsidR="00ED6788" w:rsidRPr="000F4460" w:rsidRDefault="00ED6788" w:rsidP="00C25CC8">
            <w:pPr>
              <w:pStyle w:val="TableBullet"/>
            </w:pPr>
            <w:r w:rsidRPr="000F4460">
              <w:t xml:space="preserve">Mental </w:t>
            </w:r>
            <w:r w:rsidR="00C25CC8">
              <w:t>h</w:t>
            </w:r>
            <w:r w:rsidRPr="000F4460">
              <w:t xml:space="preserve">ealth </w:t>
            </w:r>
            <w:r w:rsidR="00C25CC8">
              <w:t>w</w:t>
            </w:r>
            <w:r w:rsidRPr="000F4460">
              <w:t xml:space="preserve">orkforce </w:t>
            </w:r>
            <w:r w:rsidR="00C25CC8">
              <w:t>d</w:t>
            </w:r>
            <w:r w:rsidRPr="000F4460">
              <w:t>evelopment</w:t>
            </w:r>
          </w:p>
        </w:tc>
        <w:tc>
          <w:tcPr>
            <w:tcW w:w="973" w:type="pct"/>
          </w:tcPr>
          <w:p w:rsidR="00ED6788" w:rsidRPr="0031110B" w:rsidRDefault="00ED6788" w:rsidP="00C25CC8">
            <w:pPr>
              <w:pStyle w:val="TableText"/>
              <w:spacing w:before="0"/>
              <w:ind w:right="142"/>
              <w:jc w:val="right"/>
            </w:pPr>
            <w:r w:rsidRPr="0031110B">
              <w:t>506</w:t>
            </w:r>
          </w:p>
        </w:tc>
        <w:tc>
          <w:tcPr>
            <w:tcW w:w="958" w:type="pct"/>
            <w:shd w:val="clear" w:color="auto" w:fill="D9D9D9"/>
          </w:tcPr>
          <w:p w:rsidR="00ED6788" w:rsidRPr="00D90FB0" w:rsidRDefault="00ED6788" w:rsidP="00C25CC8">
            <w:pPr>
              <w:pStyle w:val="TableText"/>
              <w:spacing w:before="0"/>
              <w:ind w:right="57"/>
              <w:jc w:val="right"/>
            </w:pPr>
            <w:r>
              <w:t>298</w:t>
            </w:r>
            <w:r w:rsidR="006845C7">
              <w:br/>
            </w:r>
            <w:r>
              <w:t>see Note C</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rsidRPr="00F45139">
              <w:t>New</w:t>
            </w:r>
          </w:p>
        </w:tc>
        <w:tc>
          <w:tcPr>
            <w:tcW w:w="2486" w:type="pct"/>
            <w:shd w:val="clear" w:color="auto" w:fill="auto"/>
          </w:tcPr>
          <w:p w:rsidR="00ED6788" w:rsidRPr="000F4460" w:rsidRDefault="00ED6788" w:rsidP="00C25CC8">
            <w:pPr>
              <w:pStyle w:val="TableBullet"/>
            </w:pPr>
            <w:r w:rsidRPr="000F4460">
              <w:t xml:space="preserve">Mental </w:t>
            </w:r>
            <w:r w:rsidR="00C25CC8">
              <w:t>h</w:t>
            </w:r>
            <w:r w:rsidRPr="000F4460">
              <w:t xml:space="preserve">ealth MeHD </w:t>
            </w:r>
            <w:r w:rsidR="00C25CC8">
              <w:t>t</w:t>
            </w:r>
            <w:r w:rsidRPr="000F4460">
              <w:t>raining</w:t>
            </w:r>
          </w:p>
        </w:tc>
        <w:tc>
          <w:tcPr>
            <w:tcW w:w="973" w:type="pct"/>
          </w:tcPr>
          <w:p w:rsidR="00ED6788" w:rsidRPr="0031110B" w:rsidRDefault="00ED6788" w:rsidP="00C25CC8">
            <w:pPr>
              <w:pStyle w:val="TableText"/>
              <w:spacing w:before="0"/>
              <w:ind w:right="142"/>
              <w:jc w:val="right"/>
            </w:pPr>
            <w:r w:rsidRPr="0031110B">
              <w:t>140</w:t>
            </w:r>
          </w:p>
        </w:tc>
        <w:tc>
          <w:tcPr>
            <w:tcW w:w="958" w:type="pct"/>
            <w:shd w:val="clear" w:color="auto" w:fill="D9D9D9"/>
          </w:tcPr>
          <w:p w:rsidR="00ED6788" w:rsidRPr="00D90FB0" w:rsidRDefault="00ED6788" w:rsidP="00C25CC8">
            <w:pPr>
              <w:pStyle w:val="TableText"/>
              <w:spacing w:before="0"/>
              <w:ind w:right="57"/>
              <w:jc w:val="right"/>
            </w:pPr>
            <w:r w:rsidRPr="00D90FB0">
              <w:t>1</w:t>
            </w:r>
            <w:r>
              <w:t>75</w:t>
            </w:r>
          </w:p>
        </w:tc>
      </w:tr>
      <w:tr w:rsidR="006845C7" w:rsidRPr="0031110B" w:rsidTr="006845C7">
        <w:trPr>
          <w:cantSplit/>
        </w:trPr>
        <w:tc>
          <w:tcPr>
            <w:tcW w:w="583" w:type="pct"/>
          </w:tcPr>
          <w:p w:rsidR="00ED6788" w:rsidRPr="0031110B" w:rsidRDefault="00ED6788" w:rsidP="00C25CC8">
            <w:pPr>
              <w:pStyle w:val="TableText"/>
              <w:spacing w:before="120"/>
              <w:ind w:right="142"/>
              <w:jc w:val="right"/>
            </w:pPr>
          </w:p>
        </w:tc>
        <w:tc>
          <w:tcPr>
            <w:tcW w:w="2486" w:type="pct"/>
          </w:tcPr>
          <w:p w:rsidR="00ED6788" w:rsidRPr="006845C7" w:rsidRDefault="00ED6788" w:rsidP="00C25CC8">
            <w:pPr>
              <w:pStyle w:val="TableText"/>
              <w:spacing w:before="120"/>
              <w:rPr>
                <w:b/>
              </w:rPr>
            </w:pPr>
            <w:r w:rsidRPr="006845C7">
              <w:rPr>
                <w:b/>
              </w:rPr>
              <w:t>The number of funded training units delivered:</w:t>
            </w:r>
          </w:p>
        </w:tc>
        <w:tc>
          <w:tcPr>
            <w:tcW w:w="973" w:type="pct"/>
          </w:tcPr>
          <w:p w:rsidR="00ED6788" w:rsidRPr="0031110B" w:rsidRDefault="00ED6788" w:rsidP="00C25CC8">
            <w:pPr>
              <w:pStyle w:val="TableText"/>
              <w:spacing w:before="120"/>
              <w:ind w:right="142"/>
              <w:jc w:val="right"/>
            </w:pPr>
          </w:p>
        </w:tc>
        <w:tc>
          <w:tcPr>
            <w:tcW w:w="958" w:type="pct"/>
            <w:shd w:val="clear" w:color="auto" w:fill="D9D9D9"/>
          </w:tcPr>
          <w:p w:rsidR="00ED6788" w:rsidRPr="0031110B" w:rsidRDefault="00ED6788" w:rsidP="00C25CC8">
            <w:pPr>
              <w:pStyle w:val="TableText"/>
              <w:spacing w:before="120"/>
              <w:ind w:right="57"/>
              <w:jc w:val="right"/>
            </w:pPr>
          </w:p>
        </w:tc>
      </w:tr>
      <w:tr w:rsidR="006845C7" w:rsidRPr="0031110B" w:rsidTr="006845C7">
        <w:trPr>
          <w:cantSplit/>
        </w:trPr>
        <w:tc>
          <w:tcPr>
            <w:tcW w:w="583" w:type="pct"/>
          </w:tcPr>
          <w:p w:rsidR="00ED6788" w:rsidRPr="0031110B" w:rsidRDefault="00ED6788" w:rsidP="00C25CC8">
            <w:pPr>
              <w:pStyle w:val="TableText"/>
              <w:spacing w:before="0"/>
              <w:ind w:right="142"/>
              <w:jc w:val="right"/>
            </w:pPr>
            <w:r w:rsidRPr="00F45139">
              <w:t>New</w:t>
            </w:r>
          </w:p>
        </w:tc>
        <w:tc>
          <w:tcPr>
            <w:tcW w:w="2486" w:type="pct"/>
          </w:tcPr>
          <w:p w:rsidR="00ED6788" w:rsidRPr="000F4460" w:rsidRDefault="00C25CC8" w:rsidP="00C25CC8">
            <w:pPr>
              <w:pStyle w:val="TableBullet"/>
            </w:pPr>
            <w:r>
              <w:t>Postgraduate n</w:t>
            </w:r>
            <w:r w:rsidR="00ED6788" w:rsidRPr="000F4460">
              <w:t>ursing</w:t>
            </w:r>
          </w:p>
        </w:tc>
        <w:tc>
          <w:tcPr>
            <w:tcW w:w="973" w:type="pct"/>
          </w:tcPr>
          <w:p w:rsidR="00ED6788" w:rsidRPr="0031110B" w:rsidRDefault="00ED6788" w:rsidP="00C25CC8">
            <w:pPr>
              <w:pStyle w:val="TableText"/>
              <w:spacing w:before="0"/>
              <w:ind w:right="142"/>
              <w:jc w:val="right"/>
            </w:pPr>
            <w:r w:rsidRPr="0031110B">
              <w:t>1601</w:t>
            </w:r>
          </w:p>
        </w:tc>
        <w:tc>
          <w:tcPr>
            <w:tcW w:w="958" w:type="pct"/>
            <w:shd w:val="clear" w:color="auto" w:fill="D9D9D9"/>
          </w:tcPr>
          <w:p w:rsidR="00ED6788" w:rsidRPr="00D90FB0" w:rsidRDefault="00ED6788" w:rsidP="00C25CC8">
            <w:pPr>
              <w:pStyle w:val="TableText"/>
              <w:spacing w:before="0"/>
              <w:ind w:right="57"/>
              <w:jc w:val="right"/>
            </w:pPr>
            <w:r w:rsidRPr="00D90FB0">
              <w:t>1</w:t>
            </w:r>
            <w:r>
              <w:t>526</w:t>
            </w:r>
          </w:p>
        </w:tc>
      </w:tr>
      <w:tr w:rsidR="006845C7" w:rsidRPr="0031110B" w:rsidTr="006845C7">
        <w:trPr>
          <w:cantSplit/>
        </w:trPr>
        <w:tc>
          <w:tcPr>
            <w:tcW w:w="583" w:type="pct"/>
          </w:tcPr>
          <w:p w:rsidR="00ED6788" w:rsidRPr="0031110B" w:rsidRDefault="00ED6788" w:rsidP="00C25CC8">
            <w:pPr>
              <w:pStyle w:val="TableText"/>
              <w:spacing w:before="0"/>
              <w:ind w:right="142"/>
              <w:jc w:val="right"/>
            </w:pPr>
            <w:r>
              <w:t>337</w:t>
            </w:r>
          </w:p>
        </w:tc>
        <w:tc>
          <w:tcPr>
            <w:tcW w:w="2486" w:type="pct"/>
          </w:tcPr>
          <w:p w:rsidR="00ED6788" w:rsidRPr="00CB52DB" w:rsidRDefault="00ED6788" w:rsidP="00C25CC8">
            <w:pPr>
              <w:pStyle w:val="TableBullet"/>
            </w:pPr>
            <w:r w:rsidRPr="000F4460">
              <w:t>Māori and Pacific peoples support</w:t>
            </w:r>
          </w:p>
        </w:tc>
        <w:tc>
          <w:tcPr>
            <w:tcW w:w="973" w:type="pct"/>
          </w:tcPr>
          <w:p w:rsidR="00ED6788" w:rsidRPr="0031110B" w:rsidRDefault="00ED6788" w:rsidP="00C25CC8">
            <w:pPr>
              <w:pStyle w:val="TableText"/>
              <w:spacing w:before="0"/>
              <w:ind w:right="142"/>
              <w:jc w:val="right"/>
            </w:pPr>
            <w:r w:rsidRPr="0031110B">
              <w:t>300</w:t>
            </w:r>
          </w:p>
        </w:tc>
        <w:tc>
          <w:tcPr>
            <w:tcW w:w="958" w:type="pct"/>
            <w:shd w:val="clear" w:color="auto" w:fill="D9D9D9"/>
          </w:tcPr>
          <w:p w:rsidR="00ED6788" w:rsidRPr="00D90FB0" w:rsidRDefault="00ED6788" w:rsidP="00C25CC8">
            <w:pPr>
              <w:pStyle w:val="TableText"/>
              <w:spacing w:before="0"/>
              <w:ind w:right="57"/>
              <w:jc w:val="right"/>
            </w:pPr>
            <w:r w:rsidRPr="00D90FB0">
              <w:t>300</w:t>
            </w:r>
          </w:p>
        </w:tc>
      </w:tr>
      <w:tr w:rsidR="006845C7" w:rsidRPr="0031110B" w:rsidTr="006845C7">
        <w:trPr>
          <w:cantSplit/>
        </w:trPr>
        <w:tc>
          <w:tcPr>
            <w:tcW w:w="583" w:type="pct"/>
          </w:tcPr>
          <w:p w:rsidR="00ED6788" w:rsidRPr="0031110B" w:rsidRDefault="00ED6788" w:rsidP="00C25CC8">
            <w:pPr>
              <w:pStyle w:val="TableText"/>
              <w:spacing w:before="120"/>
              <w:ind w:right="142"/>
              <w:jc w:val="right"/>
            </w:pPr>
          </w:p>
        </w:tc>
        <w:tc>
          <w:tcPr>
            <w:tcW w:w="2486" w:type="pct"/>
          </w:tcPr>
          <w:p w:rsidR="00ED6788" w:rsidRPr="006845C7" w:rsidRDefault="00ED6788" w:rsidP="00C25CC8">
            <w:pPr>
              <w:pStyle w:val="TableText"/>
              <w:spacing w:before="120"/>
              <w:rPr>
                <w:b/>
              </w:rPr>
            </w:pPr>
            <w:r w:rsidRPr="006845C7">
              <w:rPr>
                <w:b/>
              </w:rPr>
              <w:t>Voluntary Bonding Scheme (VBS)</w:t>
            </w:r>
          </w:p>
        </w:tc>
        <w:tc>
          <w:tcPr>
            <w:tcW w:w="973" w:type="pct"/>
          </w:tcPr>
          <w:p w:rsidR="00ED6788" w:rsidRPr="0031110B" w:rsidRDefault="00ED6788" w:rsidP="00C25CC8">
            <w:pPr>
              <w:pStyle w:val="TableText"/>
              <w:spacing w:before="120"/>
              <w:ind w:right="142"/>
              <w:jc w:val="right"/>
            </w:pPr>
          </w:p>
        </w:tc>
        <w:tc>
          <w:tcPr>
            <w:tcW w:w="958" w:type="pct"/>
            <w:shd w:val="clear" w:color="auto" w:fill="D9D9D9"/>
          </w:tcPr>
          <w:p w:rsidR="00ED6788" w:rsidRPr="0031110B" w:rsidRDefault="00ED6788" w:rsidP="00C25CC8">
            <w:pPr>
              <w:pStyle w:val="TableText"/>
              <w:spacing w:before="120"/>
              <w:ind w:right="57"/>
              <w:jc w:val="right"/>
            </w:pPr>
          </w:p>
        </w:tc>
      </w:tr>
      <w:tr w:rsidR="006845C7" w:rsidRPr="0031110B" w:rsidTr="006845C7">
        <w:trPr>
          <w:cantSplit/>
        </w:trPr>
        <w:tc>
          <w:tcPr>
            <w:tcW w:w="583" w:type="pct"/>
          </w:tcPr>
          <w:p w:rsidR="00ED6788" w:rsidRPr="0031110B" w:rsidRDefault="00ED6788" w:rsidP="006845C7">
            <w:pPr>
              <w:pStyle w:val="TableText"/>
              <w:ind w:right="142"/>
              <w:jc w:val="right"/>
            </w:pPr>
            <w:r w:rsidRPr="00F45139">
              <w:t>New</w:t>
            </w:r>
          </w:p>
        </w:tc>
        <w:tc>
          <w:tcPr>
            <w:tcW w:w="2486" w:type="pct"/>
          </w:tcPr>
          <w:p w:rsidR="00ED6788" w:rsidRPr="0031110B" w:rsidRDefault="00ED6788" w:rsidP="006845C7">
            <w:pPr>
              <w:pStyle w:val="TableText"/>
            </w:pPr>
            <w:r w:rsidRPr="0031110B">
              <w:t>The number of registrants who would be eligible for payment in the calendar year (ie</w:t>
            </w:r>
            <w:r w:rsidR="006845C7">
              <w:t>,</w:t>
            </w:r>
            <w:r w:rsidRPr="0031110B">
              <w:t xml:space="preserve"> having registered during the previous 3 to 5 calendar years), and</w:t>
            </w:r>
          </w:p>
        </w:tc>
        <w:tc>
          <w:tcPr>
            <w:tcW w:w="973" w:type="pct"/>
          </w:tcPr>
          <w:p w:rsidR="00ED6788" w:rsidRPr="0031110B" w:rsidRDefault="00ED6788" w:rsidP="006845C7">
            <w:pPr>
              <w:pStyle w:val="TableText"/>
              <w:ind w:right="142"/>
              <w:jc w:val="right"/>
            </w:pPr>
            <w:r w:rsidRPr="0031110B">
              <w:t>1793</w:t>
            </w:r>
          </w:p>
        </w:tc>
        <w:tc>
          <w:tcPr>
            <w:tcW w:w="958" w:type="pct"/>
            <w:shd w:val="clear" w:color="auto" w:fill="D9D9D9"/>
          </w:tcPr>
          <w:p w:rsidR="00ED6788" w:rsidRPr="00D90FB0" w:rsidRDefault="00ED6788" w:rsidP="006845C7">
            <w:pPr>
              <w:pStyle w:val="TableText"/>
              <w:ind w:right="57"/>
              <w:jc w:val="right"/>
            </w:pPr>
            <w:r w:rsidRPr="00D90FB0">
              <w:t>1793</w:t>
            </w:r>
          </w:p>
        </w:tc>
      </w:tr>
      <w:tr w:rsidR="006845C7" w:rsidRPr="0031110B" w:rsidTr="006845C7">
        <w:trPr>
          <w:cantSplit/>
        </w:trPr>
        <w:tc>
          <w:tcPr>
            <w:tcW w:w="583" w:type="pct"/>
          </w:tcPr>
          <w:p w:rsidR="00ED6788" w:rsidRPr="0031110B" w:rsidRDefault="00ED6788" w:rsidP="006845C7">
            <w:pPr>
              <w:pStyle w:val="TableText"/>
              <w:ind w:right="142"/>
              <w:jc w:val="right"/>
            </w:pPr>
            <w:r>
              <w:t>New</w:t>
            </w:r>
          </w:p>
        </w:tc>
        <w:tc>
          <w:tcPr>
            <w:tcW w:w="2486" w:type="pct"/>
          </w:tcPr>
          <w:p w:rsidR="00ED6788" w:rsidRPr="0031110B" w:rsidRDefault="006845C7" w:rsidP="006845C7">
            <w:pPr>
              <w:pStyle w:val="TableText"/>
            </w:pPr>
            <w:r>
              <w:t>T</w:t>
            </w:r>
            <w:r w:rsidR="00ED6788" w:rsidRPr="0031110B">
              <w:t>he percentage of those registrants who have successfully made a claim for payment</w:t>
            </w:r>
          </w:p>
        </w:tc>
        <w:tc>
          <w:tcPr>
            <w:tcW w:w="973" w:type="pct"/>
          </w:tcPr>
          <w:p w:rsidR="00ED6788" w:rsidRPr="0031110B" w:rsidRDefault="00ED6788" w:rsidP="006845C7">
            <w:pPr>
              <w:pStyle w:val="TableText"/>
              <w:ind w:right="142"/>
              <w:jc w:val="right"/>
            </w:pPr>
            <w:r w:rsidRPr="0031110B">
              <w:t>32%</w:t>
            </w:r>
            <w:r>
              <w:br/>
            </w:r>
            <w:r w:rsidRPr="0031110B">
              <w:t>(574)</w:t>
            </w:r>
          </w:p>
        </w:tc>
        <w:tc>
          <w:tcPr>
            <w:tcW w:w="958" w:type="pct"/>
            <w:shd w:val="clear" w:color="auto" w:fill="D9D9D9"/>
          </w:tcPr>
          <w:p w:rsidR="00ED6788" w:rsidRPr="00D90FB0" w:rsidRDefault="00ED6788" w:rsidP="006845C7">
            <w:pPr>
              <w:pStyle w:val="TableText"/>
              <w:ind w:right="57"/>
              <w:jc w:val="right"/>
            </w:pPr>
            <w:r w:rsidRPr="00D90FB0">
              <w:t>3</w:t>
            </w:r>
            <w:r>
              <w:t>5</w:t>
            </w:r>
            <w:r w:rsidRPr="00D90FB0">
              <w:t>%</w:t>
            </w:r>
            <w:r w:rsidR="006845C7">
              <w:br/>
            </w:r>
            <w:r>
              <w:t>(629)</w:t>
            </w:r>
          </w:p>
        </w:tc>
      </w:tr>
    </w:tbl>
    <w:p w:rsidR="00ED6788" w:rsidRPr="00802126" w:rsidRDefault="00ED6788" w:rsidP="006845C7">
      <w:pPr>
        <w:rPr>
          <w:highlight w:val="yellow"/>
        </w:rPr>
      </w:pPr>
    </w:p>
    <w:p w:rsidR="00ED6788" w:rsidRDefault="00ED6788" w:rsidP="006845C7">
      <w:pPr>
        <w:pStyle w:val="Heading3"/>
      </w:pPr>
      <w:r>
        <w:t>Comments</w:t>
      </w:r>
    </w:p>
    <w:p w:rsidR="00ED6788" w:rsidRDefault="00ED6788" w:rsidP="00C25CC8">
      <w:r>
        <w:t>Health Workforce New Zealand (HWNZ), which was established in 2009, provides national leadership for the development of the country</w:t>
      </w:r>
      <w:r w:rsidR="000845D9">
        <w:t>’</w:t>
      </w:r>
      <w:r>
        <w:t>s health and disability workforce. The majority of HWNZ</w:t>
      </w:r>
      <w:r w:rsidR="000845D9">
        <w:t>’</w:t>
      </w:r>
      <w:r>
        <w:t>s budget is invested in training and development of the clinical workforce, and in workforce development and innovation. Working with partner organisations, HWNZ also facilitates and supports initiatives for the non-regulated workforce.</w:t>
      </w:r>
    </w:p>
    <w:p w:rsidR="00ED6788" w:rsidRDefault="00ED6788" w:rsidP="006845C7"/>
    <w:p w:rsidR="00ED6788" w:rsidRDefault="00ED6788" w:rsidP="00C25CC8">
      <w:pPr>
        <w:keepLines/>
      </w:pPr>
      <w:r w:rsidRPr="00603322">
        <w:lastRenderedPageBreak/>
        <w:t xml:space="preserve">Eight </w:t>
      </w:r>
      <w:r>
        <w:t xml:space="preserve">replacement </w:t>
      </w:r>
      <w:r w:rsidRPr="00603322">
        <w:t xml:space="preserve">performance measures </w:t>
      </w:r>
      <w:r>
        <w:t xml:space="preserve">and standards </w:t>
      </w:r>
      <w:r w:rsidRPr="00603322">
        <w:t>were included in 2014/15 to better reflect Health Workforce New Zealand</w:t>
      </w:r>
      <w:r w:rsidR="000845D9">
        <w:t>’</w:t>
      </w:r>
      <w:r w:rsidRPr="00603322">
        <w:t xml:space="preserve">s activity against the appropriation. The new </w:t>
      </w:r>
      <w:r>
        <w:t>measures</w:t>
      </w:r>
      <w:r w:rsidRPr="00603322">
        <w:t xml:space="preserve"> include the total number of post-entry clinical trainees funded and the relevant number of training units delivered.</w:t>
      </w:r>
      <w:r w:rsidR="000845D9">
        <w:t xml:space="preserve"> </w:t>
      </w:r>
      <w:r w:rsidRPr="00603322">
        <w:t>These numbers will provide the baseline for targets in 2015/16.</w:t>
      </w:r>
    </w:p>
    <w:p w:rsidR="00ED6788" w:rsidRDefault="00ED6788" w:rsidP="006845C7"/>
    <w:p w:rsidR="000845D9" w:rsidRDefault="00ED6788" w:rsidP="006845C7">
      <w:r>
        <w:t>Training numbers for non-vocational medical, vocational medical and technician medical were higher than the full-year budget standards due to DHBs training higher numbers, with HWNZ supporting this with funding.</w:t>
      </w:r>
    </w:p>
    <w:p w:rsidR="00ED6788" w:rsidRDefault="00ED6788" w:rsidP="006845C7"/>
    <w:p w:rsidR="00ED6788" w:rsidRDefault="00ED6788" w:rsidP="006845C7">
      <w:r w:rsidRPr="00217120">
        <w:rPr>
          <w:i/>
        </w:rPr>
        <w:t>Note</w:t>
      </w:r>
      <w:r w:rsidR="00C25CC8" w:rsidRPr="00217120">
        <w:rPr>
          <w:i/>
        </w:rPr>
        <w:t xml:space="preserve"> A:</w:t>
      </w:r>
      <w:r w:rsidR="00C25CC8">
        <w:t xml:space="preserve"> The number of post</w:t>
      </w:r>
      <w:r w:rsidRPr="00603322">
        <w:t xml:space="preserve">graduate </w:t>
      </w:r>
      <w:r w:rsidR="00C25CC8">
        <w:t>Y</w:t>
      </w:r>
      <w:r w:rsidRPr="00603322">
        <w:t xml:space="preserve">ear </w:t>
      </w:r>
      <w:r w:rsidR="00C25CC8">
        <w:t>1s</w:t>
      </w:r>
      <w:r w:rsidRPr="00603322">
        <w:t xml:space="preserve"> (PGY1) ha</w:t>
      </w:r>
      <w:r>
        <w:t>s</w:t>
      </w:r>
      <w:r w:rsidRPr="00603322">
        <w:t xml:space="preserve"> increased following an increase in Government funding of medical school student numbers</w:t>
      </w:r>
      <w:r w:rsidR="00C25CC8">
        <w:t>;</w:t>
      </w:r>
      <w:r w:rsidRPr="00603322">
        <w:t xml:space="preserve"> increased postgraduate </w:t>
      </w:r>
      <w:r w:rsidR="00C25CC8">
        <w:t>Y</w:t>
      </w:r>
      <w:r w:rsidRPr="00603322">
        <w:t xml:space="preserve">ear </w:t>
      </w:r>
      <w:r w:rsidR="00C25CC8">
        <w:t>2</w:t>
      </w:r>
      <w:r w:rsidRPr="00603322">
        <w:t xml:space="preserve"> numbers also reflect additional graduate numbers. Variations to medical contracts provided funding for an additional 35 trainees for 2015.</w:t>
      </w:r>
    </w:p>
    <w:p w:rsidR="00ED6788" w:rsidRDefault="00ED6788" w:rsidP="006845C7"/>
    <w:p w:rsidR="00ED6788" w:rsidRDefault="00ED6788" w:rsidP="006845C7">
      <w:r>
        <w:t>More trainees and new graduates must be recruited and retained within New Zealand</w:t>
      </w:r>
      <w:r w:rsidR="000845D9">
        <w:t>’</w:t>
      </w:r>
      <w:r>
        <w:t>s health sector to ensure all communities have access to the range of health services they need. HWNZ is managing a number of initiatives to contribute to improved recruitment and retention of the necessary workforce, including the following:</w:t>
      </w:r>
    </w:p>
    <w:p w:rsidR="00ED6788" w:rsidRDefault="00ED6788" w:rsidP="006845C7">
      <w:pPr>
        <w:pStyle w:val="Bullet"/>
      </w:pPr>
      <w:r>
        <w:t>Midwifery First Year of Practice: HWNZ currently funds the Midwifery First Year of Practice programme to support the recruitment and retention of midwifery graduates. There are three cohorts per year. The 2014/15 target has been revised to 170. Earlier standards were estimates only and the revised target is more closely aligned to the number required for a sustainable workforce.</w:t>
      </w:r>
    </w:p>
    <w:p w:rsidR="00ED6788" w:rsidRDefault="00ED6788" w:rsidP="006845C7">
      <w:pPr>
        <w:pStyle w:val="Bullet"/>
      </w:pPr>
      <w:r>
        <w:t>The Advanced Trainee Fellowship Scheme: this scheme continues to provide scholarships to assist with the cost of undertaking advanced training, a specialist qualification or study overse</w:t>
      </w:r>
      <w:r w:rsidR="00C25CC8">
        <w:t>as</w:t>
      </w:r>
      <w:r>
        <w:t xml:space="preserve"> in a priority specialty area. The aim is to ensure that health, or health-related professionals, with excellent potential to contribute leadership and expertise to the New Zealand health sector</w:t>
      </w:r>
      <w:r w:rsidR="00C25CC8">
        <w:t>,</w:t>
      </w:r>
      <w:r>
        <w:t xml:space="preserve"> have the opportunity to pursue extended training, while the New Zealand health sector has the opportunity to benefit from that experience. There are now 37</w:t>
      </w:r>
      <w:r w:rsidR="00C25CC8">
        <w:t> </w:t>
      </w:r>
      <w:r>
        <w:t xml:space="preserve">health professionals participating in the scheme with the first fellowship recipients </w:t>
      </w:r>
      <w:r w:rsidR="00C25CC8">
        <w:t xml:space="preserve">having </w:t>
      </w:r>
      <w:r>
        <w:t>complet</w:t>
      </w:r>
      <w:r w:rsidR="00C25CC8">
        <w:t>ed</w:t>
      </w:r>
      <w:r>
        <w:t xml:space="preserve"> their training and returned to work in New Zealand.</w:t>
      </w:r>
    </w:p>
    <w:p w:rsidR="00ED6788" w:rsidRDefault="00ED6788" w:rsidP="006845C7">
      <w:pPr>
        <w:pStyle w:val="Bullet"/>
      </w:pPr>
      <w:r>
        <w:t>The Voluntary Bonding Scheme: this scheme incentivises nursing, medical and midwifery graduates who work in hard-to-staff communities and specialties with payments against their student loans. Since the scheme began in 2009, over 3000 graduates have been confirmed on the scheme. In 2012 the scheme was expanded to include medical physicists and radiation therapists. The scheme was further expanded during 2014 with the addition of sonographers who accounted for 12 applications in 2015. The Ministry paid $6 million in the 2014/15 financial year. The scheme also offers postgraduate opportunities to general practice trainees and will continue to be expanded to include more hard-to-staff regions and specialties for health professionals.</w:t>
      </w:r>
    </w:p>
    <w:p w:rsidR="00ED6788" w:rsidRDefault="00ED6788" w:rsidP="00BA51D2">
      <w:pPr>
        <w:pStyle w:val="Bullet"/>
      </w:pPr>
      <w:r>
        <w:t>Support for International Medical Graduates (IMGs): From 2011 to November 2013, HWNZ supported unregistered IMGs living in New Zealand to prepare for the Medical Council of New Zealand</w:t>
      </w:r>
      <w:r w:rsidR="000845D9">
        <w:t>’</w:t>
      </w:r>
      <w:r>
        <w:t>s registration examination (NZREX), enabling them to work as doctors in New Zealand. Since the NZREX Preparation Placement Programme began in 2011, 57 IMGs have completed the programme. As at June 2014, 48 had passed the NZREX, and 25 were working as doctors in New Zealand.</w:t>
      </w:r>
    </w:p>
    <w:p w:rsidR="000845D9" w:rsidRDefault="00ED6788" w:rsidP="00BA51D2">
      <w:pPr>
        <w:pStyle w:val="Bullet"/>
        <w:keepLines/>
      </w:pPr>
      <w:r>
        <w:lastRenderedPageBreak/>
        <w:t xml:space="preserve">The Rural Immersion Scheme: HWNZ has been working with Auckland and Otago universities, the Eastern and Waiariki Institutes of Technology, and Auckland University of Technology to promote rural practice and interdisciplinary learning, and to train a variety of health students in Whakatane, Gisborne and Wairoa sites. This programme began in 2011 and will continue until </w:t>
      </w:r>
      <w:r w:rsidRPr="00D67DF3">
        <w:t xml:space="preserve">at least </w:t>
      </w:r>
      <w:r>
        <w:t>2017. Students from medical, nursing, pharmacy, physiotherapy, dental, dietetics and occupational therapy have participated. The total number of students who have participated on the scheme will exceed 227 by December 2015. In the 2014 calendar year, significant efforts were made to broaden the range of participating disciplines.</w:t>
      </w:r>
    </w:p>
    <w:p w:rsidR="000845D9" w:rsidRDefault="00ED6788" w:rsidP="006845C7">
      <w:pPr>
        <w:pStyle w:val="Bullet"/>
      </w:pPr>
      <w:r>
        <w:t>General Practice Education Programme: HWNZ continues to fund the Royal New Zealand College of General Practitioners (RNZCGP) for the training and employment of GP registrars through the General Practice Education Programme (GPEP). Some 169 registrars were enrolled in GPEP1 for the 2015 academic year.</w:t>
      </w:r>
    </w:p>
    <w:p w:rsidR="00ED6788" w:rsidRDefault="00ED6788" w:rsidP="006845C7">
      <w:pPr>
        <w:pStyle w:val="Bullet"/>
      </w:pPr>
      <w:r>
        <w:t xml:space="preserve">Post Graduate Generalist Placement Education Programme: RNZCGP manages the Post Graduate Generalist Placement Education Programme which provides a three-month paid placement for a postgraduate house doctor (usually </w:t>
      </w:r>
      <w:r w:rsidR="00BA51D2">
        <w:t>Y</w:t>
      </w:r>
      <w:r>
        <w:t>ear 2 or 3) in a general practice. This programme has been successful with a high percentage of the participants admitted to the GPEP programme.</w:t>
      </w:r>
      <w:r w:rsidR="000845D9">
        <w:t xml:space="preserve"> </w:t>
      </w:r>
      <w:r>
        <w:t xml:space="preserve">In 2014/15 there were a total </w:t>
      </w:r>
      <w:r w:rsidRPr="00A33BD6">
        <w:t xml:space="preserve">of </w:t>
      </w:r>
      <w:r>
        <w:t>35</w:t>
      </w:r>
      <w:r w:rsidRPr="00A33BD6">
        <w:t xml:space="preserve"> placements</w:t>
      </w:r>
      <w:r>
        <w:t xml:space="preserve"> in the programme.</w:t>
      </w:r>
    </w:p>
    <w:p w:rsidR="00ED6788" w:rsidRDefault="00ED6788" w:rsidP="006845C7">
      <w:pPr>
        <w:pStyle w:val="Bullet"/>
      </w:pPr>
      <w:r>
        <w:t>The Nursing Entry to Practice Programme: The Ministry continues to support new graduate nurses with the 12-month Nurse Entry to Practice (NETP), Nurse Entry to Specialist Practice (NESP) and Aged Residential Care NETP programmes.</w:t>
      </w:r>
      <w:r w:rsidR="000845D9">
        <w:t xml:space="preserve"> </w:t>
      </w:r>
      <w:r>
        <w:t>These programmes enable new graduate nurses to practise in well-supported and safe environments, and build a sustainable pathway for the nursing workforce into the future. Funding for an additional 200 NETP placements was provided in 2014</w:t>
      </w:r>
      <w:r w:rsidR="00BA51D2">
        <w:t>;</w:t>
      </w:r>
      <w:r>
        <w:t xml:space="preserve"> this included 160 DHB placements and 40 in </w:t>
      </w:r>
      <w:r w:rsidR="00BA51D2">
        <w:t>a</w:t>
      </w:r>
      <w:r>
        <w:t xml:space="preserve">ged </w:t>
      </w:r>
      <w:r w:rsidR="00BA51D2">
        <w:t>r</w:t>
      </w:r>
      <w:r>
        <w:t xml:space="preserve">esidential </w:t>
      </w:r>
      <w:r w:rsidR="00BA51D2">
        <w:t>c</w:t>
      </w:r>
      <w:r>
        <w:t>are settings. In 2015 the funding is for 175 NESP placements, an increase of 25</w:t>
      </w:r>
      <w:r w:rsidR="006845C7">
        <w:t> </w:t>
      </w:r>
      <w:r>
        <w:t>percent from 2014.</w:t>
      </w:r>
    </w:p>
    <w:p w:rsidR="006845C7" w:rsidRDefault="006845C7" w:rsidP="006845C7"/>
    <w:p w:rsidR="00ED6788" w:rsidRDefault="00ED6788" w:rsidP="006845C7">
      <w:r w:rsidRPr="00217120">
        <w:rPr>
          <w:i/>
        </w:rPr>
        <w:t>Note B:</w:t>
      </w:r>
      <w:r w:rsidRPr="00603322">
        <w:t xml:space="preserve"> </w:t>
      </w:r>
      <w:r w:rsidR="00F95976">
        <w:t xml:space="preserve">Hauora </w:t>
      </w:r>
      <w:r w:rsidRPr="00BA51D2">
        <w:t>Māori</w:t>
      </w:r>
      <w:r w:rsidRPr="00603322">
        <w:t xml:space="preserve"> funding covers training over a calendar/academic year split over </w:t>
      </w:r>
      <w:r w:rsidR="006845C7">
        <w:t>two</w:t>
      </w:r>
      <w:r w:rsidRPr="00603322">
        <w:t xml:space="preserve"> semesters. The actual result demonstrates some regional demand issues and differences in the use of the funding. HWNZ is working with providers to address these issues for the 2015/16 financial year.</w:t>
      </w:r>
    </w:p>
    <w:p w:rsidR="00ED6788" w:rsidRDefault="00ED6788" w:rsidP="00ED6788"/>
    <w:p w:rsidR="00ED6788" w:rsidRPr="00B32789" w:rsidRDefault="00ED6788" w:rsidP="00ED6788">
      <w:r w:rsidRPr="00217120">
        <w:rPr>
          <w:i/>
        </w:rPr>
        <w:t>Note C:</w:t>
      </w:r>
      <w:r>
        <w:t xml:space="preserve"> </w:t>
      </w:r>
      <w:r w:rsidRPr="00B32789">
        <w:t xml:space="preserve">HWNZ continues to fund the Mental Health Support Worker National Certificate and Diploma training grants. Funding supports 356 grants for the </w:t>
      </w:r>
      <w:r>
        <w:t>c</w:t>
      </w:r>
      <w:r w:rsidRPr="00B32789">
        <w:t>ertificate level qualification and 150</w:t>
      </w:r>
      <w:r w:rsidR="00BA51D2">
        <w:t> </w:t>
      </w:r>
      <w:r w:rsidRPr="00B32789">
        <w:t xml:space="preserve">grants for the </w:t>
      </w:r>
      <w:r>
        <w:t>d</w:t>
      </w:r>
      <w:r w:rsidRPr="00B32789">
        <w:t xml:space="preserve">iploma level qualification. The uptake for the </w:t>
      </w:r>
      <w:r>
        <w:t>d</w:t>
      </w:r>
      <w:r w:rsidRPr="00B32789">
        <w:t xml:space="preserve">iploma level qualification has historically been low. Peer </w:t>
      </w:r>
      <w:r>
        <w:t>s</w:t>
      </w:r>
      <w:r w:rsidRPr="00B32789">
        <w:t xml:space="preserve">upport </w:t>
      </w:r>
      <w:r>
        <w:t>w</w:t>
      </w:r>
      <w:r w:rsidRPr="00B32789">
        <w:t xml:space="preserve">orkers have been identified as a target area that would benefit from qualifications provided under the grants and approval has been provided to extend the grants for the </w:t>
      </w:r>
      <w:r>
        <w:t>c</w:t>
      </w:r>
      <w:r w:rsidRPr="00B32789">
        <w:t xml:space="preserve">ertificate level qualification to </w:t>
      </w:r>
      <w:r>
        <w:t>p</w:t>
      </w:r>
      <w:r w:rsidRPr="00B32789">
        <w:t xml:space="preserve">eer </w:t>
      </w:r>
      <w:r>
        <w:t>s</w:t>
      </w:r>
      <w:r w:rsidRPr="00B32789">
        <w:t xml:space="preserve">upport </w:t>
      </w:r>
      <w:r>
        <w:t>w</w:t>
      </w:r>
      <w:r w:rsidRPr="00B32789">
        <w:t>orkers. Advice from the sector suggests there will be strong interest in this area that shou</w:t>
      </w:r>
      <w:r>
        <w:t>ld increase the overall demand.</w:t>
      </w:r>
    </w:p>
    <w:p w:rsidR="00ED6788" w:rsidRDefault="00ED6788" w:rsidP="00ED6788"/>
    <w:p w:rsidR="00ED6788" w:rsidRDefault="00ED6788" w:rsidP="00ED6788">
      <w:r w:rsidRPr="00B32789">
        <w:t>While a number of potential barriers related to uptake have been identified, including employer demand, no other clear opportunities have been identified that would allow for a significant uptake in these grants in the short term.</w:t>
      </w:r>
    </w:p>
    <w:p w:rsidR="00ED6788" w:rsidRDefault="00ED6788" w:rsidP="00ED6788"/>
    <w:p w:rsidR="00ED6788" w:rsidRDefault="00ED6788" w:rsidP="00BA51D2">
      <w:r>
        <w:t>HWNZ is also funding the development of new workforce roles that have the potential to have a positive impact on workforce productivity, efficiency and value for money:</w:t>
      </w:r>
    </w:p>
    <w:p w:rsidR="00ED6788" w:rsidRDefault="00ED6788" w:rsidP="006845C7">
      <w:pPr>
        <w:pStyle w:val="Bullet"/>
      </w:pPr>
      <w:r>
        <w:t>HWNZ continues to support regulatory change designed to remove barriers to innovation and introduce health care models that will increase patient access to high-quality service delivery</w:t>
      </w:r>
    </w:p>
    <w:p w:rsidR="000845D9" w:rsidRDefault="00ED6788" w:rsidP="00BA51D2">
      <w:pPr>
        <w:pStyle w:val="Bullet"/>
        <w:keepLines/>
      </w:pPr>
      <w:r>
        <w:lastRenderedPageBreak/>
        <w:t>the number of diabetes nurse prescribers has increase</w:t>
      </w:r>
      <w:r w:rsidR="00BA51D2">
        <w:t>d</w:t>
      </w:r>
      <w:r>
        <w:t xml:space="preserve"> from 26 in July 2014 to 34 in May 2015 with further diabetes nurses ready to apply to the Nursing Council of New Zealand to be designated prescribers. As at May 2015, there were 92 diabetes nurses including 37</w:t>
      </w:r>
      <w:r w:rsidR="00BA51D2">
        <w:t> </w:t>
      </w:r>
      <w:r>
        <w:t>trained as diabetes nurse prescribers.</w:t>
      </w:r>
    </w:p>
    <w:p w:rsidR="00ED6788" w:rsidRDefault="00ED6788" w:rsidP="006845C7"/>
    <w:p w:rsidR="000845D9" w:rsidRDefault="00ED6788" w:rsidP="006845C7">
      <w:r>
        <w:t>HWNZ established an advisory group for the development of the nurse endoscopy project in 2014. The group has worked with the wider sector to develop an advanced nursing role in endoscopy for senior nurses with relevant postgraduate education and experience. Training of specialist nurses performing endoscopy was confirmed as a government priority in September 2014 and will complement the training of gastroenterology and general surgery registrars. The training of specialist nurses performing endoscopy is anticipated to start in 2016. HWNZ and the advisory group will continue to work closely with employers to seek their commitment to training, supervising, supporting and employing nurses performing endoscopy.</w:t>
      </w:r>
    </w:p>
    <w:p w:rsidR="00ED6788" w:rsidRDefault="00ED6788" w:rsidP="006845C7"/>
    <w:p w:rsidR="000845D9" w:rsidRDefault="00ED6788" w:rsidP="006845C7">
      <w:r>
        <w:t>The Pharmaceutical Society of New Zealand</w:t>
      </w:r>
      <w:r w:rsidR="00BA51D2">
        <w:t>,</w:t>
      </w:r>
      <w:r>
        <w:t xml:space="preserve"> on behalf of HWNZ, </w:t>
      </w:r>
      <w:r w:rsidR="000F1A69">
        <w:t>is</w:t>
      </w:r>
      <w:r>
        <w:t xml:space="preserve"> investigating the viability of introducing pharmacy accuracy checking technicians into the pharmacy workforce. These health care professionals may carry out the final check on a dispensed item, a task currently undertaken by a pharmacist. Introduction of this role would allow pharmacists more time to provide improved patient services without compromising public safety in the dispensing of medicines.</w:t>
      </w:r>
    </w:p>
    <w:p w:rsidR="00ED6788" w:rsidRDefault="00ED6788" w:rsidP="006845C7"/>
    <w:p w:rsidR="00ED6788" w:rsidRDefault="00ED6788" w:rsidP="006845C7">
      <w:r>
        <w:t>A final evaluation report on physician associates employed in primary care and rural hospital settings identified no serious clinical concerns about patient safety. It also noted the value of the role in regional or remote locations (subject to appropriate supervision). Issues of regulation will be considered as they arise, according to procedures which apply to any other applicant.</w:t>
      </w:r>
    </w:p>
    <w:p w:rsidR="00ED6788" w:rsidRDefault="00ED6788" w:rsidP="006845C7"/>
    <w:p w:rsidR="00ED6788" w:rsidRDefault="00ED6788" w:rsidP="006845C7">
      <w:r>
        <w:t xml:space="preserve">HWNZ funded the Universal College of Learning to support and validate the role of clinical exercise physiologist. As members of a multidisciplinary team, these physiologists specialise in the delivery of exercise, lifestyle and behavioural modification programmes for referred hospital patients </w:t>
      </w:r>
      <w:r w:rsidR="00BA51D2">
        <w:t xml:space="preserve">who </w:t>
      </w:r>
      <w:r>
        <w:t>have complex medical needs compounded by lifestyle factors. The draft final evaluation has demonstrated positive results.</w:t>
      </w:r>
    </w:p>
    <w:p w:rsidR="00ED6788" w:rsidRDefault="00ED6788" w:rsidP="006845C7"/>
    <w:p w:rsidR="000845D9" w:rsidRDefault="00ED6788" w:rsidP="006845C7">
      <w:r>
        <w:t>HWNZ supported a three</w:t>
      </w:r>
      <w:r w:rsidR="00BA51D2">
        <w:t>-</w:t>
      </w:r>
      <w:r>
        <w:t>year multidisciplinary operating theatre simulation programme developed by the University of Auckland. The programme aims to improve teamwork and reduce patient harm. Twenty teams, consisting of surgeons, surgical trainees, anaesthetics, anaesthetic technicians and nurses, participated in the programme.</w:t>
      </w:r>
      <w:r w:rsidR="000845D9">
        <w:t xml:space="preserve"> </w:t>
      </w:r>
      <w:r>
        <w:t xml:space="preserve">A full evaluation </w:t>
      </w:r>
      <w:r w:rsidRPr="006663AC">
        <w:t xml:space="preserve">of the programme </w:t>
      </w:r>
      <w:r>
        <w:t>is under</w:t>
      </w:r>
      <w:r w:rsidR="00BA51D2">
        <w:t xml:space="preserve"> </w:t>
      </w:r>
      <w:r>
        <w:t>way.</w:t>
      </w:r>
    </w:p>
    <w:p w:rsidR="00ED6788" w:rsidRDefault="00ED6788" w:rsidP="006845C7"/>
    <w:p w:rsidR="000845D9" w:rsidRDefault="00ED6788" w:rsidP="006845C7">
      <w:r>
        <w:t xml:space="preserve">HWNZ is also assisting the development of the allied health, science and technical professions. Workforce modelling of the public and private demand for sonographers in 2013 showed the </w:t>
      </w:r>
      <w:r w:rsidRPr="00B32789">
        <w:t>need to more than double this workforce by at least 296 full-time</w:t>
      </w:r>
      <w:r w:rsidR="00BA51D2">
        <w:t xml:space="preserve"> </w:t>
      </w:r>
      <w:r w:rsidRPr="00B32789">
        <w:t>equivalents by 2023. In</w:t>
      </w:r>
      <w:r>
        <w:t xml:space="preserve"> 2014/15, substantial investment was made by private sector providers in training, although DHB shortages remain.</w:t>
      </w:r>
    </w:p>
    <w:p w:rsidR="00ED6788" w:rsidRDefault="00ED6788" w:rsidP="006845C7"/>
    <w:p w:rsidR="00ED6788" w:rsidRDefault="00ED6788" w:rsidP="00BA51D2">
      <w:r>
        <w:t>HWNZ is seeing a more comprehensive cooperative approach to training across the public and private sectors. A trial of an accelerated model of training at the University of Auckland shows positive signs and its applicability outside the Auckland region is yet to be tested.</w:t>
      </w:r>
      <w:r w:rsidR="000845D9">
        <w:t xml:space="preserve"> </w:t>
      </w:r>
      <w:r>
        <w:t xml:space="preserve">Other initiatives in the lower North </w:t>
      </w:r>
      <w:r w:rsidR="00E754F5">
        <w:t xml:space="preserve">Island </w:t>
      </w:r>
      <w:r>
        <w:t xml:space="preserve">and </w:t>
      </w:r>
      <w:r w:rsidR="00E754F5">
        <w:t>the South Island</w:t>
      </w:r>
      <w:r>
        <w:t xml:space="preserve"> are under development. HWNZ is also working with medical physicists to address pressing workforce supply issues.</w:t>
      </w:r>
    </w:p>
    <w:p w:rsidR="00ED6788" w:rsidRDefault="00ED6788" w:rsidP="006845C7"/>
    <w:p w:rsidR="00ED6788" w:rsidRDefault="00ED6788" w:rsidP="00F95976">
      <w:pPr>
        <w:keepLines/>
      </w:pPr>
      <w:r>
        <w:lastRenderedPageBreak/>
        <w:t>Māori and Pacific trainees are being supported in order to increase numbers to better reflect the demography of the population being cared for. HWNZ has responsibility for a number of non</w:t>
      </w:r>
      <w:r w:rsidR="00F95976">
        <w:noBreakHyphen/>
      </w:r>
      <w:r>
        <w:t>clinical workforce development contracts specifically targeting recruitment into and training for health-related careers for Māori and Pacific students. Components of HWNZ</w:t>
      </w:r>
      <w:r w:rsidR="000845D9">
        <w:t>’</w:t>
      </w:r>
      <w:r>
        <w:t>s clinical training budget are ring-fenced for Māori workforce development (the Hauora Māori budget) and Pacific support.</w:t>
      </w:r>
    </w:p>
    <w:p w:rsidR="00ED6788" w:rsidRDefault="00ED6788" w:rsidP="006845C7"/>
    <w:p w:rsidR="00ED6788" w:rsidRDefault="00ED6788" w:rsidP="006845C7">
      <w:r>
        <w:t>Regional directors of workforce development continue to work with key stakeholders on development and implementation of regional workforce plans and initiatives that strengthen health workforce capability and capacity. HWNZ has undertaken a contract review to improve deliverables at a regional and national level and will be revising the contract service specifications in renewed contracts.</w:t>
      </w:r>
    </w:p>
    <w:p w:rsidR="00ED6788" w:rsidRPr="003756B9" w:rsidRDefault="00ED6788" w:rsidP="006845C7"/>
    <w:p w:rsidR="00ED6788" w:rsidRDefault="00ED6788" w:rsidP="006845C7">
      <w:pPr>
        <w:pStyle w:val="Heading3"/>
      </w:pPr>
      <w:r w:rsidRPr="005F4883">
        <w:t xml:space="preserve">Summary of </w:t>
      </w:r>
      <w:r>
        <w:t>f</w:t>
      </w:r>
      <w:r w:rsidRPr="003756B9">
        <w:t>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C25CC8">
            <w:pPr>
              <w:pStyle w:val="TableText"/>
              <w:keepNext/>
              <w:ind w:right="284"/>
              <w:jc w:val="right"/>
            </w:pPr>
            <w:r>
              <w:t>105,699</w:t>
            </w:r>
          </w:p>
        </w:tc>
        <w:tc>
          <w:tcPr>
            <w:tcW w:w="3968" w:type="dxa"/>
            <w:tcBorders>
              <w:top w:val="single" w:sz="4" w:space="0" w:color="auto"/>
              <w:left w:val="nil"/>
            </w:tcBorders>
            <w:shd w:val="solid" w:color="FFFFFF" w:fill="auto"/>
          </w:tcPr>
          <w:p w:rsidR="00ED6788" w:rsidRPr="008902E3" w:rsidRDefault="00ED6788" w:rsidP="00C25CC8">
            <w:pPr>
              <w:pStyle w:val="TableText"/>
              <w:rPr>
                <w:rFonts w:cs="Arial"/>
                <w:szCs w:val="18"/>
              </w:rPr>
            </w:pPr>
            <w:r w:rsidRPr="008902E3">
              <w:rPr>
                <w:rFonts w:cs="Arial"/>
                <w:szCs w:val="18"/>
              </w:rPr>
              <w:t>DHBs</w:t>
            </w:r>
          </w:p>
        </w:tc>
        <w:tc>
          <w:tcPr>
            <w:tcW w:w="1276" w:type="dxa"/>
            <w:tcBorders>
              <w:top w:val="single" w:sz="4" w:space="0" w:color="auto"/>
            </w:tcBorders>
            <w:shd w:val="clear" w:color="E3E3E3" w:fill="D9D9D9"/>
          </w:tcPr>
          <w:p w:rsidR="00ED6788" w:rsidRPr="002C0E8B" w:rsidRDefault="00ED6788" w:rsidP="00C25CC8">
            <w:pPr>
              <w:pStyle w:val="TableText"/>
              <w:keepNext/>
              <w:ind w:right="142"/>
              <w:jc w:val="right"/>
            </w:pPr>
            <w:r>
              <w:t>110,075</w:t>
            </w:r>
          </w:p>
        </w:tc>
        <w:tc>
          <w:tcPr>
            <w:tcW w:w="1488" w:type="dxa"/>
            <w:tcBorders>
              <w:top w:val="single" w:sz="4" w:space="0" w:color="auto"/>
            </w:tcBorders>
          </w:tcPr>
          <w:p w:rsidR="00ED6788" w:rsidRPr="00EE0862" w:rsidRDefault="00ED6788" w:rsidP="00C25CC8">
            <w:pPr>
              <w:pStyle w:val="TableText"/>
              <w:jc w:val="right"/>
            </w:pPr>
            <w:r>
              <w:t>111,887</w:t>
            </w:r>
          </w:p>
        </w:tc>
        <w:tc>
          <w:tcPr>
            <w:tcW w:w="1347" w:type="dxa"/>
            <w:tcBorders>
              <w:top w:val="single" w:sz="4" w:space="0" w:color="auto"/>
            </w:tcBorders>
          </w:tcPr>
          <w:p w:rsidR="00ED6788" w:rsidRPr="002C0E8B" w:rsidRDefault="00ED6788" w:rsidP="00C25CC8">
            <w:pPr>
              <w:pStyle w:val="TableText"/>
              <w:keepNext/>
              <w:jc w:val="right"/>
            </w:pPr>
            <w:r>
              <w:t>113,591</w:t>
            </w:r>
          </w:p>
        </w:tc>
      </w:tr>
      <w:tr w:rsidR="00ED6788" w:rsidRPr="002C0E8B" w:rsidTr="00C25CC8">
        <w:trPr>
          <w:cantSplit/>
        </w:trPr>
        <w:tc>
          <w:tcPr>
            <w:tcW w:w="1277" w:type="dxa"/>
            <w:tcBorders>
              <w:right w:val="nil"/>
            </w:tcBorders>
            <w:shd w:val="solid" w:color="FFFFFF" w:fill="auto"/>
          </w:tcPr>
          <w:p w:rsidR="00ED6788" w:rsidRPr="002C0E8B" w:rsidRDefault="00ED6788" w:rsidP="006845C7">
            <w:pPr>
              <w:pStyle w:val="TableText"/>
              <w:ind w:right="284"/>
              <w:jc w:val="right"/>
            </w:pPr>
            <w:r>
              <w:t>2127</w:t>
            </w:r>
          </w:p>
        </w:tc>
        <w:tc>
          <w:tcPr>
            <w:tcW w:w="3968" w:type="dxa"/>
            <w:tcBorders>
              <w:left w:val="nil"/>
            </w:tcBorders>
            <w:shd w:val="solid" w:color="FFFFFF" w:fill="auto"/>
          </w:tcPr>
          <w:p w:rsidR="00ED6788" w:rsidRPr="008902E3" w:rsidRDefault="00ED6788" w:rsidP="00C25CC8">
            <w:pPr>
              <w:pStyle w:val="TableText"/>
              <w:rPr>
                <w:rFonts w:cs="Arial"/>
                <w:szCs w:val="18"/>
              </w:rPr>
            </w:pPr>
            <w:r>
              <w:rPr>
                <w:rFonts w:cs="Arial"/>
                <w:szCs w:val="18"/>
              </w:rPr>
              <w:t>University of Otago</w:t>
            </w:r>
          </w:p>
        </w:tc>
        <w:tc>
          <w:tcPr>
            <w:tcW w:w="1276" w:type="dxa"/>
            <w:shd w:val="clear" w:color="E3E3E3" w:fill="D9D9D9"/>
          </w:tcPr>
          <w:p w:rsidR="00ED6788" w:rsidRPr="002C0E8B" w:rsidRDefault="00ED6788" w:rsidP="006845C7">
            <w:pPr>
              <w:pStyle w:val="TableText"/>
              <w:ind w:right="142"/>
              <w:jc w:val="right"/>
            </w:pPr>
            <w:r>
              <w:t>1889</w:t>
            </w:r>
          </w:p>
        </w:tc>
        <w:tc>
          <w:tcPr>
            <w:tcW w:w="1488" w:type="dxa"/>
          </w:tcPr>
          <w:p w:rsidR="00ED6788" w:rsidRPr="00EE0862" w:rsidRDefault="006845C7" w:rsidP="00C25CC8">
            <w:pPr>
              <w:pStyle w:val="TableText"/>
              <w:jc w:val="right"/>
            </w:pPr>
            <w:r>
              <w:t>1</w:t>
            </w:r>
            <w:r w:rsidR="00ED6788">
              <w:t>521</w:t>
            </w:r>
          </w:p>
        </w:tc>
        <w:tc>
          <w:tcPr>
            <w:tcW w:w="1347" w:type="dxa"/>
          </w:tcPr>
          <w:p w:rsidR="00ED6788" w:rsidRPr="002C0E8B" w:rsidRDefault="006845C7" w:rsidP="00C25CC8">
            <w:pPr>
              <w:pStyle w:val="TableText"/>
              <w:jc w:val="right"/>
            </w:pPr>
            <w:r>
              <w:t>1</w:t>
            </w:r>
            <w:r w:rsidR="00ED6788">
              <w:t>521</w:t>
            </w:r>
          </w:p>
        </w:tc>
      </w:tr>
      <w:tr w:rsidR="00ED6788" w:rsidRPr="002C0E8B" w:rsidTr="00C25CC8">
        <w:trPr>
          <w:cantSplit/>
        </w:trPr>
        <w:tc>
          <w:tcPr>
            <w:tcW w:w="1277" w:type="dxa"/>
            <w:tcBorders>
              <w:right w:val="nil"/>
            </w:tcBorders>
            <w:shd w:val="solid" w:color="FFFFFF" w:fill="auto"/>
          </w:tcPr>
          <w:p w:rsidR="00ED6788" w:rsidRDefault="00ED6788" w:rsidP="00C25CC8">
            <w:pPr>
              <w:pStyle w:val="TableText"/>
              <w:ind w:right="284"/>
              <w:jc w:val="right"/>
            </w:pPr>
            <w:r>
              <w:t>57,949</w:t>
            </w:r>
          </w:p>
        </w:tc>
        <w:tc>
          <w:tcPr>
            <w:tcW w:w="3968" w:type="dxa"/>
            <w:tcBorders>
              <w:left w:val="nil"/>
            </w:tcBorders>
            <w:shd w:val="solid" w:color="FFFFFF" w:fill="auto"/>
          </w:tcPr>
          <w:p w:rsidR="00ED6788" w:rsidRDefault="006845C7" w:rsidP="00C25CC8">
            <w:pPr>
              <w:pStyle w:val="TableText"/>
              <w:rPr>
                <w:rFonts w:cs="Arial"/>
                <w:szCs w:val="18"/>
              </w:rPr>
            </w:pPr>
            <w:r>
              <w:rPr>
                <w:rFonts w:cs="Arial"/>
                <w:szCs w:val="18"/>
              </w:rPr>
              <w:t>University of Auckland</w:t>
            </w:r>
          </w:p>
        </w:tc>
        <w:tc>
          <w:tcPr>
            <w:tcW w:w="1276" w:type="dxa"/>
            <w:shd w:val="clear" w:color="E3E3E3" w:fill="D9D9D9"/>
          </w:tcPr>
          <w:p w:rsidR="00ED6788" w:rsidRDefault="00ED6788" w:rsidP="00C25CC8">
            <w:pPr>
              <w:pStyle w:val="TableText"/>
              <w:ind w:right="142"/>
              <w:jc w:val="right"/>
            </w:pPr>
            <w:r>
              <w:t>61,985</w:t>
            </w:r>
          </w:p>
        </w:tc>
        <w:tc>
          <w:tcPr>
            <w:tcW w:w="1488" w:type="dxa"/>
          </w:tcPr>
          <w:p w:rsidR="00ED6788" w:rsidRPr="003722A0" w:rsidRDefault="00ED6788" w:rsidP="00C25CC8">
            <w:pPr>
              <w:pStyle w:val="TableText"/>
              <w:jc w:val="right"/>
            </w:pPr>
            <w:r w:rsidRPr="003722A0">
              <w:t>57,437</w:t>
            </w:r>
          </w:p>
        </w:tc>
        <w:tc>
          <w:tcPr>
            <w:tcW w:w="1347" w:type="dxa"/>
          </w:tcPr>
          <w:p w:rsidR="00ED6788" w:rsidRDefault="00ED6788" w:rsidP="00C25CC8">
            <w:pPr>
              <w:pStyle w:val="TableText"/>
              <w:jc w:val="right"/>
            </w:pPr>
            <w:r>
              <w:t>59,460</w:t>
            </w:r>
          </w:p>
        </w:tc>
      </w:tr>
      <w:tr w:rsidR="00ED6788" w:rsidRPr="002C0E8B" w:rsidTr="00C25CC8">
        <w:trPr>
          <w:cantSplit/>
        </w:trPr>
        <w:tc>
          <w:tcPr>
            <w:tcW w:w="1277" w:type="dxa"/>
            <w:tcBorders>
              <w:right w:val="nil"/>
            </w:tcBorders>
            <w:shd w:val="solid" w:color="FFFFFF" w:fill="auto"/>
          </w:tcPr>
          <w:p w:rsidR="00ED6788" w:rsidRPr="002C0E8B" w:rsidRDefault="00ED6788" w:rsidP="006845C7">
            <w:pPr>
              <w:pStyle w:val="TableText"/>
              <w:ind w:right="284"/>
              <w:jc w:val="right"/>
            </w:pPr>
            <w:r>
              <w:t>3506</w:t>
            </w:r>
          </w:p>
        </w:tc>
        <w:tc>
          <w:tcPr>
            <w:tcW w:w="3968" w:type="dxa"/>
            <w:tcBorders>
              <w:left w:val="nil"/>
            </w:tcBorders>
            <w:shd w:val="solid" w:color="FFFFFF" w:fill="auto"/>
          </w:tcPr>
          <w:p w:rsidR="00ED6788" w:rsidRPr="008902E3" w:rsidRDefault="00ED6788" w:rsidP="00F95976">
            <w:pPr>
              <w:pStyle w:val="TableText"/>
              <w:rPr>
                <w:rFonts w:cs="Arial"/>
                <w:szCs w:val="18"/>
              </w:rPr>
            </w:pPr>
            <w:r w:rsidRPr="008902E3">
              <w:rPr>
                <w:rFonts w:cs="Arial"/>
                <w:szCs w:val="18"/>
              </w:rPr>
              <w:t>Non-</w:t>
            </w:r>
            <w:r w:rsidR="00F95976">
              <w:rPr>
                <w:rFonts w:cs="Arial"/>
                <w:szCs w:val="18"/>
              </w:rPr>
              <w:t>g</w:t>
            </w:r>
            <w:r w:rsidRPr="008902E3">
              <w:rPr>
                <w:rFonts w:cs="Arial"/>
                <w:szCs w:val="18"/>
              </w:rPr>
              <w:t xml:space="preserve">overnment </w:t>
            </w:r>
            <w:r w:rsidR="00F95976">
              <w:rPr>
                <w:rFonts w:cs="Arial"/>
                <w:szCs w:val="18"/>
              </w:rPr>
              <w:t>o</w:t>
            </w:r>
            <w:r w:rsidRPr="008902E3">
              <w:rPr>
                <w:rFonts w:cs="Arial"/>
                <w:szCs w:val="18"/>
              </w:rPr>
              <w:t>rganisations</w:t>
            </w:r>
          </w:p>
        </w:tc>
        <w:tc>
          <w:tcPr>
            <w:tcW w:w="1276" w:type="dxa"/>
            <w:shd w:val="clear" w:color="E3E3E3" w:fill="D9D9D9"/>
          </w:tcPr>
          <w:p w:rsidR="00ED6788" w:rsidRPr="002C0E8B" w:rsidRDefault="00ED6788" w:rsidP="006845C7">
            <w:pPr>
              <w:pStyle w:val="TableText"/>
              <w:ind w:right="142"/>
              <w:jc w:val="right"/>
            </w:pPr>
            <w:r>
              <w:t>2611</w:t>
            </w:r>
          </w:p>
        </w:tc>
        <w:tc>
          <w:tcPr>
            <w:tcW w:w="1488" w:type="dxa"/>
          </w:tcPr>
          <w:p w:rsidR="00ED6788" w:rsidRDefault="00ED6788" w:rsidP="006845C7">
            <w:pPr>
              <w:pStyle w:val="TableText"/>
              <w:jc w:val="right"/>
            </w:pPr>
            <w:r>
              <w:t>2870</w:t>
            </w:r>
          </w:p>
        </w:tc>
        <w:tc>
          <w:tcPr>
            <w:tcW w:w="1347" w:type="dxa"/>
          </w:tcPr>
          <w:p w:rsidR="00ED6788" w:rsidRPr="002C0E8B" w:rsidRDefault="006845C7" w:rsidP="00C25CC8">
            <w:pPr>
              <w:pStyle w:val="TableText"/>
              <w:jc w:val="right"/>
            </w:pPr>
            <w:r>
              <w:t>2</w:t>
            </w:r>
            <w:r w:rsidR="00ED6788">
              <w:t>870</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169,280</w:t>
            </w:r>
          </w:p>
        </w:tc>
        <w:tc>
          <w:tcPr>
            <w:tcW w:w="3968" w:type="dxa"/>
            <w:tcBorders>
              <w:left w:val="nil"/>
            </w:tcBorders>
            <w:shd w:val="solid" w:color="FFFFFF" w:fill="auto"/>
          </w:tcPr>
          <w:p w:rsidR="00ED6788" w:rsidRPr="002C0E8B" w:rsidRDefault="00ED6788" w:rsidP="00C25CC8">
            <w:pPr>
              <w:pStyle w:val="TableText"/>
              <w:keepNext/>
              <w:rPr>
                <w:b/>
              </w:rPr>
            </w:pPr>
            <w:r w:rsidRPr="00402325">
              <w:rPr>
                <w:rFonts w:cs="Arial"/>
                <w:b/>
                <w:szCs w:val="18"/>
              </w:rPr>
              <w:t>Total appropriation</w:t>
            </w:r>
          </w:p>
        </w:tc>
        <w:tc>
          <w:tcPr>
            <w:tcW w:w="1276" w:type="dxa"/>
            <w:shd w:val="clear" w:color="E3E3E3" w:fill="D9D9D9"/>
          </w:tcPr>
          <w:p w:rsidR="00ED6788" w:rsidRPr="002C0E8B" w:rsidRDefault="00ED6788" w:rsidP="00C25CC8">
            <w:pPr>
              <w:pStyle w:val="TableText"/>
              <w:ind w:right="142"/>
              <w:jc w:val="right"/>
              <w:rPr>
                <w:b/>
              </w:rPr>
            </w:pPr>
            <w:r>
              <w:rPr>
                <w:b/>
              </w:rPr>
              <w:t>176,560</w:t>
            </w:r>
          </w:p>
        </w:tc>
        <w:tc>
          <w:tcPr>
            <w:tcW w:w="1488" w:type="dxa"/>
          </w:tcPr>
          <w:p w:rsidR="00ED6788" w:rsidRPr="002C0E8B" w:rsidRDefault="00ED6788" w:rsidP="00C25CC8">
            <w:pPr>
              <w:pStyle w:val="TableText"/>
              <w:jc w:val="right"/>
              <w:rPr>
                <w:b/>
              </w:rPr>
            </w:pPr>
            <w:r w:rsidRPr="008902E3">
              <w:rPr>
                <w:b/>
              </w:rPr>
              <w:t>173,714</w:t>
            </w:r>
          </w:p>
        </w:tc>
        <w:tc>
          <w:tcPr>
            <w:tcW w:w="1347" w:type="dxa"/>
          </w:tcPr>
          <w:p w:rsidR="00ED6788" w:rsidRPr="002C0E8B" w:rsidRDefault="00ED6788" w:rsidP="00C25CC8">
            <w:pPr>
              <w:pStyle w:val="TableText"/>
              <w:jc w:val="right"/>
              <w:rPr>
                <w:b/>
              </w:rPr>
            </w:pPr>
            <w:r>
              <w:rPr>
                <w:b/>
              </w:rPr>
              <w:t>177,441</w:t>
            </w:r>
          </w:p>
        </w:tc>
      </w:tr>
    </w:tbl>
    <w:p w:rsidR="00ED6788" w:rsidRDefault="00ED6788" w:rsidP="006845C7"/>
    <w:p w:rsidR="00ED6788" w:rsidRDefault="00ED6788" w:rsidP="006845C7">
      <w:pPr>
        <w:pStyle w:val="Heading3"/>
      </w:pPr>
      <w:r w:rsidRPr="007A1F5B">
        <w:t>Comments</w:t>
      </w:r>
    </w:p>
    <w:p w:rsidR="000845D9" w:rsidRDefault="00ED6788" w:rsidP="006845C7">
      <w:r w:rsidRPr="00074D5A">
        <w:t xml:space="preserve">This appropriation </w:t>
      </w:r>
      <w:r>
        <w:t xml:space="preserve">was </w:t>
      </w:r>
      <w:r w:rsidRPr="00074D5A">
        <w:t>overspent by $2.846 million against the Main Estimates (2 percent of appropriation)</w:t>
      </w:r>
      <w:r>
        <w:t>. F</w:t>
      </w:r>
      <w:r w:rsidRPr="00074D5A">
        <w:t xml:space="preserve">unding of $3.727 million </w:t>
      </w:r>
      <w:r>
        <w:t xml:space="preserve">was </w:t>
      </w:r>
      <w:r w:rsidRPr="00074D5A">
        <w:t>approved in the Supplementary Estimates.</w:t>
      </w:r>
      <w:r>
        <w:t xml:space="preserve"> </w:t>
      </w:r>
      <w:r w:rsidRPr="00074D5A">
        <w:t>The additional funding support</w:t>
      </w:r>
      <w:r>
        <w:t>ed</w:t>
      </w:r>
      <w:r w:rsidRPr="00074D5A">
        <w:t xml:space="preserve"> 160 additional Nurse Entry to Practice placements in DHBs;</w:t>
      </w:r>
      <w:r w:rsidR="000845D9">
        <w:t xml:space="preserve"> </w:t>
      </w:r>
      <w:r w:rsidRPr="00074D5A">
        <w:t>40</w:t>
      </w:r>
      <w:r w:rsidR="006845C7">
        <w:t> </w:t>
      </w:r>
      <w:r w:rsidRPr="00074D5A">
        <w:t xml:space="preserve">additional Aged Residential Care Nurse Entry to Practice placements transferred from 2013/14 to 2014/15; </w:t>
      </w:r>
      <w:r>
        <w:t>and</w:t>
      </w:r>
      <w:r w:rsidR="000845D9">
        <w:t xml:space="preserve"> </w:t>
      </w:r>
      <w:r w:rsidRPr="00074D5A">
        <w:t>additional trainees in the General Practice Education Programme (GPEP) in the 2014/15 year</w:t>
      </w:r>
      <w:r w:rsidR="00F95976">
        <w:t>.</w:t>
      </w:r>
    </w:p>
    <w:p w:rsidR="00ED6788" w:rsidRPr="007A1F5B" w:rsidRDefault="00ED6788" w:rsidP="006845C7"/>
    <w:p w:rsidR="00ED6788" w:rsidRDefault="00ED6788" w:rsidP="006845C7">
      <w:pPr>
        <w:pStyle w:val="Heading2"/>
      </w:pPr>
      <w:bookmarkStart w:id="16" w:name="_Toc432765744"/>
      <w:bookmarkStart w:id="17" w:name="_Toc433713777"/>
      <w:r w:rsidRPr="000C7904">
        <w:lastRenderedPageBreak/>
        <w:t xml:space="preserve">Monitoring and </w:t>
      </w:r>
      <w:r w:rsidR="006845C7">
        <w:t>p</w:t>
      </w:r>
      <w:r w:rsidRPr="000C7904">
        <w:t xml:space="preserve">rotecting </w:t>
      </w:r>
      <w:r w:rsidR="006845C7">
        <w:t>h</w:t>
      </w:r>
      <w:r w:rsidRPr="000C7904">
        <w:t xml:space="preserve">ealth and </w:t>
      </w:r>
      <w:r w:rsidR="006845C7">
        <w:t>d</w:t>
      </w:r>
      <w:r w:rsidRPr="000C7904">
        <w:t xml:space="preserve">isability </w:t>
      </w:r>
      <w:r w:rsidR="006845C7">
        <w:t>c</w:t>
      </w:r>
      <w:r w:rsidRPr="000C7904">
        <w:t>onsumer</w:t>
      </w:r>
      <w:r>
        <w:t xml:space="preserve"> </w:t>
      </w:r>
      <w:r w:rsidR="006845C7">
        <w:t>i</w:t>
      </w:r>
      <w:r>
        <w:t>nterests</w:t>
      </w:r>
      <w:bookmarkEnd w:id="16"/>
      <w:bookmarkEnd w:id="17"/>
    </w:p>
    <w:p w:rsidR="00ED6788" w:rsidRDefault="00ED6788" w:rsidP="00734595">
      <w:pPr>
        <w:keepNext/>
      </w:pPr>
      <w:r>
        <w:t xml:space="preserve">The scope of the Appropriation is the provision </w:t>
      </w:r>
      <w:r w:rsidRPr="002C6142">
        <w:t xml:space="preserve">of services to monitor and protect health consumer interests by the Health and Disability Commissioner, District Mental Health Inspectors and Review Tribunals, and the Mental Health Commission. This appropriation is intended to </w:t>
      </w:r>
      <w:r>
        <w:t>ensure</w:t>
      </w:r>
      <w:r w:rsidRPr="002C6142">
        <w:t xml:space="preserve"> the rights of people using health and disability services are protected. This includes addressing the concerns of whānau and appropriately investigating alleged breaches of patients</w:t>
      </w:r>
      <w:r w:rsidR="000845D9">
        <w:t>’</w:t>
      </w:r>
      <w:r w:rsidRPr="002C6142">
        <w:t xml:space="preserve"> rights.</w:t>
      </w:r>
    </w:p>
    <w:p w:rsidR="000E6410" w:rsidRDefault="000E6410" w:rsidP="00734595">
      <w:pPr>
        <w:keepNext/>
      </w:pPr>
    </w:p>
    <w:p w:rsidR="00ED6788" w:rsidRDefault="00ED6788" w:rsidP="00734595">
      <w:pPr>
        <w:keepNext/>
      </w:pPr>
      <w:r>
        <w:t xml:space="preserve">Parts of this appropriation are reported to Parliament by the Health and Disability Commissioner, the Mental Health Commission and the Health Quality and Safety Commission. Their annual reports are framed in relation to the performance measures contained in their current Statements of Intent. This report covers the part of the appropriation that funds mental health reviews and </w:t>
      </w:r>
      <w:r w:rsidR="000E6410">
        <w:t>e</w:t>
      </w:r>
      <w:r>
        <w:t>nquiries, and it includes the work of district inspectors, the Director of Mental Health and the Mental Health Review Tribunal.</w:t>
      </w:r>
    </w:p>
    <w:p w:rsidR="00ED6788" w:rsidRPr="003756B9" w:rsidRDefault="00ED6788" w:rsidP="00734595">
      <w:pPr>
        <w:keepNext/>
      </w:pPr>
    </w:p>
    <w:tbl>
      <w:tblPr>
        <w:tblW w:w="494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419"/>
        <w:gridCol w:w="5385"/>
        <w:gridCol w:w="1322"/>
        <w:gridCol w:w="1117"/>
      </w:tblGrid>
      <w:tr w:rsidR="00ED6788" w:rsidRPr="00E16661" w:rsidTr="000E6410">
        <w:trPr>
          <w:cantSplit/>
          <w:tblHeader/>
        </w:trPr>
        <w:tc>
          <w:tcPr>
            <w:tcW w:w="768" w:type="pct"/>
            <w:tcBorders>
              <w:top w:val="single" w:sz="4" w:space="0" w:color="auto"/>
              <w:bottom w:val="single" w:sz="4" w:space="0" w:color="auto"/>
            </w:tcBorders>
          </w:tcPr>
          <w:p w:rsidR="00ED6788" w:rsidRPr="00E16661" w:rsidRDefault="00ED6788" w:rsidP="00C25CC8">
            <w:pPr>
              <w:pStyle w:val="TableText"/>
              <w:ind w:right="284"/>
              <w:jc w:val="right"/>
              <w:rPr>
                <w:b/>
              </w:rPr>
            </w:pPr>
            <w:r w:rsidRPr="00E16661">
              <w:rPr>
                <w:b/>
              </w:rPr>
              <w:t>Actual 201</w:t>
            </w:r>
            <w:r>
              <w:rPr>
                <w:b/>
              </w:rPr>
              <w:t>3/14</w:t>
            </w:r>
          </w:p>
        </w:tc>
        <w:tc>
          <w:tcPr>
            <w:tcW w:w="2913" w:type="pct"/>
            <w:tcBorders>
              <w:top w:val="single" w:sz="4" w:space="0" w:color="auto"/>
              <w:bottom w:val="single" w:sz="4" w:space="0" w:color="auto"/>
            </w:tcBorders>
          </w:tcPr>
          <w:p w:rsidR="00ED6788" w:rsidRPr="00E16661" w:rsidRDefault="00ED6788" w:rsidP="000E6410">
            <w:pPr>
              <w:pStyle w:val="TableText"/>
              <w:ind w:right="142"/>
              <w:rPr>
                <w:b/>
              </w:rPr>
            </w:pPr>
            <w:r w:rsidRPr="00E16661">
              <w:rPr>
                <w:b/>
              </w:rPr>
              <w:t>Performance measure</w:t>
            </w:r>
          </w:p>
        </w:tc>
        <w:tc>
          <w:tcPr>
            <w:tcW w:w="715" w:type="pct"/>
            <w:tcBorders>
              <w:top w:val="single" w:sz="4" w:space="0" w:color="auto"/>
              <w:bottom w:val="single" w:sz="4" w:space="0" w:color="auto"/>
            </w:tcBorders>
          </w:tcPr>
          <w:p w:rsidR="00ED6788" w:rsidRPr="00E16661" w:rsidRDefault="00ED6788" w:rsidP="00C25CC8">
            <w:pPr>
              <w:pStyle w:val="TableT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605" w:type="pct"/>
            <w:tcBorders>
              <w:top w:val="single" w:sz="4" w:space="0" w:color="auto"/>
              <w:bottom w:val="single" w:sz="4" w:space="0" w:color="auto"/>
            </w:tcBorders>
            <w:shd w:val="clear" w:color="auto" w:fill="D9D9D9"/>
          </w:tcPr>
          <w:p w:rsidR="00ED6788" w:rsidRPr="00E16661" w:rsidRDefault="00ED6788" w:rsidP="00C25CC8">
            <w:pPr>
              <w:pStyle w:val="TableT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0E6410">
        <w:trPr>
          <w:cantSplit/>
        </w:trPr>
        <w:tc>
          <w:tcPr>
            <w:tcW w:w="768" w:type="pct"/>
            <w:tcBorders>
              <w:top w:val="single" w:sz="4" w:space="0" w:color="auto"/>
            </w:tcBorders>
          </w:tcPr>
          <w:p w:rsidR="00ED6788" w:rsidRPr="002C0E8B" w:rsidRDefault="00ED6788" w:rsidP="00C25CC8">
            <w:pPr>
              <w:pStyle w:val="TableText"/>
              <w:ind w:right="284"/>
              <w:jc w:val="right"/>
              <w:rPr>
                <w:bCs/>
                <w:lang w:eastAsia="en-NZ"/>
              </w:rPr>
            </w:pPr>
          </w:p>
        </w:tc>
        <w:tc>
          <w:tcPr>
            <w:tcW w:w="2913" w:type="pct"/>
            <w:tcBorders>
              <w:top w:val="single" w:sz="4" w:space="0" w:color="auto"/>
            </w:tcBorders>
          </w:tcPr>
          <w:p w:rsidR="00ED6788" w:rsidRPr="00AB69C4" w:rsidRDefault="00ED6788" w:rsidP="000E6410">
            <w:pPr>
              <w:pStyle w:val="TableText"/>
              <w:ind w:right="142"/>
              <w:rPr>
                <w:b/>
              </w:rPr>
            </w:pPr>
            <w:r w:rsidRPr="0031110B">
              <w:rPr>
                <w:b/>
                <w:bCs/>
                <w:lang w:eastAsia="en-NZ"/>
              </w:rPr>
              <w:t>Health and Disability Commissioner</w:t>
            </w:r>
          </w:p>
        </w:tc>
        <w:tc>
          <w:tcPr>
            <w:tcW w:w="715" w:type="pct"/>
            <w:tcBorders>
              <w:top w:val="single" w:sz="4" w:space="0" w:color="auto"/>
            </w:tcBorders>
          </w:tcPr>
          <w:p w:rsidR="00ED6788" w:rsidRPr="002C0E8B" w:rsidRDefault="00ED6788" w:rsidP="00C25CC8">
            <w:pPr>
              <w:pStyle w:val="TableText"/>
              <w:ind w:right="142"/>
              <w:jc w:val="right"/>
            </w:pPr>
          </w:p>
        </w:tc>
        <w:tc>
          <w:tcPr>
            <w:tcW w:w="605" w:type="pct"/>
            <w:tcBorders>
              <w:top w:val="single" w:sz="4" w:space="0" w:color="auto"/>
            </w:tcBorders>
            <w:shd w:val="clear" w:color="auto" w:fill="D9D9D9"/>
          </w:tcPr>
          <w:p w:rsidR="00ED6788" w:rsidRPr="002C0E8B" w:rsidRDefault="00ED6788" w:rsidP="00C25CC8">
            <w:pPr>
              <w:pStyle w:val="TableText"/>
              <w:ind w:right="142"/>
              <w:jc w:val="right"/>
            </w:pPr>
          </w:p>
        </w:tc>
      </w:tr>
      <w:tr w:rsidR="00ED6788" w:rsidRPr="002C0E8B" w:rsidTr="000E6410">
        <w:trPr>
          <w:cantSplit/>
        </w:trPr>
        <w:tc>
          <w:tcPr>
            <w:tcW w:w="768" w:type="pct"/>
            <w:tcBorders>
              <w:bottom w:val="nil"/>
            </w:tcBorders>
          </w:tcPr>
          <w:p w:rsidR="00ED6788" w:rsidRPr="002C0E8B" w:rsidRDefault="00ED6788" w:rsidP="000E6410">
            <w:pPr>
              <w:pStyle w:val="TableText"/>
              <w:spacing w:before="0"/>
              <w:ind w:right="284"/>
              <w:jc w:val="right"/>
            </w:pPr>
          </w:p>
        </w:tc>
        <w:tc>
          <w:tcPr>
            <w:tcW w:w="2913" w:type="pct"/>
            <w:tcBorders>
              <w:bottom w:val="nil"/>
            </w:tcBorders>
          </w:tcPr>
          <w:p w:rsidR="00ED6788" w:rsidRPr="002C0E8B" w:rsidRDefault="00ED6788" w:rsidP="000E6410">
            <w:pPr>
              <w:pStyle w:val="TableText"/>
              <w:spacing w:before="0"/>
              <w:ind w:right="142"/>
            </w:pPr>
            <w:r w:rsidRPr="0031110B">
              <w:t>The performance measures are those contained in the Crown entity</w:t>
            </w:r>
            <w:r w:rsidR="000845D9">
              <w:t>’</w:t>
            </w:r>
            <w:r w:rsidR="000E6410">
              <w:t>s Statement of Intent</w:t>
            </w:r>
          </w:p>
        </w:tc>
        <w:tc>
          <w:tcPr>
            <w:tcW w:w="715" w:type="pct"/>
            <w:tcBorders>
              <w:bottom w:val="nil"/>
            </w:tcBorders>
          </w:tcPr>
          <w:p w:rsidR="00ED6788" w:rsidRPr="002C0E8B" w:rsidRDefault="00ED6788" w:rsidP="000E6410">
            <w:pPr>
              <w:pStyle w:val="TableText"/>
              <w:spacing w:before="0"/>
              <w:ind w:right="142"/>
              <w:jc w:val="right"/>
            </w:pPr>
          </w:p>
        </w:tc>
        <w:tc>
          <w:tcPr>
            <w:tcW w:w="605" w:type="pct"/>
            <w:tcBorders>
              <w:bottom w:val="nil"/>
            </w:tcBorders>
            <w:shd w:val="clear" w:color="auto" w:fill="D9D9D9"/>
          </w:tcPr>
          <w:p w:rsidR="00ED6788" w:rsidRPr="00D155EF" w:rsidRDefault="00ED6788" w:rsidP="000E6410">
            <w:pPr>
              <w:pStyle w:val="TableText"/>
              <w:spacing w:before="0"/>
              <w:ind w:right="142"/>
              <w:jc w:val="right"/>
            </w:pPr>
          </w:p>
        </w:tc>
      </w:tr>
      <w:tr w:rsidR="00ED6788" w:rsidRPr="002C0E8B" w:rsidTr="000E6410">
        <w:trPr>
          <w:cantSplit/>
        </w:trPr>
        <w:tc>
          <w:tcPr>
            <w:tcW w:w="768" w:type="pct"/>
            <w:tcBorders>
              <w:top w:val="nil"/>
              <w:bottom w:val="nil"/>
            </w:tcBorders>
          </w:tcPr>
          <w:p w:rsidR="00ED6788" w:rsidRPr="002C0E8B" w:rsidRDefault="00ED6788" w:rsidP="00C25CC8">
            <w:pPr>
              <w:pStyle w:val="TableText"/>
              <w:ind w:right="284"/>
              <w:jc w:val="right"/>
              <w:rPr>
                <w:bCs/>
                <w:lang w:eastAsia="en-NZ"/>
              </w:rPr>
            </w:pPr>
          </w:p>
        </w:tc>
        <w:tc>
          <w:tcPr>
            <w:tcW w:w="2913" w:type="pct"/>
            <w:tcBorders>
              <w:top w:val="nil"/>
              <w:bottom w:val="nil"/>
            </w:tcBorders>
          </w:tcPr>
          <w:p w:rsidR="00ED6788" w:rsidRPr="00AB69C4" w:rsidRDefault="00ED6788" w:rsidP="000E6410">
            <w:pPr>
              <w:pStyle w:val="TableText"/>
              <w:ind w:right="142"/>
              <w:rPr>
                <w:b/>
              </w:rPr>
            </w:pPr>
            <w:r w:rsidRPr="0031110B">
              <w:rPr>
                <w:b/>
                <w:bCs/>
                <w:lang w:eastAsia="en-NZ"/>
              </w:rPr>
              <w:t>Health Quality and Safety Commission</w:t>
            </w:r>
          </w:p>
        </w:tc>
        <w:tc>
          <w:tcPr>
            <w:tcW w:w="715" w:type="pct"/>
            <w:tcBorders>
              <w:top w:val="nil"/>
              <w:bottom w:val="nil"/>
            </w:tcBorders>
          </w:tcPr>
          <w:p w:rsidR="00ED6788" w:rsidRPr="002C0E8B" w:rsidRDefault="00ED6788" w:rsidP="00C25CC8">
            <w:pPr>
              <w:pStyle w:val="TableText"/>
              <w:ind w:right="142"/>
              <w:jc w:val="right"/>
            </w:pPr>
          </w:p>
        </w:tc>
        <w:tc>
          <w:tcPr>
            <w:tcW w:w="605" w:type="pct"/>
            <w:tcBorders>
              <w:top w:val="nil"/>
              <w:bottom w:val="nil"/>
            </w:tcBorders>
            <w:shd w:val="clear" w:color="auto" w:fill="D9D9D9"/>
          </w:tcPr>
          <w:p w:rsidR="00ED6788" w:rsidRPr="002C0E8B" w:rsidRDefault="00ED6788" w:rsidP="00C25CC8">
            <w:pPr>
              <w:pStyle w:val="TableText"/>
              <w:ind w:right="142"/>
              <w:jc w:val="right"/>
            </w:pPr>
          </w:p>
        </w:tc>
      </w:tr>
      <w:tr w:rsidR="00ED6788" w:rsidRPr="002C0E8B" w:rsidTr="000E6410">
        <w:trPr>
          <w:cantSplit/>
        </w:trPr>
        <w:tc>
          <w:tcPr>
            <w:tcW w:w="768" w:type="pct"/>
            <w:tcBorders>
              <w:top w:val="nil"/>
              <w:bottom w:val="nil"/>
            </w:tcBorders>
          </w:tcPr>
          <w:p w:rsidR="00ED6788" w:rsidRPr="002C0E8B" w:rsidRDefault="00ED6788" w:rsidP="000E6410">
            <w:pPr>
              <w:pStyle w:val="TableText"/>
              <w:spacing w:before="0"/>
              <w:ind w:right="284"/>
              <w:jc w:val="right"/>
            </w:pPr>
          </w:p>
        </w:tc>
        <w:tc>
          <w:tcPr>
            <w:tcW w:w="2913" w:type="pct"/>
            <w:tcBorders>
              <w:top w:val="nil"/>
              <w:bottom w:val="nil"/>
            </w:tcBorders>
          </w:tcPr>
          <w:p w:rsidR="00ED6788" w:rsidRPr="002C0E8B" w:rsidRDefault="00ED6788" w:rsidP="000E6410">
            <w:pPr>
              <w:pStyle w:val="TableText"/>
              <w:spacing w:before="0"/>
              <w:ind w:right="142"/>
            </w:pPr>
            <w:r w:rsidRPr="0031110B">
              <w:t>The performance measures are those contained in the Crown entity</w:t>
            </w:r>
            <w:r w:rsidR="000845D9">
              <w:t>’</w:t>
            </w:r>
            <w:r w:rsidRPr="0031110B">
              <w:t>s Statement of Intent</w:t>
            </w:r>
          </w:p>
        </w:tc>
        <w:tc>
          <w:tcPr>
            <w:tcW w:w="715" w:type="pct"/>
            <w:tcBorders>
              <w:top w:val="nil"/>
              <w:bottom w:val="nil"/>
            </w:tcBorders>
          </w:tcPr>
          <w:p w:rsidR="00ED6788" w:rsidRPr="002C0E8B" w:rsidRDefault="00ED6788" w:rsidP="000E6410">
            <w:pPr>
              <w:pStyle w:val="TableText"/>
              <w:spacing w:before="0"/>
              <w:ind w:right="142"/>
              <w:jc w:val="right"/>
            </w:pPr>
          </w:p>
        </w:tc>
        <w:tc>
          <w:tcPr>
            <w:tcW w:w="605" w:type="pct"/>
            <w:tcBorders>
              <w:top w:val="nil"/>
              <w:bottom w:val="nil"/>
            </w:tcBorders>
            <w:shd w:val="clear" w:color="auto" w:fill="D9D9D9"/>
          </w:tcPr>
          <w:p w:rsidR="00ED6788" w:rsidRPr="00D155EF" w:rsidRDefault="00ED6788" w:rsidP="000E6410">
            <w:pPr>
              <w:pStyle w:val="TableText"/>
              <w:spacing w:before="0"/>
              <w:ind w:right="142"/>
              <w:jc w:val="right"/>
            </w:pPr>
          </w:p>
        </w:tc>
      </w:tr>
      <w:tr w:rsidR="00ED6788" w:rsidRPr="002C0E8B" w:rsidTr="000E6410">
        <w:trPr>
          <w:cantSplit/>
        </w:trPr>
        <w:tc>
          <w:tcPr>
            <w:tcW w:w="768" w:type="pct"/>
            <w:tcBorders>
              <w:top w:val="nil"/>
            </w:tcBorders>
          </w:tcPr>
          <w:p w:rsidR="00ED6788" w:rsidRPr="002C0E8B" w:rsidRDefault="00ED6788" w:rsidP="00C25CC8">
            <w:pPr>
              <w:pStyle w:val="TableText"/>
              <w:ind w:right="284"/>
              <w:jc w:val="right"/>
              <w:rPr>
                <w:bCs/>
                <w:lang w:eastAsia="en-NZ"/>
              </w:rPr>
            </w:pPr>
          </w:p>
        </w:tc>
        <w:tc>
          <w:tcPr>
            <w:tcW w:w="2913" w:type="pct"/>
            <w:tcBorders>
              <w:top w:val="nil"/>
            </w:tcBorders>
          </w:tcPr>
          <w:p w:rsidR="00ED6788" w:rsidRPr="00AB69C4" w:rsidRDefault="00ED6788" w:rsidP="000E6410">
            <w:pPr>
              <w:pStyle w:val="TableText"/>
              <w:ind w:right="142"/>
              <w:rPr>
                <w:b/>
              </w:rPr>
            </w:pPr>
            <w:r w:rsidRPr="0031110B">
              <w:rPr>
                <w:b/>
                <w:bCs/>
                <w:lang w:eastAsia="en-NZ"/>
              </w:rPr>
              <w:t>Mental health reviews and inquiries</w:t>
            </w:r>
          </w:p>
        </w:tc>
        <w:tc>
          <w:tcPr>
            <w:tcW w:w="715" w:type="pct"/>
            <w:tcBorders>
              <w:top w:val="nil"/>
            </w:tcBorders>
          </w:tcPr>
          <w:p w:rsidR="00ED6788" w:rsidRPr="002C0E8B" w:rsidRDefault="00ED6788" w:rsidP="00C25CC8">
            <w:pPr>
              <w:pStyle w:val="TableText"/>
              <w:ind w:right="142"/>
              <w:jc w:val="right"/>
            </w:pPr>
          </w:p>
        </w:tc>
        <w:tc>
          <w:tcPr>
            <w:tcW w:w="605" w:type="pct"/>
            <w:tcBorders>
              <w:top w:val="nil"/>
            </w:tcBorders>
            <w:shd w:val="clear" w:color="auto" w:fill="D9D9D9"/>
          </w:tcPr>
          <w:p w:rsidR="00ED6788" w:rsidRPr="002C0E8B" w:rsidRDefault="00ED6788" w:rsidP="00C25CC8">
            <w:pPr>
              <w:pStyle w:val="TableText"/>
              <w:ind w:right="142"/>
              <w:jc w:val="right"/>
            </w:pPr>
          </w:p>
        </w:tc>
      </w:tr>
      <w:tr w:rsidR="00ED6788" w:rsidRPr="002C0E8B" w:rsidTr="000E6410">
        <w:trPr>
          <w:cantSplit/>
        </w:trPr>
        <w:tc>
          <w:tcPr>
            <w:tcW w:w="768" w:type="pct"/>
          </w:tcPr>
          <w:p w:rsidR="00ED6788" w:rsidRPr="002C0E8B" w:rsidRDefault="00ED6788" w:rsidP="00C25CC8">
            <w:pPr>
              <w:pStyle w:val="TableText"/>
              <w:ind w:right="284"/>
              <w:jc w:val="right"/>
            </w:pPr>
            <w:r>
              <w:t>73%</w:t>
            </w:r>
          </w:p>
        </w:tc>
        <w:tc>
          <w:tcPr>
            <w:tcW w:w="2913" w:type="pct"/>
          </w:tcPr>
          <w:p w:rsidR="00ED6788" w:rsidRPr="001606FC" w:rsidRDefault="00ED6788" w:rsidP="000E6410">
            <w:pPr>
              <w:pStyle w:val="TableText"/>
              <w:ind w:right="142"/>
            </w:pPr>
            <w:r w:rsidRPr="001606FC">
              <w:t>The percentage of District Mental Health Inspectors</w:t>
            </w:r>
            <w:r w:rsidR="000845D9">
              <w:t>’</w:t>
            </w:r>
            <w:r w:rsidRPr="001606FC">
              <w:t xml:space="preserve"> monthly reports sent to the Director of Mental Health, on their duties undertaken, within one month after completion</w:t>
            </w:r>
          </w:p>
        </w:tc>
        <w:tc>
          <w:tcPr>
            <w:tcW w:w="715" w:type="pct"/>
          </w:tcPr>
          <w:p w:rsidR="00ED6788" w:rsidRPr="008902E3" w:rsidRDefault="00ED6788" w:rsidP="00C25CC8">
            <w:pPr>
              <w:spacing w:before="60" w:after="60"/>
              <w:ind w:right="142"/>
              <w:jc w:val="right"/>
              <w:rPr>
                <w:rFonts w:cs="Arial"/>
                <w:sz w:val="18"/>
                <w:szCs w:val="18"/>
              </w:rPr>
            </w:pPr>
            <w:r w:rsidRPr="008902E3">
              <w:rPr>
                <w:rFonts w:cs="Arial"/>
                <w:sz w:val="18"/>
                <w:szCs w:val="18"/>
              </w:rPr>
              <w:t>90%</w:t>
            </w:r>
          </w:p>
        </w:tc>
        <w:tc>
          <w:tcPr>
            <w:tcW w:w="605" w:type="pct"/>
            <w:shd w:val="clear" w:color="auto" w:fill="D9D9D9"/>
          </w:tcPr>
          <w:p w:rsidR="00ED6788" w:rsidRPr="009C381C" w:rsidRDefault="00ED6788" w:rsidP="000E6410">
            <w:pPr>
              <w:pStyle w:val="TableText"/>
              <w:ind w:right="142"/>
              <w:jc w:val="right"/>
            </w:pPr>
            <w:r>
              <w:t>68</w:t>
            </w:r>
            <w:r w:rsidRPr="009C381C">
              <w:t>%</w:t>
            </w:r>
            <w:r w:rsidR="000E6410">
              <w:br/>
            </w:r>
            <w:r>
              <w:t>see Note A</w:t>
            </w:r>
          </w:p>
        </w:tc>
      </w:tr>
      <w:tr w:rsidR="00ED6788" w:rsidRPr="002C0E8B" w:rsidTr="000E6410">
        <w:trPr>
          <w:cantSplit/>
        </w:trPr>
        <w:tc>
          <w:tcPr>
            <w:tcW w:w="768" w:type="pct"/>
          </w:tcPr>
          <w:p w:rsidR="00ED6788" w:rsidRPr="002C0E8B" w:rsidRDefault="00ED6788" w:rsidP="00C25CC8">
            <w:pPr>
              <w:pStyle w:val="TableText"/>
              <w:ind w:right="284"/>
              <w:jc w:val="right"/>
            </w:pPr>
            <w:r>
              <w:t>12 Nov 2013</w:t>
            </w:r>
          </w:p>
        </w:tc>
        <w:tc>
          <w:tcPr>
            <w:tcW w:w="2913" w:type="pct"/>
          </w:tcPr>
          <w:p w:rsidR="00ED6788" w:rsidRPr="001606FC" w:rsidRDefault="00ED6788" w:rsidP="000E6410">
            <w:pPr>
              <w:pStyle w:val="TableText"/>
              <w:ind w:right="142"/>
            </w:pPr>
            <w:r w:rsidRPr="001606FC">
              <w:t>The annual report by the Mental Health Review Tribunal, on their duties undertaken, to the Director of Mental Health by the due date</w:t>
            </w:r>
          </w:p>
        </w:tc>
        <w:tc>
          <w:tcPr>
            <w:tcW w:w="715" w:type="pct"/>
          </w:tcPr>
          <w:p w:rsidR="00ED6788" w:rsidRPr="008902E3" w:rsidRDefault="00ED6788" w:rsidP="00C25CC8">
            <w:pPr>
              <w:spacing w:before="60" w:after="60"/>
              <w:ind w:right="142"/>
              <w:jc w:val="right"/>
              <w:rPr>
                <w:rFonts w:cs="Arial"/>
                <w:sz w:val="18"/>
                <w:szCs w:val="18"/>
              </w:rPr>
            </w:pPr>
            <w:r w:rsidRPr="008902E3">
              <w:rPr>
                <w:rFonts w:cs="Arial"/>
                <w:sz w:val="18"/>
                <w:szCs w:val="18"/>
              </w:rPr>
              <w:t>31 Oct 2014</w:t>
            </w:r>
          </w:p>
        </w:tc>
        <w:tc>
          <w:tcPr>
            <w:tcW w:w="605" w:type="pct"/>
            <w:shd w:val="clear" w:color="auto" w:fill="D9D9D9"/>
          </w:tcPr>
          <w:p w:rsidR="00ED6788" w:rsidRPr="009C381C" w:rsidRDefault="00ED6788" w:rsidP="00C25CC8">
            <w:pPr>
              <w:pStyle w:val="TableText"/>
              <w:ind w:right="142"/>
              <w:jc w:val="right"/>
            </w:pPr>
            <w:r w:rsidRPr="009C381C">
              <w:t>3 Oct 2014</w:t>
            </w:r>
          </w:p>
        </w:tc>
      </w:tr>
      <w:tr w:rsidR="00ED6788" w:rsidRPr="002C0E8B" w:rsidTr="000E6410">
        <w:trPr>
          <w:cantSplit/>
        </w:trPr>
        <w:tc>
          <w:tcPr>
            <w:tcW w:w="768" w:type="pct"/>
          </w:tcPr>
          <w:p w:rsidR="00ED6788" w:rsidRDefault="00ED6788" w:rsidP="000E6410">
            <w:pPr>
              <w:pStyle w:val="TableText"/>
              <w:ind w:right="284"/>
              <w:jc w:val="right"/>
            </w:pPr>
            <w:r>
              <w:t>11 Nov 2013</w:t>
            </w:r>
            <w:r>
              <w:br/>
              <w:t>8 May 2014</w:t>
            </w:r>
          </w:p>
        </w:tc>
        <w:tc>
          <w:tcPr>
            <w:tcW w:w="2913" w:type="pct"/>
          </w:tcPr>
          <w:p w:rsidR="00ED6788" w:rsidRPr="001606FC" w:rsidRDefault="00ED6788" w:rsidP="000E6410">
            <w:pPr>
              <w:pStyle w:val="TableText"/>
              <w:ind w:right="142"/>
            </w:pPr>
            <w:r w:rsidRPr="001606FC">
              <w:t>The six</w:t>
            </w:r>
            <w:r w:rsidR="000E6410">
              <w:t>-</w:t>
            </w:r>
            <w:r w:rsidRPr="001606FC">
              <w:t>monthly reports, administered by the Tribunal</w:t>
            </w:r>
            <w:r w:rsidR="000845D9">
              <w:t>’</w:t>
            </w:r>
            <w:r w:rsidRPr="001606FC">
              <w:t>s secretariat, to the Director of Mental Health by the due dates</w:t>
            </w:r>
          </w:p>
        </w:tc>
        <w:tc>
          <w:tcPr>
            <w:tcW w:w="715" w:type="pct"/>
          </w:tcPr>
          <w:p w:rsidR="00ED6788" w:rsidRPr="008902E3" w:rsidRDefault="00ED6788" w:rsidP="00C25CC8">
            <w:pPr>
              <w:pStyle w:val="TableText"/>
              <w:ind w:right="142"/>
              <w:jc w:val="right"/>
              <w:rPr>
                <w:rFonts w:cs="Arial"/>
                <w:szCs w:val="18"/>
              </w:rPr>
            </w:pPr>
            <w:r w:rsidRPr="008902E3">
              <w:rPr>
                <w:rFonts w:cs="Arial"/>
                <w:szCs w:val="18"/>
              </w:rPr>
              <w:t>20 Nov 2014</w:t>
            </w:r>
            <w:r>
              <w:rPr>
                <w:rFonts w:cs="Arial"/>
                <w:szCs w:val="18"/>
              </w:rPr>
              <w:br/>
            </w:r>
            <w:r w:rsidRPr="008902E3">
              <w:rPr>
                <w:rFonts w:cs="Arial"/>
                <w:szCs w:val="18"/>
              </w:rPr>
              <w:t>20 May 2015</w:t>
            </w:r>
          </w:p>
        </w:tc>
        <w:tc>
          <w:tcPr>
            <w:tcW w:w="605" w:type="pct"/>
            <w:shd w:val="clear" w:color="auto" w:fill="D9D9D9"/>
          </w:tcPr>
          <w:p w:rsidR="00ED6788" w:rsidRPr="00E5762D" w:rsidRDefault="00ED6788" w:rsidP="000E6410">
            <w:pPr>
              <w:pStyle w:val="TableText"/>
              <w:ind w:right="142"/>
              <w:jc w:val="right"/>
            </w:pPr>
            <w:r w:rsidRPr="00E5762D">
              <w:t>Achieved</w:t>
            </w:r>
            <w:r w:rsidR="000E6410">
              <w:br/>
            </w:r>
            <w:r w:rsidRPr="00DE3E03">
              <w:t>Achieved</w:t>
            </w:r>
          </w:p>
        </w:tc>
      </w:tr>
      <w:tr w:rsidR="00ED6788" w:rsidRPr="002C0E8B" w:rsidTr="000E6410">
        <w:trPr>
          <w:cantSplit/>
        </w:trPr>
        <w:tc>
          <w:tcPr>
            <w:tcW w:w="768" w:type="pct"/>
          </w:tcPr>
          <w:p w:rsidR="00ED6788" w:rsidRDefault="00ED6788" w:rsidP="00C25CC8">
            <w:pPr>
              <w:pStyle w:val="TableText"/>
              <w:ind w:right="284"/>
              <w:jc w:val="right"/>
            </w:pPr>
            <w:r>
              <w:t>12%</w:t>
            </w:r>
          </w:p>
        </w:tc>
        <w:tc>
          <w:tcPr>
            <w:tcW w:w="2913" w:type="pct"/>
          </w:tcPr>
          <w:p w:rsidR="00ED6788" w:rsidRDefault="00ED6788" w:rsidP="000E6410">
            <w:pPr>
              <w:pStyle w:val="TableText"/>
              <w:ind w:right="142"/>
            </w:pPr>
            <w:r w:rsidRPr="001606FC">
              <w:t>The start of the Mental Health Tribunal review held within 28 days of the receipt of the application</w:t>
            </w:r>
          </w:p>
        </w:tc>
        <w:tc>
          <w:tcPr>
            <w:tcW w:w="715" w:type="pct"/>
          </w:tcPr>
          <w:p w:rsidR="00ED6788" w:rsidRPr="008902E3" w:rsidRDefault="00ED6788" w:rsidP="00C25CC8">
            <w:pPr>
              <w:pStyle w:val="TableText"/>
              <w:ind w:right="142"/>
              <w:jc w:val="right"/>
              <w:rPr>
                <w:rFonts w:cs="Arial"/>
                <w:szCs w:val="18"/>
              </w:rPr>
            </w:pPr>
            <w:r w:rsidRPr="008902E3">
              <w:rPr>
                <w:rFonts w:cs="Arial"/>
                <w:szCs w:val="18"/>
              </w:rPr>
              <w:t>75%</w:t>
            </w:r>
          </w:p>
        </w:tc>
        <w:tc>
          <w:tcPr>
            <w:tcW w:w="605" w:type="pct"/>
            <w:shd w:val="clear" w:color="auto" w:fill="D9D9D9"/>
          </w:tcPr>
          <w:p w:rsidR="00ED6788" w:rsidRPr="00E5762D" w:rsidRDefault="00ED6788" w:rsidP="000E6410">
            <w:pPr>
              <w:pStyle w:val="TableText"/>
              <w:ind w:right="142"/>
              <w:jc w:val="right"/>
            </w:pPr>
            <w:r>
              <w:t>12.2</w:t>
            </w:r>
            <w:r w:rsidRPr="002E250C">
              <w:t>%</w:t>
            </w:r>
            <w:r w:rsidR="000E6410">
              <w:br/>
            </w:r>
            <w:r>
              <w:t>see Note B</w:t>
            </w:r>
          </w:p>
        </w:tc>
      </w:tr>
    </w:tbl>
    <w:p w:rsidR="00ED6788" w:rsidRPr="00802126" w:rsidRDefault="00ED6788" w:rsidP="000E6410">
      <w:pPr>
        <w:rPr>
          <w:highlight w:val="yellow"/>
        </w:rPr>
      </w:pPr>
    </w:p>
    <w:p w:rsidR="00ED6788" w:rsidRDefault="00ED6788" w:rsidP="000E6410">
      <w:pPr>
        <w:pStyle w:val="Heading3"/>
      </w:pPr>
      <w:r>
        <w:t>Comments</w:t>
      </w:r>
    </w:p>
    <w:p w:rsidR="00ED6788" w:rsidRDefault="00ED6788" w:rsidP="000E6410">
      <w:r>
        <w:t>The rights of people subject to compulsory assessment and treatment are specified in Part VI of the Mental Health (Compulsory Assessment and Treatment) Act 1992, known as the MH(CAT) Act. Provision is also made for the investigation of complaints that a patient</w:t>
      </w:r>
      <w:r w:rsidR="000845D9">
        <w:t>’</w:t>
      </w:r>
      <w:r>
        <w:t>s rights have been denied or breached. In this case the complaint is investigated by a district inspector and</w:t>
      </w:r>
      <w:r w:rsidR="000E6410">
        <w:t>,</w:t>
      </w:r>
      <w:r>
        <w:t xml:space="preserve"> if it has substance</w:t>
      </w:r>
      <w:r w:rsidR="000E6410">
        <w:t>,</w:t>
      </w:r>
      <w:r>
        <w:t xml:space="preserve"> the district inspector will report the breach to the Director of Area Mental Health Services and may make recommendations for action. The Director must take all steps to remedy the matter. The patient or other complainant must be informed of the findings of the investigation. If the patient is not satisfied with the outcome of the investigation, he or she may have the matter reviewed by the Tribunal.</w:t>
      </w:r>
    </w:p>
    <w:p w:rsidR="00ED6788" w:rsidRDefault="00ED6788" w:rsidP="000E6410"/>
    <w:p w:rsidR="00ED6788" w:rsidRDefault="00ED6788" w:rsidP="000E6410">
      <w:r>
        <w:t>The funding supports district inspectors throughout New Zealand. It meets the costs of district inspectors</w:t>
      </w:r>
      <w:r w:rsidR="000845D9">
        <w:t>’</w:t>
      </w:r>
      <w:r>
        <w:t xml:space="preserve"> remuneration, travel and expenses, and the costs associated with national meetings and any </w:t>
      </w:r>
      <w:r w:rsidR="000E6410">
        <w:t>e</w:t>
      </w:r>
      <w:r>
        <w:t>nquiries under sections 75 and 95 of the MH(CAT) Act 1992.</w:t>
      </w:r>
    </w:p>
    <w:p w:rsidR="00ED6788" w:rsidRDefault="00ED6788" w:rsidP="000E6410"/>
    <w:p w:rsidR="00ED6788" w:rsidRDefault="00ED6788" w:rsidP="000E6410">
      <w:r>
        <w:lastRenderedPageBreak/>
        <w:t>The funding also supports the work of the Tribunal and its secretariat. Applications may be made to the Tribunal for a review of a patient</w:t>
      </w:r>
      <w:r w:rsidR="000845D9">
        <w:t>’</w:t>
      </w:r>
      <w:r>
        <w:t>s condition. The Tribunal considers whether the patient is mentally disordered, and issues a certificate of tribunal review, indicating their decision. It also reviews the condition of special patients and restricted patients under the Act, and performs other functions as directed by the MH(CAT) Act 1992.</w:t>
      </w:r>
    </w:p>
    <w:p w:rsidR="000E6410" w:rsidRPr="000E6410" w:rsidRDefault="000E6410" w:rsidP="000E6410"/>
    <w:p w:rsidR="00ED6788" w:rsidRPr="00156997" w:rsidRDefault="00ED6788" w:rsidP="000E6410">
      <w:pPr>
        <w:pStyle w:val="Heading4"/>
      </w:pPr>
      <w:r w:rsidRPr="00156997">
        <w:t xml:space="preserve">District </w:t>
      </w:r>
      <w:r w:rsidR="000E6410">
        <w:t>i</w:t>
      </w:r>
      <w:r w:rsidRPr="00156997">
        <w:t>nspectors</w:t>
      </w:r>
    </w:p>
    <w:p w:rsidR="00ED6788" w:rsidRPr="008C653D" w:rsidRDefault="00ED6788" w:rsidP="000E6410">
      <w:pPr>
        <w:rPr>
          <w:rFonts w:eastAsia="Arial Narrow"/>
          <w:lang w:eastAsia="en-NZ"/>
        </w:rPr>
      </w:pPr>
      <w:r w:rsidRPr="008C653D">
        <w:rPr>
          <w:rFonts w:eastAsia="Arial Narrow"/>
          <w:lang w:eastAsia="en-NZ"/>
        </w:rPr>
        <w:t xml:space="preserve">District inspectors are lawyers appointed by the Minister of Health to uphold the rights of patients </w:t>
      </w:r>
      <w:r w:rsidR="000E6410">
        <w:rPr>
          <w:rFonts w:eastAsia="Arial Narrow"/>
          <w:lang w:eastAsia="en-NZ"/>
        </w:rPr>
        <w:t xml:space="preserve">as </w:t>
      </w:r>
      <w:r w:rsidRPr="008C653D">
        <w:rPr>
          <w:rFonts w:eastAsia="Arial Narrow"/>
          <w:lang w:eastAsia="en-NZ"/>
        </w:rPr>
        <w:t>set out in the MH(CAT) Act</w:t>
      </w:r>
      <w:r>
        <w:rPr>
          <w:rFonts w:eastAsia="Arial Narrow"/>
          <w:lang w:eastAsia="en-NZ"/>
        </w:rPr>
        <w:t xml:space="preserve"> 1992</w:t>
      </w:r>
      <w:r w:rsidRPr="008C653D">
        <w:rPr>
          <w:rFonts w:eastAsia="Arial Narrow"/>
          <w:lang w:eastAsia="en-NZ"/>
        </w:rPr>
        <w:t>. District inspectors carry out responsibilities for visiting hospitals and services and reporting on these visits to the Directors of Area Mental Health Services as required by section 9</w:t>
      </w:r>
      <w:r>
        <w:rPr>
          <w:rFonts w:eastAsia="Arial Narrow"/>
          <w:lang w:eastAsia="en-NZ"/>
        </w:rPr>
        <w:t>8</w:t>
      </w:r>
      <w:r w:rsidRPr="008C653D">
        <w:rPr>
          <w:rFonts w:eastAsia="Arial Narrow"/>
          <w:lang w:eastAsia="en-NZ"/>
        </w:rPr>
        <w:t xml:space="preserve"> of the Act. They also investigate complaints of breaches of patient rights under section 75 and carry out </w:t>
      </w:r>
      <w:r w:rsidR="000E6410">
        <w:rPr>
          <w:rFonts w:eastAsia="Arial Narrow"/>
          <w:lang w:eastAsia="en-NZ"/>
        </w:rPr>
        <w:t>e</w:t>
      </w:r>
      <w:r w:rsidRPr="008C653D">
        <w:rPr>
          <w:rFonts w:eastAsia="Arial Narrow"/>
          <w:lang w:eastAsia="en-NZ"/>
        </w:rPr>
        <w:t>nquiries into matters relating to patients, services and the Act where required by the Director under section 95 of the MH(CAT) Act</w:t>
      </w:r>
      <w:r>
        <w:rPr>
          <w:rFonts w:eastAsia="Arial Narrow"/>
          <w:lang w:eastAsia="en-NZ"/>
        </w:rPr>
        <w:t xml:space="preserve"> 1992</w:t>
      </w:r>
      <w:r w:rsidRPr="008C653D">
        <w:rPr>
          <w:rFonts w:eastAsia="Arial Narrow"/>
          <w:lang w:eastAsia="en-NZ"/>
        </w:rPr>
        <w:t>. The district inspector</w:t>
      </w:r>
      <w:r w:rsidR="000845D9">
        <w:rPr>
          <w:rFonts w:eastAsia="Arial Narrow"/>
          <w:lang w:eastAsia="en-NZ"/>
        </w:rPr>
        <w:t>’</w:t>
      </w:r>
      <w:r w:rsidRPr="008C653D">
        <w:rPr>
          <w:rFonts w:eastAsia="Arial Narrow"/>
          <w:lang w:eastAsia="en-NZ"/>
        </w:rPr>
        <w:t>s primary accountability relationship is with the Director of Area Mental Health Services who is responsible for the operation of the Act locally at each DHB. Complaints about breaches of rights are addressed between the district inspectors and the Director.</w:t>
      </w:r>
    </w:p>
    <w:p w:rsidR="00ED6788" w:rsidRDefault="00ED6788" w:rsidP="000E6410">
      <w:pPr>
        <w:spacing w:before="240"/>
      </w:pPr>
      <w:r w:rsidRPr="00217120">
        <w:rPr>
          <w:i/>
        </w:rPr>
        <w:t>Note A:</w:t>
      </w:r>
      <w:r>
        <w:t xml:space="preserve"> </w:t>
      </w:r>
      <w:r w:rsidRPr="00D5456A">
        <w:t>Work continues to encourage district inspectors to submit their monthly report to the Director of Mental Health on time.</w:t>
      </w:r>
      <w:r w:rsidR="000845D9">
        <w:t xml:space="preserve"> </w:t>
      </w:r>
      <w:r w:rsidRPr="00D5456A">
        <w:t>The Director of Mental Health has reminded district inspectors of their obligations to submit monthly reports on time.</w:t>
      </w:r>
    </w:p>
    <w:p w:rsidR="00ED6788" w:rsidRPr="007E682F" w:rsidRDefault="00ED6788" w:rsidP="000E6410"/>
    <w:p w:rsidR="000845D9" w:rsidRDefault="00ED6788" w:rsidP="000E6410">
      <w:pPr>
        <w:rPr>
          <w:rFonts w:eastAsia="Arial Narrow"/>
          <w:lang w:eastAsia="en-NZ"/>
        </w:rPr>
      </w:pPr>
      <w:r w:rsidRPr="00D5456A">
        <w:rPr>
          <w:rFonts w:eastAsia="Arial Narrow"/>
          <w:lang w:eastAsia="en-NZ"/>
        </w:rPr>
        <w:t>In 2014/15 there were four new district inspector</w:t>
      </w:r>
      <w:r w:rsidR="000E6410">
        <w:rPr>
          <w:rFonts w:eastAsia="Arial Narrow"/>
          <w:lang w:eastAsia="en-NZ"/>
        </w:rPr>
        <w:t>s</w:t>
      </w:r>
      <w:r w:rsidRPr="00D5456A">
        <w:rPr>
          <w:rFonts w:eastAsia="Arial Narrow"/>
          <w:lang w:eastAsia="en-NZ"/>
        </w:rPr>
        <w:t xml:space="preserve"> appointed and one resignation.</w:t>
      </w:r>
    </w:p>
    <w:p w:rsidR="000E6410" w:rsidRDefault="000E6410" w:rsidP="000E6410">
      <w:pPr>
        <w:rPr>
          <w:rFonts w:eastAsia="Arial Narrow"/>
          <w:lang w:eastAsia="en-NZ"/>
        </w:rPr>
      </w:pPr>
    </w:p>
    <w:p w:rsidR="00ED6788" w:rsidRPr="00156997" w:rsidRDefault="00ED6788" w:rsidP="000E6410">
      <w:pPr>
        <w:pStyle w:val="Heading4"/>
      </w:pPr>
      <w:r w:rsidRPr="00156997">
        <w:t>Mental Health Review Tribunal</w:t>
      </w:r>
    </w:p>
    <w:p w:rsidR="00ED6788" w:rsidRDefault="00ED6788" w:rsidP="000E6410">
      <w:r w:rsidRPr="008C653D">
        <w:t>The Mental Health Review Tribunal</w:t>
      </w:r>
      <w:r w:rsidR="000845D9">
        <w:t>’</w:t>
      </w:r>
      <w:r w:rsidRPr="008C653D">
        <w:t xml:space="preserve">s </w:t>
      </w:r>
      <w:r>
        <w:t xml:space="preserve">(MHRT) </w:t>
      </w:r>
      <w:r w:rsidRPr="008C653D">
        <w:t xml:space="preserve">primary function is to consider whether patients subject to compulsory treatment orders are mentally disordered as defined by the MH(CAT) Act. Under the Act a patient may apply to the Tribunal for a review of his or her condition. Other interested persons, including the Director of Mental Health, a </w:t>
      </w:r>
      <w:r w:rsidR="000E6410">
        <w:t>d</w:t>
      </w:r>
      <w:r w:rsidRPr="008C653D">
        <w:t xml:space="preserve">istrict </w:t>
      </w:r>
      <w:r w:rsidR="000E6410">
        <w:t>i</w:t>
      </w:r>
      <w:r w:rsidRPr="008C653D">
        <w:t>nspector, a patient</w:t>
      </w:r>
      <w:r w:rsidR="000845D9">
        <w:t>’</w:t>
      </w:r>
      <w:r w:rsidRPr="008C653D">
        <w:t xml:space="preserve">s welfare guardian, or a GP, may also apply. </w:t>
      </w:r>
      <w:r>
        <w:t>Since the</w:t>
      </w:r>
      <w:r w:rsidR="000845D9">
        <w:t xml:space="preserve"> </w:t>
      </w:r>
      <w:r w:rsidRPr="008C653D">
        <w:t>Tribunal has been in operation, the numbers of applications per year has ranged from 118 to 226.</w:t>
      </w:r>
    </w:p>
    <w:p w:rsidR="00ED6788" w:rsidRDefault="00ED6788" w:rsidP="000E6410"/>
    <w:p w:rsidR="00ED6788" w:rsidRDefault="00ED6788" w:rsidP="000E6410">
      <w:r w:rsidRPr="00994641">
        <w:t>In 2014/15 the Tribunal publish</w:t>
      </w:r>
      <w:r>
        <w:t>ed</w:t>
      </w:r>
      <w:r w:rsidRPr="00994641">
        <w:t xml:space="preserve"> decisions to assist the legal profession and public to understand mental health law and practice. </w:t>
      </w:r>
      <w:r>
        <w:t>To ensure privacy and</w:t>
      </w:r>
      <w:r w:rsidR="000845D9">
        <w:t xml:space="preserve"> </w:t>
      </w:r>
      <w:r w:rsidRPr="00994641">
        <w:t>confidentiality only a selection of anonymised cases is released</w:t>
      </w:r>
      <w:r>
        <w:t>.</w:t>
      </w:r>
    </w:p>
    <w:p w:rsidR="00ED6788" w:rsidRDefault="00ED6788" w:rsidP="000E6410"/>
    <w:p w:rsidR="00ED6788" w:rsidRPr="008C653D" w:rsidRDefault="00ED6788" w:rsidP="000E6410">
      <w:r w:rsidRPr="00994641">
        <w:t>A detailed report of the MHRT</w:t>
      </w:r>
      <w:r w:rsidR="000845D9">
        <w:t>’</w:t>
      </w:r>
      <w:r w:rsidRPr="00994641">
        <w:t xml:space="preserve">s activities is published each year as part of the Annual Report of the Office of the Director of Mental Health </w:t>
      </w:r>
      <w:r w:rsidR="000E6410">
        <w:t xml:space="preserve">and is </w:t>
      </w:r>
      <w:r w:rsidRPr="00994641">
        <w:t>available on th</w:t>
      </w:r>
      <w:r>
        <w:t>e Ministry of Health</w:t>
      </w:r>
      <w:r w:rsidR="000845D9">
        <w:t>’</w:t>
      </w:r>
      <w:r>
        <w:t>s website.</w:t>
      </w:r>
    </w:p>
    <w:p w:rsidR="00ED6788" w:rsidRPr="008C653D" w:rsidRDefault="00ED6788" w:rsidP="000E6410"/>
    <w:p w:rsidR="00ED6788" w:rsidRPr="008C653D" w:rsidRDefault="00ED6788" w:rsidP="000E6410">
      <w:r w:rsidRPr="00217120">
        <w:rPr>
          <w:i/>
        </w:rPr>
        <w:t>Note B:</w:t>
      </w:r>
      <w:r>
        <w:t xml:space="preserve"> </w:t>
      </w:r>
      <w:r w:rsidRPr="008C653D">
        <w:t>The contract with the Tribunal secretariat includes a performance measure that 100</w:t>
      </w:r>
      <w:r w:rsidR="000E6410">
        <w:t> </w:t>
      </w:r>
      <w:r w:rsidRPr="008C653D">
        <w:t xml:space="preserve">percent of hearings start within 28 days of application. For 2014/15 the target measure was lowered from 100 percent to </w:t>
      </w:r>
      <w:r>
        <w:t>75 percent. The new lower target h</w:t>
      </w:r>
      <w:r w:rsidRPr="008C653D">
        <w:t xml:space="preserve">as not </w:t>
      </w:r>
      <w:r>
        <w:t xml:space="preserve">been </w:t>
      </w:r>
      <w:r w:rsidRPr="008C653D">
        <w:t xml:space="preserve">met. </w:t>
      </w:r>
      <w:r w:rsidRPr="00994641">
        <w:t>The reasons for the delays in hearings include:</w:t>
      </w:r>
    </w:p>
    <w:p w:rsidR="000845D9" w:rsidRDefault="000E6410" w:rsidP="000E6410">
      <w:pPr>
        <w:pStyle w:val="Bullet"/>
      </w:pPr>
      <w:r>
        <w:t>t</w:t>
      </w:r>
      <w:r w:rsidR="00ED6788" w:rsidRPr="00994641">
        <w:t xml:space="preserve">he challenge of scheduling a hearing date </w:t>
      </w:r>
      <w:r>
        <w:t xml:space="preserve">that </w:t>
      </w:r>
      <w:r w:rsidR="00ED6788" w:rsidRPr="00994641">
        <w:t>all parties can attend</w:t>
      </w:r>
    </w:p>
    <w:p w:rsidR="002B2B5D" w:rsidRDefault="002B2B5D" w:rsidP="000E6410">
      <w:pPr>
        <w:pStyle w:val="Bullet"/>
      </w:pPr>
      <w:r>
        <w:t>not all Tribunal members can attend all cases</w:t>
      </w:r>
    </w:p>
    <w:p w:rsidR="000845D9" w:rsidRDefault="000E6410" w:rsidP="000E6410">
      <w:pPr>
        <w:pStyle w:val="Bullet"/>
      </w:pPr>
      <w:r>
        <w:t>t</w:t>
      </w:r>
      <w:r w:rsidR="00ED6788" w:rsidRPr="00994641">
        <w:t>he availability of lawyers to represent patients at MHRT hearings</w:t>
      </w:r>
    </w:p>
    <w:p w:rsidR="000845D9" w:rsidRDefault="000E6410" w:rsidP="000E6410">
      <w:pPr>
        <w:pStyle w:val="Bullet"/>
      </w:pPr>
      <w:r>
        <w:t>c</w:t>
      </w:r>
      <w:r w:rsidR="00ED6788" w:rsidRPr="00994641">
        <w:t>onflicts of interest</w:t>
      </w:r>
    </w:p>
    <w:p w:rsidR="000845D9" w:rsidRDefault="000E6410" w:rsidP="000E6410">
      <w:pPr>
        <w:pStyle w:val="Bullet"/>
      </w:pPr>
      <w:r>
        <w:t>a</w:t>
      </w:r>
      <w:r w:rsidR="00ED6788" w:rsidRPr="00994641">
        <w:t xml:space="preserve"> number of applications where the applicant has unrealistic expectations of the role of the Tribunal, or the applications fall out of the </w:t>
      </w:r>
      <w:r w:rsidR="002B2B5D">
        <w:t>j</w:t>
      </w:r>
      <w:r w:rsidR="00ED6788" w:rsidRPr="00994641">
        <w:t>urisdiction of the Tribunal</w:t>
      </w:r>
    </w:p>
    <w:p w:rsidR="000845D9" w:rsidRDefault="00ED6788" w:rsidP="000E6410">
      <w:pPr>
        <w:pStyle w:val="Bullet"/>
      </w:pPr>
      <w:r w:rsidRPr="00994641">
        <w:lastRenderedPageBreak/>
        <w:t>special requests, for example, the request for Māori representation</w:t>
      </w:r>
      <w:r w:rsidR="002B2B5D">
        <w:t xml:space="preserve"> – </w:t>
      </w:r>
      <w:r w:rsidRPr="00994641">
        <w:t>it takes</w:t>
      </w:r>
      <w:r>
        <w:t xml:space="preserve"> time to facilitate additional/</w:t>
      </w:r>
      <w:r w:rsidRPr="00994641">
        <w:t>replacement members for the Tribunal</w:t>
      </w:r>
    </w:p>
    <w:p w:rsidR="00ED6788" w:rsidRPr="00994641" w:rsidRDefault="000E6410" w:rsidP="000E6410">
      <w:pPr>
        <w:pStyle w:val="Bullet"/>
      </w:pPr>
      <w:r>
        <w:t>a</w:t>
      </w:r>
      <w:r w:rsidR="00ED6788" w:rsidRPr="00994641">
        <w:t>djournments at the patient</w:t>
      </w:r>
      <w:r w:rsidR="000845D9">
        <w:t>’</w:t>
      </w:r>
      <w:r w:rsidR="00ED6788" w:rsidRPr="00994641">
        <w:t>s request</w:t>
      </w:r>
    </w:p>
    <w:p w:rsidR="000845D9" w:rsidRDefault="000E6410" w:rsidP="000E6410">
      <w:pPr>
        <w:pStyle w:val="Bullet"/>
      </w:pPr>
      <w:r>
        <w:t>u</w:t>
      </w:r>
      <w:r w:rsidR="00ED6788">
        <w:t xml:space="preserve">nexpected events </w:t>
      </w:r>
      <w:r w:rsidR="00ED6788" w:rsidRPr="00994641">
        <w:t>(eg</w:t>
      </w:r>
      <w:r>
        <w:t>,</w:t>
      </w:r>
      <w:r w:rsidR="00ED6788" w:rsidRPr="00994641">
        <w:t xml:space="preserve"> staff bereavement leave)</w:t>
      </w:r>
    </w:p>
    <w:p w:rsidR="00ED6788" w:rsidRPr="00994641" w:rsidRDefault="00ED6788" w:rsidP="000E6410">
      <w:pPr>
        <w:pStyle w:val="Bullet"/>
      </w:pPr>
      <w:r w:rsidRPr="00994641">
        <w:t>Christmas and Easter periods, and the resulting backlogs.</w:t>
      </w:r>
    </w:p>
    <w:p w:rsidR="00ED6788" w:rsidRPr="003756B9" w:rsidRDefault="00ED6788" w:rsidP="002B2B5D"/>
    <w:p w:rsidR="00ED6788" w:rsidRDefault="00ED6788" w:rsidP="002B2B5D">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2B2B5D">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2B2B5D">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2B2B5D">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2B2B5D">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2B2B5D">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2B2B5D">
            <w:pPr>
              <w:pStyle w:val="TableText"/>
              <w:keepNext/>
              <w:ind w:right="284"/>
              <w:jc w:val="right"/>
            </w:pPr>
            <w:r>
              <w:t>12,976</w:t>
            </w:r>
          </w:p>
        </w:tc>
        <w:tc>
          <w:tcPr>
            <w:tcW w:w="3968" w:type="dxa"/>
            <w:tcBorders>
              <w:top w:val="single" w:sz="4" w:space="0" w:color="auto"/>
              <w:left w:val="nil"/>
            </w:tcBorders>
            <w:shd w:val="solid" w:color="FFFFFF" w:fill="auto"/>
          </w:tcPr>
          <w:p w:rsidR="00ED6788" w:rsidRPr="008902E3" w:rsidRDefault="00ED6788" w:rsidP="002B2B5D">
            <w:pPr>
              <w:pStyle w:val="TableText"/>
              <w:keepNext/>
              <w:rPr>
                <w:rFonts w:cs="Arial"/>
                <w:szCs w:val="18"/>
              </w:rPr>
            </w:pPr>
            <w:r w:rsidRPr="008902E3">
              <w:rPr>
                <w:rFonts w:cs="Arial"/>
                <w:szCs w:val="18"/>
              </w:rPr>
              <w:t>Health Quality and Safety Commission</w:t>
            </w:r>
          </w:p>
        </w:tc>
        <w:tc>
          <w:tcPr>
            <w:tcW w:w="1276" w:type="dxa"/>
            <w:tcBorders>
              <w:top w:val="single" w:sz="4" w:space="0" w:color="auto"/>
            </w:tcBorders>
            <w:shd w:val="clear" w:color="E3E3E3" w:fill="D9D9D9"/>
          </w:tcPr>
          <w:p w:rsidR="00ED6788" w:rsidRPr="002C0E8B" w:rsidRDefault="00ED6788" w:rsidP="002B2B5D">
            <w:pPr>
              <w:pStyle w:val="TableText"/>
              <w:keepNext/>
              <w:ind w:right="142"/>
              <w:jc w:val="right"/>
            </w:pPr>
            <w:r>
              <w:t>12,976</w:t>
            </w:r>
          </w:p>
        </w:tc>
        <w:tc>
          <w:tcPr>
            <w:tcW w:w="1488" w:type="dxa"/>
            <w:tcBorders>
              <w:top w:val="single" w:sz="4" w:space="0" w:color="auto"/>
            </w:tcBorders>
          </w:tcPr>
          <w:p w:rsidR="00ED6788" w:rsidRPr="008902E3" w:rsidRDefault="00ED6788" w:rsidP="002B2B5D">
            <w:pPr>
              <w:pStyle w:val="TableText"/>
              <w:keepNext/>
              <w:jc w:val="right"/>
              <w:rPr>
                <w:rFonts w:cs="Arial"/>
                <w:szCs w:val="18"/>
              </w:rPr>
            </w:pPr>
            <w:r>
              <w:rPr>
                <w:rFonts w:cs="Arial"/>
                <w:szCs w:val="18"/>
              </w:rPr>
              <w:t>12,976</w:t>
            </w:r>
          </w:p>
        </w:tc>
        <w:tc>
          <w:tcPr>
            <w:tcW w:w="1347" w:type="dxa"/>
            <w:tcBorders>
              <w:top w:val="single" w:sz="4" w:space="0" w:color="auto"/>
            </w:tcBorders>
          </w:tcPr>
          <w:p w:rsidR="00ED6788" w:rsidRPr="008902E3" w:rsidRDefault="00ED6788" w:rsidP="002B2B5D">
            <w:pPr>
              <w:pStyle w:val="TableText"/>
              <w:keepNext/>
              <w:jc w:val="right"/>
              <w:rPr>
                <w:rFonts w:cs="Arial"/>
                <w:szCs w:val="18"/>
              </w:rPr>
            </w:pPr>
            <w:r>
              <w:t>12,976</w:t>
            </w:r>
          </w:p>
        </w:tc>
      </w:tr>
      <w:tr w:rsidR="00ED6788" w:rsidRPr="002C0E8B" w:rsidTr="00C25CC8">
        <w:trPr>
          <w:cantSplit/>
        </w:trPr>
        <w:tc>
          <w:tcPr>
            <w:tcW w:w="1277" w:type="dxa"/>
            <w:tcBorders>
              <w:right w:val="nil"/>
            </w:tcBorders>
            <w:shd w:val="solid" w:color="FFFFFF" w:fill="auto"/>
          </w:tcPr>
          <w:p w:rsidR="00ED6788" w:rsidRPr="002C0E8B" w:rsidRDefault="00ED6788" w:rsidP="002B2B5D">
            <w:pPr>
              <w:pStyle w:val="TableText"/>
              <w:keepNext/>
              <w:ind w:right="284"/>
              <w:jc w:val="right"/>
            </w:pPr>
            <w:r>
              <w:t>10,920</w:t>
            </w:r>
          </w:p>
        </w:tc>
        <w:tc>
          <w:tcPr>
            <w:tcW w:w="3968" w:type="dxa"/>
            <w:tcBorders>
              <w:left w:val="nil"/>
            </w:tcBorders>
            <w:shd w:val="solid" w:color="FFFFFF" w:fill="auto"/>
          </w:tcPr>
          <w:p w:rsidR="00ED6788" w:rsidRPr="008902E3" w:rsidRDefault="00ED6788" w:rsidP="002B2B5D">
            <w:pPr>
              <w:pStyle w:val="TableText"/>
              <w:keepNext/>
              <w:rPr>
                <w:rFonts w:cs="Arial"/>
                <w:szCs w:val="18"/>
              </w:rPr>
            </w:pPr>
            <w:r w:rsidRPr="008902E3">
              <w:rPr>
                <w:rFonts w:cs="Arial"/>
                <w:szCs w:val="18"/>
              </w:rPr>
              <w:t>Health and Disability Commissioner</w:t>
            </w:r>
          </w:p>
        </w:tc>
        <w:tc>
          <w:tcPr>
            <w:tcW w:w="1276" w:type="dxa"/>
            <w:shd w:val="clear" w:color="E3E3E3" w:fill="D9D9D9"/>
          </w:tcPr>
          <w:p w:rsidR="00ED6788" w:rsidRPr="002C0E8B" w:rsidRDefault="00ED6788" w:rsidP="002B2B5D">
            <w:pPr>
              <w:pStyle w:val="TableText"/>
              <w:keepNext/>
              <w:ind w:right="142"/>
              <w:jc w:val="right"/>
            </w:pPr>
            <w:r>
              <w:t>11,670</w:t>
            </w:r>
          </w:p>
        </w:tc>
        <w:tc>
          <w:tcPr>
            <w:tcW w:w="1488" w:type="dxa"/>
          </w:tcPr>
          <w:p w:rsidR="00ED6788" w:rsidRPr="008902E3" w:rsidRDefault="00ED6788" w:rsidP="002B2B5D">
            <w:pPr>
              <w:pStyle w:val="TableText"/>
              <w:keepNext/>
              <w:jc w:val="right"/>
              <w:rPr>
                <w:rFonts w:cs="Arial"/>
                <w:szCs w:val="18"/>
              </w:rPr>
            </w:pPr>
            <w:r>
              <w:rPr>
                <w:rFonts w:cs="Arial"/>
                <w:szCs w:val="18"/>
              </w:rPr>
              <w:t>10,920</w:t>
            </w:r>
          </w:p>
        </w:tc>
        <w:tc>
          <w:tcPr>
            <w:tcW w:w="1347" w:type="dxa"/>
          </w:tcPr>
          <w:p w:rsidR="00ED6788" w:rsidRPr="008902E3" w:rsidRDefault="00ED6788" w:rsidP="002B2B5D">
            <w:pPr>
              <w:pStyle w:val="TableText"/>
              <w:keepNext/>
              <w:jc w:val="right"/>
              <w:rPr>
                <w:rFonts w:cs="Arial"/>
                <w:szCs w:val="18"/>
              </w:rPr>
            </w:pPr>
            <w:r>
              <w:t>11,670</w:t>
            </w:r>
          </w:p>
        </w:tc>
      </w:tr>
      <w:tr w:rsidR="00ED6788" w:rsidRPr="002C0E8B" w:rsidTr="00C25CC8">
        <w:trPr>
          <w:cantSplit/>
        </w:trPr>
        <w:tc>
          <w:tcPr>
            <w:tcW w:w="1277" w:type="dxa"/>
            <w:tcBorders>
              <w:right w:val="nil"/>
            </w:tcBorders>
            <w:shd w:val="solid" w:color="FFFFFF" w:fill="auto"/>
          </w:tcPr>
          <w:p w:rsidR="00ED6788" w:rsidRPr="002C0E8B" w:rsidRDefault="00ED6788" w:rsidP="002B2B5D">
            <w:pPr>
              <w:pStyle w:val="TableText"/>
              <w:keepNext/>
              <w:ind w:right="284"/>
              <w:jc w:val="right"/>
            </w:pPr>
            <w:r>
              <w:t>2834</w:t>
            </w:r>
          </w:p>
        </w:tc>
        <w:tc>
          <w:tcPr>
            <w:tcW w:w="3968" w:type="dxa"/>
            <w:tcBorders>
              <w:left w:val="nil"/>
            </w:tcBorders>
            <w:shd w:val="solid" w:color="FFFFFF" w:fill="auto"/>
          </w:tcPr>
          <w:p w:rsidR="00ED6788" w:rsidRPr="008902E3" w:rsidRDefault="00ED6788" w:rsidP="002B2B5D">
            <w:pPr>
              <w:pStyle w:val="TableText"/>
              <w:keepNext/>
              <w:rPr>
                <w:rFonts w:cs="Arial"/>
                <w:szCs w:val="18"/>
              </w:rPr>
            </w:pPr>
            <w:r w:rsidRPr="008902E3">
              <w:rPr>
                <w:rFonts w:cs="Arial"/>
                <w:szCs w:val="18"/>
              </w:rPr>
              <w:t>Non-</w:t>
            </w:r>
            <w:r w:rsidR="002B2B5D">
              <w:rPr>
                <w:rFonts w:cs="Arial"/>
                <w:szCs w:val="18"/>
              </w:rPr>
              <w:t>g</w:t>
            </w:r>
            <w:r w:rsidRPr="008902E3">
              <w:rPr>
                <w:rFonts w:cs="Arial"/>
                <w:szCs w:val="18"/>
              </w:rPr>
              <w:t xml:space="preserve">overnment </w:t>
            </w:r>
            <w:r w:rsidR="002B2B5D">
              <w:rPr>
                <w:rFonts w:cs="Arial"/>
                <w:szCs w:val="18"/>
              </w:rPr>
              <w:t>o</w:t>
            </w:r>
            <w:r w:rsidRPr="008902E3">
              <w:rPr>
                <w:rFonts w:cs="Arial"/>
                <w:szCs w:val="18"/>
              </w:rPr>
              <w:t>rganisations</w:t>
            </w:r>
          </w:p>
        </w:tc>
        <w:tc>
          <w:tcPr>
            <w:tcW w:w="1276" w:type="dxa"/>
            <w:shd w:val="clear" w:color="E3E3E3" w:fill="D9D9D9"/>
          </w:tcPr>
          <w:p w:rsidR="00ED6788" w:rsidRPr="002C0E8B" w:rsidRDefault="00ED6788" w:rsidP="002B2B5D">
            <w:pPr>
              <w:pStyle w:val="TableText"/>
              <w:keepNext/>
              <w:ind w:right="142"/>
              <w:jc w:val="right"/>
            </w:pPr>
            <w:r>
              <w:t>2937</w:t>
            </w:r>
          </w:p>
        </w:tc>
        <w:tc>
          <w:tcPr>
            <w:tcW w:w="1488" w:type="dxa"/>
          </w:tcPr>
          <w:p w:rsidR="00ED6788" w:rsidRPr="008902E3" w:rsidRDefault="002B2B5D" w:rsidP="002B2B5D">
            <w:pPr>
              <w:pStyle w:val="TableText"/>
              <w:keepNext/>
              <w:jc w:val="right"/>
              <w:rPr>
                <w:rFonts w:cs="Arial"/>
                <w:szCs w:val="18"/>
              </w:rPr>
            </w:pPr>
            <w:r>
              <w:rPr>
                <w:rFonts w:cs="Arial"/>
                <w:szCs w:val="18"/>
              </w:rPr>
              <w:t>3</w:t>
            </w:r>
            <w:r w:rsidR="00ED6788">
              <w:rPr>
                <w:rFonts w:cs="Arial"/>
                <w:szCs w:val="18"/>
              </w:rPr>
              <w:t>200</w:t>
            </w:r>
          </w:p>
        </w:tc>
        <w:tc>
          <w:tcPr>
            <w:tcW w:w="1347" w:type="dxa"/>
          </w:tcPr>
          <w:p w:rsidR="00ED6788" w:rsidRPr="008902E3" w:rsidRDefault="00ED6788" w:rsidP="002B2B5D">
            <w:pPr>
              <w:pStyle w:val="TableText"/>
              <w:keepNext/>
              <w:jc w:val="right"/>
              <w:rPr>
                <w:rFonts w:cs="Arial"/>
                <w:szCs w:val="18"/>
              </w:rPr>
            </w:pPr>
            <w:r>
              <w:t>2950</w:t>
            </w:r>
          </w:p>
        </w:tc>
      </w:tr>
      <w:tr w:rsidR="00ED6788" w:rsidRPr="002C0E8B" w:rsidTr="00C25CC8">
        <w:trPr>
          <w:cantSplit/>
        </w:trPr>
        <w:tc>
          <w:tcPr>
            <w:tcW w:w="1277" w:type="dxa"/>
            <w:tcBorders>
              <w:right w:val="nil"/>
            </w:tcBorders>
            <w:shd w:val="solid" w:color="FFFFFF" w:fill="auto"/>
          </w:tcPr>
          <w:p w:rsidR="00ED6788" w:rsidRPr="002C0E8B" w:rsidRDefault="00ED6788" w:rsidP="002B2B5D">
            <w:pPr>
              <w:pStyle w:val="TableText"/>
              <w:keepNext/>
              <w:ind w:right="284"/>
              <w:jc w:val="right"/>
              <w:rPr>
                <w:b/>
                <w:bCs/>
              </w:rPr>
            </w:pPr>
            <w:r>
              <w:rPr>
                <w:b/>
                <w:bCs/>
              </w:rPr>
              <w:t>26,730</w:t>
            </w:r>
          </w:p>
        </w:tc>
        <w:tc>
          <w:tcPr>
            <w:tcW w:w="3968" w:type="dxa"/>
            <w:tcBorders>
              <w:left w:val="nil"/>
            </w:tcBorders>
            <w:shd w:val="solid" w:color="FFFFFF" w:fill="auto"/>
          </w:tcPr>
          <w:p w:rsidR="00ED6788" w:rsidRPr="002C0E8B" w:rsidRDefault="00ED6788" w:rsidP="002B2B5D">
            <w:pPr>
              <w:pStyle w:val="TableText"/>
              <w:keepNext/>
              <w:rPr>
                <w:b/>
              </w:rPr>
            </w:pPr>
            <w:r w:rsidRPr="00402325">
              <w:rPr>
                <w:rFonts w:cs="Arial"/>
                <w:b/>
                <w:szCs w:val="18"/>
              </w:rPr>
              <w:t>Total appropriation</w:t>
            </w:r>
          </w:p>
        </w:tc>
        <w:tc>
          <w:tcPr>
            <w:tcW w:w="1276" w:type="dxa"/>
            <w:shd w:val="clear" w:color="E3E3E3" w:fill="D9D9D9"/>
          </w:tcPr>
          <w:p w:rsidR="00ED6788" w:rsidRPr="002C0E8B" w:rsidRDefault="00ED6788" w:rsidP="002B2B5D">
            <w:pPr>
              <w:pStyle w:val="TableText"/>
              <w:keepNext/>
              <w:ind w:right="142"/>
              <w:jc w:val="right"/>
              <w:rPr>
                <w:b/>
              </w:rPr>
            </w:pPr>
            <w:r>
              <w:rPr>
                <w:b/>
              </w:rPr>
              <w:t>27,583</w:t>
            </w:r>
          </w:p>
        </w:tc>
        <w:tc>
          <w:tcPr>
            <w:tcW w:w="1488" w:type="dxa"/>
          </w:tcPr>
          <w:p w:rsidR="00ED6788" w:rsidRPr="002C0E8B" w:rsidRDefault="00ED6788" w:rsidP="002B2B5D">
            <w:pPr>
              <w:pStyle w:val="TableText"/>
              <w:keepNext/>
              <w:jc w:val="right"/>
              <w:rPr>
                <w:b/>
              </w:rPr>
            </w:pPr>
            <w:r w:rsidRPr="008902E3">
              <w:rPr>
                <w:b/>
              </w:rPr>
              <w:t>27,096</w:t>
            </w:r>
            <w:r>
              <w:rPr>
                <w:b/>
              </w:rPr>
              <w:t xml:space="preserve"> </w:t>
            </w:r>
          </w:p>
        </w:tc>
        <w:tc>
          <w:tcPr>
            <w:tcW w:w="1347" w:type="dxa"/>
          </w:tcPr>
          <w:p w:rsidR="00ED6788" w:rsidRPr="002C0E8B" w:rsidRDefault="00ED6788" w:rsidP="002B2B5D">
            <w:pPr>
              <w:pStyle w:val="TableText"/>
              <w:keepNext/>
              <w:jc w:val="right"/>
              <w:rPr>
                <w:b/>
              </w:rPr>
            </w:pPr>
            <w:r>
              <w:rPr>
                <w:b/>
              </w:rPr>
              <w:t>27,596</w:t>
            </w:r>
          </w:p>
        </w:tc>
      </w:tr>
    </w:tbl>
    <w:p w:rsidR="00ED6788" w:rsidRDefault="00ED6788" w:rsidP="002B2B5D"/>
    <w:p w:rsidR="00ED6788" w:rsidRDefault="00ED6788" w:rsidP="002B2B5D">
      <w:pPr>
        <w:pStyle w:val="Heading4"/>
      </w:pPr>
      <w:r w:rsidRPr="007A1F5B">
        <w:t>Comments</w:t>
      </w:r>
    </w:p>
    <w:p w:rsidR="00ED6788" w:rsidRDefault="00ED6788" w:rsidP="002B2B5D">
      <w:r w:rsidRPr="007A1F5B">
        <w:t xml:space="preserve">This appropriation </w:t>
      </w:r>
      <w:r>
        <w:t xml:space="preserve">was </w:t>
      </w:r>
      <w:r w:rsidRPr="007A1F5B">
        <w:t>overspent by</w:t>
      </w:r>
      <w:r>
        <w:t xml:space="preserve"> $0.487</w:t>
      </w:r>
      <w:r w:rsidRPr="007A1F5B">
        <w:t xml:space="preserve"> million against the Main Estimates (2 percent of appropriation)</w:t>
      </w:r>
      <w:r>
        <w:t>.</w:t>
      </w:r>
      <w:r w:rsidR="000845D9">
        <w:t xml:space="preserve"> </w:t>
      </w:r>
      <w:r>
        <w:t>F</w:t>
      </w:r>
      <w:r w:rsidRPr="007A1F5B">
        <w:t xml:space="preserve">unding </w:t>
      </w:r>
      <w:r>
        <w:t>of $0.500</w:t>
      </w:r>
      <w:r w:rsidRPr="007A1F5B">
        <w:t xml:space="preserve"> million approved in the Supplementary Estimates was transferred in</w:t>
      </w:r>
      <w:r>
        <w:t xml:space="preserve"> for the Health and Disability Commissioner</w:t>
      </w:r>
      <w:r w:rsidR="000845D9">
        <w:t>’</w:t>
      </w:r>
      <w:r>
        <w:t>s cost pressures</w:t>
      </w:r>
      <w:r w:rsidR="002B2B5D">
        <w:t>.</w:t>
      </w:r>
    </w:p>
    <w:p w:rsidR="002B2B5D" w:rsidRPr="007A1F5B" w:rsidRDefault="002B2B5D" w:rsidP="002B2B5D"/>
    <w:p w:rsidR="00054C4F" w:rsidRDefault="00054C4F">
      <w:pPr>
        <w:spacing w:line="240" w:lineRule="auto"/>
        <w:rPr>
          <w:b/>
          <w:sz w:val="40"/>
        </w:rPr>
      </w:pPr>
      <w:bookmarkStart w:id="18" w:name="_Toc432765745"/>
      <w:r>
        <w:br w:type="page"/>
      </w:r>
    </w:p>
    <w:p w:rsidR="000845D9" w:rsidRDefault="00ED6788" w:rsidP="002B2B5D">
      <w:pPr>
        <w:pStyle w:val="Heading2"/>
      </w:pPr>
      <w:bookmarkStart w:id="19" w:name="_Toc433713778"/>
      <w:r w:rsidRPr="00577D25">
        <w:lastRenderedPageBreak/>
        <w:t xml:space="preserve">National </w:t>
      </w:r>
      <w:r w:rsidR="00103978">
        <w:t>c</w:t>
      </w:r>
      <w:r w:rsidRPr="00577D25">
        <w:t xml:space="preserve">hild </w:t>
      </w:r>
      <w:r w:rsidR="00103978">
        <w:t>h</w:t>
      </w:r>
      <w:r w:rsidRPr="00577D25">
        <w:t xml:space="preserve">ealth </w:t>
      </w:r>
      <w:r w:rsidR="00103978">
        <w:t>s</w:t>
      </w:r>
      <w:r w:rsidRPr="00577D25">
        <w:t>ervices</w:t>
      </w:r>
      <w:bookmarkEnd w:id="18"/>
      <w:bookmarkEnd w:id="19"/>
    </w:p>
    <w:p w:rsidR="00ED6788" w:rsidRDefault="00ED6788" w:rsidP="00734595">
      <w:pPr>
        <w:keepNext/>
      </w:pPr>
      <w:r>
        <w:t>The funding and purchase of child health services directly by the Crown.</w:t>
      </w:r>
      <w:r w:rsidRPr="002C6142">
        <w:t xml:space="preserve"> This appropriation is intended to </w:t>
      </w:r>
      <w:r>
        <w:t>ensure</w:t>
      </w:r>
      <w:r w:rsidRPr="002C6142">
        <w:t xml:space="preserve"> services are provided that support the development of New Zealand children and establish a foundation for those children to live longer, healthier, and more independent lives.</w:t>
      </w:r>
    </w:p>
    <w:p w:rsidR="00ED6788" w:rsidRDefault="00ED6788" w:rsidP="00734595">
      <w:pPr>
        <w:keepNext/>
      </w:pPr>
    </w:p>
    <w:p w:rsidR="000845D9" w:rsidRDefault="00ED6788" w:rsidP="00734595">
      <w:pPr>
        <w:keepNext/>
      </w:pPr>
      <w:r>
        <w:t>The Well Child/Tamariki Ora (WCTO) service is a screening, surveillance, education and support service offered to all New Zealand children and their family or whānau from birth to five years. It assists families and whānau to improve and protect their children</w:t>
      </w:r>
      <w:r w:rsidR="000845D9">
        <w:t>’</w:t>
      </w:r>
      <w:r>
        <w:t>s health.</w:t>
      </w:r>
    </w:p>
    <w:p w:rsidR="00ED6788" w:rsidRDefault="00ED6788" w:rsidP="00734595">
      <w:pPr>
        <w:keepNext/>
      </w:pPr>
    </w:p>
    <w:p w:rsidR="00ED6788" w:rsidRDefault="00ED6788" w:rsidP="00734595">
      <w:pPr>
        <w:keepNext/>
      </w:pPr>
      <w:r>
        <w:t>B4 School Check services have been funded by government for all families with children turning four since September 2008. The funding is distributed to DHBs through Crown Funding Agreements. DHBs are accountable for offering a B4 School Check to a minimum of 90 percent of their eligible population and 90 percent of their high deprivation population.</w:t>
      </w:r>
    </w:p>
    <w:p w:rsidR="00ED6788" w:rsidRPr="003756B9" w:rsidRDefault="00ED6788" w:rsidP="00734595">
      <w:pPr>
        <w:keepNext/>
      </w:pPr>
    </w:p>
    <w:p w:rsidR="00ED6788" w:rsidRPr="003756B9" w:rsidRDefault="00ED6788" w:rsidP="00734595">
      <w:pPr>
        <w:pStyle w:val="Heading3"/>
      </w:pPr>
      <w:r>
        <w:t>Summary of output performance</w:t>
      </w:r>
    </w:p>
    <w:tbl>
      <w:tblPr>
        <w:tblW w:w="5001"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559"/>
        <w:gridCol w:w="4396"/>
        <w:gridCol w:w="1843"/>
        <w:gridCol w:w="1559"/>
      </w:tblGrid>
      <w:tr w:rsidR="007B0487" w:rsidRPr="00C86E74" w:rsidTr="007B0487">
        <w:trPr>
          <w:cantSplit/>
          <w:tblHeader/>
        </w:trPr>
        <w:tc>
          <w:tcPr>
            <w:tcW w:w="833" w:type="pct"/>
            <w:tcBorders>
              <w:top w:val="single" w:sz="4" w:space="0" w:color="auto"/>
              <w:bottom w:val="single" w:sz="4" w:space="0" w:color="auto"/>
            </w:tcBorders>
          </w:tcPr>
          <w:p w:rsidR="00ED6788" w:rsidRPr="00C86E74" w:rsidRDefault="00ED6788" w:rsidP="00734595">
            <w:pPr>
              <w:pStyle w:val="TableText"/>
              <w:keepNext/>
              <w:ind w:right="284"/>
              <w:jc w:val="right"/>
              <w:rPr>
                <w:rFonts w:cs="Arial"/>
                <w:b/>
                <w:szCs w:val="18"/>
              </w:rPr>
            </w:pPr>
            <w:r w:rsidRPr="00C86E74">
              <w:rPr>
                <w:rFonts w:cs="Arial"/>
                <w:b/>
                <w:szCs w:val="18"/>
              </w:rPr>
              <w:t>Actual</w:t>
            </w:r>
            <w:r w:rsidR="007B0487">
              <w:rPr>
                <w:rFonts w:cs="Arial"/>
                <w:b/>
                <w:szCs w:val="18"/>
              </w:rPr>
              <w:br/>
            </w:r>
            <w:r w:rsidRPr="00C86E74">
              <w:rPr>
                <w:rFonts w:cs="Arial"/>
                <w:b/>
                <w:szCs w:val="18"/>
              </w:rPr>
              <w:t>2013/14</w:t>
            </w:r>
          </w:p>
        </w:tc>
        <w:tc>
          <w:tcPr>
            <w:tcW w:w="2349" w:type="pct"/>
            <w:tcBorders>
              <w:top w:val="single" w:sz="4" w:space="0" w:color="auto"/>
              <w:bottom w:val="single" w:sz="4" w:space="0" w:color="auto"/>
            </w:tcBorders>
          </w:tcPr>
          <w:p w:rsidR="00ED6788" w:rsidRPr="00C86E74" w:rsidRDefault="00ED6788" w:rsidP="00734595">
            <w:pPr>
              <w:pStyle w:val="TableText"/>
              <w:keepNext/>
              <w:ind w:right="142"/>
              <w:rPr>
                <w:rFonts w:cs="Arial"/>
                <w:b/>
                <w:szCs w:val="18"/>
              </w:rPr>
            </w:pPr>
            <w:r w:rsidRPr="00C86E74">
              <w:rPr>
                <w:rFonts w:cs="Arial"/>
                <w:b/>
                <w:szCs w:val="18"/>
              </w:rPr>
              <w:t>Performance measure</w:t>
            </w:r>
          </w:p>
        </w:tc>
        <w:tc>
          <w:tcPr>
            <w:tcW w:w="985" w:type="pct"/>
            <w:tcBorders>
              <w:top w:val="single" w:sz="4" w:space="0" w:color="auto"/>
              <w:bottom w:val="single" w:sz="4" w:space="0" w:color="auto"/>
            </w:tcBorders>
          </w:tcPr>
          <w:p w:rsidR="00ED6788" w:rsidRPr="00C86E74" w:rsidRDefault="00ED6788" w:rsidP="00734595">
            <w:pPr>
              <w:pStyle w:val="TableText"/>
              <w:keepNext/>
              <w:ind w:right="142"/>
              <w:jc w:val="right"/>
              <w:rPr>
                <w:rFonts w:cs="Arial"/>
                <w:b/>
                <w:szCs w:val="18"/>
              </w:rPr>
            </w:pPr>
            <w:r w:rsidRPr="00C86E74">
              <w:rPr>
                <w:rFonts w:cs="Arial"/>
                <w:b/>
                <w:szCs w:val="18"/>
              </w:rPr>
              <w:t>Standard</w:t>
            </w:r>
            <w:r w:rsidRPr="00C86E74">
              <w:rPr>
                <w:rFonts w:cs="Arial"/>
                <w:b/>
                <w:szCs w:val="18"/>
              </w:rPr>
              <w:br/>
              <w:t>2014/15</w:t>
            </w:r>
          </w:p>
        </w:tc>
        <w:tc>
          <w:tcPr>
            <w:tcW w:w="833" w:type="pct"/>
            <w:tcBorders>
              <w:top w:val="single" w:sz="4" w:space="0" w:color="auto"/>
              <w:bottom w:val="single" w:sz="4" w:space="0" w:color="auto"/>
            </w:tcBorders>
            <w:shd w:val="clear" w:color="auto" w:fill="D9D9D9"/>
          </w:tcPr>
          <w:p w:rsidR="00ED6788" w:rsidRPr="00C86E74" w:rsidRDefault="00ED6788" w:rsidP="00734595">
            <w:pPr>
              <w:pStyle w:val="TableText"/>
              <w:keepNext/>
              <w:ind w:right="142"/>
              <w:jc w:val="right"/>
              <w:rPr>
                <w:rFonts w:cs="Arial"/>
                <w:b/>
                <w:szCs w:val="18"/>
              </w:rPr>
            </w:pPr>
            <w:r w:rsidRPr="00C86E74">
              <w:rPr>
                <w:rFonts w:cs="Arial"/>
                <w:b/>
                <w:szCs w:val="18"/>
              </w:rPr>
              <w:t>Actual</w:t>
            </w:r>
            <w:r w:rsidRPr="00C86E74">
              <w:rPr>
                <w:rFonts w:cs="Arial"/>
                <w:b/>
                <w:szCs w:val="18"/>
              </w:rPr>
              <w:br/>
              <w:t>2014/15</w:t>
            </w:r>
          </w:p>
        </w:tc>
      </w:tr>
      <w:tr w:rsidR="007B0487" w:rsidRPr="00C86E74" w:rsidTr="007B0487">
        <w:trPr>
          <w:cantSplit/>
        </w:trPr>
        <w:tc>
          <w:tcPr>
            <w:tcW w:w="833" w:type="pct"/>
            <w:tcBorders>
              <w:top w:val="single" w:sz="4" w:space="0" w:color="auto"/>
            </w:tcBorders>
          </w:tcPr>
          <w:p w:rsidR="00ED6788" w:rsidRPr="00C86E74" w:rsidRDefault="00ED6788" w:rsidP="00734595">
            <w:pPr>
              <w:pStyle w:val="TableText"/>
              <w:keepNext/>
              <w:ind w:right="284"/>
              <w:jc w:val="right"/>
              <w:rPr>
                <w:rFonts w:cs="Arial"/>
                <w:bCs/>
                <w:szCs w:val="18"/>
                <w:lang w:eastAsia="en-NZ"/>
              </w:rPr>
            </w:pPr>
          </w:p>
        </w:tc>
        <w:tc>
          <w:tcPr>
            <w:tcW w:w="2349" w:type="pct"/>
            <w:tcBorders>
              <w:top w:val="single" w:sz="4" w:space="0" w:color="auto"/>
            </w:tcBorders>
          </w:tcPr>
          <w:p w:rsidR="00ED6788" w:rsidRPr="00C86E74" w:rsidRDefault="00ED6788" w:rsidP="00734595">
            <w:pPr>
              <w:pStyle w:val="TableText"/>
              <w:keepNext/>
              <w:ind w:right="142"/>
              <w:rPr>
                <w:rFonts w:cs="Arial"/>
                <w:b/>
                <w:szCs w:val="18"/>
              </w:rPr>
            </w:pPr>
            <w:r w:rsidRPr="00C86E74">
              <w:rPr>
                <w:rFonts w:cs="Arial"/>
                <w:b/>
                <w:bCs/>
                <w:szCs w:val="18"/>
                <w:lang w:eastAsia="en-NZ"/>
              </w:rPr>
              <w:t>Well Child/Tamariki Ora Framework</w:t>
            </w:r>
          </w:p>
        </w:tc>
        <w:tc>
          <w:tcPr>
            <w:tcW w:w="985" w:type="pct"/>
            <w:tcBorders>
              <w:top w:val="single" w:sz="4" w:space="0" w:color="auto"/>
            </w:tcBorders>
          </w:tcPr>
          <w:p w:rsidR="00ED6788" w:rsidRPr="00C86E74" w:rsidRDefault="00ED6788" w:rsidP="00734595">
            <w:pPr>
              <w:pStyle w:val="TableText"/>
              <w:keepNext/>
              <w:ind w:right="142"/>
              <w:jc w:val="right"/>
              <w:rPr>
                <w:rFonts w:cs="Arial"/>
                <w:szCs w:val="18"/>
              </w:rPr>
            </w:pPr>
          </w:p>
        </w:tc>
        <w:tc>
          <w:tcPr>
            <w:tcW w:w="833" w:type="pct"/>
            <w:tcBorders>
              <w:top w:val="single" w:sz="4" w:space="0" w:color="auto"/>
            </w:tcBorders>
            <w:shd w:val="clear" w:color="auto" w:fill="D9D9D9"/>
          </w:tcPr>
          <w:p w:rsidR="00ED6788" w:rsidRPr="00C86E74" w:rsidRDefault="00ED6788" w:rsidP="00734595">
            <w:pPr>
              <w:pStyle w:val="TableText"/>
              <w:keepNext/>
              <w:ind w:right="142"/>
              <w:jc w:val="right"/>
              <w:rPr>
                <w:rFonts w:cs="Arial"/>
                <w:szCs w:val="18"/>
              </w:rPr>
            </w:pPr>
          </w:p>
        </w:tc>
      </w:tr>
      <w:tr w:rsidR="007B0487" w:rsidRPr="00C86E74" w:rsidTr="007B0487">
        <w:trPr>
          <w:cantSplit/>
        </w:trPr>
        <w:tc>
          <w:tcPr>
            <w:tcW w:w="833" w:type="pct"/>
          </w:tcPr>
          <w:p w:rsidR="00ED6788" w:rsidRPr="00C86E74" w:rsidRDefault="00ED6788" w:rsidP="00734595">
            <w:pPr>
              <w:pStyle w:val="TableText"/>
              <w:keepNext/>
              <w:ind w:right="284"/>
              <w:jc w:val="right"/>
              <w:rPr>
                <w:rFonts w:cs="Arial"/>
                <w:szCs w:val="18"/>
              </w:rPr>
            </w:pPr>
          </w:p>
        </w:tc>
        <w:tc>
          <w:tcPr>
            <w:tcW w:w="2349" w:type="pct"/>
          </w:tcPr>
          <w:p w:rsidR="00ED6788" w:rsidRPr="00C86E74" w:rsidRDefault="00ED6788" w:rsidP="00734595">
            <w:pPr>
              <w:pStyle w:val="TableText"/>
              <w:keepNext/>
              <w:ind w:right="142"/>
              <w:rPr>
                <w:rFonts w:cs="Arial"/>
                <w:i/>
                <w:szCs w:val="18"/>
              </w:rPr>
            </w:pPr>
            <w:r w:rsidRPr="00C86E74">
              <w:rPr>
                <w:rFonts w:cs="Arial"/>
                <w:b/>
                <w:bCs/>
                <w:i/>
                <w:szCs w:val="18"/>
                <w:lang w:eastAsia="en-NZ"/>
              </w:rPr>
              <w:t>Well Child/Tamariki Ora Framework services are available nationally</w:t>
            </w:r>
          </w:p>
        </w:tc>
        <w:tc>
          <w:tcPr>
            <w:tcW w:w="985" w:type="pct"/>
          </w:tcPr>
          <w:p w:rsidR="00ED6788" w:rsidRPr="00C86E74" w:rsidRDefault="00ED6788" w:rsidP="00734595">
            <w:pPr>
              <w:pStyle w:val="TableText"/>
              <w:keepNext/>
              <w:ind w:right="142"/>
              <w:jc w:val="right"/>
              <w:rPr>
                <w:rFonts w:cs="Arial"/>
                <w:szCs w:val="18"/>
              </w:rPr>
            </w:pPr>
          </w:p>
        </w:tc>
        <w:tc>
          <w:tcPr>
            <w:tcW w:w="833" w:type="pct"/>
            <w:shd w:val="clear" w:color="auto" w:fill="D9D9D9"/>
          </w:tcPr>
          <w:p w:rsidR="00ED6788" w:rsidRPr="00C86E74" w:rsidRDefault="00ED6788" w:rsidP="00734595">
            <w:pPr>
              <w:pStyle w:val="TableText"/>
              <w:keepNext/>
              <w:ind w:right="142"/>
              <w:jc w:val="right"/>
              <w:rPr>
                <w:rFonts w:cs="Arial"/>
                <w:szCs w:val="18"/>
              </w:rPr>
            </w:pPr>
          </w:p>
        </w:tc>
      </w:tr>
      <w:tr w:rsidR="007B0487" w:rsidRPr="00C86E74" w:rsidTr="007B0487">
        <w:trPr>
          <w:cantSplit/>
        </w:trPr>
        <w:tc>
          <w:tcPr>
            <w:tcW w:w="833" w:type="pct"/>
          </w:tcPr>
          <w:p w:rsidR="00ED6788" w:rsidRPr="00C86E74" w:rsidRDefault="00ED6788" w:rsidP="00C25CC8">
            <w:pPr>
              <w:pStyle w:val="TableText"/>
              <w:tabs>
                <w:tab w:val="left" w:pos="993"/>
              </w:tabs>
              <w:ind w:right="242"/>
              <w:jc w:val="right"/>
              <w:rPr>
                <w:rFonts w:cs="Arial"/>
                <w:szCs w:val="18"/>
              </w:rPr>
            </w:pPr>
            <w:r w:rsidRPr="009F08F6">
              <w:rPr>
                <w:rFonts w:cs="Arial"/>
                <w:szCs w:val="18"/>
              </w:rPr>
              <w:t>Estimated at 52,825 babies enrolled (89.9% based on actual births in year to 31 Dec 2013</w:t>
            </w:r>
            <w:r>
              <w:rPr>
                <w:rFonts w:cs="Arial"/>
                <w:szCs w:val="18"/>
              </w:rPr>
              <w:t>)</w:t>
            </w:r>
          </w:p>
        </w:tc>
        <w:tc>
          <w:tcPr>
            <w:tcW w:w="2349" w:type="pct"/>
          </w:tcPr>
          <w:p w:rsidR="00ED6788" w:rsidRPr="00C86E74" w:rsidRDefault="00ED6788" w:rsidP="007B0487">
            <w:pPr>
              <w:spacing w:before="60" w:after="60"/>
              <w:ind w:right="142"/>
              <w:rPr>
                <w:rFonts w:cs="Arial"/>
                <w:sz w:val="18"/>
                <w:szCs w:val="18"/>
              </w:rPr>
            </w:pPr>
            <w:r w:rsidRPr="00C86E74">
              <w:rPr>
                <w:rFonts w:cs="Arial"/>
                <w:sz w:val="18"/>
                <w:szCs w:val="18"/>
              </w:rPr>
              <w:t>At least 85% of new babies are enrolled with Plunket national Well Child Servic</w:t>
            </w:r>
            <w:r w:rsidR="007B0487">
              <w:rPr>
                <w:rFonts w:cs="Arial"/>
                <w:sz w:val="18"/>
                <w:szCs w:val="18"/>
              </w:rPr>
              <w:t>es</w:t>
            </w:r>
          </w:p>
        </w:tc>
        <w:tc>
          <w:tcPr>
            <w:tcW w:w="985" w:type="pct"/>
          </w:tcPr>
          <w:p w:rsidR="00ED6788" w:rsidRPr="00C86E74" w:rsidRDefault="00ED6788" w:rsidP="007B0487">
            <w:pPr>
              <w:pStyle w:val="TableText"/>
              <w:ind w:right="142"/>
              <w:jc w:val="right"/>
              <w:rPr>
                <w:rFonts w:cs="Arial"/>
                <w:szCs w:val="18"/>
              </w:rPr>
            </w:pPr>
            <w:r w:rsidRPr="00C86E74">
              <w:rPr>
                <w:rFonts w:cs="Arial"/>
                <w:szCs w:val="18"/>
              </w:rPr>
              <w:t>49,900 babies enrolled (85% of est. birth rate based on actual births in year to 31</w:t>
            </w:r>
            <w:r w:rsidR="007B0487">
              <w:rPr>
                <w:rFonts w:cs="Arial"/>
                <w:szCs w:val="18"/>
              </w:rPr>
              <w:t> </w:t>
            </w:r>
            <w:r w:rsidRPr="00C86E74">
              <w:rPr>
                <w:rFonts w:cs="Arial"/>
                <w:szCs w:val="18"/>
              </w:rPr>
              <w:t>Dec 2013)</w:t>
            </w:r>
          </w:p>
        </w:tc>
        <w:tc>
          <w:tcPr>
            <w:tcW w:w="833" w:type="pct"/>
            <w:shd w:val="clear" w:color="auto" w:fill="D9D9D9"/>
          </w:tcPr>
          <w:p w:rsidR="00ED6788" w:rsidRPr="00C86E74" w:rsidRDefault="00ED6788" w:rsidP="00C25CC8">
            <w:pPr>
              <w:pStyle w:val="TableText"/>
              <w:ind w:right="142"/>
              <w:jc w:val="right"/>
              <w:rPr>
                <w:rFonts w:cs="Arial"/>
                <w:szCs w:val="18"/>
              </w:rPr>
            </w:pPr>
            <w:r w:rsidRPr="006F04AF">
              <w:rPr>
                <w:rFonts w:cs="Arial"/>
                <w:szCs w:val="18"/>
              </w:rPr>
              <w:t>53</w:t>
            </w:r>
            <w:r>
              <w:rPr>
                <w:rFonts w:cs="Arial"/>
                <w:szCs w:val="18"/>
              </w:rPr>
              <w:t>,143</w:t>
            </w:r>
            <w:r>
              <w:t xml:space="preserve"> </w:t>
            </w:r>
            <w:r w:rsidRPr="00F31AE1">
              <w:rPr>
                <w:rFonts w:cs="Arial"/>
                <w:szCs w:val="18"/>
              </w:rPr>
              <w:t>babies enrolled</w:t>
            </w:r>
            <w:r>
              <w:rPr>
                <w:rFonts w:cs="Arial"/>
                <w:szCs w:val="18"/>
              </w:rPr>
              <w:t xml:space="preserve"> (87</w:t>
            </w:r>
            <w:r w:rsidRPr="002E250C">
              <w:rPr>
                <w:rFonts w:cs="Arial"/>
                <w:szCs w:val="18"/>
              </w:rPr>
              <w:t>%</w:t>
            </w:r>
            <w:r>
              <w:rPr>
                <w:rFonts w:cs="Arial"/>
                <w:szCs w:val="18"/>
              </w:rPr>
              <w:t xml:space="preserve"> of </w:t>
            </w:r>
            <w:r w:rsidRPr="00603322">
              <w:rPr>
                <w:rFonts w:cs="Arial"/>
                <w:szCs w:val="18"/>
              </w:rPr>
              <w:t xml:space="preserve">est. birth rate </w:t>
            </w:r>
            <w:r w:rsidRPr="00C8298A">
              <w:rPr>
                <w:rFonts w:cs="Arial"/>
                <w:szCs w:val="18"/>
              </w:rPr>
              <w:t xml:space="preserve">based on actual births in year to </w:t>
            </w:r>
            <w:r>
              <w:rPr>
                <w:rFonts w:cs="Arial"/>
                <w:szCs w:val="18"/>
              </w:rPr>
              <w:t xml:space="preserve">30 June </w:t>
            </w:r>
            <w:r w:rsidRPr="00603322">
              <w:rPr>
                <w:rFonts w:cs="Arial"/>
                <w:szCs w:val="18"/>
              </w:rPr>
              <w:t>2015</w:t>
            </w:r>
            <w:r>
              <w:rPr>
                <w:rFonts w:cs="Arial"/>
                <w:szCs w:val="18"/>
              </w:rPr>
              <w:t>)</w:t>
            </w:r>
          </w:p>
        </w:tc>
      </w:tr>
      <w:tr w:rsidR="007B0487" w:rsidRPr="00C86E74" w:rsidTr="007B0487">
        <w:trPr>
          <w:cantSplit/>
        </w:trPr>
        <w:tc>
          <w:tcPr>
            <w:tcW w:w="833" w:type="pct"/>
          </w:tcPr>
          <w:p w:rsidR="00ED6788" w:rsidRPr="00C86E74" w:rsidRDefault="00ED6788" w:rsidP="00C25CC8">
            <w:pPr>
              <w:pStyle w:val="TableText"/>
              <w:ind w:right="242"/>
              <w:jc w:val="right"/>
              <w:rPr>
                <w:rFonts w:cs="Arial"/>
                <w:szCs w:val="18"/>
              </w:rPr>
            </w:pPr>
          </w:p>
        </w:tc>
        <w:tc>
          <w:tcPr>
            <w:tcW w:w="2349" w:type="pct"/>
          </w:tcPr>
          <w:p w:rsidR="00ED6788" w:rsidRPr="00C86E74" w:rsidRDefault="00ED6788" w:rsidP="007B0487">
            <w:pPr>
              <w:spacing w:before="60" w:after="60"/>
              <w:ind w:right="142"/>
              <w:rPr>
                <w:rFonts w:cs="Arial"/>
                <w:sz w:val="18"/>
                <w:szCs w:val="18"/>
              </w:rPr>
            </w:pPr>
            <w:r w:rsidRPr="00C86E74">
              <w:rPr>
                <w:rFonts w:cs="Arial"/>
                <w:sz w:val="18"/>
                <w:szCs w:val="18"/>
              </w:rPr>
              <w:t>Telephone information and advisory services to support the Well Child/Tamaki Ora Framework are delivered (PlunketLine):</w:t>
            </w:r>
          </w:p>
        </w:tc>
        <w:tc>
          <w:tcPr>
            <w:tcW w:w="985" w:type="pct"/>
          </w:tcPr>
          <w:p w:rsidR="00ED6788" w:rsidRPr="00C86E74" w:rsidRDefault="00ED6788" w:rsidP="00C25CC8">
            <w:pPr>
              <w:pStyle w:val="TableText"/>
              <w:ind w:right="142"/>
              <w:jc w:val="right"/>
              <w:rPr>
                <w:rFonts w:cs="Arial"/>
                <w:szCs w:val="18"/>
              </w:rPr>
            </w:pPr>
          </w:p>
        </w:tc>
        <w:tc>
          <w:tcPr>
            <w:tcW w:w="833" w:type="pct"/>
            <w:shd w:val="clear" w:color="auto" w:fill="D9D9D9"/>
          </w:tcPr>
          <w:p w:rsidR="00ED6788" w:rsidRPr="00C86E74" w:rsidRDefault="00ED6788" w:rsidP="00C25CC8">
            <w:pPr>
              <w:pStyle w:val="TableText"/>
              <w:ind w:right="142"/>
              <w:jc w:val="right"/>
              <w:rPr>
                <w:rFonts w:cs="Arial"/>
                <w:szCs w:val="18"/>
              </w:rPr>
            </w:pPr>
          </w:p>
        </w:tc>
      </w:tr>
      <w:tr w:rsidR="007B0487" w:rsidRPr="00C86E74" w:rsidTr="007B0487">
        <w:trPr>
          <w:cantSplit/>
        </w:trPr>
        <w:tc>
          <w:tcPr>
            <w:tcW w:w="833" w:type="pct"/>
          </w:tcPr>
          <w:p w:rsidR="00ED6788" w:rsidRPr="00C86E74" w:rsidRDefault="00ED6788" w:rsidP="007B0487">
            <w:pPr>
              <w:pStyle w:val="TableText"/>
              <w:spacing w:before="0"/>
              <w:ind w:right="242"/>
              <w:jc w:val="right"/>
              <w:rPr>
                <w:rFonts w:cs="Arial"/>
                <w:szCs w:val="18"/>
              </w:rPr>
            </w:pPr>
            <w:r>
              <w:rPr>
                <w:rFonts w:cs="Arial"/>
                <w:szCs w:val="18"/>
              </w:rPr>
              <w:t>100%</w:t>
            </w:r>
          </w:p>
        </w:tc>
        <w:tc>
          <w:tcPr>
            <w:tcW w:w="2349" w:type="pct"/>
          </w:tcPr>
          <w:p w:rsidR="00ED6788" w:rsidRPr="000F4460" w:rsidRDefault="00ED6788" w:rsidP="007B0487">
            <w:pPr>
              <w:pStyle w:val="TableBullet"/>
            </w:pPr>
            <w:r w:rsidRPr="000F4460">
              <w:t>Phone line service is available 24/7</w:t>
            </w:r>
          </w:p>
        </w:tc>
        <w:tc>
          <w:tcPr>
            <w:tcW w:w="985" w:type="pct"/>
          </w:tcPr>
          <w:p w:rsidR="00ED6788" w:rsidRPr="00C86E74" w:rsidRDefault="00ED6788" w:rsidP="007B0487">
            <w:pPr>
              <w:spacing w:after="60"/>
              <w:ind w:right="142"/>
              <w:jc w:val="right"/>
              <w:rPr>
                <w:rFonts w:cs="Arial"/>
                <w:sz w:val="18"/>
                <w:szCs w:val="18"/>
              </w:rPr>
            </w:pPr>
            <w:r w:rsidRPr="00C86E74">
              <w:rPr>
                <w:rFonts w:cs="Arial"/>
                <w:sz w:val="18"/>
                <w:szCs w:val="18"/>
              </w:rPr>
              <w:t>≥ 99%</w:t>
            </w:r>
          </w:p>
        </w:tc>
        <w:tc>
          <w:tcPr>
            <w:tcW w:w="833" w:type="pct"/>
            <w:shd w:val="clear" w:color="auto" w:fill="D9D9D9"/>
          </w:tcPr>
          <w:p w:rsidR="00ED6788" w:rsidRPr="002E250C" w:rsidRDefault="00ED6788" w:rsidP="007B0487">
            <w:pPr>
              <w:pStyle w:val="TableText"/>
              <w:spacing w:before="0"/>
              <w:ind w:right="142"/>
              <w:jc w:val="right"/>
              <w:rPr>
                <w:rFonts w:cs="Arial"/>
                <w:szCs w:val="18"/>
              </w:rPr>
            </w:pPr>
            <w:r>
              <w:rPr>
                <w:rFonts w:cs="Arial"/>
                <w:szCs w:val="18"/>
              </w:rPr>
              <w:t>100</w:t>
            </w:r>
            <w:r w:rsidRPr="002E250C">
              <w:rPr>
                <w:rFonts w:cs="Arial"/>
                <w:szCs w:val="18"/>
              </w:rPr>
              <w:t>%</w:t>
            </w:r>
          </w:p>
        </w:tc>
      </w:tr>
      <w:tr w:rsidR="007B0487" w:rsidRPr="00C86E74" w:rsidTr="007B0487">
        <w:trPr>
          <w:cantSplit/>
        </w:trPr>
        <w:tc>
          <w:tcPr>
            <w:tcW w:w="833" w:type="pct"/>
          </w:tcPr>
          <w:p w:rsidR="00ED6788" w:rsidRPr="00C86E74" w:rsidRDefault="00ED6788" w:rsidP="007B0487">
            <w:pPr>
              <w:pStyle w:val="TableText"/>
              <w:spacing w:before="0"/>
              <w:ind w:right="242"/>
              <w:jc w:val="right"/>
              <w:rPr>
                <w:rFonts w:cs="Arial"/>
                <w:szCs w:val="18"/>
              </w:rPr>
            </w:pPr>
            <w:r>
              <w:rPr>
                <w:rFonts w:cs="Arial"/>
                <w:szCs w:val="18"/>
              </w:rPr>
              <w:t>6.7%</w:t>
            </w:r>
          </w:p>
        </w:tc>
        <w:tc>
          <w:tcPr>
            <w:tcW w:w="2349" w:type="pct"/>
          </w:tcPr>
          <w:p w:rsidR="00ED6788" w:rsidRPr="000F4460" w:rsidRDefault="00ED6788" w:rsidP="007B0487">
            <w:pPr>
              <w:pStyle w:val="TableBullet"/>
            </w:pPr>
            <w:r w:rsidRPr="000F4460">
              <w:t>Call abandonment rate (percentage of calls offered)</w:t>
            </w:r>
          </w:p>
        </w:tc>
        <w:tc>
          <w:tcPr>
            <w:tcW w:w="985" w:type="pct"/>
          </w:tcPr>
          <w:p w:rsidR="00ED6788" w:rsidRPr="00C86E74" w:rsidRDefault="00ED6788" w:rsidP="007B0487">
            <w:pPr>
              <w:spacing w:after="60"/>
              <w:ind w:right="142"/>
              <w:jc w:val="right"/>
              <w:rPr>
                <w:rFonts w:cs="Arial"/>
                <w:sz w:val="18"/>
                <w:szCs w:val="18"/>
              </w:rPr>
            </w:pPr>
            <w:r w:rsidRPr="00C86E74">
              <w:rPr>
                <w:rFonts w:cs="Arial"/>
                <w:sz w:val="18"/>
                <w:szCs w:val="18"/>
              </w:rPr>
              <w:t>&lt; 10%</w:t>
            </w:r>
          </w:p>
        </w:tc>
        <w:tc>
          <w:tcPr>
            <w:tcW w:w="833" w:type="pct"/>
            <w:shd w:val="clear" w:color="auto" w:fill="D9D9D9"/>
          </w:tcPr>
          <w:p w:rsidR="00ED6788" w:rsidRPr="002E250C" w:rsidRDefault="00ED6788" w:rsidP="007B0487">
            <w:pPr>
              <w:pStyle w:val="TableText"/>
              <w:spacing w:before="0"/>
              <w:ind w:right="142"/>
              <w:jc w:val="right"/>
              <w:rPr>
                <w:rFonts w:cs="Arial"/>
                <w:szCs w:val="18"/>
              </w:rPr>
            </w:pPr>
            <w:r>
              <w:rPr>
                <w:rFonts w:cs="Arial"/>
                <w:szCs w:val="18"/>
              </w:rPr>
              <w:t>8%</w:t>
            </w:r>
          </w:p>
        </w:tc>
      </w:tr>
      <w:tr w:rsidR="007B0487" w:rsidRPr="00C86E74" w:rsidTr="007B0487">
        <w:trPr>
          <w:cantSplit/>
        </w:trPr>
        <w:tc>
          <w:tcPr>
            <w:tcW w:w="833" w:type="pct"/>
            <w:tcBorders>
              <w:top w:val="single" w:sz="4" w:space="0" w:color="auto"/>
            </w:tcBorders>
          </w:tcPr>
          <w:p w:rsidR="00ED6788" w:rsidRPr="00C86E74" w:rsidRDefault="00ED6788" w:rsidP="007B0487">
            <w:pPr>
              <w:pStyle w:val="TableText"/>
              <w:keepNext/>
              <w:ind w:right="242"/>
              <w:jc w:val="right"/>
              <w:rPr>
                <w:rFonts w:cs="Arial"/>
                <w:bCs/>
                <w:szCs w:val="18"/>
                <w:lang w:eastAsia="en-NZ"/>
              </w:rPr>
            </w:pPr>
          </w:p>
        </w:tc>
        <w:tc>
          <w:tcPr>
            <w:tcW w:w="2349" w:type="pct"/>
            <w:tcBorders>
              <w:top w:val="single" w:sz="4" w:space="0" w:color="auto"/>
            </w:tcBorders>
          </w:tcPr>
          <w:p w:rsidR="00ED6788" w:rsidRPr="00C86E74" w:rsidRDefault="00ED6788" w:rsidP="007B0487">
            <w:pPr>
              <w:pStyle w:val="TableText"/>
              <w:keepNext/>
              <w:ind w:right="142"/>
              <w:rPr>
                <w:rFonts w:cs="Arial"/>
                <w:b/>
                <w:szCs w:val="18"/>
              </w:rPr>
            </w:pPr>
            <w:r w:rsidRPr="00C86E74">
              <w:rPr>
                <w:rFonts w:cs="Arial"/>
                <w:b/>
                <w:bCs/>
                <w:szCs w:val="18"/>
                <w:lang w:eastAsia="en-NZ"/>
              </w:rPr>
              <w:t>B4 School Checks</w:t>
            </w:r>
          </w:p>
        </w:tc>
        <w:tc>
          <w:tcPr>
            <w:tcW w:w="985" w:type="pct"/>
            <w:tcBorders>
              <w:top w:val="single" w:sz="4" w:space="0" w:color="auto"/>
            </w:tcBorders>
          </w:tcPr>
          <w:p w:rsidR="00ED6788" w:rsidRPr="00C86E74" w:rsidRDefault="00ED6788" w:rsidP="007B0487">
            <w:pPr>
              <w:pStyle w:val="TableText"/>
              <w:keepNext/>
              <w:ind w:right="142"/>
              <w:jc w:val="right"/>
              <w:rPr>
                <w:rFonts w:cs="Arial"/>
                <w:szCs w:val="18"/>
              </w:rPr>
            </w:pPr>
          </w:p>
        </w:tc>
        <w:tc>
          <w:tcPr>
            <w:tcW w:w="833" w:type="pct"/>
            <w:tcBorders>
              <w:top w:val="single" w:sz="4" w:space="0" w:color="auto"/>
            </w:tcBorders>
            <w:shd w:val="clear" w:color="auto" w:fill="D9D9D9"/>
          </w:tcPr>
          <w:p w:rsidR="00ED6788" w:rsidRPr="00C86E74" w:rsidRDefault="00ED6788" w:rsidP="007B0487">
            <w:pPr>
              <w:pStyle w:val="TableText"/>
              <w:keepNext/>
              <w:ind w:right="142"/>
              <w:jc w:val="right"/>
              <w:rPr>
                <w:rFonts w:cs="Arial"/>
                <w:szCs w:val="18"/>
              </w:rPr>
            </w:pPr>
          </w:p>
        </w:tc>
      </w:tr>
      <w:tr w:rsidR="007B0487" w:rsidRPr="00C86E74" w:rsidTr="007B0487">
        <w:trPr>
          <w:cantSplit/>
        </w:trPr>
        <w:tc>
          <w:tcPr>
            <w:tcW w:w="833" w:type="pct"/>
          </w:tcPr>
          <w:p w:rsidR="00ED6788" w:rsidRPr="00C86E74" w:rsidRDefault="00ED6788" w:rsidP="00C25CC8">
            <w:pPr>
              <w:pStyle w:val="TableText"/>
              <w:ind w:right="242"/>
              <w:jc w:val="right"/>
              <w:rPr>
                <w:rFonts w:cs="Arial"/>
                <w:szCs w:val="18"/>
              </w:rPr>
            </w:pPr>
            <w:r>
              <w:rPr>
                <w:rFonts w:cs="Arial"/>
                <w:szCs w:val="18"/>
              </w:rPr>
              <w:t>91%</w:t>
            </w:r>
          </w:p>
        </w:tc>
        <w:tc>
          <w:tcPr>
            <w:tcW w:w="2349" w:type="pct"/>
          </w:tcPr>
          <w:p w:rsidR="00ED6788" w:rsidRPr="00C86E74" w:rsidRDefault="00ED6788" w:rsidP="007B0487">
            <w:pPr>
              <w:spacing w:before="60" w:after="60"/>
              <w:ind w:right="142"/>
              <w:rPr>
                <w:rFonts w:cs="Arial"/>
                <w:sz w:val="18"/>
                <w:szCs w:val="18"/>
              </w:rPr>
            </w:pPr>
            <w:r w:rsidRPr="00C86E74">
              <w:rPr>
                <w:rFonts w:cs="Arial"/>
                <w:sz w:val="18"/>
                <w:szCs w:val="18"/>
              </w:rPr>
              <w:t>Percentage of the eligible population delivered B4SCs</w:t>
            </w:r>
          </w:p>
        </w:tc>
        <w:tc>
          <w:tcPr>
            <w:tcW w:w="985" w:type="pct"/>
          </w:tcPr>
          <w:p w:rsidR="00ED6788" w:rsidRPr="00C86E74" w:rsidRDefault="00ED6788" w:rsidP="00C25CC8">
            <w:pPr>
              <w:spacing w:before="60" w:after="60"/>
              <w:ind w:right="142"/>
              <w:jc w:val="right"/>
              <w:rPr>
                <w:rFonts w:cs="Arial"/>
                <w:sz w:val="18"/>
                <w:szCs w:val="18"/>
              </w:rPr>
            </w:pPr>
            <w:r w:rsidRPr="00C86E74">
              <w:rPr>
                <w:rFonts w:cs="Arial"/>
                <w:sz w:val="18"/>
                <w:szCs w:val="18"/>
              </w:rPr>
              <w:t>90%</w:t>
            </w:r>
          </w:p>
        </w:tc>
        <w:tc>
          <w:tcPr>
            <w:tcW w:w="833" w:type="pct"/>
            <w:shd w:val="clear" w:color="auto" w:fill="D9D9D9"/>
          </w:tcPr>
          <w:p w:rsidR="00ED6788" w:rsidRPr="002E250C" w:rsidRDefault="00ED6788" w:rsidP="00C25CC8">
            <w:pPr>
              <w:pStyle w:val="TableText"/>
              <w:ind w:right="142"/>
              <w:jc w:val="right"/>
              <w:rPr>
                <w:rFonts w:cs="Arial"/>
                <w:szCs w:val="18"/>
              </w:rPr>
            </w:pPr>
            <w:r w:rsidRPr="002E250C">
              <w:rPr>
                <w:rFonts w:cs="Arial"/>
                <w:szCs w:val="18"/>
              </w:rPr>
              <w:t>9</w:t>
            </w:r>
            <w:r>
              <w:rPr>
                <w:rFonts w:cs="Arial"/>
                <w:szCs w:val="18"/>
              </w:rPr>
              <w:t>2</w:t>
            </w:r>
            <w:r w:rsidRPr="002E250C">
              <w:rPr>
                <w:rFonts w:cs="Arial"/>
                <w:szCs w:val="18"/>
              </w:rPr>
              <w:t>%</w:t>
            </w:r>
          </w:p>
        </w:tc>
      </w:tr>
      <w:tr w:rsidR="007B0487" w:rsidRPr="00C86E74" w:rsidTr="007B0487">
        <w:trPr>
          <w:cantSplit/>
        </w:trPr>
        <w:tc>
          <w:tcPr>
            <w:tcW w:w="833" w:type="pct"/>
          </w:tcPr>
          <w:p w:rsidR="00ED6788" w:rsidRPr="00C86E74" w:rsidRDefault="00ED6788" w:rsidP="00C25CC8">
            <w:pPr>
              <w:pStyle w:val="TableText"/>
              <w:ind w:right="242"/>
              <w:jc w:val="right"/>
              <w:rPr>
                <w:rFonts w:cs="Arial"/>
                <w:szCs w:val="18"/>
              </w:rPr>
            </w:pPr>
            <w:r>
              <w:rPr>
                <w:rFonts w:cs="Arial"/>
                <w:szCs w:val="18"/>
              </w:rPr>
              <w:t>90%</w:t>
            </w:r>
          </w:p>
        </w:tc>
        <w:tc>
          <w:tcPr>
            <w:tcW w:w="2349" w:type="pct"/>
          </w:tcPr>
          <w:p w:rsidR="00ED6788" w:rsidRPr="00C86E74" w:rsidRDefault="00ED6788" w:rsidP="007B0487">
            <w:pPr>
              <w:spacing w:before="60" w:after="60"/>
              <w:ind w:right="142"/>
              <w:rPr>
                <w:rFonts w:cs="Arial"/>
                <w:sz w:val="18"/>
                <w:szCs w:val="18"/>
              </w:rPr>
            </w:pPr>
            <w:r w:rsidRPr="00C86E74">
              <w:rPr>
                <w:rFonts w:cs="Arial"/>
                <w:sz w:val="18"/>
                <w:szCs w:val="18"/>
              </w:rPr>
              <w:t>Percentage of high deprivation population delivered B4SCs</w:t>
            </w:r>
          </w:p>
        </w:tc>
        <w:tc>
          <w:tcPr>
            <w:tcW w:w="985" w:type="pct"/>
          </w:tcPr>
          <w:p w:rsidR="00ED6788" w:rsidRPr="00C86E74" w:rsidRDefault="00ED6788" w:rsidP="00C25CC8">
            <w:pPr>
              <w:spacing w:before="60" w:after="60"/>
              <w:ind w:right="142"/>
              <w:jc w:val="right"/>
              <w:rPr>
                <w:rFonts w:cs="Arial"/>
                <w:sz w:val="18"/>
                <w:szCs w:val="18"/>
              </w:rPr>
            </w:pPr>
            <w:r w:rsidRPr="00C86E74">
              <w:rPr>
                <w:rFonts w:cs="Arial"/>
                <w:sz w:val="18"/>
                <w:szCs w:val="18"/>
              </w:rPr>
              <w:t>90%</w:t>
            </w:r>
          </w:p>
        </w:tc>
        <w:tc>
          <w:tcPr>
            <w:tcW w:w="833" w:type="pct"/>
            <w:shd w:val="clear" w:color="auto" w:fill="D9D9D9"/>
          </w:tcPr>
          <w:p w:rsidR="00ED6788" w:rsidRPr="002E250C" w:rsidRDefault="00ED6788" w:rsidP="00C25CC8">
            <w:pPr>
              <w:pStyle w:val="TableText"/>
              <w:ind w:right="142"/>
              <w:jc w:val="right"/>
              <w:rPr>
                <w:rFonts w:cs="Arial"/>
                <w:szCs w:val="18"/>
              </w:rPr>
            </w:pPr>
            <w:r w:rsidRPr="002E250C">
              <w:rPr>
                <w:rFonts w:cs="Arial"/>
                <w:szCs w:val="18"/>
              </w:rPr>
              <w:t>9</w:t>
            </w:r>
            <w:r>
              <w:rPr>
                <w:rFonts w:cs="Arial"/>
                <w:szCs w:val="18"/>
              </w:rPr>
              <w:t>2</w:t>
            </w:r>
            <w:r w:rsidRPr="002E250C">
              <w:rPr>
                <w:rFonts w:cs="Arial"/>
                <w:szCs w:val="18"/>
              </w:rPr>
              <w:t>%</w:t>
            </w:r>
          </w:p>
        </w:tc>
      </w:tr>
      <w:tr w:rsidR="007B0487" w:rsidRPr="00C86E74" w:rsidTr="007B0487">
        <w:trPr>
          <w:cantSplit/>
        </w:trPr>
        <w:tc>
          <w:tcPr>
            <w:tcW w:w="833" w:type="pct"/>
          </w:tcPr>
          <w:p w:rsidR="00ED6788" w:rsidRPr="00C86E74" w:rsidRDefault="00ED6788" w:rsidP="00C25CC8">
            <w:pPr>
              <w:pStyle w:val="TableText"/>
              <w:ind w:right="242"/>
              <w:jc w:val="right"/>
              <w:rPr>
                <w:rFonts w:cs="Arial"/>
                <w:szCs w:val="18"/>
              </w:rPr>
            </w:pPr>
            <w:r>
              <w:rPr>
                <w:rFonts w:cs="Arial"/>
                <w:szCs w:val="18"/>
              </w:rPr>
              <w:t>17</w:t>
            </w:r>
          </w:p>
        </w:tc>
        <w:tc>
          <w:tcPr>
            <w:tcW w:w="2349" w:type="pct"/>
          </w:tcPr>
          <w:p w:rsidR="00ED6788" w:rsidRPr="00C86E74" w:rsidRDefault="00ED6788" w:rsidP="007B0487">
            <w:pPr>
              <w:spacing w:before="60" w:after="60"/>
              <w:ind w:right="142"/>
              <w:rPr>
                <w:rFonts w:cs="Arial"/>
                <w:sz w:val="18"/>
                <w:szCs w:val="18"/>
              </w:rPr>
            </w:pPr>
            <w:r w:rsidRPr="00C86E74">
              <w:rPr>
                <w:rFonts w:cs="Arial"/>
                <w:sz w:val="18"/>
                <w:szCs w:val="18"/>
              </w:rPr>
              <w:t>DHBs that provide the volumes of checks as specified in funding arrangements</w:t>
            </w:r>
          </w:p>
        </w:tc>
        <w:tc>
          <w:tcPr>
            <w:tcW w:w="985" w:type="pct"/>
          </w:tcPr>
          <w:p w:rsidR="00ED6788" w:rsidRPr="00C86E74" w:rsidRDefault="00ED6788" w:rsidP="00C25CC8">
            <w:pPr>
              <w:spacing w:before="60" w:after="60"/>
              <w:ind w:right="142"/>
              <w:jc w:val="right"/>
              <w:rPr>
                <w:rFonts w:cs="Arial"/>
                <w:sz w:val="18"/>
                <w:szCs w:val="18"/>
              </w:rPr>
            </w:pPr>
            <w:r w:rsidRPr="00C86E74">
              <w:rPr>
                <w:rFonts w:cs="Arial"/>
                <w:sz w:val="18"/>
                <w:szCs w:val="18"/>
              </w:rPr>
              <w:t>20</w:t>
            </w:r>
          </w:p>
        </w:tc>
        <w:tc>
          <w:tcPr>
            <w:tcW w:w="833" w:type="pct"/>
            <w:shd w:val="clear" w:color="auto" w:fill="D9D9D9"/>
          </w:tcPr>
          <w:p w:rsidR="00ED6788" w:rsidRPr="002E250C" w:rsidRDefault="00ED6788" w:rsidP="00C25CC8">
            <w:pPr>
              <w:pStyle w:val="TableText"/>
              <w:ind w:right="142"/>
              <w:jc w:val="right"/>
              <w:rPr>
                <w:rFonts w:cs="Arial"/>
                <w:szCs w:val="18"/>
              </w:rPr>
            </w:pPr>
            <w:r w:rsidRPr="002E250C">
              <w:rPr>
                <w:rFonts w:cs="Arial"/>
                <w:szCs w:val="18"/>
              </w:rPr>
              <w:t>1</w:t>
            </w:r>
            <w:r>
              <w:rPr>
                <w:rFonts w:cs="Arial"/>
                <w:szCs w:val="18"/>
              </w:rPr>
              <w:t>6</w:t>
            </w:r>
          </w:p>
        </w:tc>
      </w:tr>
    </w:tbl>
    <w:p w:rsidR="00ED6788" w:rsidRPr="00802126" w:rsidRDefault="00ED6788" w:rsidP="007B0487">
      <w:pPr>
        <w:rPr>
          <w:highlight w:val="yellow"/>
        </w:rPr>
      </w:pPr>
    </w:p>
    <w:p w:rsidR="000845D9" w:rsidRDefault="00ED6788" w:rsidP="007B0487">
      <w:pPr>
        <w:pStyle w:val="Heading3"/>
      </w:pPr>
      <w:r w:rsidRPr="00766CF7">
        <w:t>Well Child/Tamariki Ora</w:t>
      </w:r>
    </w:p>
    <w:p w:rsidR="00ED6788" w:rsidRDefault="00ED6788" w:rsidP="007B0487">
      <w:r>
        <w:t xml:space="preserve">Services are provided in conjunction with the Well Child Tamariki Ora National Schedule </w:t>
      </w:r>
      <w:r w:rsidR="007B0487">
        <w:t>(</w:t>
      </w:r>
      <w:r>
        <w:t>June 2013</w:t>
      </w:r>
      <w:r w:rsidR="007B0487">
        <w:t>)</w:t>
      </w:r>
      <w:r>
        <w:t xml:space="preserve"> which outlines the assessment, intervention and health education activities for each of the eight universal core contacts. These are delivered to children and their families when the child reaches between four </w:t>
      </w:r>
      <w:r w:rsidR="007B0487">
        <w:t xml:space="preserve">and </w:t>
      </w:r>
      <w:r>
        <w:t>six weeks of age, and continues until the child is five years old.</w:t>
      </w:r>
    </w:p>
    <w:p w:rsidR="00ED6788" w:rsidRDefault="00ED6788" w:rsidP="007B0487"/>
    <w:p w:rsidR="000845D9" w:rsidRDefault="00ED6788" w:rsidP="007B0487">
      <w:r>
        <w:t>The schedule divides the care into three parallel streams that are to be delivered as an integrated package of care for each child and their family/whānau. The schedule describes the core screening, surveillance, education and support entitlements (including timing).</w:t>
      </w:r>
    </w:p>
    <w:p w:rsidR="00ED6788" w:rsidRDefault="00ED6788" w:rsidP="007B0487"/>
    <w:p w:rsidR="00ED6788" w:rsidRDefault="00ED6788" w:rsidP="007B0487">
      <w:r>
        <w:t xml:space="preserve">All children enrolled with the national WCTO service are entitled to seven core contacts (excluding the B4 School Check which is delivered separately). </w:t>
      </w:r>
      <w:r w:rsidRPr="00603322">
        <w:t>These services include core contacts provided from the time of handover from the lead maternity carer through to five years. Additional contacts can be provided when there is an assessed need. These include first-time parents as of right or where there are issues such as postnatal depression, or infant feeding or behaviour concerns.</w:t>
      </w:r>
    </w:p>
    <w:p w:rsidR="00ED6788" w:rsidRDefault="00ED6788" w:rsidP="007B0487"/>
    <w:p w:rsidR="00ED6788" w:rsidRDefault="00ED6788" w:rsidP="007B0487">
      <w:r w:rsidRPr="00F31AE1">
        <w:t>Enrolling with a WCTO provider at birth</w:t>
      </w:r>
      <w:r>
        <w:t>,</w:t>
      </w:r>
      <w:r w:rsidRPr="00F31AE1">
        <w:t xml:space="preserve"> or as soon as possible thereafter</w:t>
      </w:r>
      <w:r>
        <w:t>,</w:t>
      </w:r>
      <w:r w:rsidRPr="00F31AE1">
        <w:t xml:space="preserve"> allows sufficient time for WCTO providers to deliver the first core contact on time at around </w:t>
      </w:r>
      <w:r w:rsidR="007B0487">
        <w:t>six</w:t>
      </w:r>
      <w:r w:rsidRPr="00F31AE1">
        <w:t xml:space="preserve"> weeks and therefore meet the quality indicator of delivering the full entitlement to children in the first year of life (if core</w:t>
      </w:r>
      <w:r w:rsidR="007B0487">
        <w:t> </w:t>
      </w:r>
      <w:r w:rsidRPr="00F31AE1">
        <w:t>1 is missed, they are unable to meet the full entitlement measure).</w:t>
      </w:r>
    </w:p>
    <w:p w:rsidR="00ED6788" w:rsidRDefault="00ED6788" w:rsidP="007B0487"/>
    <w:p w:rsidR="00ED6788" w:rsidRDefault="00ED6788" w:rsidP="007B0487">
      <w:r w:rsidRPr="00F31AE1">
        <w:t>The Ministry is responsible for funding comprehensive WCTO service coverage in each DHB district via two contracted programmes</w:t>
      </w:r>
      <w:r w:rsidR="007B0487">
        <w:t>:</w:t>
      </w:r>
      <w:r w:rsidRPr="00F31AE1">
        <w:t xml:space="preserve"> the Plunket national contract and through each DHB</w:t>
      </w:r>
      <w:r w:rsidR="000845D9">
        <w:t>’</w:t>
      </w:r>
      <w:r w:rsidRPr="00F31AE1">
        <w:t>s WCTO Crown Funding Agreement (CFA).</w:t>
      </w:r>
      <w:r w:rsidR="000845D9">
        <w:t xml:space="preserve"> </w:t>
      </w:r>
      <w:r>
        <w:t>The national service provides for approximately 85</w:t>
      </w:r>
      <w:r w:rsidR="007B0487">
        <w:t> </w:t>
      </w:r>
      <w:r>
        <w:t>percent of service coverage for children up to four years. The balance of service coverage is the responsibility of local providers who are contracted via DHBs, but funded via a CFA.</w:t>
      </w:r>
    </w:p>
    <w:p w:rsidR="00ED6788" w:rsidRDefault="00ED6788" w:rsidP="007B0487"/>
    <w:p w:rsidR="00ED6788" w:rsidRDefault="00ED6788" w:rsidP="007B0487">
      <w:pPr>
        <w:rPr>
          <w:rFonts w:cs="Arial"/>
        </w:rPr>
      </w:pPr>
      <w:r w:rsidRPr="00B00143">
        <w:t xml:space="preserve">A new national Plunket agreement is now in place and runs </w:t>
      </w:r>
      <w:r>
        <w:t>un</w:t>
      </w:r>
      <w:r w:rsidRPr="00B00143">
        <w:t>til 30 June 2018.</w:t>
      </w:r>
      <w:r w:rsidR="000845D9">
        <w:t xml:space="preserve"> </w:t>
      </w:r>
      <w:r w:rsidRPr="00B00143">
        <w:t>The DHB CFAs have been renewed to June 201</w:t>
      </w:r>
      <w:r>
        <w:t>6</w:t>
      </w:r>
      <w:r w:rsidRPr="00B00143">
        <w:t xml:space="preserve">. The agreements are designed to </w:t>
      </w:r>
      <w:r w:rsidRPr="00B00143">
        <w:rPr>
          <w:rFonts w:cs="Arial"/>
        </w:rPr>
        <w:t>drive Plunket and DHB collaboration and collective responsibility to achieve the universal coverage of core contacts, and additional contacts allocated as required, to improve health outcomes for all children and especially high need and vulnerable children.</w:t>
      </w:r>
    </w:p>
    <w:p w:rsidR="007B0487" w:rsidRDefault="007B0487" w:rsidP="007B0487"/>
    <w:p w:rsidR="00ED6788" w:rsidRPr="00766CF7" w:rsidRDefault="00ED6788" w:rsidP="007B0487">
      <w:pPr>
        <w:pStyle w:val="Heading3"/>
      </w:pPr>
      <w:r w:rsidRPr="00766CF7">
        <w:t>Plunketline</w:t>
      </w:r>
    </w:p>
    <w:p w:rsidR="000845D9" w:rsidRDefault="00ED6788" w:rsidP="007B0487">
      <w:pPr>
        <w:keepLines/>
      </w:pPr>
      <w:r w:rsidRPr="00B00143">
        <w:t>Plunketline provides telephone advice and information about parenting, child development and behaviour, nutrition and other Well Child topics. Plunketline supports the family and whānau of children enrolled with all WCTO providers, not only with Plunket, and supports the services delivered under the WCTO National Schedule by all providers. Calls about sick or symptomatic children are transferred from Plunketline to th</w:t>
      </w:r>
      <w:r w:rsidRPr="00F31AE1">
        <w:t>e national Healthline service.</w:t>
      </w:r>
      <w:r w:rsidR="000845D9">
        <w:t xml:space="preserve"> </w:t>
      </w:r>
      <w:r w:rsidRPr="00B00143">
        <w:t>Plunketline is included in the new Plunket Agreement.</w:t>
      </w:r>
      <w:r w:rsidR="000845D9">
        <w:t xml:space="preserve"> </w:t>
      </w:r>
      <w:r w:rsidRPr="00BD4482">
        <w:t xml:space="preserve">Administrative changes to call handling by </w:t>
      </w:r>
      <w:r w:rsidRPr="00B00143">
        <w:t xml:space="preserve">Plunketline </w:t>
      </w:r>
      <w:r w:rsidRPr="00BD4482">
        <w:t>ha</w:t>
      </w:r>
      <w:r>
        <w:t>ve</w:t>
      </w:r>
      <w:r w:rsidRPr="00BD4482">
        <w:t xml:space="preserve"> enabled an increase in Plunketline</w:t>
      </w:r>
      <w:r w:rsidR="000845D9">
        <w:t>’</w:t>
      </w:r>
      <w:r w:rsidRPr="00BD4482">
        <w:t>s capacity to deliver</w:t>
      </w:r>
      <w:r w:rsidRPr="00B00143">
        <w:t xml:space="preserve"> </w:t>
      </w:r>
      <w:r>
        <w:t>follow-</w:t>
      </w:r>
      <w:r w:rsidRPr="00B00143">
        <w:t>up call backs to Plunketline callers in appropriate cases.</w:t>
      </w:r>
    </w:p>
    <w:p w:rsidR="007B0487" w:rsidRDefault="007B0487" w:rsidP="007B0487"/>
    <w:p w:rsidR="00ED6788" w:rsidRDefault="00ED6788" w:rsidP="007B0487">
      <w:pPr>
        <w:pStyle w:val="Heading3"/>
      </w:pPr>
      <w:r w:rsidRPr="00766CF7">
        <w:t>B4 School Check</w:t>
      </w:r>
    </w:p>
    <w:p w:rsidR="00ED6788" w:rsidRPr="00500121" w:rsidRDefault="00ED6788" w:rsidP="007B0487">
      <w:pPr>
        <w:rPr>
          <w:color w:val="000000" w:themeColor="text1"/>
        </w:rPr>
      </w:pPr>
      <w:r>
        <w:t xml:space="preserve">DHBs are accountable for ensuring B4 School Checks are delivered to a high quality and are nationally consistent in accordance with service requirements. DHBs engage a B4 School Check Coordinator to ensure the success of the programme and its sustainability. Coordinators are responsible for monitoring the completion of checks, actioning and tracking referrals, and ensuring a high quality service is provided, including the management of the consent process. In some regions the DHB will contract a lead provider to deliver and manage the service (primary </w:t>
      </w:r>
      <w:r w:rsidRPr="00500121">
        <w:rPr>
          <w:color w:val="000000" w:themeColor="text1"/>
        </w:rPr>
        <w:t>care led, Plunket led, or through the public health nursing workforce).</w:t>
      </w:r>
    </w:p>
    <w:p w:rsidR="00ED6788" w:rsidRPr="00500121" w:rsidRDefault="00ED6788" w:rsidP="007B0487"/>
    <w:p w:rsidR="000845D9" w:rsidRDefault="00ED6788" w:rsidP="007B0487">
      <w:r w:rsidRPr="00500121">
        <w:t>Feedback is provided to DHBs on trends in national service provision and areas of focus for quality improvements to the B4 School Check programme.</w:t>
      </w:r>
      <w:r w:rsidR="000845D9">
        <w:t xml:space="preserve"> </w:t>
      </w:r>
      <w:r w:rsidRPr="00500121">
        <w:t>A total of 58,626 child</w:t>
      </w:r>
      <w:r>
        <w:t>ren were checked during 2014/15</w:t>
      </w:r>
      <w:r w:rsidRPr="00500121">
        <w:t>.</w:t>
      </w:r>
    </w:p>
    <w:p w:rsidR="00ED6788" w:rsidRPr="00500121" w:rsidRDefault="00ED6788" w:rsidP="007B0487"/>
    <w:p w:rsidR="00ED6788" w:rsidRDefault="00ED6788" w:rsidP="007B0487">
      <w:pPr>
        <w:pStyle w:val="Heading3"/>
      </w:pPr>
      <w:r w:rsidRPr="00E170A6">
        <w:lastRenderedPageBreak/>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C25CC8">
            <w:pPr>
              <w:pStyle w:val="TableText"/>
              <w:keepNext/>
              <w:ind w:right="284"/>
              <w:jc w:val="right"/>
            </w:pPr>
            <w:r>
              <w:t>24,681</w:t>
            </w:r>
          </w:p>
        </w:tc>
        <w:tc>
          <w:tcPr>
            <w:tcW w:w="3968" w:type="dxa"/>
            <w:tcBorders>
              <w:top w:val="single" w:sz="4" w:space="0" w:color="auto"/>
              <w:left w:val="nil"/>
            </w:tcBorders>
            <w:shd w:val="solid" w:color="FFFFFF" w:fill="auto"/>
          </w:tcPr>
          <w:p w:rsidR="00ED6788" w:rsidRPr="00C86E74" w:rsidRDefault="00ED6788" w:rsidP="00C25CC8">
            <w:pPr>
              <w:pStyle w:val="TableText"/>
              <w:rPr>
                <w:rFonts w:cs="Arial"/>
                <w:szCs w:val="18"/>
              </w:rPr>
            </w:pPr>
            <w:r w:rsidRPr="00C86E74">
              <w:rPr>
                <w:rFonts w:cs="Arial"/>
                <w:szCs w:val="18"/>
              </w:rPr>
              <w:t>DHBs</w:t>
            </w:r>
          </w:p>
        </w:tc>
        <w:tc>
          <w:tcPr>
            <w:tcW w:w="1276" w:type="dxa"/>
            <w:tcBorders>
              <w:top w:val="single" w:sz="4" w:space="0" w:color="auto"/>
            </w:tcBorders>
            <w:shd w:val="clear" w:color="E3E3E3" w:fill="D9D9D9"/>
          </w:tcPr>
          <w:p w:rsidR="00ED6788" w:rsidRPr="002C0E8B" w:rsidRDefault="00ED6788" w:rsidP="00C25CC8">
            <w:pPr>
              <w:pStyle w:val="TableText"/>
              <w:keepNext/>
              <w:ind w:right="142"/>
              <w:jc w:val="right"/>
            </w:pPr>
            <w:r>
              <w:t>27,946</w:t>
            </w:r>
          </w:p>
        </w:tc>
        <w:tc>
          <w:tcPr>
            <w:tcW w:w="1488" w:type="dxa"/>
            <w:tcBorders>
              <w:top w:val="single" w:sz="4" w:space="0" w:color="auto"/>
            </w:tcBorders>
          </w:tcPr>
          <w:p w:rsidR="00ED6788" w:rsidRPr="00C86E74" w:rsidRDefault="00ED6788" w:rsidP="00C25CC8">
            <w:pPr>
              <w:pStyle w:val="TableText"/>
              <w:jc w:val="right"/>
              <w:rPr>
                <w:rFonts w:cs="Arial"/>
                <w:szCs w:val="18"/>
              </w:rPr>
            </w:pPr>
            <w:r>
              <w:rPr>
                <w:rFonts w:cs="Arial"/>
                <w:szCs w:val="18"/>
              </w:rPr>
              <w:t>25,298</w:t>
            </w:r>
          </w:p>
        </w:tc>
        <w:tc>
          <w:tcPr>
            <w:tcW w:w="1347" w:type="dxa"/>
            <w:tcBorders>
              <w:top w:val="single" w:sz="4" w:space="0" w:color="auto"/>
            </w:tcBorders>
          </w:tcPr>
          <w:p w:rsidR="00ED6788" w:rsidRPr="002C0E8B" w:rsidRDefault="00ED6788" w:rsidP="00C25CC8">
            <w:pPr>
              <w:pStyle w:val="TableText"/>
              <w:keepNext/>
              <w:jc w:val="right"/>
            </w:pPr>
            <w:r>
              <w:rPr>
                <w:rFonts w:cs="Arial"/>
                <w:szCs w:val="18"/>
              </w:rPr>
              <w:t>27,415</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pPr>
            <w:r>
              <w:t>54,140</w:t>
            </w:r>
          </w:p>
        </w:tc>
        <w:tc>
          <w:tcPr>
            <w:tcW w:w="3968" w:type="dxa"/>
            <w:tcBorders>
              <w:left w:val="nil"/>
            </w:tcBorders>
            <w:shd w:val="solid" w:color="FFFFFF" w:fill="auto"/>
          </w:tcPr>
          <w:p w:rsidR="00ED6788" w:rsidRPr="00C86E74" w:rsidRDefault="00ED6788" w:rsidP="007B0487">
            <w:pPr>
              <w:pStyle w:val="TableText"/>
              <w:rPr>
                <w:rFonts w:cs="Arial"/>
                <w:szCs w:val="18"/>
              </w:rPr>
            </w:pPr>
            <w:r w:rsidRPr="00C86E74">
              <w:rPr>
                <w:rFonts w:cs="Arial"/>
                <w:szCs w:val="18"/>
              </w:rPr>
              <w:t>Non-</w:t>
            </w:r>
            <w:r w:rsidR="007B0487">
              <w:rPr>
                <w:rFonts w:cs="Arial"/>
                <w:szCs w:val="18"/>
              </w:rPr>
              <w:t>g</w:t>
            </w:r>
            <w:r w:rsidRPr="00C86E74">
              <w:rPr>
                <w:rFonts w:cs="Arial"/>
                <w:szCs w:val="18"/>
              </w:rPr>
              <w:t xml:space="preserve">overnment </w:t>
            </w:r>
            <w:r w:rsidR="007B0487">
              <w:rPr>
                <w:rFonts w:cs="Arial"/>
                <w:szCs w:val="18"/>
              </w:rPr>
              <w:t>o</w:t>
            </w:r>
            <w:r w:rsidRPr="00C86E74">
              <w:rPr>
                <w:rFonts w:cs="Arial"/>
                <w:szCs w:val="18"/>
              </w:rPr>
              <w:t>rganisations</w:t>
            </w:r>
          </w:p>
        </w:tc>
        <w:tc>
          <w:tcPr>
            <w:tcW w:w="1276" w:type="dxa"/>
            <w:shd w:val="clear" w:color="E3E3E3" w:fill="D9D9D9"/>
          </w:tcPr>
          <w:p w:rsidR="00ED6788" w:rsidRPr="002C0E8B" w:rsidRDefault="00ED6788" w:rsidP="00C25CC8">
            <w:pPr>
              <w:pStyle w:val="TableText"/>
              <w:ind w:right="142"/>
              <w:jc w:val="right"/>
            </w:pPr>
            <w:r>
              <w:t>54,592</w:t>
            </w:r>
          </w:p>
        </w:tc>
        <w:tc>
          <w:tcPr>
            <w:tcW w:w="1488" w:type="dxa"/>
          </w:tcPr>
          <w:p w:rsidR="00ED6788" w:rsidRPr="00C86E74" w:rsidRDefault="00ED6788" w:rsidP="00C25CC8">
            <w:pPr>
              <w:pStyle w:val="TableText"/>
              <w:jc w:val="right"/>
              <w:rPr>
                <w:rFonts w:cs="Arial"/>
                <w:szCs w:val="18"/>
              </w:rPr>
            </w:pPr>
            <w:r>
              <w:rPr>
                <w:rFonts w:cs="Arial"/>
                <w:szCs w:val="18"/>
              </w:rPr>
              <w:t>56,885</w:t>
            </w:r>
          </w:p>
        </w:tc>
        <w:tc>
          <w:tcPr>
            <w:tcW w:w="1347" w:type="dxa"/>
          </w:tcPr>
          <w:p w:rsidR="00ED6788" w:rsidRPr="002C0E8B" w:rsidRDefault="00ED6788" w:rsidP="00C25CC8">
            <w:pPr>
              <w:pStyle w:val="TableText"/>
              <w:jc w:val="right"/>
            </w:pPr>
            <w:r>
              <w:rPr>
                <w:rFonts w:cs="Arial"/>
                <w:szCs w:val="18"/>
              </w:rPr>
              <w:t>56,289</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78,821</w:t>
            </w:r>
          </w:p>
        </w:tc>
        <w:tc>
          <w:tcPr>
            <w:tcW w:w="3968" w:type="dxa"/>
            <w:tcBorders>
              <w:left w:val="nil"/>
            </w:tcBorders>
            <w:shd w:val="solid" w:color="FFFFFF" w:fill="auto"/>
          </w:tcPr>
          <w:p w:rsidR="00ED6788" w:rsidRPr="002C0E8B" w:rsidRDefault="00ED6788" w:rsidP="00C25CC8">
            <w:pPr>
              <w:pStyle w:val="TableText"/>
              <w:keepNext/>
              <w:rPr>
                <w:b/>
              </w:rPr>
            </w:pPr>
            <w:r w:rsidRPr="00402325">
              <w:rPr>
                <w:rFonts w:cs="Arial"/>
                <w:b/>
                <w:szCs w:val="18"/>
              </w:rPr>
              <w:t>Total appropriation</w:t>
            </w:r>
          </w:p>
        </w:tc>
        <w:tc>
          <w:tcPr>
            <w:tcW w:w="1276" w:type="dxa"/>
            <w:shd w:val="clear" w:color="E3E3E3" w:fill="D9D9D9"/>
          </w:tcPr>
          <w:p w:rsidR="00ED6788" w:rsidRPr="00C86E74" w:rsidRDefault="00ED6788" w:rsidP="00C25CC8">
            <w:pPr>
              <w:pStyle w:val="TableText"/>
              <w:keepNext/>
              <w:jc w:val="right"/>
              <w:rPr>
                <w:rFonts w:cs="Arial"/>
                <w:b/>
                <w:szCs w:val="18"/>
              </w:rPr>
            </w:pPr>
            <w:r>
              <w:rPr>
                <w:rFonts w:cs="Arial"/>
                <w:b/>
                <w:szCs w:val="18"/>
              </w:rPr>
              <w:t xml:space="preserve">82,538 </w:t>
            </w:r>
          </w:p>
        </w:tc>
        <w:tc>
          <w:tcPr>
            <w:tcW w:w="1488" w:type="dxa"/>
          </w:tcPr>
          <w:p w:rsidR="00ED6788" w:rsidRPr="00C86E74" w:rsidRDefault="00ED6788" w:rsidP="00C25CC8">
            <w:pPr>
              <w:keepNext/>
              <w:spacing w:before="60" w:after="60"/>
              <w:jc w:val="right"/>
              <w:rPr>
                <w:rFonts w:cs="Arial"/>
                <w:b/>
                <w:sz w:val="18"/>
                <w:szCs w:val="18"/>
              </w:rPr>
            </w:pPr>
            <w:r w:rsidRPr="00C86E74">
              <w:rPr>
                <w:rFonts w:cs="Arial"/>
                <w:b/>
                <w:sz w:val="18"/>
                <w:szCs w:val="18"/>
              </w:rPr>
              <w:t>82,183</w:t>
            </w:r>
          </w:p>
        </w:tc>
        <w:tc>
          <w:tcPr>
            <w:tcW w:w="1347" w:type="dxa"/>
          </w:tcPr>
          <w:p w:rsidR="00ED6788" w:rsidRPr="002C0E8B" w:rsidRDefault="00ED6788" w:rsidP="00C25CC8">
            <w:pPr>
              <w:pStyle w:val="TableText"/>
              <w:jc w:val="right"/>
              <w:rPr>
                <w:b/>
              </w:rPr>
            </w:pPr>
            <w:r>
              <w:rPr>
                <w:rFonts w:cs="Arial"/>
                <w:b/>
                <w:szCs w:val="18"/>
              </w:rPr>
              <w:t>83,704</w:t>
            </w:r>
          </w:p>
        </w:tc>
      </w:tr>
    </w:tbl>
    <w:p w:rsidR="00ED6788" w:rsidRDefault="00ED6788" w:rsidP="007B0487"/>
    <w:p w:rsidR="00ED6788" w:rsidRDefault="00ED6788" w:rsidP="007B0487">
      <w:pPr>
        <w:pStyle w:val="Heading3"/>
      </w:pPr>
      <w:r w:rsidRPr="007A1F5B">
        <w:t>Comments</w:t>
      </w:r>
    </w:p>
    <w:p w:rsidR="00ED6788" w:rsidRDefault="00ED6788" w:rsidP="007B0487">
      <w:r w:rsidRPr="00074D5A">
        <w:t xml:space="preserve">This appropriation </w:t>
      </w:r>
      <w:r>
        <w:t xml:space="preserve">was </w:t>
      </w:r>
      <w:r w:rsidRPr="00074D5A">
        <w:t>overspent by $0.355 million against the Main Estimates (0.4 percent of appropriation)</w:t>
      </w:r>
      <w:r w:rsidR="007B0487">
        <w:t>;</w:t>
      </w:r>
      <w:r w:rsidRPr="00074D5A">
        <w:t xml:space="preserve"> the variance is not significant.</w:t>
      </w:r>
    </w:p>
    <w:p w:rsidR="007B0487" w:rsidRPr="001F4EAF" w:rsidRDefault="007B0487" w:rsidP="007B0487"/>
    <w:p w:rsidR="00734595" w:rsidRDefault="00734595">
      <w:pPr>
        <w:spacing w:line="240" w:lineRule="auto"/>
        <w:rPr>
          <w:b/>
          <w:sz w:val="40"/>
        </w:rPr>
      </w:pPr>
      <w:bookmarkStart w:id="20" w:name="_Toc432765746"/>
      <w:r>
        <w:br w:type="page"/>
      </w:r>
    </w:p>
    <w:p w:rsidR="000845D9" w:rsidRDefault="00ED6788" w:rsidP="00734595">
      <w:pPr>
        <w:pStyle w:val="Heading2"/>
        <w:spacing w:before="0"/>
      </w:pPr>
      <w:bookmarkStart w:id="21" w:name="_Toc433713779"/>
      <w:r w:rsidRPr="000C7904">
        <w:lastRenderedPageBreak/>
        <w:t xml:space="preserve">National </w:t>
      </w:r>
      <w:r w:rsidR="00734595">
        <w:t>c</w:t>
      </w:r>
      <w:r w:rsidRPr="000C7904">
        <w:t xml:space="preserve">ontracted </w:t>
      </w:r>
      <w:r w:rsidR="00734595">
        <w:t>s</w:t>
      </w:r>
      <w:r w:rsidRPr="000C7904">
        <w:t xml:space="preserve">ervices </w:t>
      </w:r>
      <w:r>
        <w:t>–</w:t>
      </w:r>
      <w:r w:rsidRPr="000C7904">
        <w:t xml:space="preserve"> </w:t>
      </w:r>
      <w:r w:rsidR="00734595">
        <w:t>ot</w:t>
      </w:r>
      <w:r w:rsidRPr="000C7904">
        <w:t>her</w:t>
      </w:r>
      <w:bookmarkEnd w:id="20"/>
      <w:bookmarkEnd w:id="21"/>
    </w:p>
    <w:p w:rsidR="000845D9" w:rsidRDefault="00ED6788" w:rsidP="00734595">
      <w:pPr>
        <w:keepNext/>
      </w:pPr>
      <w:r>
        <w:t>The s</w:t>
      </w:r>
      <w:r w:rsidRPr="007F473C">
        <w:t xml:space="preserve">cope of </w:t>
      </w:r>
      <w:r>
        <w:t>appropriation is limited to the purchase of other services directly by the Crown to support the health and disability services sector, including the national management of pharmaceuticals, and health research.</w:t>
      </w:r>
    </w:p>
    <w:p w:rsidR="00ED6788" w:rsidRDefault="00ED6788" w:rsidP="00734595">
      <w:pPr>
        <w:keepNext/>
      </w:pPr>
    </w:p>
    <w:p w:rsidR="00ED6788" w:rsidRDefault="00ED6788" w:rsidP="00734595">
      <w:pPr>
        <w:keepNext/>
      </w:pPr>
      <w:r>
        <w:t>Parts of this appropriation are reported to Parliament by PHARMAC and the Health Research Council. Their annual reports are against the performance measures in their Statements of Intent.</w:t>
      </w:r>
    </w:p>
    <w:p w:rsidR="00ED6788" w:rsidRDefault="00ED6788" w:rsidP="00734595">
      <w:pPr>
        <w:keepNext/>
      </w:pPr>
    </w:p>
    <w:p w:rsidR="00ED6788" w:rsidRDefault="00ED6788" w:rsidP="007B0487">
      <w:pPr>
        <w:keepLines/>
      </w:pPr>
      <w:r>
        <w:t>This report covers the part of the appropriation that funds other health services. The Pacific Innovation Fund recognises the need to design responsive services across health, education, housing, justice, social services, employment, and lifestyle. The fund, to be invested over four years, is aligned to the vision of Whānau Ora for Pacific peoples and will support Pacific peoples to develop Pacific solutions to the issues they face as distinct communities.</w:t>
      </w:r>
    </w:p>
    <w:p w:rsidR="00ED6788" w:rsidRDefault="00ED6788" w:rsidP="007B0487"/>
    <w:p w:rsidR="00ED6788" w:rsidRPr="003756B9" w:rsidRDefault="00ED6788" w:rsidP="007B0487">
      <w:pPr>
        <w:pStyle w:val="Heading3"/>
      </w:pPr>
      <w:r>
        <w:t>Summary of output performance</w:t>
      </w:r>
    </w:p>
    <w:tbl>
      <w:tblPr>
        <w:tblW w:w="494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3"/>
        <w:gridCol w:w="5997"/>
        <w:gridCol w:w="1035"/>
        <w:gridCol w:w="1118"/>
      </w:tblGrid>
      <w:tr w:rsidR="00ED6788" w:rsidRPr="00E16661" w:rsidTr="00C25CC8">
        <w:trPr>
          <w:cantSplit/>
          <w:tblHeader/>
        </w:trPr>
        <w:tc>
          <w:tcPr>
            <w:tcW w:w="591" w:type="pct"/>
            <w:tcBorders>
              <w:top w:val="single" w:sz="4" w:space="0" w:color="auto"/>
              <w:bottom w:val="single" w:sz="4" w:space="0" w:color="auto"/>
            </w:tcBorders>
          </w:tcPr>
          <w:p w:rsidR="00ED6788" w:rsidRPr="00E16661" w:rsidRDefault="00ED6788" w:rsidP="00C25CC8">
            <w:pPr>
              <w:pStyle w:val="TableText"/>
              <w:ind w:right="284"/>
              <w:jc w:val="right"/>
              <w:rPr>
                <w:b/>
              </w:rPr>
            </w:pPr>
            <w:r w:rsidRPr="00E16661">
              <w:rPr>
                <w:b/>
              </w:rPr>
              <w:t>Actual 201</w:t>
            </w:r>
            <w:r>
              <w:rPr>
                <w:b/>
              </w:rPr>
              <w:t>3/14</w:t>
            </w:r>
          </w:p>
        </w:tc>
        <w:tc>
          <w:tcPr>
            <w:tcW w:w="3244" w:type="pct"/>
            <w:tcBorders>
              <w:top w:val="single" w:sz="4" w:space="0" w:color="auto"/>
              <w:bottom w:val="single" w:sz="4" w:space="0" w:color="auto"/>
            </w:tcBorders>
          </w:tcPr>
          <w:p w:rsidR="00ED6788" w:rsidRPr="00E16661" w:rsidRDefault="00ED6788" w:rsidP="00C25CC8">
            <w:pPr>
              <w:pStyle w:val="TableText"/>
              <w:rPr>
                <w:b/>
              </w:rPr>
            </w:pPr>
            <w:r w:rsidRPr="00E16661">
              <w:rPr>
                <w:b/>
              </w:rPr>
              <w:t>Performance measure</w:t>
            </w:r>
          </w:p>
        </w:tc>
        <w:tc>
          <w:tcPr>
            <w:tcW w:w="560" w:type="pct"/>
            <w:tcBorders>
              <w:top w:val="single" w:sz="4" w:space="0" w:color="auto"/>
              <w:bottom w:val="single" w:sz="4" w:space="0" w:color="auto"/>
            </w:tcBorders>
          </w:tcPr>
          <w:p w:rsidR="00ED6788" w:rsidRPr="00E16661" w:rsidRDefault="00ED6788" w:rsidP="00C25CC8">
            <w:pPr>
              <w:pStyle w:val="TableT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605" w:type="pct"/>
            <w:tcBorders>
              <w:top w:val="single" w:sz="4" w:space="0" w:color="auto"/>
              <w:bottom w:val="single" w:sz="4" w:space="0" w:color="auto"/>
            </w:tcBorders>
            <w:shd w:val="clear" w:color="auto" w:fill="D9D9D9"/>
          </w:tcPr>
          <w:p w:rsidR="00ED6788" w:rsidRPr="00E16661" w:rsidRDefault="00ED6788" w:rsidP="00C25CC8">
            <w:pPr>
              <w:pStyle w:val="TableT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C25CC8">
        <w:trPr>
          <w:cantSplit/>
        </w:trPr>
        <w:tc>
          <w:tcPr>
            <w:tcW w:w="591" w:type="pct"/>
            <w:tcBorders>
              <w:top w:val="single" w:sz="4" w:space="0" w:color="auto"/>
            </w:tcBorders>
          </w:tcPr>
          <w:p w:rsidR="00ED6788" w:rsidRPr="002C0E8B" w:rsidRDefault="00ED6788" w:rsidP="00C25CC8">
            <w:pPr>
              <w:pStyle w:val="TableText"/>
              <w:ind w:right="284"/>
              <w:jc w:val="right"/>
              <w:rPr>
                <w:bCs/>
                <w:lang w:eastAsia="en-NZ"/>
              </w:rPr>
            </w:pPr>
          </w:p>
        </w:tc>
        <w:tc>
          <w:tcPr>
            <w:tcW w:w="3244" w:type="pct"/>
            <w:tcBorders>
              <w:top w:val="single" w:sz="4" w:space="0" w:color="auto"/>
            </w:tcBorders>
          </w:tcPr>
          <w:p w:rsidR="00ED6788" w:rsidRPr="00AB69C4" w:rsidRDefault="00ED6788" w:rsidP="00C25CC8">
            <w:pPr>
              <w:pStyle w:val="TableText"/>
              <w:rPr>
                <w:b/>
              </w:rPr>
            </w:pPr>
            <w:r w:rsidRPr="00D81AE7">
              <w:rPr>
                <w:b/>
                <w:bCs/>
                <w:lang w:eastAsia="en-NZ"/>
              </w:rPr>
              <w:t>PHARMAC</w:t>
            </w:r>
          </w:p>
        </w:tc>
        <w:tc>
          <w:tcPr>
            <w:tcW w:w="560" w:type="pct"/>
            <w:tcBorders>
              <w:top w:val="single" w:sz="4" w:space="0" w:color="auto"/>
            </w:tcBorders>
          </w:tcPr>
          <w:p w:rsidR="00ED6788" w:rsidRPr="002C0E8B" w:rsidRDefault="00ED6788" w:rsidP="00C25CC8">
            <w:pPr>
              <w:pStyle w:val="TableText"/>
              <w:ind w:right="142"/>
              <w:jc w:val="right"/>
            </w:pPr>
          </w:p>
        </w:tc>
        <w:tc>
          <w:tcPr>
            <w:tcW w:w="605" w:type="pct"/>
            <w:tcBorders>
              <w:top w:val="single" w:sz="4" w:space="0" w:color="auto"/>
            </w:tcBorders>
            <w:shd w:val="clear" w:color="auto" w:fill="D9D9D9"/>
          </w:tcPr>
          <w:p w:rsidR="00ED6788" w:rsidRPr="002C0E8B" w:rsidRDefault="00ED6788" w:rsidP="00C25CC8">
            <w:pPr>
              <w:pStyle w:val="TableText"/>
              <w:ind w:right="142"/>
              <w:jc w:val="right"/>
            </w:pPr>
          </w:p>
        </w:tc>
      </w:tr>
      <w:tr w:rsidR="00ED6788" w:rsidRPr="002C0E8B" w:rsidTr="007B0487">
        <w:trPr>
          <w:cantSplit/>
        </w:trPr>
        <w:tc>
          <w:tcPr>
            <w:tcW w:w="591" w:type="pct"/>
            <w:tcBorders>
              <w:bottom w:val="nil"/>
            </w:tcBorders>
          </w:tcPr>
          <w:p w:rsidR="00ED6788" w:rsidRPr="002C0E8B" w:rsidRDefault="00ED6788" w:rsidP="007B0487">
            <w:pPr>
              <w:pStyle w:val="TableText"/>
              <w:spacing w:before="0"/>
              <w:ind w:right="284"/>
              <w:jc w:val="right"/>
            </w:pPr>
          </w:p>
        </w:tc>
        <w:tc>
          <w:tcPr>
            <w:tcW w:w="3244" w:type="pct"/>
            <w:tcBorders>
              <w:bottom w:val="nil"/>
            </w:tcBorders>
          </w:tcPr>
          <w:p w:rsidR="00ED6788" w:rsidRPr="002C0E8B" w:rsidRDefault="00ED6788" w:rsidP="007B0487">
            <w:pPr>
              <w:pStyle w:val="TableText"/>
              <w:spacing w:before="0"/>
            </w:pPr>
            <w:r w:rsidRPr="00D81AE7">
              <w:t>The performance measures are those contained in the Crown entity</w:t>
            </w:r>
            <w:r w:rsidR="000845D9">
              <w:t>’</w:t>
            </w:r>
            <w:r w:rsidRPr="00D81AE7">
              <w:t>s Statement of Intent</w:t>
            </w:r>
          </w:p>
        </w:tc>
        <w:tc>
          <w:tcPr>
            <w:tcW w:w="560" w:type="pct"/>
            <w:tcBorders>
              <w:bottom w:val="nil"/>
            </w:tcBorders>
          </w:tcPr>
          <w:p w:rsidR="00ED6788" w:rsidRPr="002C0E8B" w:rsidRDefault="00ED6788" w:rsidP="007B0487">
            <w:pPr>
              <w:pStyle w:val="TableText"/>
              <w:spacing w:before="0"/>
              <w:ind w:right="142"/>
              <w:jc w:val="right"/>
            </w:pPr>
          </w:p>
        </w:tc>
        <w:tc>
          <w:tcPr>
            <w:tcW w:w="605" w:type="pct"/>
            <w:tcBorders>
              <w:bottom w:val="nil"/>
            </w:tcBorders>
            <w:shd w:val="clear" w:color="auto" w:fill="D9D9D9"/>
          </w:tcPr>
          <w:p w:rsidR="00ED6788" w:rsidRPr="00D155EF" w:rsidRDefault="00ED6788" w:rsidP="007B0487">
            <w:pPr>
              <w:pStyle w:val="TableText"/>
              <w:spacing w:before="0"/>
              <w:ind w:right="142"/>
              <w:jc w:val="right"/>
            </w:pPr>
          </w:p>
        </w:tc>
      </w:tr>
      <w:tr w:rsidR="00ED6788" w:rsidRPr="002C0E8B" w:rsidTr="007B0487">
        <w:trPr>
          <w:cantSplit/>
        </w:trPr>
        <w:tc>
          <w:tcPr>
            <w:tcW w:w="591" w:type="pct"/>
            <w:tcBorders>
              <w:top w:val="nil"/>
              <w:bottom w:val="nil"/>
            </w:tcBorders>
          </w:tcPr>
          <w:p w:rsidR="00ED6788" w:rsidRPr="002C0E8B" w:rsidRDefault="00ED6788" w:rsidP="00C25CC8">
            <w:pPr>
              <w:pStyle w:val="TableText"/>
              <w:ind w:right="284"/>
              <w:jc w:val="right"/>
              <w:rPr>
                <w:bCs/>
                <w:lang w:eastAsia="en-NZ"/>
              </w:rPr>
            </w:pPr>
          </w:p>
        </w:tc>
        <w:tc>
          <w:tcPr>
            <w:tcW w:w="3244" w:type="pct"/>
            <w:tcBorders>
              <w:top w:val="nil"/>
              <w:bottom w:val="nil"/>
            </w:tcBorders>
          </w:tcPr>
          <w:p w:rsidR="00ED6788" w:rsidRPr="00AB69C4" w:rsidRDefault="00ED6788" w:rsidP="00C25CC8">
            <w:pPr>
              <w:pStyle w:val="TableText"/>
              <w:rPr>
                <w:b/>
              </w:rPr>
            </w:pPr>
            <w:r w:rsidRPr="00D81AE7">
              <w:rPr>
                <w:b/>
                <w:bCs/>
                <w:lang w:eastAsia="en-NZ"/>
              </w:rPr>
              <w:t>Health Research Council</w:t>
            </w:r>
          </w:p>
        </w:tc>
        <w:tc>
          <w:tcPr>
            <w:tcW w:w="560" w:type="pct"/>
            <w:tcBorders>
              <w:top w:val="nil"/>
              <w:bottom w:val="nil"/>
            </w:tcBorders>
          </w:tcPr>
          <w:p w:rsidR="00ED6788" w:rsidRPr="002C0E8B" w:rsidRDefault="00ED6788" w:rsidP="00C25CC8">
            <w:pPr>
              <w:pStyle w:val="TableText"/>
              <w:ind w:right="142"/>
              <w:jc w:val="right"/>
            </w:pPr>
          </w:p>
        </w:tc>
        <w:tc>
          <w:tcPr>
            <w:tcW w:w="605" w:type="pct"/>
            <w:tcBorders>
              <w:top w:val="nil"/>
              <w:bottom w:val="nil"/>
            </w:tcBorders>
            <w:shd w:val="clear" w:color="auto" w:fill="D9D9D9"/>
          </w:tcPr>
          <w:p w:rsidR="00ED6788" w:rsidRPr="002C0E8B" w:rsidRDefault="00ED6788" w:rsidP="00C25CC8">
            <w:pPr>
              <w:pStyle w:val="TableText"/>
              <w:ind w:right="142"/>
              <w:jc w:val="right"/>
            </w:pPr>
          </w:p>
        </w:tc>
      </w:tr>
      <w:tr w:rsidR="00ED6788" w:rsidRPr="002C0E8B" w:rsidTr="007B0487">
        <w:trPr>
          <w:cantSplit/>
        </w:trPr>
        <w:tc>
          <w:tcPr>
            <w:tcW w:w="591" w:type="pct"/>
            <w:tcBorders>
              <w:top w:val="nil"/>
              <w:bottom w:val="nil"/>
            </w:tcBorders>
          </w:tcPr>
          <w:p w:rsidR="00ED6788" w:rsidRPr="002C0E8B" w:rsidRDefault="00ED6788" w:rsidP="007B0487">
            <w:pPr>
              <w:pStyle w:val="TableText"/>
              <w:spacing w:before="0"/>
              <w:ind w:right="284"/>
              <w:jc w:val="right"/>
            </w:pPr>
          </w:p>
        </w:tc>
        <w:tc>
          <w:tcPr>
            <w:tcW w:w="3244" w:type="pct"/>
            <w:tcBorders>
              <w:top w:val="nil"/>
              <w:bottom w:val="nil"/>
            </w:tcBorders>
          </w:tcPr>
          <w:p w:rsidR="00ED6788" w:rsidRPr="002C0E8B" w:rsidRDefault="00ED6788" w:rsidP="007B0487">
            <w:pPr>
              <w:pStyle w:val="TableText"/>
              <w:spacing w:before="0"/>
            </w:pPr>
            <w:r w:rsidRPr="00D81AE7">
              <w:t>The performance measures are those contained in the Crown entity</w:t>
            </w:r>
            <w:r w:rsidR="000845D9">
              <w:t>’</w:t>
            </w:r>
            <w:r w:rsidRPr="00D81AE7">
              <w:t>s Statement of Intent</w:t>
            </w:r>
          </w:p>
        </w:tc>
        <w:tc>
          <w:tcPr>
            <w:tcW w:w="560" w:type="pct"/>
            <w:tcBorders>
              <w:top w:val="nil"/>
              <w:bottom w:val="nil"/>
            </w:tcBorders>
          </w:tcPr>
          <w:p w:rsidR="00ED6788" w:rsidRPr="002C0E8B" w:rsidRDefault="00ED6788" w:rsidP="007B0487">
            <w:pPr>
              <w:pStyle w:val="TableText"/>
              <w:spacing w:before="0"/>
              <w:ind w:right="142"/>
              <w:jc w:val="right"/>
            </w:pPr>
          </w:p>
        </w:tc>
        <w:tc>
          <w:tcPr>
            <w:tcW w:w="605" w:type="pct"/>
            <w:tcBorders>
              <w:top w:val="nil"/>
              <w:bottom w:val="nil"/>
            </w:tcBorders>
            <w:shd w:val="clear" w:color="auto" w:fill="D9D9D9"/>
          </w:tcPr>
          <w:p w:rsidR="00ED6788" w:rsidRPr="00D155EF" w:rsidRDefault="00ED6788" w:rsidP="007B0487">
            <w:pPr>
              <w:pStyle w:val="TableText"/>
              <w:spacing w:before="0"/>
              <w:ind w:right="142"/>
              <w:jc w:val="right"/>
            </w:pPr>
          </w:p>
        </w:tc>
      </w:tr>
      <w:tr w:rsidR="00ED6788" w:rsidRPr="002C0E8B" w:rsidTr="007B0487">
        <w:trPr>
          <w:cantSplit/>
        </w:trPr>
        <w:tc>
          <w:tcPr>
            <w:tcW w:w="591" w:type="pct"/>
            <w:tcBorders>
              <w:top w:val="nil"/>
            </w:tcBorders>
          </w:tcPr>
          <w:p w:rsidR="00ED6788" w:rsidRPr="002C0E8B" w:rsidRDefault="00ED6788" w:rsidP="00C25CC8">
            <w:pPr>
              <w:pStyle w:val="TableText"/>
              <w:ind w:right="284"/>
              <w:jc w:val="right"/>
              <w:rPr>
                <w:bCs/>
                <w:lang w:eastAsia="en-NZ"/>
              </w:rPr>
            </w:pPr>
          </w:p>
        </w:tc>
        <w:tc>
          <w:tcPr>
            <w:tcW w:w="3244" w:type="pct"/>
            <w:tcBorders>
              <w:top w:val="nil"/>
            </w:tcBorders>
          </w:tcPr>
          <w:p w:rsidR="00ED6788" w:rsidRPr="00AB69C4" w:rsidRDefault="00ED6788" w:rsidP="00C25CC8">
            <w:pPr>
              <w:pStyle w:val="TableText"/>
              <w:rPr>
                <w:b/>
              </w:rPr>
            </w:pPr>
            <w:r w:rsidRPr="00D81AE7">
              <w:rPr>
                <w:b/>
                <w:bCs/>
                <w:lang w:eastAsia="en-NZ"/>
              </w:rPr>
              <w:t>Pacific Innovation Fund</w:t>
            </w:r>
          </w:p>
        </w:tc>
        <w:tc>
          <w:tcPr>
            <w:tcW w:w="560" w:type="pct"/>
            <w:tcBorders>
              <w:top w:val="nil"/>
            </w:tcBorders>
          </w:tcPr>
          <w:p w:rsidR="00ED6788" w:rsidRPr="002C0E8B" w:rsidRDefault="00ED6788" w:rsidP="00C25CC8">
            <w:pPr>
              <w:pStyle w:val="TableText"/>
              <w:ind w:right="142"/>
              <w:jc w:val="right"/>
            </w:pPr>
          </w:p>
        </w:tc>
        <w:tc>
          <w:tcPr>
            <w:tcW w:w="605" w:type="pct"/>
            <w:tcBorders>
              <w:top w:val="nil"/>
            </w:tcBorders>
            <w:shd w:val="clear" w:color="auto" w:fill="D9D9D9"/>
          </w:tcPr>
          <w:p w:rsidR="00ED6788" w:rsidRPr="002C0E8B" w:rsidRDefault="00ED6788" w:rsidP="00C25CC8">
            <w:pPr>
              <w:pStyle w:val="TableText"/>
              <w:ind w:right="142"/>
              <w:jc w:val="right"/>
            </w:pPr>
          </w:p>
        </w:tc>
      </w:tr>
      <w:tr w:rsidR="00ED6788" w:rsidRPr="002C0E8B" w:rsidTr="00C25CC8">
        <w:trPr>
          <w:cantSplit/>
        </w:trPr>
        <w:tc>
          <w:tcPr>
            <w:tcW w:w="591" w:type="pct"/>
          </w:tcPr>
          <w:p w:rsidR="00ED6788" w:rsidRPr="002C0E8B" w:rsidRDefault="00ED6788" w:rsidP="00C25CC8">
            <w:pPr>
              <w:pStyle w:val="TableText"/>
              <w:ind w:right="284"/>
              <w:jc w:val="right"/>
            </w:pPr>
            <w:r>
              <w:t>95%</w:t>
            </w:r>
          </w:p>
        </w:tc>
        <w:tc>
          <w:tcPr>
            <w:tcW w:w="3244" w:type="pct"/>
          </w:tcPr>
          <w:p w:rsidR="00ED6788" w:rsidRPr="00441D2D" w:rsidRDefault="00ED6788" w:rsidP="00C25CC8">
            <w:pPr>
              <w:pStyle w:val="TableText"/>
            </w:pPr>
            <w:r w:rsidRPr="00441D2D">
              <w:t>Number of reports received on time</w:t>
            </w:r>
          </w:p>
        </w:tc>
        <w:tc>
          <w:tcPr>
            <w:tcW w:w="560" w:type="pct"/>
          </w:tcPr>
          <w:p w:rsidR="00ED6788" w:rsidRPr="001D2C82" w:rsidRDefault="00ED6788" w:rsidP="00C25CC8">
            <w:pPr>
              <w:pStyle w:val="TableText"/>
              <w:ind w:right="142"/>
              <w:jc w:val="right"/>
            </w:pPr>
            <w:r w:rsidRPr="001D2C82">
              <w:t>95%</w:t>
            </w:r>
          </w:p>
        </w:tc>
        <w:tc>
          <w:tcPr>
            <w:tcW w:w="605" w:type="pct"/>
            <w:shd w:val="clear" w:color="auto" w:fill="D9D9D9"/>
          </w:tcPr>
          <w:p w:rsidR="00ED6788" w:rsidRPr="009B2CFF" w:rsidRDefault="00ED6788" w:rsidP="00C25CC8">
            <w:pPr>
              <w:pStyle w:val="TableText"/>
              <w:ind w:right="142"/>
              <w:jc w:val="right"/>
            </w:pPr>
            <w:r w:rsidRPr="009B2CFF">
              <w:t>95%</w:t>
            </w:r>
          </w:p>
        </w:tc>
      </w:tr>
      <w:tr w:rsidR="00ED6788" w:rsidRPr="002C0E8B" w:rsidTr="00C25CC8">
        <w:trPr>
          <w:cantSplit/>
        </w:trPr>
        <w:tc>
          <w:tcPr>
            <w:tcW w:w="591" w:type="pct"/>
          </w:tcPr>
          <w:p w:rsidR="00ED6788" w:rsidRPr="002C0E8B" w:rsidRDefault="00ED6788" w:rsidP="00C25CC8">
            <w:pPr>
              <w:pStyle w:val="TableText"/>
              <w:ind w:right="284"/>
              <w:jc w:val="right"/>
            </w:pPr>
            <w:r>
              <w:t>100%</w:t>
            </w:r>
          </w:p>
        </w:tc>
        <w:tc>
          <w:tcPr>
            <w:tcW w:w="3244" w:type="pct"/>
          </w:tcPr>
          <w:p w:rsidR="00ED6788" w:rsidRDefault="00ED6788" w:rsidP="00C25CC8">
            <w:pPr>
              <w:pStyle w:val="TableText"/>
            </w:pPr>
            <w:r w:rsidRPr="00441D2D">
              <w:t>Proportion of contracts with evaluation frameworks in place</w:t>
            </w:r>
          </w:p>
        </w:tc>
        <w:tc>
          <w:tcPr>
            <w:tcW w:w="560" w:type="pct"/>
          </w:tcPr>
          <w:p w:rsidR="00ED6788" w:rsidRDefault="00ED6788" w:rsidP="00C25CC8">
            <w:pPr>
              <w:pStyle w:val="TableText"/>
              <w:ind w:right="142"/>
              <w:jc w:val="right"/>
            </w:pPr>
            <w:r w:rsidRPr="001D2C82">
              <w:t>100%</w:t>
            </w:r>
          </w:p>
        </w:tc>
        <w:tc>
          <w:tcPr>
            <w:tcW w:w="605" w:type="pct"/>
            <w:shd w:val="clear" w:color="auto" w:fill="D9D9D9"/>
          </w:tcPr>
          <w:p w:rsidR="00ED6788" w:rsidRDefault="00ED6788" w:rsidP="00C25CC8">
            <w:pPr>
              <w:pStyle w:val="TableText"/>
              <w:ind w:right="142"/>
              <w:jc w:val="right"/>
            </w:pPr>
            <w:r w:rsidRPr="009B2CFF">
              <w:t>100%</w:t>
            </w:r>
          </w:p>
        </w:tc>
      </w:tr>
    </w:tbl>
    <w:p w:rsidR="00ED6788" w:rsidRPr="00802126" w:rsidRDefault="00ED6788" w:rsidP="007B0487">
      <w:pPr>
        <w:rPr>
          <w:highlight w:val="yellow"/>
        </w:rPr>
      </w:pPr>
    </w:p>
    <w:p w:rsidR="000845D9" w:rsidRDefault="00ED6788" w:rsidP="007B0487">
      <w:pPr>
        <w:pStyle w:val="Heading3"/>
      </w:pPr>
      <w:r w:rsidRPr="006F19EA">
        <w:t>Pacific Innovation Fund</w:t>
      </w:r>
    </w:p>
    <w:p w:rsidR="00ED6788" w:rsidRDefault="00ED6788" w:rsidP="007B0487">
      <w:r>
        <w:t>The key objectives of the Pacific Innovation Fund are to:</w:t>
      </w:r>
    </w:p>
    <w:p w:rsidR="00ED6788" w:rsidRDefault="00ED6788" w:rsidP="007B0487">
      <w:pPr>
        <w:pStyle w:val="Bullet"/>
      </w:pPr>
      <w:r>
        <w:t>implement proven Pacific models of care that are responsive to the needs of Pacific peoples</w:t>
      </w:r>
    </w:p>
    <w:p w:rsidR="00ED6788" w:rsidRDefault="00ED6788" w:rsidP="007B0487">
      <w:pPr>
        <w:pStyle w:val="Bullet"/>
      </w:pPr>
      <w:r>
        <w:t>evaluate Pacific health outcomes, along with quality and safe care</w:t>
      </w:r>
    </w:p>
    <w:p w:rsidR="00ED6788" w:rsidRDefault="00ED6788" w:rsidP="007B0487">
      <w:pPr>
        <w:pStyle w:val="Bullet"/>
      </w:pPr>
      <w:r>
        <w:t>promote sustainable Pacific service delivery systems that value health and social service integration, and employ family-centred interventions</w:t>
      </w:r>
    </w:p>
    <w:p w:rsidR="00ED6788" w:rsidRDefault="00ED6788" w:rsidP="007B0487">
      <w:pPr>
        <w:pStyle w:val="Bullet"/>
      </w:pPr>
      <w:r>
        <w:t>improve the health of Pacific peoples by delivering clinical and non-clinical interventions.</w:t>
      </w:r>
    </w:p>
    <w:p w:rsidR="00ED6788" w:rsidRDefault="00ED6788" w:rsidP="007B0487"/>
    <w:p w:rsidR="00ED6788" w:rsidRDefault="00ED6788" w:rsidP="007B0487">
      <w:r>
        <w:t>The Pacific Innovation Fund is invested in Pacific health initiatives that demonstrate innovation through the application of new strategies, models and methods of service delivery. The focus of the funding is to support innovation projects that:</w:t>
      </w:r>
    </w:p>
    <w:p w:rsidR="00ED6788" w:rsidRDefault="00ED6788" w:rsidP="007B0487">
      <w:pPr>
        <w:pStyle w:val="Bullet"/>
      </w:pPr>
      <w:r>
        <w:t>strengthen Pacific child and youth protective factors</w:t>
      </w:r>
    </w:p>
    <w:p w:rsidR="00ED6788" w:rsidRDefault="00ED6788" w:rsidP="007B0487">
      <w:pPr>
        <w:pStyle w:val="Bullet"/>
      </w:pPr>
      <w:r>
        <w:t>reduce the prevalence of risk factors affecting Pacific people</w:t>
      </w:r>
      <w:r w:rsidR="000845D9">
        <w:t>’</w:t>
      </w:r>
      <w:r>
        <w:t>s health (eg, obesity and smoking).</w:t>
      </w:r>
    </w:p>
    <w:p w:rsidR="00ED6788" w:rsidRDefault="00ED6788" w:rsidP="007B0487"/>
    <w:p w:rsidR="00ED6788" w:rsidRPr="003756B9" w:rsidRDefault="00ED6788" w:rsidP="00734595">
      <w:pPr>
        <w:keepLines/>
      </w:pPr>
      <w:r>
        <w:lastRenderedPageBreak/>
        <w:t xml:space="preserve">Seven Pacific </w:t>
      </w:r>
      <w:r w:rsidR="007B0487">
        <w:t>i</w:t>
      </w:r>
      <w:r>
        <w:t>nnovation contracts started from June 2013. The contracts are spread across the country and are with community, church and provider-led groups delivering services to address diabetes prevention, obesity, health literacy, antenatal care and suicide prevention. Providers contracted to deliver innovation projects have started</w:t>
      </w:r>
      <w:r w:rsidR="005A08D6">
        <w:t>,</w:t>
      </w:r>
      <w:r>
        <w:t xml:space="preserve"> or are in the process of starting</w:t>
      </w:r>
      <w:r w:rsidR="005A08D6">
        <w:t>,</w:t>
      </w:r>
      <w:r>
        <w:t xml:space="preserve"> their project evaluation.</w:t>
      </w:r>
    </w:p>
    <w:p w:rsidR="00ED6788" w:rsidRPr="003756B9" w:rsidRDefault="00ED6788" w:rsidP="005A08D6"/>
    <w:p w:rsidR="00ED6788" w:rsidRDefault="00ED6788" w:rsidP="005A08D6">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5A08D6">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5A08D6">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5A08D6">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5A08D6">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5A08D6">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5A08D6">
            <w:pPr>
              <w:pStyle w:val="TableText"/>
              <w:keepNext/>
              <w:ind w:right="284"/>
              <w:jc w:val="right"/>
            </w:pPr>
            <w:r>
              <w:t>5973</w:t>
            </w:r>
          </w:p>
        </w:tc>
        <w:tc>
          <w:tcPr>
            <w:tcW w:w="3968" w:type="dxa"/>
            <w:tcBorders>
              <w:top w:val="single" w:sz="4" w:space="0" w:color="auto"/>
              <w:left w:val="nil"/>
            </w:tcBorders>
            <w:shd w:val="solid" w:color="FFFFFF" w:fill="auto"/>
          </w:tcPr>
          <w:p w:rsidR="00ED6788" w:rsidRPr="00D81AE7" w:rsidRDefault="00ED6788" w:rsidP="005A08D6">
            <w:pPr>
              <w:pStyle w:val="TableText"/>
              <w:keepNext/>
              <w:rPr>
                <w:rFonts w:cs="Arial"/>
                <w:szCs w:val="18"/>
              </w:rPr>
            </w:pPr>
            <w:r w:rsidRPr="00D81AE7">
              <w:rPr>
                <w:rFonts w:cs="Arial"/>
                <w:szCs w:val="18"/>
              </w:rPr>
              <w:t>DHBs</w:t>
            </w:r>
          </w:p>
        </w:tc>
        <w:tc>
          <w:tcPr>
            <w:tcW w:w="1276" w:type="dxa"/>
            <w:tcBorders>
              <w:top w:val="single" w:sz="4" w:space="0" w:color="auto"/>
            </w:tcBorders>
            <w:shd w:val="clear" w:color="E3E3E3" w:fill="D9D9D9"/>
          </w:tcPr>
          <w:p w:rsidR="00ED6788" w:rsidRPr="002C0E8B" w:rsidRDefault="00ED6788" w:rsidP="005A08D6">
            <w:pPr>
              <w:pStyle w:val="TableText"/>
              <w:keepNext/>
              <w:ind w:right="142"/>
              <w:jc w:val="right"/>
            </w:pPr>
            <w:r>
              <w:t>1028</w:t>
            </w:r>
          </w:p>
        </w:tc>
        <w:tc>
          <w:tcPr>
            <w:tcW w:w="1488" w:type="dxa"/>
            <w:tcBorders>
              <w:top w:val="single" w:sz="4" w:space="0" w:color="auto"/>
            </w:tcBorders>
          </w:tcPr>
          <w:p w:rsidR="00ED6788" w:rsidRPr="00F64149" w:rsidRDefault="00ED6788" w:rsidP="005A08D6">
            <w:pPr>
              <w:pStyle w:val="TableText"/>
              <w:keepNext/>
              <w:jc w:val="right"/>
            </w:pPr>
            <w:r>
              <w:t>1497</w:t>
            </w:r>
          </w:p>
        </w:tc>
        <w:tc>
          <w:tcPr>
            <w:tcW w:w="1347" w:type="dxa"/>
            <w:tcBorders>
              <w:top w:val="single" w:sz="4" w:space="0" w:color="auto"/>
            </w:tcBorders>
          </w:tcPr>
          <w:p w:rsidR="00ED6788" w:rsidRPr="002C0E8B" w:rsidRDefault="005A08D6" w:rsidP="005A08D6">
            <w:pPr>
              <w:pStyle w:val="TableText"/>
              <w:keepNext/>
              <w:jc w:val="right"/>
            </w:pPr>
            <w:r>
              <w:t>–</w:t>
            </w:r>
          </w:p>
        </w:tc>
      </w:tr>
      <w:tr w:rsidR="00ED6788" w:rsidRPr="002C0E8B" w:rsidTr="00C25CC8">
        <w:trPr>
          <w:cantSplit/>
        </w:trPr>
        <w:tc>
          <w:tcPr>
            <w:tcW w:w="1277" w:type="dxa"/>
            <w:tcBorders>
              <w:right w:val="nil"/>
            </w:tcBorders>
            <w:shd w:val="solid" w:color="FFFFFF" w:fill="auto"/>
          </w:tcPr>
          <w:p w:rsidR="00ED6788" w:rsidRPr="002C0E8B" w:rsidRDefault="00ED6788" w:rsidP="005A08D6">
            <w:pPr>
              <w:pStyle w:val="TableText"/>
              <w:keepNext/>
              <w:ind w:right="284"/>
              <w:jc w:val="right"/>
            </w:pPr>
            <w:r>
              <w:t>14,209</w:t>
            </w:r>
          </w:p>
        </w:tc>
        <w:tc>
          <w:tcPr>
            <w:tcW w:w="3968" w:type="dxa"/>
            <w:tcBorders>
              <w:left w:val="nil"/>
            </w:tcBorders>
            <w:shd w:val="solid" w:color="FFFFFF" w:fill="auto"/>
          </w:tcPr>
          <w:p w:rsidR="00ED6788" w:rsidRPr="00D81AE7" w:rsidRDefault="00ED6788" w:rsidP="005A08D6">
            <w:pPr>
              <w:pStyle w:val="TableText"/>
              <w:keepNext/>
              <w:rPr>
                <w:rFonts w:cs="Arial"/>
                <w:szCs w:val="18"/>
              </w:rPr>
            </w:pPr>
            <w:r w:rsidRPr="00D81AE7">
              <w:rPr>
                <w:rFonts w:cs="Arial"/>
                <w:szCs w:val="18"/>
              </w:rPr>
              <w:t>PHARMAC</w:t>
            </w:r>
          </w:p>
        </w:tc>
        <w:tc>
          <w:tcPr>
            <w:tcW w:w="1276" w:type="dxa"/>
            <w:shd w:val="clear" w:color="E3E3E3" w:fill="D9D9D9"/>
          </w:tcPr>
          <w:p w:rsidR="00ED6788" w:rsidRPr="002C0E8B" w:rsidRDefault="00ED6788" w:rsidP="005A08D6">
            <w:pPr>
              <w:pStyle w:val="TableText"/>
              <w:keepNext/>
              <w:ind w:right="142"/>
              <w:jc w:val="right"/>
            </w:pPr>
            <w:r>
              <w:t>15,780</w:t>
            </w:r>
          </w:p>
        </w:tc>
        <w:tc>
          <w:tcPr>
            <w:tcW w:w="1488" w:type="dxa"/>
          </w:tcPr>
          <w:p w:rsidR="00ED6788" w:rsidRPr="00F64149" w:rsidRDefault="00ED6788" w:rsidP="005A08D6">
            <w:pPr>
              <w:pStyle w:val="TableText"/>
              <w:keepNext/>
              <w:jc w:val="right"/>
            </w:pPr>
            <w:r>
              <w:t>13,822</w:t>
            </w:r>
          </w:p>
        </w:tc>
        <w:tc>
          <w:tcPr>
            <w:tcW w:w="1347" w:type="dxa"/>
          </w:tcPr>
          <w:p w:rsidR="00ED6788" w:rsidRPr="002C0E8B" w:rsidRDefault="00ED6788" w:rsidP="005A08D6">
            <w:pPr>
              <w:pStyle w:val="TableText"/>
              <w:keepNext/>
              <w:jc w:val="right"/>
            </w:pPr>
            <w:r>
              <w:t>15,780</w:t>
            </w:r>
          </w:p>
        </w:tc>
      </w:tr>
      <w:tr w:rsidR="00ED6788" w:rsidRPr="002C0E8B" w:rsidTr="00C25CC8">
        <w:trPr>
          <w:cantSplit/>
        </w:trPr>
        <w:tc>
          <w:tcPr>
            <w:tcW w:w="1277" w:type="dxa"/>
            <w:tcBorders>
              <w:right w:val="nil"/>
            </w:tcBorders>
            <w:shd w:val="solid" w:color="FFFFFF" w:fill="auto"/>
          </w:tcPr>
          <w:p w:rsidR="00ED6788" w:rsidRPr="002C0E8B" w:rsidRDefault="00ED6788" w:rsidP="005A08D6">
            <w:pPr>
              <w:pStyle w:val="TableText"/>
              <w:ind w:right="284"/>
              <w:jc w:val="right"/>
            </w:pPr>
            <w:r>
              <w:t>2250</w:t>
            </w:r>
          </w:p>
        </w:tc>
        <w:tc>
          <w:tcPr>
            <w:tcW w:w="3968" w:type="dxa"/>
            <w:tcBorders>
              <w:left w:val="nil"/>
            </w:tcBorders>
            <w:shd w:val="solid" w:color="FFFFFF" w:fill="auto"/>
          </w:tcPr>
          <w:p w:rsidR="00ED6788" w:rsidRPr="00D81AE7" w:rsidRDefault="00ED6788" w:rsidP="00C25CC8">
            <w:pPr>
              <w:pStyle w:val="TableText"/>
              <w:rPr>
                <w:rFonts w:cs="Arial"/>
                <w:szCs w:val="18"/>
              </w:rPr>
            </w:pPr>
            <w:r w:rsidRPr="00D81AE7">
              <w:rPr>
                <w:rFonts w:cs="Arial"/>
                <w:szCs w:val="18"/>
              </w:rPr>
              <w:t>Health Research Council</w:t>
            </w:r>
          </w:p>
        </w:tc>
        <w:tc>
          <w:tcPr>
            <w:tcW w:w="1276" w:type="dxa"/>
            <w:shd w:val="clear" w:color="E3E3E3" w:fill="D9D9D9"/>
          </w:tcPr>
          <w:p w:rsidR="00ED6788" w:rsidRPr="002C0E8B" w:rsidRDefault="005A08D6" w:rsidP="005A08D6">
            <w:pPr>
              <w:pStyle w:val="TableText"/>
              <w:ind w:right="142"/>
              <w:jc w:val="right"/>
            </w:pPr>
            <w:r>
              <w:t>–</w:t>
            </w:r>
          </w:p>
        </w:tc>
        <w:tc>
          <w:tcPr>
            <w:tcW w:w="1488" w:type="dxa"/>
          </w:tcPr>
          <w:p w:rsidR="00ED6788" w:rsidRPr="00F64149" w:rsidRDefault="00ED6788" w:rsidP="005A08D6">
            <w:pPr>
              <w:pStyle w:val="TableText"/>
              <w:keepNext/>
              <w:jc w:val="right"/>
            </w:pPr>
            <w:r>
              <w:t>3000</w:t>
            </w:r>
          </w:p>
        </w:tc>
        <w:tc>
          <w:tcPr>
            <w:tcW w:w="1347" w:type="dxa"/>
          </w:tcPr>
          <w:p w:rsidR="00ED6788" w:rsidRPr="002C0E8B" w:rsidRDefault="005A08D6" w:rsidP="005A08D6">
            <w:pPr>
              <w:pStyle w:val="TableText"/>
              <w:jc w:val="right"/>
            </w:pPr>
            <w:r>
              <w:t>–</w:t>
            </w:r>
          </w:p>
        </w:tc>
      </w:tr>
      <w:tr w:rsidR="00ED6788" w:rsidRPr="002C0E8B" w:rsidTr="00C25CC8">
        <w:trPr>
          <w:cantSplit/>
        </w:trPr>
        <w:tc>
          <w:tcPr>
            <w:tcW w:w="1277" w:type="dxa"/>
            <w:tcBorders>
              <w:right w:val="nil"/>
            </w:tcBorders>
            <w:shd w:val="solid" w:color="FFFFFF" w:fill="auto"/>
          </w:tcPr>
          <w:p w:rsidR="00ED6788" w:rsidRPr="002C0E8B" w:rsidRDefault="00ED6788" w:rsidP="005A08D6">
            <w:pPr>
              <w:pStyle w:val="TableText"/>
              <w:ind w:right="284"/>
              <w:jc w:val="right"/>
            </w:pPr>
            <w:r>
              <w:t>1378</w:t>
            </w:r>
          </w:p>
        </w:tc>
        <w:tc>
          <w:tcPr>
            <w:tcW w:w="3968" w:type="dxa"/>
            <w:tcBorders>
              <w:left w:val="nil"/>
            </w:tcBorders>
            <w:shd w:val="solid" w:color="FFFFFF" w:fill="auto"/>
          </w:tcPr>
          <w:p w:rsidR="00ED6788" w:rsidRPr="00D81AE7" w:rsidRDefault="00ED6788" w:rsidP="005A08D6">
            <w:pPr>
              <w:pStyle w:val="TableText"/>
              <w:rPr>
                <w:rFonts w:cs="Arial"/>
                <w:szCs w:val="18"/>
              </w:rPr>
            </w:pPr>
            <w:r w:rsidRPr="00D81AE7">
              <w:rPr>
                <w:rFonts w:cs="Arial"/>
                <w:szCs w:val="18"/>
              </w:rPr>
              <w:t xml:space="preserve">Other Crown </w:t>
            </w:r>
            <w:r w:rsidR="005A08D6">
              <w:rPr>
                <w:rFonts w:cs="Arial"/>
                <w:szCs w:val="18"/>
              </w:rPr>
              <w:t>e</w:t>
            </w:r>
            <w:r w:rsidRPr="00D81AE7">
              <w:rPr>
                <w:rFonts w:cs="Arial"/>
                <w:szCs w:val="18"/>
              </w:rPr>
              <w:t>ntities</w:t>
            </w:r>
          </w:p>
        </w:tc>
        <w:tc>
          <w:tcPr>
            <w:tcW w:w="1276" w:type="dxa"/>
            <w:shd w:val="clear" w:color="E3E3E3" w:fill="D9D9D9"/>
          </w:tcPr>
          <w:p w:rsidR="00ED6788" w:rsidRPr="002C0E8B" w:rsidRDefault="005A08D6" w:rsidP="00C25CC8">
            <w:pPr>
              <w:pStyle w:val="TableText"/>
              <w:ind w:right="142"/>
              <w:jc w:val="right"/>
            </w:pPr>
            <w:r>
              <w:t>–</w:t>
            </w:r>
          </w:p>
        </w:tc>
        <w:tc>
          <w:tcPr>
            <w:tcW w:w="1488" w:type="dxa"/>
          </w:tcPr>
          <w:p w:rsidR="00ED6788" w:rsidRPr="00F64149" w:rsidRDefault="005A08D6" w:rsidP="005A08D6">
            <w:pPr>
              <w:pStyle w:val="TableText"/>
              <w:keepNext/>
              <w:jc w:val="right"/>
            </w:pPr>
            <w:r>
              <w:t>–</w:t>
            </w:r>
          </w:p>
        </w:tc>
        <w:tc>
          <w:tcPr>
            <w:tcW w:w="1347" w:type="dxa"/>
          </w:tcPr>
          <w:p w:rsidR="00ED6788" w:rsidRPr="002C0E8B" w:rsidRDefault="005A08D6" w:rsidP="00C25CC8">
            <w:pPr>
              <w:pStyle w:val="TableText"/>
              <w:jc w:val="right"/>
            </w:pPr>
            <w:r>
              <w:t>–</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pPr>
            <w:r>
              <w:t>-883</w:t>
            </w:r>
          </w:p>
        </w:tc>
        <w:tc>
          <w:tcPr>
            <w:tcW w:w="3968" w:type="dxa"/>
            <w:tcBorders>
              <w:left w:val="nil"/>
            </w:tcBorders>
            <w:shd w:val="solid" w:color="FFFFFF" w:fill="auto"/>
          </w:tcPr>
          <w:p w:rsidR="00ED6788" w:rsidRPr="00D81AE7" w:rsidRDefault="00ED6788" w:rsidP="005A08D6">
            <w:pPr>
              <w:pStyle w:val="TableText"/>
              <w:rPr>
                <w:rFonts w:cs="Arial"/>
                <w:szCs w:val="18"/>
              </w:rPr>
            </w:pPr>
            <w:r w:rsidRPr="00D81AE7">
              <w:rPr>
                <w:rFonts w:cs="Arial"/>
                <w:szCs w:val="18"/>
              </w:rPr>
              <w:t>Non-</w:t>
            </w:r>
            <w:r w:rsidR="005A08D6">
              <w:rPr>
                <w:rFonts w:cs="Arial"/>
                <w:szCs w:val="18"/>
              </w:rPr>
              <w:t>g</w:t>
            </w:r>
            <w:r w:rsidRPr="00D81AE7">
              <w:rPr>
                <w:rFonts w:cs="Arial"/>
                <w:szCs w:val="18"/>
              </w:rPr>
              <w:t xml:space="preserve">overnment </w:t>
            </w:r>
            <w:r w:rsidR="005A08D6">
              <w:rPr>
                <w:rFonts w:cs="Arial"/>
                <w:szCs w:val="18"/>
              </w:rPr>
              <w:t>o</w:t>
            </w:r>
            <w:r w:rsidRPr="00D81AE7">
              <w:rPr>
                <w:rFonts w:cs="Arial"/>
                <w:szCs w:val="18"/>
              </w:rPr>
              <w:t>rganisations</w:t>
            </w:r>
          </w:p>
        </w:tc>
        <w:tc>
          <w:tcPr>
            <w:tcW w:w="1276" w:type="dxa"/>
            <w:shd w:val="clear" w:color="E3E3E3" w:fill="D9D9D9"/>
          </w:tcPr>
          <w:p w:rsidR="00ED6788" w:rsidRPr="002C0E8B" w:rsidRDefault="00ED6788" w:rsidP="005A08D6">
            <w:pPr>
              <w:pStyle w:val="TableText"/>
              <w:ind w:right="142"/>
              <w:jc w:val="right"/>
            </w:pPr>
            <w:r>
              <w:t>4363</w:t>
            </w:r>
          </w:p>
        </w:tc>
        <w:tc>
          <w:tcPr>
            <w:tcW w:w="1488" w:type="dxa"/>
          </w:tcPr>
          <w:p w:rsidR="00ED6788" w:rsidRPr="00F64149" w:rsidRDefault="00ED6788" w:rsidP="005A08D6">
            <w:pPr>
              <w:pStyle w:val="TableText"/>
              <w:keepNext/>
              <w:jc w:val="right"/>
            </w:pPr>
            <w:r>
              <w:t>5578</w:t>
            </w:r>
          </w:p>
        </w:tc>
        <w:tc>
          <w:tcPr>
            <w:tcW w:w="1347" w:type="dxa"/>
          </w:tcPr>
          <w:p w:rsidR="00ED6788" w:rsidRPr="002C0E8B" w:rsidRDefault="00ED6788" w:rsidP="005A08D6">
            <w:pPr>
              <w:pStyle w:val="TableText"/>
              <w:jc w:val="right"/>
            </w:pPr>
            <w:r>
              <w:t>5850</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22,927</w:t>
            </w:r>
          </w:p>
        </w:tc>
        <w:tc>
          <w:tcPr>
            <w:tcW w:w="3968" w:type="dxa"/>
            <w:tcBorders>
              <w:left w:val="nil"/>
            </w:tcBorders>
            <w:shd w:val="solid" w:color="FFFFFF" w:fill="auto"/>
          </w:tcPr>
          <w:p w:rsidR="00ED6788" w:rsidRPr="002C0E8B" w:rsidRDefault="00ED6788" w:rsidP="00C25CC8">
            <w:pPr>
              <w:pStyle w:val="TableText"/>
              <w:keepNext/>
              <w:rPr>
                <w:b/>
              </w:rPr>
            </w:pPr>
            <w:r w:rsidRPr="00402325">
              <w:rPr>
                <w:rFonts w:cs="Arial"/>
                <w:b/>
                <w:szCs w:val="18"/>
              </w:rPr>
              <w:t>Total appropriation</w:t>
            </w:r>
          </w:p>
        </w:tc>
        <w:tc>
          <w:tcPr>
            <w:tcW w:w="1276" w:type="dxa"/>
            <w:shd w:val="clear" w:color="E3E3E3" w:fill="D9D9D9"/>
          </w:tcPr>
          <w:p w:rsidR="00ED6788" w:rsidRPr="00620124" w:rsidRDefault="00ED6788" w:rsidP="00C25CC8">
            <w:pPr>
              <w:pStyle w:val="TableText"/>
              <w:ind w:right="142"/>
              <w:jc w:val="right"/>
              <w:rPr>
                <w:rFonts w:cs="Arial"/>
                <w:b/>
                <w:szCs w:val="18"/>
              </w:rPr>
            </w:pPr>
            <w:r w:rsidRPr="00620124">
              <w:rPr>
                <w:b/>
              </w:rPr>
              <w:t>21</w:t>
            </w:r>
            <w:r>
              <w:rPr>
                <w:b/>
              </w:rPr>
              <w:t>,</w:t>
            </w:r>
            <w:r w:rsidRPr="00620124">
              <w:rPr>
                <w:b/>
              </w:rPr>
              <w:t>171</w:t>
            </w:r>
          </w:p>
        </w:tc>
        <w:tc>
          <w:tcPr>
            <w:tcW w:w="1488" w:type="dxa"/>
          </w:tcPr>
          <w:p w:rsidR="00ED6788" w:rsidRPr="00F64149" w:rsidRDefault="00ED6788" w:rsidP="005A08D6">
            <w:pPr>
              <w:pStyle w:val="TableText"/>
              <w:keepNext/>
              <w:jc w:val="right"/>
              <w:rPr>
                <w:b/>
              </w:rPr>
            </w:pPr>
            <w:r w:rsidRPr="00F64149">
              <w:rPr>
                <w:b/>
              </w:rPr>
              <w:t>23,897</w:t>
            </w:r>
          </w:p>
        </w:tc>
        <w:tc>
          <w:tcPr>
            <w:tcW w:w="1347" w:type="dxa"/>
          </w:tcPr>
          <w:p w:rsidR="00ED6788" w:rsidRPr="002C0E8B" w:rsidRDefault="00ED6788" w:rsidP="00C25CC8">
            <w:pPr>
              <w:pStyle w:val="TableText"/>
              <w:jc w:val="right"/>
              <w:rPr>
                <w:b/>
              </w:rPr>
            </w:pPr>
            <w:r w:rsidRPr="00620124">
              <w:rPr>
                <w:b/>
              </w:rPr>
              <w:t>21</w:t>
            </w:r>
            <w:r>
              <w:rPr>
                <w:b/>
              </w:rPr>
              <w:t>,630</w:t>
            </w:r>
          </w:p>
        </w:tc>
      </w:tr>
    </w:tbl>
    <w:p w:rsidR="00ED6788" w:rsidRDefault="00ED6788" w:rsidP="005A08D6">
      <w:pPr>
        <w:rPr>
          <w:highlight w:val="yellow"/>
        </w:rPr>
      </w:pPr>
    </w:p>
    <w:p w:rsidR="00ED6788" w:rsidRDefault="00ED6788" w:rsidP="005A08D6">
      <w:pPr>
        <w:pStyle w:val="Heading3"/>
      </w:pPr>
      <w:r w:rsidRPr="007A1F5B">
        <w:t>Comments</w:t>
      </w:r>
    </w:p>
    <w:p w:rsidR="00ED6788" w:rsidRDefault="00ED6788" w:rsidP="005A08D6">
      <w:r w:rsidRPr="007A1F5B">
        <w:t xml:space="preserve">This appropriation </w:t>
      </w:r>
      <w:r>
        <w:t>was under</w:t>
      </w:r>
      <w:r w:rsidRPr="007A1F5B">
        <w:t>spent by</w:t>
      </w:r>
      <w:r>
        <w:t xml:space="preserve"> $2.726</w:t>
      </w:r>
      <w:r w:rsidRPr="007A1F5B">
        <w:t xml:space="preserve"> milli</w:t>
      </w:r>
      <w:r>
        <w:t>on against the Main Estimates (11</w:t>
      </w:r>
      <w:r w:rsidRPr="007A1F5B">
        <w:t xml:space="preserve"> percent of appropriation)</w:t>
      </w:r>
      <w:r w:rsidR="005A08D6">
        <w:t>.</w:t>
      </w:r>
      <w:r w:rsidRPr="007A1F5B">
        <w:t xml:space="preserve"> </w:t>
      </w:r>
      <w:r w:rsidR="005A08D6">
        <w:t xml:space="preserve"> A</w:t>
      </w:r>
      <w:r>
        <w:t xml:space="preserve"> net reduction</w:t>
      </w:r>
      <w:r w:rsidRPr="007A1F5B">
        <w:t xml:space="preserve"> </w:t>
      </w:r>
      <w:r>
        <w:t>of $2.267</w:t>
      </w:r>
      <w:r w:rsidRPr="007A1F5B">
        <w:t xml:space="preserve"> million </w:t>
      </w:r>
      <w:r>
        <w:t xml:space="preserve">was approved through the </w:t>
      </w:r>
      <w:r w:rsidRPr="007A1F5B">
        <w:t>Supplement</w:t>
      </w:r>
      <w:r>
        <w:t>ary Estimates and the Section 26A transfers.</w:t>
      </w:r>
    </w:p>
    <w:p w:rsidR="005A08D6" w:rsidRPr="007A1F5B" w:rsidRDefault="005A08D6" w:rsidP="005A08D6"/>
    <w:p w:rsidR="00734595" w:rsidRDefault="00734595">
      <w:pPr>
        <w:spacing w:line="240" w:lineRule="auto"/>
        <w:rPr>
          <w:b/>
          <w:sz w:val="40"/>
        </w:rPr>
      </w:pPr>
      <w:bookmarkStart w:id="22" w:name="_Toc432765747"/>
      <w:r>
        <w:br w:type="page"/>
      </w:r>
    </w:p>
    <w:p w:rsidR="00ED6788" w:rsidRDefault="00ED6788" w:rsidP="00734595">
      <w:pPr>
        <w:pStyle w:val="Heading2"/>
        <w:spacing w:before="0"/>
      </w:pPr>
      <w:bookmarkStart w:id="23" w:name="_Toc433713780"/>
      <w:r w:rsidRPr="000C7904">
        <w:lastRenderedPageBreak/>
        <w:t xml:space="preserve">National </w:t>
      </w:r>
      <w:r w:rsidR="00734595">
        <w:t>d</w:t>
      </w:r>
      <w:r w:rsidRPr="000C7904">
        <w:t xml:space="preserve">isability </w:t>
      </w:r>
      <w:r w:rsidR="00734595">
        <w:t>s</w:t>
      </w:r>
      <w:r w:rsidRPr="000C7904">
        <w:t xml:space="preserve">upport </w:t>
      </w:r>
      <w:r w:rsidR="00734595">
        <w:t>s</w:t>
      </w:r>
      <w:r w:rsidRPr="000C7904">
        <w:t>ervices</w:t>
      </w:r>
      <w:bookmarkEnd w:id="22"/>
      <w:bookmarkEnd w:id="23"/>
    </w:p>
    <w:p w:rsidR="00ED6788" w:rsidRPr="001C418A" w:rsidRDefault="00ED6788" w:rsidP="005A08D6">
      <w:r>
        <w:t>The s</w:t>
      </w:r>
      <w:r w:rsidRPr="009A3BCE">
        <w:t xml:space="preserve">cope of </w:t>
      </w:r>
      <w:r>
        <w:t>a</w:t>
      </w:r>
      <w:r w:rsidRPr="009A3BCE">
        <w:t>ppropriation</w:t>
      </w:r>
      <w:r>
        <w:t xml:space="preserve"> is the d</w:t>
      </w:r>
      <w:r w:rsidRPr="001C418A">
        <w:t>elivery of disability support services provided through DHBs and third-party service providers.</w:t>
      </w:r>
    </w:p>
    <w:p w:rsidR="00ED6788" w:rsidRDefault="00ED6788" w:rsidP="00ED6788"/>
    <w:p w:rsidR="000845D9" w:rsidRDefault="00ED6788" w:rsidP="00ED6788">
      <w:r>
        <w:t>This appropriation is intended to achieve quality disability support services for people with long</w:t>
      </w:r>
      <w:r w:rsidR="00F740F4">
        <w:noBreakHyphen/>
      </w:r>
      <w:r>
        <w:t xml:space="preserve">term impairments </w:t>
      </w:r>
      <w:r w:rsidR="00F740F4">
        <w:t xml:space="preserve">who </w:t>
      </w:r>
      <w:r>
        <w:t>require ongoing support to help them carry out their daily lives. It supports the purchase of quality disability support services for people with a long-term physical, intellectual and/or sensory impairment that will require ongoing support (and who meet relevant eligibility criteria).</w:t>
      </w:r>
    </w:p>
    <w:p w:rsidR="00ED6788" w:rsidRDefault="00ED6788" w:rsidP="00F740F4"/>
    <w:p w:rsidR="000845D9" w:rsidRDefault="00ED6788" w:rsidP="00F740F4">
      <w:r>
        <w:t xml:space="preserve">Support services include home help, assistance with personal care, supported living </w:t>
      </w:r>
      <w:r w:rsidRPr="00C828F0">
        <w:t xml:space="preserve">independently or </w:t>
      </w:r>
      <w:r>
        <w:t xml:space="preserve">in group homes, and the provision of equipment and modifications to housing and vehicles. Disability supports also cover support for carers taking a break from the usual caring arrangements and support for </w:t>
      </w:r>
      <w:r w:rsidRPr="003862A4">
        <w:t>resident family members to care f</w:t>
      </w:r>
      <w:r>
        <w:t>or their disabled family member.</w:t>
      </w:r>
    </w:p>
    <w:p w:rsidR="00ED6788" w:rsidRDefault="00ED6788" w:rsidP="00ED6788"/>
    <w:p w:rsidR="00ED6788" w:rsidRPr="00F959F3" w:rsidRDefault="00ED6788" w:rsidP="00ED6788">
      <w:r>
        <w:t>The a</w:t>
      </w:r>
      <w:r w:rsidRPr="00F959F3">
        <w:t>ims of this appr</w:t>
      </w:r>
      <w:r>
        <w:t>opriation include the following.</w:t>
      </w:r>
    </w:p>
    <w:p w:rsidR="00ED6788" w:rsidRDefault="00ED6788" w:rsidP="00F740F4">
      <w:pPr>
        <w:pStyle w:val="Bullet"/>
      </w:pPr>
      <w:r>
        <w:t>Disabled people have more choice and control over their support/services.</w:t>
      </w:r>
    </w:p>
    <w:p w:rsidR="00ED6788" w:rsidRDefault="00ED6788" w:rsidP="00F740F4">
      <w:pPr>
        <w:pStyle w:val="Bullet"/>
      </w:pPr>
      <w:r>
        <w:t>Providers and carers are supported to deliver high quality, person-directed supports and services.</w:t>
      </w:r>
    </w:p>
    <w:p w:rsidR="00ED6788" w:rsidRPr="00F959F3" w:rsidRDefault="00ED6788" w:rsidP="00F740F4">
      <w:pPr>
        <w:pStyle w:val="Bullet"/>
      </w:pPr>
      <w:r>
        <w:t>A</w:t>
      </w:r>
      <w:r w:rsidRPr="00F959F3">
        <w:t>ccessible, understandable and reliable information about disability support services is available to people</w:t>
      </w:r>
      <w:r>
        <w:t>.</w:t>
      </w:r>
    </w:p>
    <w:p w:rsidR="00ED6788" w:rsidRPr="00F959F3" w:rsidRDefault="00ED6788" w:rsidP="00F740F4">
      <w:pPr>
        <w:pStyle w:val="Bullet"/>
      </w:pPr>
      <w:r>
        <w:t>N</w:t>
      </w:r>
      <w:r w:rsidRPr="00F959F3">
        <w:t>eeds assessment and service coordination functions are delivered in an effective and efficient way</w:t>
      </w:r>
      <w:r>
        <w:t>.</w:t>
      </w:r>
    </w:p>
    <w:p w:rsidR="00ED6788" w:rsidRPr="00F959F3" w:rsidRDefault="00ED6788" w:rsidP="00F740F4">
      <w:pPr>
        <w:pStyle w:val="Bullet"/>
      </w:pPr>
      <w:r>
        <w:t>D</w:t>
      </w:r>
      <w:r w:rsidRPr="00F959F3">
        <w:t>isability support services are developed to ensure capacity and capability across the sector in order to meet demand</w:t>
      </w:r>
      <w:r>
        <w:t>.</w:t>
      </w:r>
    </w:p>
    <w:p w:rsidR="00ED6788" w:rsidRDefault="00ED6788" w:rsidP="00F740F4">
      <w:pPr>
        <w:pStyle w:val="Bullet"/>
      </w:pPr>
      <w:r>
        <w:t>C</w:t>
      </w:r>
      <w:r w:rsidRPr="00F959F3">
        <w:t>ompulsory care and rehabilitation services are provided for people who are subject to the Intellectual Disability (Compulsory Care and Rehabilitation) Act 2003.</w:t>
      </w:r>
    </w:p>
    <w:p w:rsidR="00ED6788" w:rsidRPr="001C418A" w:rsidRDefault="00ED6788" w:rsidP="00734595"/>
    <w:p w:rsidR="00ED6788" w:rsidRPr="003756B9" w:rsidRDefault="00ED6788" w:rsidP="00734595">
      <w:pPr>
        <w:pStyle w:val="Heading3"/>
      </w:pPr>
      <w:r>
        <w:lastRenderedPageBreak/>
        <w:t>Summary of output performance</w:t>
      </w:r>
    </w:p>
    <w:tbl>
      <w:tblPr>
        <w:tblW w:w="494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3"/>
        <w:gridCol w:w="5853"/>
        <w:gridCol w:w="1179"/>
        <w:gridCol w:w="1118"/>
      </w:tblGrid>
      <w:tr w:rsidR="00ED6788" w:rsidRPr="00F76DA3" w:rsidTr="00F740F4">
        <w:trPr>
          <w:cantSplit/>
          <w:tblHeader/>
        </w:trPr>
        <w:tc>
          <w:tcPr>
            <w:tcW w:w="591" w:type="pct"/>
            <w:tcBorders>
              <w:top w:val="single" w:sz="4" w:space="0" w:color="auto"/>
              <w:bottom w:val="single" w:sz="4" w:space="0" w:color="auto"/>
            </w:tcBorders>
          </w:tcPr>
          <w:p w:rsidR="00ED6788" w:rsidRPr="00F76DA3" w:rsidRDefault="00ED6788" w:rsidP="00734595">
            <w:pPr>
              <w:pStyle w:val="TableText"/>
              <w:keepNext/>
              <w:ind w:right="284"/>
              <w:jc w:val="right"/>
              <w:rPr>
                <w:rFonts w:cs="Arial"/>
                <w:b/>
                <w:szCs w:val="18"/>
              </w:rPr>
            </w:pPr>
            <w:r w:rsidRPr="00F76DA3">
              <w:rPr>
                <w:rFonts w:cs="Arial"/>
                <w:b/>
                <w:szCs w:val="18"/>
              </w:rPr>
              <w:t>Actual 2013/14</w:t>
            </w:r>
          </w:p>
        </w:tc>
        <w:tc>
          <w:tcPr>
            <w:tcW w:w="3166" w:type="pct"/>
            <w:tcBorders>
              <w:top w:val="single" w:sz="4" w:space="0" w:color="auto"/>
              <w:bottom w:val="single" w:sz="4" w:space="0" w:color="auto"/>
            </w:tcBorders>
          </w:tcPr>
          <w:p w:rsidR="00ED6788" w:rsidRPr="00F76DA3" w:rsidRDefault="00ED6788" w:rsidP="00734595">
            <w:pPr>
              <w:pStyle w:val="TableText"/>
              <w:keepNext/>
              <w:rPr>
                <w:rFonts w:cs="Arial"/>
                <w:b/>
                <w:szCs w:val="18"/>
              </w:rPr>
            </w:pPr>
            <w:r w:rsidRPr="00F76DA3">
              <w:rPr>
                <w:rFonts w:cs="Arial"/>
                <w:b/>
                <w:szCs w:val="18"/>
              </w:rPr>
              <w:t>Performance measure</w:t>
            </w:r>
          </w:p>
        </w:tc>
        <w:tc>
          <w:tcPr>
            <w:tcW w:w="638" w:type="pct"/>
            <w:tcBorders>
              <w:top w:val="single" w:sz="4" w:space="0" w:color="auto"/>
              <w:bottom w:val="single" w:sz="4" w:space="0" w:color="auto"/>
            </w:tcBorders>
          </w:tcPr>
          <w:p w:rsidR="00ED6788" w:rsidRPr="00F76DA3" w:rsidRDefault="00ED6788" w:rsidP="00734595">
            <w:pPr>
              <w:pStyle w:val="TableText"/>
              <w:keepNext/>
              <w:ind w:right="142"/>
              <w:jc w:val="right"/>
              <w:rPr>
                <w:rFonts w:cs="Arial"/>
                <w:b/>
                <w:szCs w:val="18"/>
              </w:rPr>
            </w:pPr>
            <w:r w:rsidRPr="00F76DA3">
              <w:rPr>
                <w:rFonts w:cs="Arial"/>
                <w:b/>
                <w:szCs w:val="18"/>
              </w:rPr>
              <w:t>Standard</w:t>
            </w:r>
            <w:r w:rsidRPr="00F76DA3">
              <w:rPr>
                <w:rFonts w:cs="Arial"/>
                <w:b/>
                <w:szCs w:val="18"/>
              </w:rPr>
              <w:br/>
              <w:t>2014/15</w:t>
            </w:r>
          </w:p>
        </w:tc>
        <w:tc>
          <w:tcPr>
            <w:tcW w:w="605" w:type="pct"/>
            <w:tcBorders>
              <w:top w:val="single" w:sz="4" w:space="0" w:color="auto"/>
              <w:bottom w:val="single" w:sz="4" w:space="0" w:color="auto"/>
            </w:tcBorders>
            <w:shd w:val="clear" w:color="auto" w:fill="D9D9D9"/>
          </w:tcPr>
          <w:p w:rsidR="00ED6788" w:rsidRPr="00F76DA3" w:rsidRDefault="00ED6788" w:rsidP="00734595">
            <w:pPr>
              <w:pStyle w:val="TableText"/>
              <w:keepNext/>
              <w:ind w:right="142"/>
              <w:jc w:val="right"/>
              <w:rPr>
                <w:rFonts w:cs="Arial"/>
                <w:b/>
                <w:szCs w:val="18"/>
              </w:rPr>
            </w:pPr>
            <w:r w:rsidRPr="00F76DA3">
              <w:rPr>
                <w:rFonts w:cs="Arial"/>
                <w:b/>
                <w:szCs w:val="18"/>
              </w:rPr>
              <w:t>Actual</w:t>
            </w:r>
            <w:r w:rsidRPr="00F76DA3">
              <w:rPr>
                <w:rFonts w:cs="Arial"/>
                <w:b/>
                <w:szCs w:val="18"/>
              </w:rPr>
              <w:br/>
              <w:t>2014/15</w:t>
            </w:r>
          </w:p>
        </w:tc>
      </w:tr>
      <w:tr w:rsidR="00ED6788" w:rsidRPr="00F76DA3" w:rsidTr="00F740F4">
        <w:trPr>
          <w:cantSplit/>
        </w:trPr>
        <w:tc>
          <w:tcPr>
            <w:tcW w:w="591" w:type="pct"/>
            <w:tcBorders>
              <w:top w:val="single" w:sz="4" w:space="0" w:color="auto"/>
            </w:tcBorders>
          </w:tcPr>
          <w:p w:rsidR="00ED6788" w:rsidRPr="00F76DA3" w:rsidRDefault="00ED6788" w:rsidP="00734595">
            <w:pPr>
              <w:pStyle w:val="TableText"/>
              <w:keepNext/>
              <w:ind w:right="284"/>
              <w:jc w:val="right"/>
              <w:rPr>
                <w:rFonts w:cs="Arial"/>
                <w:bCs/>
                <w:szCs w:val="18"/>
                <w:lang w:eastAsia="en-NZ"/>
              </w:rPr>
            </w:pPr>
          </w:p>
        </w:tc>
        <w:tc>
          <w:tcPr>
            <w:tcW w:w="3166" w:type="pct"/>
            <w:tcBorders>
              <w:top w:val="single" w:sz="4" w:space="0" w:color="auto"/>
            </w:tcBorders>
          </w:tcPr>
          <w:p w:rsidR="00ED6788" w:rsidRPr="00F76DA3" w:rsidRDefault="00ED6788" w:rsidP="00734595">
            <w:pPr>
              <w:pStyle w:val="TableText"/>
              <w:keepNext/>
              <w:rPr>
                <w:rFonts w:cs="Arial"/>
                <w:b/>
                <w:szCs w:val="18"/>
              </w:rPr>
            </w:pPr>
            <w:r w:rsidRPr="00F76DA3">
              <w:rPr>
                <w:rFonts w:cs="Arial"/>
                <w:b/>
                <w:bCs/>
                <w:szCs w:val="18"/>
                <w:lang w:eastAsia="en-NZ"/>
              </w:rPr>
              <w:t xml:space="preserve">Needs </w:t>
            </w:r>
            <w:r w:rsidR="00F740F4">
              <w:rPr>
                <w:rFonts w:cs="Arial"/>
                <w:b/>
                <w:bCs/>
                <w:szCs w:val="18"/>
                <w:lang w:eastAsia="en-NZ"/>
              </w:rPr>
              <w:t>a</w:t>
            </w:r>
            <w:r w:rsidRPr="00F76DA3">
              <w:rPr>
                <w:rFonts w:cs="Arial"/>
                <w:b/>
                <w:bCs/>
                <w:szCs w:val="18"/>
                <w:lang w:eastAsia="en-NZ"/>
              </w:rPr>
              <w:t xml:space="preserve">ssessment and </w:t>
            </w:r>
            <w:r w:rsidR="00F740F4">
              <w:rPr>
                <w:rFonts w:cs="Arial"/>
                <w:b/>
                <w:bCs/>
                <w:szCs w:val="18"/>
                <w:lang w:eastAsia="en-NZ"/>
              </w:rPr>
              <w:t>s</w:t>
            </w:r>
            <w:r w:rsidRPr="00F76DA3">
              <w:rPr>
                <w:rFonts w:cs="Arial"/>
                <w:b/>
                <w:bCs/>
                <w:szCs w:val="18"/>
                <w:lang w:eastAsia="en-NZ"/>
              </w:rPr>
              <w:t xml:space="preserve">ervice </w:t>
            </w:r>
            <w:r w:rsidR="00F740F4">
              <w:rPr>
                <w:rFonts w:cs="Arial"/>
                <w:b/>
                <w:bCs/>
                <w:szCs w:val="18"/>
                <w:lang w:eastAsia="en-NZ"/>
              </w:rPr>
              <w:t>c</w:t>
            </w:r>
            <w:r w:rsidRPr="00F76DA3">
              <w:rPr>
                <w:rFonts w:cs="Arial"/>
                <w:b/>
                <w:bCs/>
                <w:szCs w:val="18"/>
                <w:lang w:eastAsia="en-NZ"/>
              </w:rPr>
              <w:t>oordination</w:t>
            </w:r>
          </w:p>
        </w:tc>
        <w:tc>
          <w:tcPr>
            <w:tcW w:w="638" w:type="pct"/>
            <w:tcBorders>
              <w:top w:val="single" w:sz="4" w:space="0" w:color="auto"/>
            </w:tcBorders>
          </w:tcPr>
          <w:p w:rsidR="00ED6788" w:rsidRPr="00F76DA3" w:rsidRDefault="00ED6788" w:rsidP="00734595">
            <w:pPr>
              <w:pStyle w:val="TableText"/>
              <w:keepNext/>
              <w:ind w:right="142"/>
              <w:jc w:val="right"/>
              <w:rPr>
                <w:rFonts w:cs="Arial"/>
                <w:szCs w:val="18"/>
              </w:rPr>
            </w:pPr>
          </w:p>
        </w:tc>
        <w:tc>
          <w:tcPr>
            <w:tcW w:w="605" w:type="pct"/>
            <w:tcBorders>
              <w:top w:val="single" w:sz="4" w:space="0" w:color="auto"/>
            </w:tcBorders>
            <w:shd w:val="clear" w:color="auto" w:fill="D9D9D9"/>
          </w:tcPr>
          <w:p w:rsidR="00ED6788" w:rsidRPr="00F76DA3" w:rsidRDefault="00ED6788" w:rsidP="00734595">
            <w:pPr>
              <w:pStyle w:val="TableText"/>
              <w:keepNext/>
              <w:ind w:right="142"/>
              <w:jc w:val="right"/>
              <w:rPr>
                <w:rFonts w:cs="Arial"/>
                <w:szCs w:val="18"/>
              </w:rPr>
            </w:pPr>
          </w:p>
        </w:tc>
      </w:tr>
      <w:tr w:rsidR="00ED6788" w:rsidRPr="00F76DA3" w:rsidTr="00F740F4">
        <w:trPr>
          <w:cantSplit/>
        </w:trPr>
        <w:tc>
          <w:tcPr>
            <w:tcW w:w="591" w:type="pct"/>
          </w:tcPr>
          <w:p w:rsidR="00ED6788" w:rsidRPr="00F76DA3" w:rsidRDefault="00ED6788" w:rsidP="00734595">
            <w:pPr>
              <w:pStyle w:val="TableText"/>
              <w:keepNext/>
              <w:ind w:right="284"/>
              <w:jc w:val="right"/>
              <w:rPr>
                <w:rFonts w:cs="Arial"/>
                <w:szCs w:val="18"/>
              </w:rPr>
            </w:pPr>
            <w:r>
              <w:rPr>
                <w:rFonts w:cs="Arial"/>
                <w:szCs w:val="18"/>
              </w:rPr>
              <w:t>86%</w:t>
            </w:r>
          </w:p>
        </w:tc>
        <w:tc>
          <w:tcPr>
            <w:tcW w:w="3166" w:type="pct"/>
          </w:tcPr>
          <w:p w:rsidR="00ED6788" w:rsidRPr="00F76DA3" w:rsidRDefault="00ED6788" w:rsidP="00734595">
            <w:pPr>
              <w:keepNext/>
              <w:spacing w:before="60" w:after="60"/>
              <w:rPr>
                <w:rFonts w:cs="Arial"/>
                <w:sz w:val="18"/>
                <w:szCs w:val="18"/>
              </w:rPr>
            </w:pPr>
            <w:r w:rsidRPr="00F76DA3">
              <w:rPr>
                <w:rFonts w:cs="Arial"/>
                <w:sz w:val="18"/>
                <w:szCs w:val="18"/>
              </w:rPr>
              <w:t>All new eligible Disability Support Services clients are assessed within 20</w:t>
            </w:r>
            <w:r w:rsidR="00F740F4">
              <w:rPr>
                <w:rFonts w:cs="Arial"/>
                <w:sz w:val="18"/>
                <w:szCs w:val="18"/>
              </w:rPr>
              <w:t> </w:t>
            </w:r>
            <w:r w:rsidRPr="00F76DA3">
              <w:rPr>
                <w:rFonts w:cs="Arial"/>
                <w:sz w:val="18"/>
                <w:szCs w:val="18"/>
              </w:rPr>
              <w:t>days of referral</w:t>
            </w:r>
          </w:p>
        </w:tc>
        <w:tc>
          <w:tcPr>
            <w:tcW w:w="638" w:type="pct"/>
          </w:tcPr>
          <w:p w:rsidR="00ED6788" w:rsidRPr="00F76DA3" w:rsidRDefault="00ED6788" w:rsidP="00734595">
            <w:pPr>
              <w:keepNext/>
              <w:spacing w:before="60" w:after="60"/>
              <w:ind w:right="142"/>
              <w:jc w:val="right"/>
              <w:rPr>
                <w:rFonts w:cs="Arial"/>
                <w:sz w:val="18"/>
                <w:szCs w:val="18"/>
              </w:rPr>
            </w:pPr>
            <w:r w:rsidRPr="00F76DA3">
              <w:rPr>
                <w:rFonts w:cs="Arial"/>
                <w:sz w:val="18"/>
                <w:szCs w:val="18"/>
              </w:rPr>
              <w:t>≥ 80%</w:t>
            </w:r>
          </w:p>
        </w:tc>
        <w:tc>
          <w:tcPr>
            <w:tcW w:w="605" w:type="pct"/>
            <w:shd w:val="clear" w:color="auto" w:fill="D9D9D9"/>
          </w:tcPr>
          <w:p w:rsidR="00ED6788" w:rsidRPr="002E250C" w:rsidRDefault="00ED6788" w:rsidP="00734595">
            <w:pPr>
              <w:pStyle w:val="TableText"/>
              <w:keepNext/>
              <w:ind w:right="142"/>
              <w:jc w:val="right"/>
              <w:rPr>
                <w:rFonts w:cs="Arial"/>
                <w:szCs w:val="18"/>
              </w:rPr>
            </w:pPr>
            <w:r w:rsidRPr="002E250C">
              <w:rPr>
                <w:rFonts w:cs="Arial"/>
                <w:szCs w:val="18"/>
              </w:rPr>
              <w:t>8</w:t>
            </w:r>
            <w:r>
              <w:rPr>
                <w:rFonts w:cs="Arial"/>
                <w:szCs w:val="18"/>
              </w:rPr>
              <w:t>4.4</w:t>
            </w:r>
            <w:r w:rsidRPr="002E250C">
              <w:rPr>
                <w:rFonts w:cs="Arial"/>
                <w:szCs w:val="18"/>
              </w:rPr>
              <w:t>%</w:t>
            </w:r>
          </w:p>
        </w:tc>
      </w:tr>
      <w:tr w:rsidR="00ED6788" w:rsidRPr="00F76DA3" w:rsidTr="00F740F4">
        <w:trPr>
          <w:cantSplit/>
        </w:trPr>
        <w:tc>
          <w:tcPr>
            <w:tcW w:w="591" w:type="pct"/>
          </w:tcPr>
          <w:p w:rsidR="00ED6788" w:rsidRPr="00F76DA3" w:rsidRDefault="00ED6788" w:rsidP="00734595">
            <w:pPr>
              <w:pStyle w:val="TableText"/>
              <w:keepNext/>
              <w:ind w:right="284"/>
              <w:jc w:val="right"/>
              <w:rPr>
                <w:rFonts w:cs="Arial"/>
                <w:szCs w:val="18"/>
              </w:rPr>
            </w:pPr>
            <w:r>
              <w:rPr>
                <w:rFonts w:cs="Arial"/>
                <w:szCs w:val="18"/>
              </w:rPr>
              <w:t>88%</w:t>
            </w:r>
          </w:p>
        </w:tc>
        <w:tc>
          <w:tcPr>
            <w:tcW w:w="3166" w:type="pct"/>
          </w:tcPr>
          <w:p w:rsidR="00ED6788" w:rsidRPr="00F76DA3" w:rsidRDefault="00ED6788" w:rsidP="00734595">
            <w:pPr>
              <w:keepNext/>
              <w:spacing w:before="60" w:after="60"/>
              <w:rPr>
                <w:rFonts w:cs="Arial"/>
                <w:sz w:val="18"/>
                <w:szCs w:val="18"/>
              </w:rPr>
            </w:pPr>
            <w:r w:rsidRPr="00F76DA3">
              <w:rPr>
                <w:rFonts w:cs="Arial"/>
                <w:sz w:val="18"/>
                <w:szCs w:val="18"/>
              </w:rPr>
              <w:t>All new clients assessed as being eligible for Ministry-funded support are provided with their support options within 20 days of assessment</w:t>
            </w:r>
          </w:p>
        </w:tc>
        <w:tc>
          <w:tcPr>
            <w:tcW w:w="638" w:type="pct"/>
          </w:tcPr>
          <w:p w:rsidR="00ED6788" w:rsidRPr="00F76DA3" w:rsidRDefault="00ED6788" w:rsidP="00734595">
            <w:pPr>
              <w:keepNext/>
              <w:spacing w:before="60" w:after="60"/>
              <w:ind w:right="142"/>
              <w:jc w:val="right"/>
              <w:rPr>
                <w:rFonts w:cs="Arial"/>
                <w:sz w:val="18"/>
                <w:szCs w:val="18"/>
              </w:rPr>
            </w:pPr>
            <w:r w:rsidRPr="00F76DA3">
              <w:rPr>
                <w:rFonts w:cs="Arial"/>
                <w:sz w:val="18"/>
                <w:szCs w:val="18"/>
              </w:rPr>
              <w:t>≥ 80%</w:t>
            </w:r>
          </w:p>
        </w:tc>
        <w:tc>
          <w:tcPr>
            <w:tcW w:w="605" w:type="pct"/>
            <w:shd w:val="clear" w:color="auto" w:fill="D9D9D9"/>
          </w:tcPr>
          <w:p w:rsidR="00ED6788" w:rsidRPr="002E250C" w:rsidRDefault="00ED6788" w:rsidP="00734595">
            <w:pPr>
              <w:pStyle w:val="TableText"/>
              <w:keepNext/>
              <w:ind w:right="142"/>
              <w:jc w:val="right"/>
              <w:rPr>
                <w:rFonts w:cs="Arial"/>
                <w:szCs w:val="18"/>
              </w:rPr>
            </w:pPr>
            <w:r w:rsidRPr="002E250C">
              <w:rPr>
                <w:rFonts w:cs="Arial"/>
                <w:szCs w:val="18"/>
              </w:rPr>
              <w:t>88.</w:t>
            </w:r>
            <w:r>
              <w:rPr>
                <w:rFonts w:cs="Arial"/>
                <w:szCs w:val="18"/>
              </w:rPr>
              <w:t>3</w:t>
            </w:r>
            <w:r w:rsidRPr="002E250C">
              <w:rPr>
                <w:rFonts w:cs="Arial"/>
                <w:szCs w:val="18"/>
              </w:rPr>
              <w:t>%</w:t>
            </w:r>
          </w:p>
        </w:tc>
      </w:tr>
      <w:tr w:rsidR="00ED6788" w:rsidRPr="00F76DA3" w:rsidTr="00F740F4">
        <w:trPr>
          <w:cantSplit/>
        </w:trPr>
        <w:tc>
          <w:tcPr>
            <w:tcW w:w="591" w:type="pct"/>
            <w:tcBorders>
              <w:top w:val="single" w:sz="4" w:space="0" w:color="auto"/>
            </w:tcBorders>
          </w:tcPr>
          <w:p w:rsidR="00ED6788" w:rsidRPr="00F76DA3" w:rsidRDefault="00ED6788" w:rsidP="00734595">
            <w:pPr>
              <w:pStyle w:val="TableText"/>
              <w:keepNext/>
              <w:ind w:right="284"/>
              <w:jc w:val="right"/>
              <w:rPr>
                <w:rFonts w:cs="Arial"/>
                <w:bCs/>
                <w:szCs w:val="18"/>
                <w:lang w:eastAsia="en-NZ"/>
              </w:rPr>
            </w:pPr>
          </w:p>
        </w:tc>
        <w:tc>
          <w:tcPr>
            <w:tcW w:w="3166" w:type="pct"/>
            <w:tcBorders>
              <w:top w:val="single" w:sz="4" w:space="0" w:color="auto"/>
            </w:tcBorders>
          </w:tcPr>
          <w:p w:rsidR="00ED6788" w:rsidRPr="00F76DA3" w:rsidRDefault="00ED6788" w:rsidP="00734595">
            <w:pPr>
              <w:pStyle w:val="TableText"/>
              <w:keepNext/>
              <w:rPr>
                <w:rFonts w:cs="Arial"/>
                <w:b/>
                <w:szCs w:val="18"/>
              </w:rPr>
            </w:pPr>
            <w:r w:rsidRPr="00F76DA3">
              <w:rPr>
                <w:rFonts w:cs="Arial"/>
                <w:b/>
                <w:bCs/>
                <w:szCs w:val="18"/>
                <w:lang w:eastAsia="en-NZ"/>
              </w:rPr>
              <w:t xml:space="preserve">Home and </w:t>
            </w:r>
            <w:r w:rsidR="00F740F4">
              <w:rPr>
                <w:rFonts w:cs="Arial"/>
                <w:b/>
                <w:bCs/>
                <w:szCs w:val="18"/>
                <w:lang w:eastAsia="en-NZ"/>
              </w:rPr>
              <w:t>c</w:t>
            </w:r>
            <w:r w:rsidRPr="00F76DA3">
              <w:rPr>
                <w:rFonts w:cs="Arial"/>
                <w:b/>
                <w:bCs/>
                <w:szCs w:val="18"/>
                <w:lang w:eastAsia="en-NZ"/>
              </w:rPr>
              <w:t xml:space="preserve">ommunity </w:t>
            </w:r>
            <w:r w:rsidR="00F740F4">
              <w:rPr>
                <w:rFonts w:cs="Arial"/>
                <w:b/>
                <w:bCs/>
                <w:szCs w:val="18"/>
                <w:lang w:eastAsia="en-NZ"/>
              </w:rPr>
              <w:t>s</w:t>
            </w:r>
            <w:r w:rsidRPr="00F76DA3">
              <w:rPr>
                <w:rFonts w:cs="Arial"/>
                <w:b/>
                <w:bCs/>
                <w:szCs w:val="18"/>
                <w:lang w:eastAsia="en-NZ"/>
              </w:rPr>
              <w:t>ervices</w:t>
            </w:r>
          </w:p>
        </w:tc>
        <w:tc>
          <w:tcPr>
            <w:tcW w:w="638" w:type="pct"/>
            <w:tcBorders>
              <w:top w:val="single" w:sz="4" w:space="0" w:color="auto"/>
            </w:tcBorders>
          </w:tcPr>
          <w:p w:rsidR="00ED6788" w:rsidRPr="00F76DA3" w:rsidRDefault="00ED6788" w:rsidP="00734595">
            <w:pPr>
              <w:pStyle w:val="TableText"/>
              <w:keepNext/>
              <w:ind w:right="142"/>
              <w:jc w:val="right"/>
              <w:rPr>
                <w:rFonts w:cs="Arial"/>
                <w:szCs w:val="18"/>
              </w:rPr>
            </w:pPr>
          </w:p>
        </w:tc>
        <w:tc>
          <w:tcPr>
            <w:tcW w:w="605" w:type="pct"/>
            <w:tcBorders>
              <w:top w:val="single" w:sz="4" w:space="0" w:color="auto"/>
            </w:tcBorders>
            <w:shd w:val="clear" w:color="auto" w:fill="D9D9D9"/>
          </w:tcPr>
          <w:p w:rsidR="00ED6788" w:rsidRPr="00F76DA3" w:rsidRDefault="00ED6788" w:rsidP="00734595">
            <w:pPr>
              <w:pStyle w:val="TableText"/>
              <w:keepNext/>
              <w:ind w:right="142"/>
              <w:jc w:val="right"/>
              <w:rPr>
                <w:rFonts w:cs="Arial"/>
                <w:szCs w:val="18"/>
              </w:rPr>
            </w:pPr>
          </w:p>
        </w:tc>
      </w:tr>
      <w:tr w:rsidR="00ED6788" w:rsidRPr="00F76DA3" w:rsidTr="00F740F4">
        <w:trPr>
          <w:cantSplit/>
        </w:trPr>
        <w:tc>
          <w:tcPr>
            <w:tcW w:w="591" w:type="pct"/>
          </w:tcPr>
          <w:p w:rsidR="00ED6788" w:rsidRPr="00F76DA3" w:rsidRDefault="00ED6788" w:rsidP="00734595">
            <w:pPr>
              <w:pStyle w:val="TableText"/>
              <w:keepNext/>
              <w:ind w:right="284"/>
              <w:jc w:val="right"/>
              <w:rPr>
                <w:rFonts w:cs="Arial"/>
                <w:szCs w:val="18"/>
              </w:rPr>
            </w:pPr>
            <w:r>
              <w:rPr>
                <w:rFonts w:cs="Arial"/>
                <w:szCs w:val="18"/>
              </w:rPr>
              <w:t>New</w:t>
            </w:r>
          </w:p>
        </w:tc>
        <w:tc>
          <w:tcPr>
            <w:tcW w:w="3166" w:type="pct"/>
          </w:tcPr>
          <w:p w:rsidR="00ED6788" w:rsidRPr="00F76DA3" w:rsidRDefault="00ED6788" w:rsidP="00734595">
            <w:pPr>
              <w:keepNext/>
              <w:spacing w:before="60" w:after="60"/>
              <w:rPr>
                <w:rFonts w:cs="Arial"/>
                <w:sz w:val="18"/>
                <w:szCs w:val="18"/>
              </w:rPr>
            </w:pPr>
            <w:r w:rsidRPr="00F76DA3">
              <w:rPr>
                <w:rFonts w:cs="Arial"/>
                <w:sz w:val="18"/>
                <w:szCs w:val="18"/>
              </w:rPr>
              <w:t>Percentage of disability support service clients receiving community support</w:t>
            </w:r>
          </w:p>
        </w:tc>
        <w:tc>
          <w:tcPr>
            <w:tcW w:w="638" w:type="pct"/>
          </w:tcPr>
          <w:p w:rsidR="00ED6788" w:rsidRPr="00F76DA3" w:rsidRDefault="00ED6788" w:rsidP="00734595">
            <w:pPr>
              <w:keepNext/>
              <w:spacing w:before="60" w:after="60"/>
              <w:ind w:right="142"/>
              <w:jc w:val="right"/>
              <w:rPr>
                <w:rFonts w:cs="Arial"/>
                <w:sz w:val="18"/>
                <w:szCs w:val="18"/>
              </w:rPr>
            </w:pPr>
            <w:r w:rsidRPr="00F76DA3">
              <w:rPr>
                <w:rFonts w:cs="Arial"/>
                <w:sz w:val="18"/>
                <w:szCs w:val="18"/>
              </w:rPr>
              <w:t>65%</w:t>
            </w:r>
          </w:p>
        </w:tc>
        <w:tc>
          <w:tcPr>
            <w:tcW w:w="605" w:type="pct"/>
            <w:shd w:val="clear" w:color="auto" w:fill="D9D9D9"/>
          </w:tcPr>
          <w:p w:rsidR="00ED6788" w:rsidRPr="002E250C" w:rsidRDefault="00ED6788" w:rsidP="00734595">
            <w:pPr>
              <w:pStyle w:val="TableText"/>
              <w:keepNext/>
              <w:ind w:right="142"/>
              <w:jc w:val="right"/>
              <w:rPr>
                <w:rFonts w:cs="Arial"/>
                <w:szCs w:val="18"/>
              </w:rPr>
            </w:pPr>
            <w:r>
              <w:rPr>
                <w:rFonts w:cs="Arial"/>
                <w:szCs w:val="18"/>
              </w:rPr>
              <w:t>70</w:t>
            </w:r>
            <w:r w:rsidRPr="002E250C">
              <w:rPr>
                <w:rFonts w:cs="Arial"/>
                <w:szCs w:val="18"/>
              </w:rPr>
              <w:t>%</w:t>
            </w:r>
          </w:p>
        </w:tc>
      </w:tr>
      <w:tr w:rsidR="00ED6788" w:rsidRPr="00F76DA3" w:rsidTr="00F740F4">
        <w:trPr>
          <w:cantSplit/>
        </w:trPr>
        <w:tc>
          <w:tcPr>
            <w:tcW w:w="591" w:type="pct"/>
          </w:tcPr>
          <w:p w:rsidR="00ED6788" w:rsidRPr="00F76DA3" w:rsidRDefault="00ED6788" w:rsidP="00734595">
            <w:pPr>
              <w:pStyle w:val="TableText"/>
              <w:keepNext/>
              <w:ind w:right="284"/>
              <w:jc w:val="right"/>
              <w:rPr>
                <w:rFonts w:cs="Arial"/>
                <w:szCs w:val="18"/>
              </w:rPr>
            </w:pPr>
            <w:r>
              <w:rPr>
                <w:rFonts w:cs="Arial"/>
                <w:szCs w:val="18"/>
              </w:rPr>
              <w:t>1996</w:t>
            </w:r>
          </w:p>
        </w:tc>
        <w:tc>
          <w:tcPr>
            <w:tcW w:w="3166" w:type="pct"/>
          </w:tcPr>
          <w:p w:rsidR="00ED6788" w:rsidRPr="00F76DA3" w:rsidRDefault="00ED6788" w:rsidP="00734595">
            <w:pPr>
              <w:keepNext/>
              <w:spacing w:before="60" w:after="60"/>
              <w:rPr>
                <w:rFonts w:cs="Arial"/>
                <w:sz w:val="18"/>
                <w:szCs w:val="18"/>
              </w:rPr>
            </w:pPr>
            <w:r w:rsidRPr="00F76DA3">
              <w:rPr>
                <w:rFonts w:cs="Arial"/>
                <w:sz w:val="18"/>
                <w:szCs w:val="18"/>
              </w:rPr>
              <w:t>The number of individualised funding arrangements to improve client and family choice and control</w:t>
            </w:r>
          </w:p>
        </w:tc>
        <w:tc>
          <w:tcPr>
            <w:tcW w:w="638" w:type="pct"/>
          </w:tcPr>
          <w:p w:rsidR="00ED6788" w:rsidRPr="00F76DA3" w:rsidRDefault="00ED6788" w:rsidP="00734595">
            <w:pPr>
              <w:keepNext/>
              <w:spacing w:before="60" w:after="60"/>
              <w:ind w:right="142"/>
              <w:jc w:val="right"/>
              <w:rPr>
                <w:rFonts w:cs="Arial"/>
                <w:sz w:val="18"/>
                <w:szCs w:val="18"/>
              </w:rPr>
            </w:pPr>
            <w:r w:rsidRPr="00F76DA3">
              <w:rPr>
                <w:rFonts w:cs="Arial"/>
                <w:sz w:val="18"/>
                <w:szCs w:val="18"/>
              </w:rPr>
              <w:t>2200</w:t>
            </w:r>
          </w:p>
        </w:tc>
        <w:tc>
          <w:tcPr>
            <w:tcW w:w="605" w:type="pct"/>
            <w:shd w:val="clear" w:color="auto" w:fill="D9D9D9"/>
          </w:tcPr>
          <w:p w:rsidR="00ED6788" w:rsidRPr="002E250C" w:rsidRDefault="00ED6788" w:rsidP="00734595">
            <w:pPr>
              <w:pStyle w:val="TableText"/>
              <w:keepNext/>
              <w:ind w:right="142"/>
              <w:jc w:val="right"/>
              <w:rPr>
                <w:rFonts w:cs="Arial"/>
                <w:szCs w:val="18"/>
              </w:rPr>
            </w:pPr>
            <w:r w:rsidRPr="002E250C">
              <w:rPr>
                <w:rFonts w:cs="Arial"/>
                <w:szCs w:val="18"/>
              </w:rPr>
              <w:t>2</w:t>
            </w:r>
            <w:r>
              <w:rPr>
                <w:rFonts w:cs="Arial"/>
                <w:szCs w:val="18"/>
              </w:rPr>
              <w:t>440</w:t>
            </w:r>
          </w:p>
        </w:tc>
      </w:tr>
      <w:tr w:rsidR="00ED6788" w:rsidRPr="00F76DA3" w:rsidTr="00F740F4">
        <w:trPr>
          <w:cantSplit/>
        </w:trPr>
        <w:tc>
          <w:tcPr>
            <w:tcW w:w="591" w:type="pct"/>
            <w:tcBorders>
              <w:top w:val="single" w:sz="4" w:space="0" w:color="auto"/>
            </w:tcBorders>
          </w:tcPr>
          <w:p w:rsidR="00ED6788" w:rsidRPr="00F76DA3" w:rsidRDefault="00ED6788" w:rsidP="00734595">
            <w:pPr>
              <w:pStyle w:val="TableText"/>
              <w:keepNext/>
              <w:ind w:right="284"/>
              <w:jc w:val="right"/>
              <w:rPr>
                <w:rFonts w:cs="Arial"/>
                <w:bCs/>
                <w:szCs w:val="18"/>
                <w:lang w:eastAsia="en-NZ"/>
              </w:rPr>
            </w:pPr>
          </w:p>
        </w:tc>
        <w:tc>
          <w:tcPr>
            <w:tcW w:w="3166" w:type="pct"/>
            <w:tcBorders>
              <w:top w:val="single" w:sz="4" w:space="0" w:color="auto"/>
            </w:tcBorders>
          </w:tcPr>
          <w:p w:rsidR="00ED6788" w:rsidRPr="00F76DA3" w:rsidRDefault="00ED6788" w:rsidP="00734595">
            <w:pPr>
              <w:pStyle w:val="TableText"/>
              <w:keepNext/>
              <w:rPr>
                <w:rFonts w:cs="Arial"/>
                <w:b/>
                <w:szCs w:val="18"/>
              </w:rPr>
            </w:pPr>
            <w:r w:rsidRPr="00F76DA3">
              <w:rPr>
                <w:rFonts w:cs="Arial"/>
                <w:b/>
                <w:bCs/>
                <w:szCs w:val="18"/>
                <w:lang w:eastAsia="en-NZ"/>
              </w:rPr>
              <w:t xml:space="preserve">Residential </w:t>
            </w:r>
            <w:r w:rsidR="00F740F4">
              <w:rPr>
                <w:rFonts w:cs="Arial"/>
                <w:b/>
                <w:bCs/>
                <w:szCs w:val="18"/>
                <w:lang w:eastAsia="en-NZ"/>
              </w:rPr>
              <w:t>c</w:t>
            </w:r>
            <w:r w:rsidRPr="00F76DA3">
              <w:rPr>
                <w:rFonts w:cs="Arial"/>
                <w:b/>
                <w:bCs/>
                <w:szCs w:val="18"/>
                <w:lang w:eastAsia="en-NZ"/>
              </w:rPr>
              <w:t>are</w:t>
            </w:r>
          </w:p>
        </w:tc>
        <w:tc>
          <w:tcPr>
            <w:tcW w:w="638" w:type="pct"/>
            <w:tcBorders>
              <w:top w:val="single" w:sz="4" w:space="0" w:color="auto"/>
            </w:tcBorders>
          </w:tcPr>
          <w:p w:rsidR="00ED6788" w:rsidRPr="00F76DA3" w:rsidRDefault="00ED6788" w:rsidP="00734595">
            <w:pPr>
              <w:pStyle w:val="TableText"/>
              <w:keepNext/>
              <w:ind w:right="142"/>
              <w:jc w:val="right"/>
              <w:rPr>
                <w:rFonts w:cs="Arial"/>
                <w:szCs w:val="18"/>
              </w:rPr>
            </w:pPr>
          </w:p>
        </w:tc>
        <w:tc>
          <w:tcPr>
            <w:tcW w:w="605" w:type="pct"/>
            <w:tcBorders>
              <w:top w:val="single" w:sz="4" w:space="0" w:color="auto"/>
            </w:tcBorders>
            <w:shd w:val="clear" w:color="auto" w:fill="D9D9D9"/>
          </w:tcPr>
          <w:p w:rsidR="00ED6788" w:rsidRPr="00F76DA3" w:rsidRDefault="00ED6788" w:rsidP="00734595">
            <w:pPr>
              <w:pStyle w:val="TableText"/>
              <w:keepNext/>
              <w:ind w:right="142"/>
              <w:jc w:val="right"/>
              <w:rPr>
                <w:rFonts w:cs="Arial"/>
                <w:szCs w:val="18"/>
              </w:rPr>
            </w:pPr>
          </w:p>
        </w:tc>
      </w:tr>
      <w:tr w:rsidR="00ED6788" w:rsidRPr="00F76DA3" w:rsidTr="00F740F4">
        <w:trPr>
          <w:cantSplit/>
        </w:trPr>
        <w:tc>
          <w:tcPr>
            <w:tcW w:w="591" w:type="pct"/>
          </w:tcPr>
          <w:p w:rsidR="00ED6788" w:rsidRPr="00F76DA3" w:rsidRDefault="00ED6788" w:rsidP="00734595">
            <w:pPr>
              <w:pStyle w:val="TableText"/>
              <w:keepNext/>
              <w:ind w:right="284"/>
              <w:jc w:val="right"/>
              <w:rPr>
                <w:rFonts w:cs="Arial"/>
                <w:szCs w:val="18"/>
              </w:rPr>
            </w:pPr>
            <w:r>
              <w:rPr>
                <w:rFonts w:cs="Arial"/>
                <w:szCs w:val="18"/>
              </w:rPr>
              <w:t>88.3%</w:t>
            </w:r>
          </w:p>
        </w:tc>
        <w:tc>
          <w:tcPr>
            <w:tcW w:w="3166" w:type="pct"/>
          </w:tcPr>
          <w:p w:rsidR="00ED6788" w:rsidRPr="00F76DA3" w:rsidRDefault="00ED6788" w:rsidP="00734595">
            <w:pPr>
              <w:keepNext/>
              <w:spacing w:before="60" w:after="60"/>
              <w:rPr>
                <w:rFonts w:cs="Arial"/>
                <w:sz w:val="18"/>
                <w:szCs w:val="18"/>
              </w:rPr>
            </w:pPr>
            <w:r w:rsidRPr="00F76DA3">
              <w:rPr>
                <w:rFonts w:cs="Arial"/>
                <w:sz w:val="18"/>
                <w:szCs w:val="18"/>
              </w:rPr>
              <w:t>Residential services support people to have an everyday life: the percentage of clients and families satisfied with the service, as demonstrated through the developmental evaluations</w:t>
            </w:r>
          </w:p>
        </w:tc>
        <w:tc>
          <w:tcPr>
            <w:tcW w:w="638" w:type="pct"/>
          </w:tcPr>
          <w:p w:rsidR="00ED6788" w:rsidRPr="00F76DA3" w:rsidRDefault="00ED6788" w:rsidP="00734595">
            <w:pPr>
              <w:keepNext/>
              <w:spacing w:before="60" w:after="60"/>
              <w:ind w:right="142"/>
              <w:jc w:val="right"/>
              <w:rPr>
                <w:rFonts w:cs="Arial"/>
                <w:sz w:val="18"/>
                <w:szCs w:val="18"/>
              </w:rPr>
            </w:pPr>
            <w:r w:rsidRPr="00F76DA3">
              <w:rPr>
                <w:rFonts w:cs="Arial"/>
                <w:sz w:val="18"/>
                <w:szCs w:val="18"/>
              </w:rPr>
              <w:t>≥ 80%</w:t>
            </w:r>
          </w:p>
        </w:tc>
        <w:tc>
          <w:tcPr>
            <w:tcW w:w="605" w:type="pct"/>
            <w:shd w:val="clear" w:color="auto" w:fill="D9D9D9"/>
          </w:tcPr>
          <w:p w:rsidR="00ED6788" w:rsidRPr="002E250C" w:rsidRDefault="00ED6788" w:rsidP="00734595">
            <w:pPr>
              <w:pStyle w:val="TableText"/>
              <w:keepNext/>
              <w:ind w:right="142"/>
              <w:jc w:val="right"/>
              <w:rPr>
                <w:rFonts w:cs="Arial"/>
                <w:szCs w:val="18"/>
              </w:rPr>
            </w:pPr>
            <w:r w:rsidRPr="002E250C">
              <w:rPr>
                <w:rFonts w:cs="Arial"/>
                <w:szCs w:val="18"/>
              </w:rPr>
              <w:t>9</w:t>
            </w:r>
            <w:r>
              <w:rPr>
                <w:rFonts w:cs="Arial"/>
                <w:szCs w:val="18"/>
              </w:rPr>
              <w:t>6</w:t>
            </w:r>
            <w:r w:rsidRPr="002E250C">
              <w:rPr>
                <w:rFonts w:cs="Arial"/>
                <w:szCs w:val="18"/>
              </w:rPr>
              <w:t>%</w:t>
            </w:r>
          </w:p>
        </w:tc>
      </w:tr>
      <w:tr w:rsidR="00ED6788" w:rsidRPr="002E250C" w:rsidTr="00F740F4">
        <w:trPr>
          <w:cantSplit/>
        </w:trPr>
        <w:tc>
          <w:tcPr>
            <w:tcW w:w="591" w:type="pct"/>
          </w:tcPr>
          <w:p w:rsidR="00ED6788" w:rsidRPr="00F76DA3" w:rsidRDefault="00ED6788" w:rsidP="00C25CC8">
            <w:pPr>
              <w:pStyle w:val="TableText"/>
              <w:ind w:right="284"/>
              <w:jc w:val="right"/>
              <w:rPr>
                <w:rFonts w:cs="Arial"/>
                <w:szCs w:val="18"/>
              </w:rPr>
            </w:pPr>
            <w:r>
              <w:rPr>
                <w:rFonts w:cs="Arial"/>
                <w:szCs w:val="18"/>
              </w:rPr>
              <w:t>269</w:t>
            </w:r>
          </w:p>
        </w:tc>
        <w:tc>
          <w:tcPr>
            <w:tcW w:w="3166" w:type="pct"/>
          </w:tcPr>
          <w:p w:rsidR="00ED6788" w:rsidRPr="00F76DA3" w:rsidRDefault="00ED6788" w:rsidP="00C25CC8">
            <w:pPr>
              <w:spacing w:before="60" w:after="60"/>
              <w:rPr>
                <w:rFonts w:cs="Arial"/>
                <w:sz w:val="18"/>
                <w:szCs w:val="18"/>
              </w:rPr>
            </w:pPr>
            <w:r w:rsidRPr="00F76DA3">
              <w:rPr>
                <w:rFonts w:cs="Arial"/>
                <w:sz w:val="18"/>
                <w:szCs w:val="18"/>
              </w:rPr>
              <w:t>The number of clients in very high cost services (High and Complex Services) will be maintained at a sustainable level</w:t>
            </w:r>
          </w:p>
        </w:tc>
        <w:tc>
          <w:tcPr>
            <w:tcW w:w="638" w:type="pct"/>
          </w:tcPr>
          <w:p w:rsidR="00ED6788" w:rsidRPr="00F76DA3" w:rsidRDefault="00ED6788" w:rsidP="00F740F4">
            <w:pPr>
              <w:spacing w:before="60" w:after="60"/>
              <w:ind w:right="142"/>
              <w:jc w:val="right"/>
              <w:rPr>
                <w:rFonts w:cs="Arial"/>
                <w:sz w:val="18"/>
                <w:szCs w:val="18"/>
              </w:rPr>
            </w:pPr>
            <w:r w:rsidRPr="00F76DA3">
              <w:rPr>
                <w:rFonts w:cs="Arial"/>
                <w:sz w:val="18"/>
                <w:szCs w:val="18"/>
              </w:rPr>
              <w:t>Under 500</w:t>
            </w:r>
            <w:r w:rsidR="00F740F4">
              <w:rPr>
                <w:rFonts w:cs="Arial"/>
                <w:sz w:val="18"/>
                <w:szCs w:val="18"/>
              </w:rPr>
              <w:t> </w:t>
            </w:r>
            <w:r w:rsidRPr="00F76DA3">
              <w:rPr>
                <w:rFonts w:cs="Arial"/>
                <w:sz w:val="18"/>
                <w:szCs w:val="18"/>
              </w:rPr>
              <w:t>people</w:t>
            </w:r>
          </w:p>
        </w:tc>
        <w:tc>
          <w:tcPr>
            <w:tcW w:w="605" w:type="pct"/>
            <w:shd w:val="clear" w:color="auto" w:fill="D9D9D9"/>
          </w:tcPr>
          <w:p w:rsidR="00ED6788" w:rsidRPr="002E250C" w:rsidRDefault="00ED6788" w:rsidP="00C25CC8">
            <w:pPr>
              <w:pStyle w:val="TableText"/>
              <w:ind w:right="142"/>
              <w:jc w:val="right"/>
              <w:rPr>
                <w:rFonts w:cs="Arial"/>
                <w:szCs w:val="18"/>
              </w:rPr>
            </w:pPr>
            <w:r w:rsidRPr="002E250C">
              <w:rPr>
                <w:rFonts w:cs="Arial"/>
                <w:szCs w:val="18"/>
              </w:rPr>
              <w:t>2</w:t>
            </w:r>
            <w:r>
              <w:rPr>
                <w:rFonts w:cs="Arial"/>
                <w:szCs w:val="18"/>
              </w:rPr>
              <w:t>57</w:t>
            </w:r>
          </w:p>
        </w:tc>
      </w:tr>
      <w:tr w:rsidR="00ED6788" w:rsidRPr="00F76DA3" w:rsidTr="00F740F4">
        <w:trPr>
          <w:cantSplit/>
        </w:trPr>
        <w:tc>
          <w:tcPr>
            <w:tcW w:w="591" w:type="pct"/>
            <w:tcBorders>
              <w:top w:val="single" w:sz="4" w:space="0" w:color="auto"/>
            </w:tcBorders>
          </w:tcPr>
          <w:p w:rsidR="00ED6788" w:rsidRPr="00F76DA3" w:rsidRDefault="00ED6788" w:rsidP="00C25CC8">
            <w:pPr>
              <w:pStyle w:val="TableText"/>
              <w:ind w:right="284"/>
              <w:jc w:val="right"/>
              <w:rPr>
                <w:rFonts w:cs="Arial"/>
                <w:bCs/>
                <w:szCs w:val="18"/>
                <w:lang w:eastAsia="en-NZ"/>
              </w:rPr>
            </w:pPr>
          </w:p>
        </w:tc>
        <w:tc>
          <w:tcPr>
            <w:tcW w:w="3166" w:type="pct"/>
            <w:tcBorders>
              <w:top w:val="single" w:sz="4" w:space="0" w:color="auto"/>
            </w:tcBorders>
          </w:tcPr>
          <w:p w:rsidR="00ED6788" w:rsidRPr="00F76DA3" w:rsidRDefault="00ED6788" w:rsidP="00F740F4">
            <w:pPr>
              <w:pStyle w:val="TableText"/>
              <w:rPr>
                <w:rFonts w:cs="Arial"/>
                <w:b/>
                <w:szCs w:val="18"/>
              </w:rPr>
            </w:pPr>
            <w:r w:rsidRPr="00F76DA3">
              <w:rPr>
                <w:rFonts w:cs="Arial"/>
                <w:b/>
                <w:bCs/>
                <w:szCs w:val="18"/>
                <w:lang w:eastAsia="en-NZ"/>
              </w:rPr>
              <w:t xml:space="preserve">Environmental </w:t>
            </w:r>
            <w:r w:rsidR="00F740F4">
              <w:rPr>
                <w:rFonts w:cs="Arial"/>
                <w:b/>
                <w:bCs/>
                <w:szCs w:val="18"/>
                <w:lang w:eastAsia="en-NZ"/>
              </w:rPr>
              <w:t>s</w:t>
            </w:r>
            <w:r w:rsidRPr="00F76DA3">
              <w:rPr>
                <w:rFonts w:cs="Arial"/>
                <w:b/>
                <w:bCs/>
                <w:szCs w:val="18"/>
                <w:lang w:eastAsia="en-NZ"/>
              </w:rPr>
              <w:t>upport</w:t>
            </w:r>
          </w:p>
        </w:tc>
        <w:tc>
          <w:tcPr>
            <w:tcW w:w="638" w:type="pct"/>
            <w:tcBorders>
              <w:top w:val="single" w:sz="4" w:space="0" w:color="auto"/>
            </w:tcBorders>
          </w:tcPr>
          <w:p w:rsidR="00ED6788" w:rsidRPr="00F76DA3" w:rsidRDefault="00ED6788" w:rsidP="00F740F4">
            <w:pPr>
              <w:pStyle w:val="TableText"/>
              <w:ind w:right="142"/>
              <w:jc w:val="right"/>
              <w:rPr>
                <w:rFonts w:cs="Arial"/>
                <w:szCs w:val="18"/>
              </w:rPr>
            </w:pPr>
          </w:p>
        </w:tc>
        <w:tc>
          <w:tcPr>
            <w:tcW w:w="605" w:type="pct"/>
            <w:tcBorders>
              <w:top w:val="single" w:sz="4" w:space="0" w:color="auto"/>
            </w:tcBorders>
            <w:shd w:val="clear" w:color="auto" w:fill="D9D9D9"/>
          </w:tcPr>
          <w:p w:rsidR="00ED6788" w:rsidRPr="00F76DA3" w:rsidRDefault="00ED6788" w:rsidP="00C25CC8">
            <w:pPr>
              <w:pStyle w:val="TableText"/>
              <w:ind w:right="142"/>
              <w:jc w:val="right"/>
              <w:rPr>
                <w:rFonts w:cs="Arial"/>
                <w:szCs w:val="18"/>
              </w:rPr>
            </w:pPr>
          </w:p>
        </w:tc>
      </w:tr>
      <w:tr w:rsidR="00ED6788" w:rsidRPr="00F76DA3" w:rsidTr="00F740F4">
        <w:trPr>
          <w:cantSplit/>
        </w:trPr>
        <w:tc>
          <w:tcPr>
            <w:tcW w:w="591" w:type="pct"/>
          </w:tcPr>
          <w:p w:rsidR="00ED6788" w:rsidRPr="00F76DA3" w:rsidRDefault="00ED6788" w:rsidP="00C25CC8">
            <w:pPr>
              <w:pStyle w:val="TableText"/>
              <w:ind w:right="284"/>
              <w:jc w:val="right"/>
              <w:rPr>
                <w:rFonts w:cs="Arial"/>
                <w:szCs w:val="18"/>
              </w:rPr>
            </w:pPr>
            <w:r>
              <w:rPr>
                <w:rFonts w:cs="Arial"/>
                <w:szCs w:val="18"/>
              </w:rPr>
              <w:t>75.1%</w:t>
            </w:r>
          </w:p>
        </w:tc>
        <w:tc>
          <w:tcPr>
            <w:tcW w:w="3166" w:type="pct"/>
          </w:tcPr>
          <w:p w:rsidR="00ED6788" w:rsidRPr="00F76DA3" w:rsidRDefault="00ED6788" w:rsidP="00C25CC8">
            <w:pPr>
              <w:spacing w:before="60" w:after="60"/>
              <w:rPr>
                <w:rFonts w:cs="Arial"/>
                <w:sz w:val="18"/>
                <w:szCs w:val="18"/>
              </w:rPr>
            </w:pPr>
            <w:r w:rsidRPr="00F76DA3">
              <w:rPr>
                <w:rFonts w:cs="Arial"/>
                <w:sz w:val="18"/>
                <w:szCs w:val="18"/>
              </w:rPr>
              <w:t>The percentage of equipment supplied from the Ministry of Health equipment list</w:t>
            </w:r>
          </w:p>
        </w:tc>
        <w:tc>
          <w:tcPr>
            <w:tcW w:w="638" w:type="pct"/>
          </w:tcPr>
          <w:p w:rsidR="00ED6788" w:rsidRPr="00F76DA3" w:rsidRDefault="00ED6788" w:rsidP="00F740F4">
            <w:pPr>
              <w:spacing w:before="60" w:after="60"/>
              <w:ind w:right="142"/>
              <w:jc w:val="right"/>
              <w:rPr>
                <w:rFonts w:cs="Arial"/>
                <w:sz w:val="18"/>
                <w:szCs w:val="18"/>
              </w:rPr>
            </w:pPr>
            <w:r w:rsidRPr="00F76DA3">
              <w:rPr>
                <w:rFonts w:cs="Arial"/>
                <w:sz w:val="18"/>
                <w:szCs w:val="18"/>
              </w:rPr>
              <w:t>&gt;75%</w:t>
            </w:r>
          </w:p>
        </w:tc>
        <w:tc>
          <w:tcPr>
            <w:tcW w:w="605" w:type="pct"/>
            <w:shd w:val="clear" w:color="auto" w:fill="D9D9D9"/>
          </w:tcPr>
          <w:p w:rsidR="00ED6788" w:rsidRPr="002E250C" w:rsidRDefault="00ED6788" w:rsidP="00C25CC8">
            <w:pPr>
              <w:pStyle w:val="TableText"/>
              <w:ind w:right="142"/>
              <w:jc w:val="right"/>
              <w:rPr>
                <w:rFonts w:cs="Arial"/>
                <w:szCs w:val="18"/>
              </w:rPr>
            </w:pPr>
            <w:r w:rsidRPr="002E250C">
              <w:rPr>
                <w:rFonts w:cs="Arial"/>
                <w:szCs w:val="18"/>
              </w:rPr>
              <w:t>7</w:t>
            </w:r>
            <w:r>
              <w:rPr>
                <w:rFonts w:cs="Arial"/>
                <w:szCs w:val="18"/>
              </w:rPr>
              <w:t>8.7</w:t>
            </w:r>
            <w:r w:rsidRPr="002E250C">
              <w:rPr>
                <w:rFonts w:cs="Arial"/>
                <w:szCs w:val="18"/>
              </w:rPr>
              <w:t>%</w:t>
            </w:r>
          </w:p>
        </w:tc>
      </w:tr>
      <w:tr w:rsidR="00ED6788" w:rsidRPr="00F76DA3" w:rsidTr="00F740F4">
        <w:trPr>
          <w:cantSplit/>
        </w:trPr>
        <w:tc>
          <w:tcPr>
            <w:tcW w:w="591" w:type="pct"/>
          </w:tcPr>
          <w:p w:rsidR="00ED6788" w:rsidRPr="00F76DA3" w:rsidRDefault="00ED6788" w:rsidP="00C25CC8">
            <w:pPr>
              <w:pStyle w:val="TableText"/>
              <w:ind w:right="284"/>
              <w:jc w:val="right"/>
              <w:rPr>
                <w:rFonts w:cs="Arial"/>
                <w:szCs w:val="18"/>
              </w:rPr>
            </w:pPr>
            <w:r>
              <w:rPr>
                <w:rFonts w:cs="Arial"/>
                <w:szCs w:val="18"/>
              </w:rPr>
              <w:t>49.4%</w:t>
            </w:r>
          </w:p>
        </w:tc>
        <w:tc>
          <w:tcPr>
            <w:tcW w:w="3166" w:type="pct"/>
          </w:tcPr>
          <w:p w:rsidR="00ED6788" w:rsidRPr="00F76DA3" w:rsidRDefault="00ED6788" w:rsidP="00C25CC8">
            <w:pPr>
              <w:spacing w:before="60" w:after="60"/>
              <w:rPr>
                <w:rFonts w:cs="Arial"/>
                <w:sz w:val="18"/>
                <w:szCs w:val="18"/>
              </w:rPr>
            </w:pPr>
            <w:r w:rsidRPr="00F76DA3">
              <w:rPr>
                <w:rFonts w:cs="Arial"/>
                <w:sz w:val="18"/>
                <w:szCs w:val="18"/>
              </w:rPr>
              <w:t>The percentage of equipment items supplied that are refurbished and reissued</w:t>
            </w:r>
          </w:p>
        </w:tc>
        <w:tc>
          <w:tcPr>
            <w:tcW w:w="638" w:type="pct"/>
          </w:tcPr>
          <w:p w:rsidR="00ED6788" w:rsidRPr="00F76DA3" w:rsidRDefault="00ED6788" w:rsidP="00F740F4">
            <w:pPr>
              <w:spacing w:before="60" w:after="60"/>
              <w:ind w:right="142"/>
              <w:jc w:val="right"/>
              <w:rPr>
                <w:rFonts w:cs="Arial"/>
                <w:sz w:val="18"/>
                <w:szCs w:val="18"/>
              </w:rPr>
            </w:pPr>
            <w:r w:rsidRPr="00F76DA3">
              <w:rPr>
                <w:rFonts w:cs="Arial"/>
                <w:sz w:val="18"/>
                <w:szCs w:val="18"/>
              </w:rPr>
              <w:t>&gt;45%</w:t>
            </w:r>
          </w:p>
        </w:tc>
        <w:tc>
          <w:tcPr>
            <w:tcW w:w="605" w:type="pct"/>
            <w:shd w:val="clear" w:color="auto" w:fill="D9D9D9"/>
          </w:tcPr>
          <w:p w:rsidR="00ED6788" w:rsidRPr="002E250C" w:rsidRDefault="00ED6788" w:rsidP="00D77D08">
            <w:pPr>
              <w:pStyle w:val="TableText"/>
              <w:ind w:right="142"/>
              <w:jc w:val="right"/>
              <w:rPr>
                <w:rFonts w:cs="Arial"/>
                <w:szCs w:val="18"/>
              </w:rPr>
            </w:pPr>
            <w:r>
              <w:rPr>
                <w:rFonts w:cs="Arial"/>
                <w:szCs w:val="18"/>
              </w:rPr>
              <w:t>38.3</w:t>
            </w:r>
            <w:r w:rsidRPr="004A32A7">
              <w:rPr>
                <w:rFonts w:cs="Arial"/>
                <w:szCs w:val="18"/>
              </w:rPr>
              <w:t>%</w:t>
            </w:r>
            <w:r w:rsidR="00F740F4">
              <w:rPr>
                <w:rFonts w:cs="Arial"/>
                <w:szCs w:val="18"/>
              </w:rPr>
              <w:br/>
            </w:r>
          </w:p>
        </w:tc>
      </w:tr>
    </w:tbl>
    <w:p w:rsidR="00ED6788" w:rsidRDefault="00ED6788" w:rsidP="00F740F4"/>
    <w:p w:rsidR="00ED6788" w:rsidRDefault="00ED6788" w:rsidP="00F740F4">
      <w:pPr>
        <w:pStyle w:val="Heading4"/>
      </w:pPr>
      <w:r>
        <w:t xml:space="preserve">Residential </w:t>
      </w:r>
      <w:r w:rsidR="00F740F4">
        <w:t>c</w:t>
      </w:r>
      <w:r>
        <w:t>are</w:t>
      </w:r>
    </w:p>
    <w:p w:rsidR="000845D9" w:rsidRDefault="00ED6788" w:rsidP="00ED6788">
      <w:r w:rsidRPr="00F01840">
        <w:t>This broad</w:t>
      </w:r>
      <w:r w:rsidR="00F740F4">
        <w:t>-</w:t>
      </w:r>
      <w:r w:rsidRPr="00F01840">
        <w:t xml:space="preserve">based community service provides </w:t>
      </w:r>
      <w:r>
        <w:t>support for 7100 residential, rest home and hospital</w:t>
      </w:r>
      <w:r w:rsidR="00F740F4">
        <w:t>-</w:t>
      </w:r>
      <w:r>
        <w:t>based clients plus 2633 community</w:t>
      </w:r>
      <w:r w:rsidR="00F740F4">
        <w:t>-</w:t>
      </w:r>
      <w:r>
        <w:t>based clients living in their own accommodation with supported living. During the year the Ministry supported new initiatives that continue supporting disabled people and families/wh</w:t>
      </w:r>
      <w:r w:rsidR="00F740F4">
        <w:t>ā</w:t>
      </w:r>
      <w:r>
        <w:t xml:space="preserve">nau with individual and flexible packages that enhance their lives. The </w:t>
      </w:r>
      <w:r w:rsidR="00F740F4">
        <w:t>s</w:t>
      </w:r>
      <w:r>
        <w:t xml:space="preserve">ervice has </w:t>
      </w:r>
      <w:r w:rsidRPr="00F926D1">
        <w:t xml:space="preserve">improved this year to include </w:t>
      </w:r>
      <w:r>
        <w:t>young persons taking up new community</w:t>
      </w:r>
      <w:r w:rsidR="00F740F4">
        <w:t>-</w:t>
      </w:r>
      <w:r>
        <w:t>based support options such as choice in community living.</w:t>
      </w:r>
    </w:p>
    <w:p w:rsidR="00ED6788" w:rsidRDefault="00ED6788" w:rsidP="00F740F4"/>
    <w:p w:rsidR="00ED6788" w:rsidRPr="008A6188" w:rsidRDefault="00ED6788" w:rsidP="00F740F4">
      <w:pPr>
        <w:pStyle w:val="Heading4"/>
        <w:rPr>
          <w:highlight w:val="yellow"/>
        </w:rPr>
      </w:pPr>
      <w:r w:rsidRPr="008A6188">
        <w:t xml:space="preserve">Needs </w:t>
      </w:r>
      <w:r w:rsidR="00F740F4">
        <w:t>a</w:t>
      </w:r>
      <w:r w:rsidRPr="008A6188">
        <w:t xml:space="preserve">ssessment and </w:t>
      </w:r>
      <w:r w:rsidR="00F740F4">
        <w:t>s</w:t>
      </w:r>
      <w:r w:rsidRPr="008A6188">
        <w:t xml:space="preserve">ervice </w:t>
      </w:r>
      <w:r w:rsidR="00F740F4">
        <w:t>c</w:t>
      </w:r>
      <w:r w:rsidRPr="008A6188">
        <w:t>oordination agencies</w:t>
      </w:r>
    </w:p>
    <w:p w:rsidR="00ED6788" w:rsidRDefault="00ED6788" w:rsidP="00F740F4">
      <w:r w:rsidRPr="008A6188">
        <w:t xml:space="preserve">The Ministry of Health contracts </w:t>
      </w:r>
      <w:r>
        <w:t>n</w:t>
      </w:r>
      <w:r w:rsidRPr="008A6188">
        <w:t xml:space="preserve">eeds </w:t>
      </w:r>
      <w:r>
        <w:t>a</w:t>
      </w:r>
      <w:r w:rsidRPr="008A6188">
        <w:t xml:space="preserve">ssessment and </w:t>
      </w:r>
      <w:r>
        <w:t>s</w:t>
      </w:r>
      <w:r w:rsidRPr="008A6188">
        <w:t xml:space="preserve">ervice </w:t>
      </w:r>
      <w:r>
        <w:t>c</w:t>
      </w:r>
      <w:r w:rsidRPr="008A6188">
        <w:t xml:space="preserve">oordination agencies (NASCs) and </w:t>
      </w:r>
      <w:r>
        <w:t>disability i</w:t>
      </w:r>
      <w:r w:rsidRPr="008A6188">
        <w:t xml:space="preserve">nformation and </w:t>
      </w:r>
      <w:r>
        <w:t>a</w:t>
      </w:r>
      <w:r w:rsidRPr="008A6188">
        <w:t xml:space="preserve">dvisory </w:t>
      </w:r>
      <w:r>
        <w:t>s</w:t>
      </w:r>
      <w:r w:rsidRPr="008A6188">
        <w:t xml:space="preserve">ervices (DIAS) organisations throughout the country to inform disabled people about funded supports they can access. NASCs also work with disabled people to </w:t>
      </w:r>
      <w:r>
        <w:t>determine eligibility, assess</w:t>
      </w:r>
      <w:r w:rsidRPr="008A6188">
        <w:t xml:space="preserve"> their support needs and coordinate service</w:t>
      </w:r>
      <w:r>
        <w:t>s through contracted providers and individualised funding</w:t>
      </w:r>
      <w:r w:rsidRPr="008A6188">
        <w:t>. This work is led by a commitment to transform the disability support system to increase disabled people</w:t>
      </w:r>
      <w:r w:rsidR="000845D9">
        <w:t>’</w:t>
      </w:r>
      <w:r w:rsidRPr="008A6188">
        <w:t>s choice, control and flexibility over their funded supports. The focus is on improvements that help remove some of the restrictions which limit people</w:t>
      </w:r>
      <w:r w:rsidR="000845D9">
        <w:t>’</w:t>
      </w:r>
      <w:r w:rsidRPr="008A6188">
        <w:t xml:space="preserve">s </w:t>
      </w:r>
      <w:r>
        <w:t>choices on what and how they access their supports</w:t>
      </w:r>
      <w:r w:rsidRPr="008A6188">
        <w:t>. This includes improvements through individualised funding, better information and assistance and a new supported self-assessment.</w:t>
      </w:r>
    </w:p>
    <w:p w:rsidR="00ED6788" w:rsidRDefault="00ED6788" w:rsidP="00F740F4"/>
    <w:p w:rsidR="00ED6788" w:rsidRDefault="00ED6788" w:rsidP="00F740F4">
      <w:pPr>
        <w:pStyle w:val="Heading4"/>
      </w:pPr>
      <w:r>
        <w:lastRenderedPageBreak/>
        <w:t>Community services</w:t>
      </w:r>
    </w:p>
    <w:p w:rsidR="00ED6788" w:rsidRDefault="00ED6788" w:rsidP="00F740F4">
      <w:pPr>
        <w:keepLines/>
      </w:pPr>
      <w:r>
        <w:t>Community</w:t>
      </w:r>
      <w:r w:rsidR="00F740F4">
        <w:t>-</w:t>
      </w:r>
      <w:r>
        <w:t xml:space="preserve">based </w:t>
      </w:r>
      <w:r w:rsidRPr="00220EED">
        <w:t>services</w:t>
      </w:r>
      <w:r>
        <w:t xml:space="preserve"> include </w:t>
      </w:r>
      <w:r w:rsidRPr="00220EED">
        <w:t xml:space="preserve">support </w:t>
      </w:r>
      <w:r>
        <w:t xml:space="preserve">for </w:t>
      </w:r>
      <w:r w:rsidRPr="00220EED">
        <w:t>clients to live in their own homes</w:t>
      </w:r>
      <w:r>
        <w:t>. T</w:t>
      </w:r>
      <w:r w:rsidRPr="00F926D1">
        <w:t xml:space="preserve">hese services include </w:t>
      </w:r>
      <w:r>
        <w:t>i</w:t>
      </w:r>
      <w:r w:rsidRPr="00F926D1">
        <w:t xml:space="preserve">ndividualised </w:t>
      </w:r>
      <w:r>
        <w:t>f</w:t>
      </w:r>
      <w:r w:rsidRPr="00F926D1">
        <w:t>unding that allows peop</w:t>
      </w:r>
      <w:r>
        <w:t xml:space="preserve">le to manage their </w:t>
      </w:r>
      <w:r w:rsidRPr="00220EED">
        <w:t>personal care</w:t>
      </w:r>
      <w:r>
        <w:t>,</w:t>
      </w:r>
      <w:r w:rsidRPr="00220EED">
        <w:t xml:space="preserve"> household management</w:t>
      </w:r>
      <w:r w:rsidRPr="00F926D1">
        <w:t>, caregiver support</w:t>
      </w:r>
      <w:r w:rsidRPr="00220EED">
        <w:t xml:space="preserve"> </w:t>
      </w:r>
      <w:r>
        <w:t>and respite</w:t>
      </w:r>
      <w:r w:rsidRPr="00F926D1">
        <w:t xml:space="preserve"> allocations</w:t>
      </w:r>
      <w:r>
        <w:t>. Enhanced individualised f</w:t>
      </w:r>
      <w:r w:rsidRPr="00220EED">
        <w:t>unding</w:t>
      </w:r>
      <w:r>
        <w:t xml:space="preserve">, which is being trialled in one NASC region, gives people </w:t>
      </w:r>
      <w:r w:rsidR="00F740F4">
        <w:t xml:space="preserve">a </w:t>
      </w:r>
      <w:r w:rsidRPr="00F926D1">
        <w:t>wider range of choice</w:t>
      </w:r>
      <w:r>
        <w:t>s</w:t>
      </w:r>
      <w:r w:rsidRPr="00F926D1">
        <w:t xml:space="preserve"> </w:t>
      </w:r>
      <w:r>
        <w:t>and flexibility on what supports they access.</w:t>
      </w:r>
    </w:p>
    <w:p w:rsidR="00ED6788" w:rsidRDefault="00ED6788" w:rsidP="00F740F4"/>
    <w:p w:rsidR="00ED6788" w:rsidRPr="00220EED" w:rsidRDefault="00ED6788" w:rsidP="00F740F4">
      <w:r w:rsidRPr="00F926D1">
        <w:t>Support for carers taking a break from the</w:t>
      </w:r>
      <w:r>
        <w:t>ir</w:t>
      </w:r>
      <w:r w:rsidRPr="00F926D1">
        <w:t xml:space="preserve"> usual caring arrangements and support for a disabled person to live with other people </w:t>
      </w:r>
      <w:r>
        <w:t>allows</w:t>
      </w:r>
      <w:r w:rsidRPr="00F926D1">
        <w:t xml:space="preserve"> more choice as </w:t>
      </w:r>
      <w:r>
        <w:t>clients and their families are able to employ</w:t>
      </w:r>
      <w:r w:rsidRPr="00220EED">
        <w:t xml:space="preserve"> their resident family member</w:t>
      </w:r>
      <w:r w:rsidRPr="00C60CB4">
        <w:t xml:space="preserve"> </w:t>
      </w:r>
      <w:r w:rsidRPr="00220EED">
        <w:t>to care for</w:t>
      </w:r>
      <w:r>
        <w:t xml:space="preserve"> them</w:t>
      </w:r>
      <w:r w:rsidRPr="00220EED">
        <w:t>.</w:t>
      </w:r>
      <w:r>
        <w:t xml:space="preserve"> A new national behaviour support service </w:t>
      </w:r>
      <w:r w:rsidRPr="0013598D">
        <w:t xml:space="preserve">supporting younger persons with disabilities </w:t>
      </w:r>
      <w:r>
        <w:t>was also rolled out during the year.</w:t>
      </w:r>
    </w:p>
    <w:p w:rsidR="00ED6788" w:rsidRDefault="00ED6788" w:rsidP="00F740F4"/>
    <w:p w:rsidR="00ED6788" w:rsidRDefault="00ED6788" w:rsidP="00F740F4">
      <w:r w:rsidRPr="002E5DD3">
        <w:t xml:space="preserve">Community </w:t>
      </w:r>
      <w:r>
        <w:t>services support i</w:t>
      </w:r>
      <w:r w:rsidRPr="00F926D1">
        <w:t xml:space="preserve">ndividualised </w:t>
      </w:r>
      <w:r>
        <w:t>f</w:t>
      </w:r>
      <w:r w:rsidRPr="00F926D1">
        <w:t xml:space="preserve">unding for </w:t>
      </w:r>
      <w:r>
        <w:t>h</w:t>
      </w:r>
      <w:r w:rsidRPr="00F926D1">
        <w:t xml:space="preserve">ome and </w:t>
      </w:r>
      <w:r>
        <w:t>c</w:t>
      </w:r>
      <w:r w:rsidRPr="00F926D1">
        <w:t xml:space="preserve">ommunity </w:t>
      </w:r>
      <w:r>
        <w:t>s</w:t>
      </w:r>
      <w:r w:rsidRPr="00F926D1">
        <w:t xml:space="preserve">upport </w:t>
      </w:r>
      <w:r>
        <w:t>s</w:t>
      </w:r>
      <w:r w:rsidRPr="00F926D1">
        <w:t>ervices (HCSS) and r</w:t>
      </w:r>
      <w:r>
        <w:t>espite which enables</w:t>
      </w:r>
      <w:r w:rsidRPr="00F926D1">
        <w:t xml:space="preserve"> disabled people to directly manage the funding they have been allocated for disability supports (20,888 of 30,819 cl</w:t>
      </w:r>
      <w:r>
        <w:t>ients are now accessing HCSS). The service now supports 2</w:t>
      </w:r>
      <w:r w:rsidRPr="00F926D1">
        <w:t xml:space="preserve">326 people using </w:t>
      </w:r>
      <w:r>
        <w:t>e</w:t>
      </w:r>
      <w:r w:rsidRPr="00F926D1">
        <w:t>nhanced</w:t>
      </w:r>
      <w:r>
        <w:t xml:space="preserve"> i</w:t>
      </w:r>
      <w:r w:rsidRPr="00F926D1">
        <w:t xml:space="preserve">ndividualised </w:t>
      </w:r>
      <w:r>
        <w:t>f</w:t>
      </w:r>
      <w:r w:rsidRPr="00F926D1">
        <w:t>unding for managing their support allocation</w:t>
      </w:r>
      <w:r w:rsidR="00F740F4">
        <w:t>.</w:t>
      </w:r>
    </w:p>
    <w:p w:rsidR="00ED6788" w:rsidRPr="00220EED" w:rsidRDefault="00ED6788" w:rsidP="00F740F4"/>
    <w:p w:rsidR="00ED6788" w:rsidRDefault="00ED6788" w:rsidP="00F740F4">
      <w:pPr>
        <w:pStyle w:val="Heading4"/>
      </w:pPr>
      <w:r>
        <w:t>Environmental support</w:t>
      </w:r>
    </w:p>
    <w:p w:rsidR="00ED6788" w:rsidRDefault="00ED6788" w:rsidP="00E9088D">
      <w:r w:rsidRPr="002E5DD3">
        <w:t>Environmental support</w:t>
      </w:r>
      <w:r>
        <w:t xml:space="preserve"> services provide equipment and supports for eligible people who have a long</w:t>
      </w:r>
      <w:r w:rsidR="00E9088D">
        <w:t>-</w:t>
      </w:r>
      <w:r>
        <w:t>term disability that may be physical, intellectual or sensory (vision and hearing).</w:t>
      </w:r>
    </w:p>
    <w:p w:rsidR="00ED6788" w:rsidRDefault="00ED6788" w:rsidP="00E9088D"/>
    <w:p w:rsidR="00ED6788" w:rsidRDefault="00ED6788" w:rsidP="00E9088D">
      <w:r>
        <w:t xml:space="preserve">The largest service within environmental support is equipment and modification services. This service provides </w:t>
      </w:r>
      <w:r w:rsidRPr="00220EED">
        <w:t xml:space="preserve">equipment, housing </w:t>
      </w:r>
      <w:r>
        <w:t xml:space="preserve">and </w:t>
      </w:r>
      <w:r w:rsidRPr="00220EED">
        <w:t xml:space="preserve">motor vehicle modifications </w:t>
      </w:r>
      <w:r>
        <w:t>for disabled people across New Zealand. The equipment prioritisation tool was fully implemented this year with 12,120 assessments completed using the tool. The prioritisation tool provides a nationally consistent tool to determine access to funding. The tool ensures those with the greatest need and ability to benefit get funding for complex equipment and modifications.</w:t>
      </w:r>
    </w:p>
    <w:p w:rsidR="00ED6788" w:rsidRPr="00220EED" w:rsidRDefault="00ED6788" w:rsidP="00E9088D"/>
    <w:p w:rsidR="00ED6788" w:rsidRDefault="00ED6788" w:rsidP="00E9088D">
      <w:r w:rsidRPr="00935271">
        <w:t xml:space="preserve">In 2014/15 the service funded sequential cochlear implants </w:t>
      </w:r>
      <w:r>
        <w:t>for 43</w:t>
      </w:r>
      <w:r w:rsidRPr="00935271">
        <w:t xml:space="preserve"> children under </w:t>
      </w:r>
      <w:r w:rsidR="00E9088D">
        <w:t>six</w:t>
      </w:r>
      <w:r w:rsidRPr="00935271">
        <w:t xml:space="preserve"> years of age for and </w:t>
      </w:r>
      <w:r>
        <w:t>46 bilateral implants for</w:t>
      </w:r>
      <w:r w:rsidRPr="00935271">
        <w:t xml:space="preserve"> children aged 0</w:t>
      </w:r>
      <w:r w:rsidR="00E9088D">
        <w:t>–</w:t>
      </w:r>
      <w:r w:rsidRPr="00935271">
        <w:t>18</w:t>
      </w:r>
      <w:r>
        <w:t xml:space="preserve"> years</w:t>
      </w:r>
      <w:r w:rsidRPr="00935271">
        <w:t xml:space="preserve"> including surgery for both ears. A</w:t>
      </w:r>
      <w:r w:rsidR="00E9088D">
        <w:t> </w:t>
      </w:r>
      <w:r w:rsidRPr="00935271">
        <w:t>further 15 children aged 0</w:t>
      </w:r>
      <w:r w:rsidR="00E9088D">
        <w:t>–</w:t>
      </w:r>
      <w:r w:rsidRPr="00935271">
        <w:t xml:space="preserve">18 years received a unilateral implant for clinical reasons. </w:t>
      </w:r>
      <w:r>
        <w:t xml:space="preserve">A further </w:t>
      </w:r>
      <w:r w:rsidRPr="00935271">
        <w:t>40</w:t>
      </w:r>
      <w:r w:rsidR="00E9088D">
        <w:t> </w:t>
      </w:r>
      <w:r w:rsidRPr="00935271">
        <w:t>adults were also funded for single cochlear implants this year.</w:t>
      </w:r>
    </w:p>
    <w:p w:rsidR="00ED6788" w:rsidRDefault="00ED6788" w:rsidP="00E9088D"/>
    <w:p w:rsidR="00ED6788" w:rsidRDefault="00ED6788" w:rsidP="00E9088D">
      <w:pPr>
        <w:pStyle w:val="Heading4"/>
      </w:pPr>
      <w:r>
        <w:t>Other disability services</w:t>
      </w:r>
    </w:p>
    <w:p w:rsidR="00ED6788" w:rsidRDefault="00ED6788" w:rsidP="00E9088D">
      <w:r w:rsidRPr="00935271">
        <w:t xml:space="preserve">Disability </w:t>
      </w:r>
      <w:r>
        <w:t>s</w:t>
      </w:r>
      <w:r w:rsidRPr="00935271">
        <w:t xml:space="preserve">upport </w:t>
      </w:r>
      <w:r>
        <w:t>s</w:t>
      </w:r>
      <w:r w:rsidRPr="00935271">
        <w:t xml:space="preserve">ervices </w:t>
      </w:r>
      <w:r>
        <w:t xml:space="preserve">hosted five regional hui for Māori clients and providers which provided feedback on implementation of </w:t>
      </w:r>
      <w:r w:rsidRPr="007401BC">
        <w:t>Whāia te ao Marama, the Māori Disability Action Plan</w:t>
      </w:r>
      <w:r>
        <w:t>.</w:t>
      </w:r>
    </w:p>
    <w:p w:rsidR="00ED6788" w:rsidRDefault="00ED6788" w:rsidP="00E9088D"/>
    <w:p w:rsidR="00ED6788" w:rsidRDefault="00ED6788" w:rsidP="00E9088D">
      <w:r>
        <w:t>The Disability Consumer Consortium, the Māori Monitoring and Advisory Group and the Faiva Ora Leadership Group each met twice during the year to advise the Ministry on issues relating to disability support services.</w:t>
      </w:r>
    </w:p>
    <w:p w:rsidR="00ED6788" w:rsidRDefault="00ED6788" w:rsidP="00E9088D"/>
    <w:p w:rsidR="00ED6788" w:rsidRPr="007401BC" w:rsidRDefault="00ED6788" w:rsidP="00E9088D">
      <w:r>
        <w:t>Disability support services consulted widely with disabled people, families/wh</w:t>
      </w:r>
      <w:r w:rsidR="00E9088D">
        <w:t>ā</w:t>
      </w:r>
      <w:r>
        <w:t>nau, disability support providers and disabled persons</w:t>
      </w:r>
      <w:r w:rsidR="000845D9">
        <w:t>’</w:t>
      </w:r>
      <w:r>
        <w:t xml:space="preserve"> organisations during the year to update the service specifications for its key services, and to develop outcome measures for these services.</w:t>
      </w:r>
    </w:p>
    <w:p w:rsidR="00ED6788" w:rsidRDefault="00ED6788" w:rsidP="00E9088D"/>
    <w:p w:rsidR="00ED6788" w:rsidRDefault="00ED6788" w:rsidP="00E9088D">
      <w:pPr>
        <w:pStyle w:val="Heading4"/>
      </w:pPr>
      <w:r w:rsidRPr="00C7474F">
        <w:lastRenderedPageBreak/>
        <w:t>Relevant 20</w:t>
      </w:r>
      <w:r>
        <w:t>14</w:t>
      </w:r>
      <w:r w:rsidRPr="00C7474F">
        <w:t>/1</w:t>
      </w:r>
      <w:r>
        <w:t>5</w:t>
      </w:r>
      <w:r w:rsidRPr="00C7474F">
        <w:t xml:space="preserve"> reports published on the Ministry website</w:t>
      </w:r>
    </w:p>
    <w:p w:rsidR="00ED6788" w:rsidRDefault="00ED6788" w:rsidP="00E9088D">
      <w:pPr>
        <w:pStyle w:val="Bullet"/>
        <w:keepNext/>
      </w:pPr>
      <w:r w:rsidRPr="00E9088D">
        <w:rPr>
          <w:i/>
        </w:rPr>
        <w:t>Disability Support Services Strategic Plan 2014 to 2018</w:t>
      </w:r>
      <w:r>
        <w:t>, June 2015, Ministry of Health.</w:t>
      </w:r>
    </w:p>
    <w:p w:rsidR="00ED6788" w:rsidRDefault="00ED6788" w:rsidP="00E9088D">
      <w:pPr>
        <w:pStyle w:val="Bullet"/>
        <w:keepNext/>
      </w:pPr>
      <w:r w:rsidRPr="00E9088D">
        <w:rPr>
          <w:i/>
        </w:rPr>
        <w:t>Demographic Information on Clients Using the Ministry of Health</w:t>
      </w:r>
      <w:r w:rsidR="000845D9" w:rsidRPr="00E9088D">
        <w:rPr>
          <w:i/>
        </w:rPr>
        <w:t>’</w:t>
      </w:r>
      <w:r w:rsidRPr="00E9088D">
        <w:rPr>
          <w:i/>
        </w:rPr>
        <w:t>s Disability Support Services</w:t>
      </w:r>
      <w:r>
        <w:t>, April 2015, Ministry of Health</w:t>
      </w:r>
      <w:r w:rsidR="00E9088D">
        <w:t>.</w:t>
      </w:r>
    </w:p>
    <w:p w:rsidR="00ED6788" w:rsidRDefault="00ED6788" w:rsidP="00E9088D">
      <w:pPr>
        <w:pStyle w:val="Bullet"/>
      </w:pPr>
      <w:r w:rsidRPr="00E9088D">
        <w:rPr>
          <w:i/>
        </w:rPr>
        <w:t>Stocktake and Needs Analysis of Low Vision Services in New Zealand</w:t>
      </w:r>
      <w:r w:rsidRPr="001E353F">
        <w:t>, March 2015, Litmus</w:t>
      </w:r>
      <w:r w:rsidR="00E9088D">
        <w:t>.</w:t>
      </w:r>
    </w:p>
    <w:p w:rsidR="00E9088D" w:rsidRPr="007401BC" w:rsidRDefault="00E9088D" w:rsidP="00E9088D"/>
    <w:p w:rsidR="00ED6788" w:rsidRDefault="00ED6788" w:rsidP="00E9088D">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C25CC8">
            <w:pPr>
              <w:pStyle w:val="TableText"/>
              <w:keepNext/>
              <w:ind w:right="284"/>
              <w:jc w:val="right"/>
            </w:pPr>
            <w:r>
              <w:t>183,262</w:t>
            </w:r>
          </w:p>
        </w:tc>
        <w:tc>
          <w:tcPr>
            <w:tcW w:w="3968" w:type="dxa"/>
            <w:tcBorders>
              <w:top w:val="single" w:sz="4" w:space="0" w:color="auto"/>
              <w:left w:val="nil"/>
            </w:tcBorders>
            <w:shd w:val="solid" w:color="FFFFFF" w:fill="auto"/>
          </w:tcPr>
          <w:p w:rsidR="00ED6788" w:rsidRPr="00F76DA3" w:rsidRDefault="00ED6788" w:rsidP="00C25CC8">
            <w:pPr>
              <w:pStyle w:val="TableText"/>
              <w:rPr>
                <w:rFonts w:cs="Arial"/>
                <w:szCs w:val="18"/>
              </w:rPr>
            </w:pPr>
            <w:r w:rsidRPr="00F76DA3">
              <w:rPr>
                <w:rFonts w:cs="Arial"/>
                <w:szCs w:val="18"/>
              </w:rPr>
              <w:t>DHBs</w:t>
            </w:r>
          </w:p>
        </w:tc>
        <w:tc>
          <w:tcPr>
            <w:tcW w:w="1276" w:type="dxa"/>
            <w:tcBorders>
              <w:top w:val="single" w:sz="4" w:space="0" w:color="auto"/>
            </w:tcBorders>
            <w:shd w:val="clear" w:color="E3E3E3" w:fill="D9D9D9"/>
          </w:tcPr>
          <w:p w:rsidR="00ED6788" w:rsidRPr="00F76DA3" w:rsidRDefault="00ED6788" w:rsidP="00E9088D">
            <w:pPr>
              <w:pStyle w:val="TableText"/>
              <w:ind w:right="142"/>
              <w:jc w:val="right"/>
              <w:rPr>
                <w:rFonts w:cs="Arial"/>
                <w:szCs w:val="18"/>
              </w:rPr>
            </w:pPr>
            <w:r>
              <w:t>181,827</w:t>
            </w:r>
          </w:p>
        </w:tc>
        <w:tc>
          <w:tcPr>
            <w:tcW w:w="1488" w:type="dxa"/>
            <w:tcBorders>
              <w:top w:val="single" w:sz="4" w:space="0" w:color="auto"/>
            </w:tcBorders>
          </w:tcPr>
          <w:p w:rsidR="00ED6788" w:rsidRPr="002C0E8B" w:rsidRDefault="00ED6788" w:rsidP="00C25CC8">
            <w:pPr>
              <w:pStyle w:val="TableText"/>
              <w:keepNext/>
              <w:jc w:val="right"/>
            </w:pPr>
            <w:r>
              <w:t>179,970</w:t>
            </w:r>
          </w:p>
        </w:tc>
        <w:tc>
          <w:tcPr>
            <w:tcW w:w="1347" w:type="dxa"/>
            <w:tcBorders>
              <w:top w:val="single" w:sz="4" w:space="0" w:color="auto"/>
            </w:tcBorders>
          </w:tcPr>
          <w:p w:rsidR="00ED6788" w:rsidRPr="002C0E8B" w:rsidRDefault="00ED6788" w:rsidP="00C25CC8">
            <w:pPr>
              <w:pStyle w:val="TableText"/>
              <w:keepNext/>
              <w:jc w:val="right"/>
            </w:pPr>
            <w:r>
              <w:t>179,970</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pPr>
            <w:r>
              <w:t>98</w:t>
            </w:r>
          </w:p>
        </w:tc>
        <w:tc>
          <w:tcPr>
            <w:tcW w:w="3968" w:type="dxa"/>
            <w:tcBorders>
              <w:left w:val="nil"/>
            </w:tcBorders>
            <w:shd w:val="solid" w:color="FFFFFF" w:fill="auto"/>
          </w:tcPr>
          <w:p w:rsidR="00ED6788" w:rsidRPr="00F76DA3" w:rsidRDefault="00ED6788" w:rsidP="00E9088D">
            <w:pPr>
              <w:pStyle w:val="TableText"/>
              <w:rPr>
                <w:rFonts w:cs="Arial"/>
                <w:szCs w:val="18"/>
              </w:rPr>
            </w:pPr>
            <w:r w:rsidRPr="00F76DA3">
              <w:rPr>
                <w:rFonts w:cs="Arial"/>
                <w:szCs w:val="18"/>
              </w:rPr>
              <w:t xml:space="preserve">Other Crown </w:t>
            </w:r>
            <w:r w:rsidR="00E9088D">
              <w:rPr>
                <w:rFonts w:cs="Arial"/>
                <w:szCs w:val="18"/>
              </w:rPr>
              <w:t>e</w:t>
            </w:r>
            <w:r w:rsidRPr="00F76DA3">
              <w:rPr>
                <w:rFonts w:cs="Arial"/>
                <w:szCs w:val="18"/>
              </w:rPr>
              <w:t>ntities</w:t>
            </w:r>
          </w:p>
        </w:tc>
        <w:tc>
          <w:tcPr>
            <w:tcW w:w="1276" w:type="dxa"/>
            <w:shd w:val="clear" w:color="E3E3E3" w:fill="D9D9D9"/>
          </w:tcPr>
          <w:p w:rsidR="00ED6788" w:rsidRPr="00F76DA3" w:rsidRDefault="00E9088D" w:rsidP="00E9088D">
            <w:pPr>
              <w:pStyle w:val="TableText"/>
              <w:ind w:right="142"/>
              <w:jc w:val="right"/>
              <w:rPr>
                <w:rFonts w:cs="Arial"/>
                <w:szCs w:val="18"/>
              </w:rPr>
            </w:pPr>
            <w:r>
              <w:t>–</w:t>
            </w:r>
          </w:p>
        </w:tc>
        <w:tc>
          <w:tcPr>
            <w:tcW w:w="1488" w:type="dxa"/>
          </w:tcPr>
          <w:p w:rsidR="00ED6788" w:rsidRPr="002C0E8B" w:rsidRDefault="00E9088D" w:rsidP="00E9088D">
            <w:pPr>
              <w:pStyle w:val="TableText"/>
              <w:jc w:val="right"/>
            </w:pPr>
            <w:r>
              <w:t>–</w:t>
            </w:r>
          </w:p>
        </w:tc>
        <w:tc>
          <w:tcPr>
            <w:tcW w:w="1347" w:type="dxa"/>
          </w:tcPr>
          <w:p w:rsidR="00ED6788" w:rsidRPr="002C0E8B" w:rsidRDefault="00E9088D" w:rsidP="00C25CC8">
            <w:pPr>
              <w:pStyle w:val="TableText"/>
              <w:jc w:val="right"/>
            </w:pPr>
            <w:r>
              <w:t>–</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pPr>
            <w:r>
              <w:t>903,407</w:t>
            </w:r>
          </w:p>
        </w:tc>
        <w:tc>
          <w:tcPr>
            <w:tcW w:w="3968" w:type="dxa"/>
            <w:tcBorders>
              <w:left w:val="nil"/>
            </w:tcBorders>
            <w:shd w:val="solid" w:color="FFFFFF" w:fill="auto"/>
          </w:tcPr>
          <w:p w:rsidR="00ED6788" w:rsidRPr="00F76DA3" w:rsidRDefault="00ED6788" w:rsidP="00E9088D">
            <w:pPr>
              <w:pStyle w:val="TableText"/>
              <w:rPr>
                <w:rFonts w:cs="Arial"/>
                <w:szCs w:val="18"/>
              </w:rPr>
            </w:pPr>
            <w:r w:rsidRPr="00F76DA3">
              <w:rPr>
                <w:rFonts w:cs="Arial"/>
                <w:szCs w:val="18"/>
              </w:rPr>
              <w:t>Non-</w:t>
            </w:r>
            <w:r w:rsidR="00E9088D">
              <w:rPr>
                <w:rFonts w:cs="Arial"/>
                <w:szCs w:val="18"/>
              </w:rPr>
              <w:t>g</w:t>
            </w:r>
            <w:r w:rsidRPr="00F76DA3">
              <w:rPr>
                <w:rFonts w:cs="Arial"/>
                <w:szCs w:val="18"/>
              </w:rPr>
              <w:t xml:space="preserve">overnment </w:t>
            </w:r>
            <w:r w:rsidR="00E9088D">
              <w:rPr>
                <w:rFonts w:cs="Arial"/>
                <w:szCs w:val="18"/>
              </w:rPr>
              <w:t>o</w:t>
            </w:r>
            <w:r w:rsidRPr="00F76DA3">
              <w:rPr>
                <w:rFonts w:cs="Arial"/>
                <w:szCs w:val="18"/>
              </w:rPr>
              <w:t>rganisations</w:t>
            </w:r>
          </w:p>
        </w:tc>
        <w:tc>
          <w:tcPr>
            <w:tcW w:w="1276" w:type="dxa"/>
            <w:shd w:val="clear" w:color="E3E3E3" w:fill="D9D9D9"/>
          </w:tcPr>
          <w:p w:rsidR="00ED6788" w:rsidRPr="00F76DA3" w:rsidRDefault="00ED6788" w:rsidP="00E9088D">
            <w:pPr>
              <w:pStyle w:val="TableText"/>
              <w:ind w:right="142"/>
              <w:jc w:val="right"/>
              <w:rPr>
                <w:rFonts w:cs="Arial"/>
                <w:szCs w:val="18"/>
              </w:rPr>
            </w:pPr>
            <w:r>
              <w:t>944,235</w:t>
            </w:r>
          </w:p>
        </w:tc>
        <w:tc>
          <w:tcPr>
            <w:tcW w:w="1488" w:type="dxa"/>
          </w:tcPr>
          <w:p w:rsidR="00ED6788" w:rsidRPr="002C0E8B" w:rsidRDefault="00ED6788" w:rsidP="00C25CC8">
            <w:pPr>
              <w:pStyle w:val="TableText"/>
              <w:jc w:val="right"/>
            </w:pPr>
            <w:r>
              <w:t>937,577</w:t>
            </w:r>
          </w:p>
        </w:tc>
        <w:tc>
          <w:tcPr>
            <w:tcW w:w="1347" w:type="dxa"/>
          </w:tcPr>
          <w:p w:rsidR="00ED6788" w:rsidRPr="002C0E8B" w:rsidRDefault="00ED6788" w:rsidP="00C25CC8">
            <w:pPr>
              <w:pStyle w:val="TableText"/>
              <w:jc w:val="right"/>
            </w:pPr>
            <w:r>
              <w:t>946,440</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1,086,767</w:t>
            </w:r>
          </w:p>
        </w:tc>
        <w:tc>
          <w:tcPr>
            <w:tcW w:w="3968" w:type="dxa"/>
            <w:tcBorders>
              <w:left w:val="nil"/>
            </w:tcBorders>
            <w:shd w:val="solid" w:color="FFFFFF" w:fill="auto"/>
          </w:tcPr>
          <w:p w:rsidR="00ED6788" w:rsidRPr="002C0E8B" w:rsidRDefault="00ED6788" w:rsidP="00C25CC8">
            <w:pPr>
              <w:pStyle w:val="TableText"/>
              <w:keepNext/>
              <w:rPr>
                <w:b/>
              </w:rPr>
            </w:pPr>
            <w:r w:rsidRPr="00402325">
              <w:rPr>
                <w:rFonts w:cs="Arial"/>
                <w:b/>
                <w:szCs w:val="18"/>
              </w:rPr>
              <w:t>Total appropriation</w:t>
            </w:r>
          </w:p>
        </w:tc>
        <w:tc>
          <w:tcPr>
            <w:tcW w:w="1276" w:type="dxa"/>
            <w:shd w:val="clear" w:color="E3E3E3" w:fill="D9D9D9"/>
          </w:tcPr>
          <w:p w:rsidR="00ED6788" w:rsidRDefault="00ED6788" w:rsidP="00E9088D">
            <w:pPr>
              <w:pStyle w:val="TableText"/>
              <w:keepNext/>
              <w:ind w:right="142"/>
              <w:jc w:val="right"/>
            </w:pPr>
            <w:r>
              <w:rPr>
                <w:b/>
                <w:bCs/>
              </w:rPr>
              <w:t>1,126,061</w:t>
            </w:r>
          </w:p>
        </w:tc>
        <w:tc>
          <w:tcPr>
            <w:tcW w:w="1488" w:type="dxa"/>
          </w:tcPr>
          <w:p w:rsidR="00ED6788" w:rsidRPr="002C0E8B" w:rsidRDefault="00ED6788" w:rsidP="00C25CC8">
            <w:pPr>
              <w:pStyle w:val="TableText"/>
              <w:jc w:val="right"/>
              <w:rPr>
                <w:b/>
              </w:rPr>
            </w:pPr>
            <w:r>
              <w:rPr>
                <w:b/>
                <w:bCs/>
              </w:rPr>
              <w:t>1,117,547</w:t>
            </w:r>
          </w:p>
        </w:tc>
        <w:tc>
          <w:tcPr>
            <w:tcW w:w="1347" w:type="dxa"/>
          </w:tcPr>
          <w:p w:rsidR="00ED6788" w:rsidRPr="002C0E8B" w:rsidRDefault="00ED6788" w:rsidP="00C25CC8">
            <w:pPr>
              <w:pStyle w:val="TableText"/>
              <w:jc w:val="right"/>
              <w:rPr>
                <w:b/>
              </w:rPr>
            </w:pPr>
            <w:r>
              <w:rPr>
                <w:b/>
                <w:bCs/>
              </w:rPr>
              <w:t>1,126,410</w:t>
            </w:r>
          </w:p>
        </w:tc>
      </w:tr>
    </w:tbl>
    <w:p w:rsidR="00ED6788" w:rsidRDefault="00ED6788" w:rsidP="00E9088D"/>
    <w:p w:rsidR="00ED6788" w:rsidRDefault="00ED6788" w:rsidP="00E9088D">
      <w:pPr>
        <w:pStyle w:val="Heading3"/>
      </w:pPr>
      <w:r w:rsidRPr="007A1F5B">
        <w:t>Comments</w:t>
      </w:r>
    </w:p>
    <w:p w:rsidR="00ED6788" w:rsidRPr="009B4172" w:rsidRDefault="00ED6788" w:rsidP="00E9088D">
      <w:bookmarkStart w:id="24" w:name="_Toc242760878"/>
      <w:r w:rsidRPr="009B4172">
        <w:t>Th</w:t>
      </w:r>
      <w:r>
        <w:t>e overspend of $8.514 million against</w:t>
      </w:r>
      <w:r w:rsidRPr="009B4172">
        <w:t xml:space="preserve"> the Main Estimates </w:t>
      </w:r>
      <w:r>
        <w:t>(0.76 percent of appropriation) is</w:t>
      </w:r>
      <w:r w:rsidRPr="009B4172">
        <w:t xml:space="preserve"> related to a demand increase in the disability support services including community living services and family </w:t>
      </w:r>
      <w:r>
        <w:t xml:space="preserve">and </w:t>
      </w:r>
      <w:r w:rsidRPr="009B4172">
        <w:t>community services. A fund transfer for the overspend was approved by the Minister of Finance under Section 26A of the Public Finance Act 1989.</w:t>
      </w:r>
    </w:p>
    <w:bookmarkEnd w:id="24"/>
    <w:p w:rsidR="00ED6788" w:rsidRPr="002876FD" w:rsidRDefault="00ED6788" w:rsidP="00E9088D"/>
    <w:p w:rsidR="000845D9" w:rsidRPr="00E9088D" w:rsidRDefault="00ED6788" w:rsidP="00E9088D">
      <w:pPr>
        <w:pStyle w:val="Heading2"/>
      </w:pPr>
      <w:bookmarkStart w:id="25" w:name="_Toc432765748"/>
      <w:bookmarkStart w:id="26" w:name="_Toc433713781"/>
      <w:r w:rsidRPr="000C7904">
        <w:lastRenderedPageBreak/>
        <w:t xml:space="preserve">National </w:t>
      </w:r>
      <w:r w:rsidR="00734595">
        <w:t>e</w:t>
      </w:r>
      <w:r w:rsidRPr="002C6142">
        <w:t xml:space="preserve">lective </w:t>
      </w:r>
      <w:r w:rsidR="00734595">
        <w:t>s</w:t>
      </w:r>
      <w:r w:rsidRPr="002C6142">
        <w:t>ervices</w:t>
      </w:r>
      <w:bookmarkEnd w:id="25"/>
      <w:bookmarkEnd w:id="26"/>
    </w:p>
    <w:p w:rsidR="00ED6788" w:rsidRDefault="00ED6788" w:rsidP="00AE2B65">
      <w:pPr>
        <w:keepNext/>
      </w:pPr>
      <w:r>
        <w:t>The s</w:t>
      </w:r>
      <w:r w:rsidRPr="007F473C">
        <w:t xml:space="preserve">cope </w:t>
      </w:r>
      <w:r>
        <w:t>of the appropriation is the funding for the purchase of additional elective surgery services.</w:t>
      </w:r>
      <w:r w:rsidR="000845D9">
        <w:t xml:space="preserve"> </w:t>
      </w:r>
      <w:r w:rsidRPr="002C6142">
        <w:t>This appropriation is intended to improve access to elective procedures by funding more procedures and improvements to how elective procedures are provided or supported</w:t>
      </w:r>
      <w:r>
        <w:t>.</w:t>
      </w:r>
    </w:p>
    <w:p w:rsidR="00ED6788" w:rsidRDefault="00ED6788" w:rsidP="00AE2B65">
      <w:pPr>
        <w:keepNext/>
      </w:pPr>
    </w:p>
    <w:p w:rsidR="00ED6788" w:rsidRDefault="00ED6788" w:rsidP="00AE2B65">
      <w:pPr>
        <w:keepNext/>
      </w:pPr>
      <w:r>
        <w:t>Previous reporting for</w:t>
      </w:r>
      <w:r w:rsidRPr="002E5DD3">
        <w:t xml:space="preserve"> National Elective Services </w:t>
      </w:r>
      <w:r>
        <w:t>was delegated to all DHBs. From 2015/16 the reporting will be against the measures below.</w:t>
      </w:r>
      <w:r w:rsidRPr="005E0DD4">
        <w:t xml:space="preserve"> </w:t>
      </w:r>
      <w:r>
        <w:t>The</w:t>
      </w:r>
      <w:r w:rsidRPr="005E0DD4">
        <w:t xml:space="preserve"> </w:t>
      </w:r>
      <w:r>
        <w:t>2015/16 b</w:t>
      </w:r>
      <w:r w:rsidRPr="005E0DD4">
        <w:t xml:space="preserve">udget </w:t>
      </w:r>
      <w:r>
        <w:t>s</w:t>
      </w:r>
      <w:r w:rsidRPr="005E0DD4">
        <w:t xml:space="preserve">tandards are based on </w:t>
      </w:r>
      <w:r>
        <w:t xml:space="preserve">the 2014/15 </w:t>
      </w:r>
      <w:r w:rsidRPr="005E0DD4">
        <w:t>Crown Funding Agreements.</w:t>
      </w:r>
    </w:p>
    <w:p w:rsidR="00ED6788" w:rsidRDefault="00ED6788" w:rsidP="00AE2B65">
      <w:pPr>
        <w:keepNext/>
      </w:pPr>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4300"/>
        <w:gridCol w:w="1680"/>
        <w:gridCol w:w="1680"/>
      </w:tblGrid>
      <w:tr w:rsidR="00ED6788" w:rsidRPr="00AE2B65" w:rsidTr="00AE2B65">
        <w:trPr>
          <w:cantSplit/>
        </w:trPr>
        <w:tc>
          <w:tcPr>
            <w:tcW w:w="4300" w:type="dxa"/>
            <w:tcBorders>
              <w:top w:val="single" w:sz="4" w:space="0" w:color="auto"/>
              <w:bottom w:val="single" w:sz="4" w:space="0" w:color="auto"/>
            </w:tcBorders>
            <w:shd w:val="clear" w:color="auto" w:fill="auto"/>
          </w:tcPr>
          <w:p w:rsidR="00ED6788" w:rsidRPr="00AE2B65" w:rsidRDefault="00ED6788" w:rsidP="00AE2B65">
            <w:pPr>
              <w:pStyle w:val="TableText"/>
              <w:keepNext/>
              <w:rPr>
                <w:b/>
              </w:rPr>
            </w:pPr>
          </w:p>
        </w:tc>
        <w:tc>
          <w:tcPr>
            <w:tcW w:w="1680" w:type="dxa"/>
            <w:tcBorders>
              <w:top w:val="single" w:sz="4" w:space="0" w:color="auto"/>
              <w:bottom w:val="single" w:sz="4" w:space="0" w:color="auto"/>
            </w:tcBorders>
            <w:shd w:val="clear" w:color="auto" w:fill="auto"/>
          </w:tcPr>
          <w:p w:rsidR="00ED6788" w:rsidRPr="00AE2B65" w:rsidRDefault="00ED6788" w:rsidP="00AE2B65">
            <w:pPr>
              <w:pStyle w:val="TableText"/>
              <w:keepNext/>
              <w:jc w:val="right"/>
              <w:rPr>
                <w:b/>
              </w:rPr>
            </w:pPr>
            <w:r w:rsidRPr="00AE2B65">
              <w:rPr>
                <w:b/>
              </w:rPr>
              <w:t>2014/15</w:t>
            </w:r>
          </w:p>
        </w:tc>
        <w:tc>
          <w:tcPr>
            <w:tcW w:w="1680" w:type="dxa"/>
            <w:tcBorders>
              <w:top w:val="single" w:sz="4" w:space="0" w:color="auto"/>
              <w:bottom w:val="single" w:sz="4" w:space="0" w:color="auto"/>
            </w:tcBorders>
            <w:shd w:val="clear" w:color="auto" w:fill="auto"/>
          </w:tcPr>
          <w:p w:rsidR="00ED6788" w:rsidRPr="00AE2B65" w:rsidRDefault="00ED6788" w:rsidP="00AE2B65">
            <w:pPr>
              <w:pStyle w:val="TableText"/>
              <w:keepNext/>
              <w:jc w:val="right"/>
              <w:rPr>
                <w:b/>
              </w:rPr>
            </w:pPr>
            <w:r w:rsidRPr="00AE2B65">
              <w:rPr>
                <w:b/>
              </w:rPr>
              <w:t>2015/16</w:t>
            </w:r>
          </w:p>
        </w:tc>
      </w:tr>
      <w:tr w:rsidR="00ED6788" w:rsidTr="00AE2B65">
        <w:trPr>
          <w:cantSplit/>
        </w:trPr>
        <w:tc>
          <w:tcPr>
            <w:tcW w:w="4300" w:type="dxa"/>
            <w:tcBorders>
              <w:top w:val="single" w:sz="4" w:space="0" w:color="auto"/>
              <w:bottom w:val="single" w:sz="4" w:space="0" w:color="A6A6A6" w:themeColor="background1" w:themeShade="A6"/>
            </w:tcBorders>
            <w:shd w:val="clear" w:color="auto" w:fill="auto"/>
          </w:tcPr>
          <w:p w:rsidR="00ED6788" w:rsidRDefault="00ED6788" w:rsidP="00AE2B65">
            <w:pPr>
              <w:pStyle w:val="TableText"/>
              <w:keepNext/>
            </w:pPr>
            <w:r>
              <w:t xml:space="preserve">Assessment of </w:t>
            </w:r>
            <w:r w:rsidR="00AE2B65">
              <w:t>p</w:t>
            </w:r>
            <w:r>
              <w:t>erformance</w:t>
            </w:r>
          </w:p>
        </w:tc>
        <w:tc>
          <w:tcPr>
            <w:tcW w:w="1680" w:type="dxa"/>
            <w:tcBorders>
              <w:top w:val="single" w:sz="4" w:space="0" w:color="auto"/>
              <w:bottom w:val="single" w:sz="4" w:space="0" w:color="A6A6A6" w:themeColor="background1" w:themeShade="A6"/>
            </w:tcBorders>
            <w:shd w:val="clear" w:color="auto" w:fill="auto"/>
          </w:tcPr>
          <w:p w:rsidR="00ED6788" w:rsidRDefault="00ED6788" w:rsidP="00AE2B65">
            <w:pPr>
              <w:pStyle w:val="TableText"/>
              <w:keepNext/>
              <w:jc w:val="right"/>
            </w:pPr>
            <w:r>
              <w:t>Standard</w:t>
            </w:r>
          </w:p>
        </w:tc>
        <w:tc>
          <w:tcPr>
            <w:tcW w:w="1680" w:type="dxa"/>
            <w:tcBorders>
              <w:top w:val="single" w:sz="4" w:space="0" w:color="auto"/>
              <w:bottom w:val="single" w:sz="4" w:space="0" w:color="A6A6A6" w:themeColor="background1" w:themeShade="A6"/>
            </w:tcBorders>
            <w:shd w:val="clear" w:color="auto" w:fill="auto"/>
          </w:tcPr>
          <w:p w:rsidR="00ED6788" w:rsidRDefault="00ED6788" w:rsidP="00AE2B65">
            <w:pPr>
              <w:pStyle w:val="TableText"/>
              <w:keepNext/>
              <w:jc w:val="right"/>
            </w:pPr>
            <w:r>
              <w:t>Standard</w:t>
            </w:r>
          </w:p>
        </w:tc>
      </w:tr>
      <w:tr w:rsidR="00ED6788" w:rsidRPr="00AE2B65" w:rsidTr="00AE2B65">
        <w:trPr>
          <w:cantSplit/>
        </w:trPr>
        <w:tc>
          <w:tcPr>
            <w:tcW w:w="4300" w:type="dxa"/>
            <w:tcBorders>
              <w:top w:val="single" w:sz="4" w:space="0" w:color="A6A6A6" w:themeColor="background1" w:themeShade="A6"/>
              <w:bottom w:val="nil"/>
            </w:tcBorders>
            <w:shd w:val="clear" w:color="auto" w:fill="auto"/>
          </w:tcPr>
          <w:p w:rsidR="00ED6788" w:rsidRPr="00AE2B65" w:rsidRDefault="00ED6788" w:rsidP="00AE2B65">
            <w:pPr>
              <w:pStyle w:val="TableText"/>
              <w:keepNext/>
              <w:rPr>
                <w:b/>
              </w:rPr>
            </w:pPr>
            <w:r w:rsidRPr="00AE2B65">
              <w:rPr>
                <w:b/>
              </w:rPr>
              <w:t xml:space="preserve">Electives and </w:t>
            </w:r>
            <w:r w:rsidR="00AE2B65" w:rsidRPr="00AE2B65">
              <w:rPr>
                <w:b/>
              </w:rPr>
              <w:t>a</w:t>
            </w:r>
            <w:r w:rsidRPr="00AE2B65">
              <w:rPr>
                <w:b/>
              </w:rPr>
              <w:t xml:space="preserve">mbulatory </w:t>
            </w:r>
            <w:r w:rsidR="00AE2B65" w:rsidRPr="00AE2B65">
              <w:rPr>
                <w:b/>
              </w:rPr>
              <w:t>i</w:t>
            </w:r>
            <w:r w:rsidRPr="00AE2B65">
              <w:rPr>
                <w:b/>
              </w:rPr>
              <w:t>nitiative</w:t>
            </w:r>
          </w:p>
        </w:tc>
        <w:tc>
          <w:tcPr>
            <w:tcW w:w="1680" w:type="dxa"/>
            <w:tcBorders>
              <w:top w:val="single" w:sz="4" w:space="0" w:color="A6A6A6" w:themeColor="background1" w:themeShade="A6"/>
              <w:bottom w:val="nil"/>
            </w:tcBorders>
            <w:shd w:val="clear" w:color="auto" w:fill="auto"/>
          </w:tcPr>
          <w:p w:rsidR="00ED6788" w:rsidRPr="00AE2B65" w:rsidRDefault="00ED6788" w:rsidP="00AE2B65">
            <w:pPr>
              <w:pStyle w:val="TableText"/>
              <w:keepNext/>
              <w:jc w:val="right"/>
              <w:rPr>
                <w:b/>
              </w:rPr>
            </w:pPr>
          </w:p>
        </w:tc>
        <w:tc>
          <w:tcPr>
            <w:tcW w:w="1680" w:type="dxa"/>
            <w:tcBorders>
              <w:top w:val="single" w:sz="4" w:space="0" w:color="A6A6A6" w:themeColor="background1" w:themeShade="A6"/>
              <w:bottom w:val="nil"/>
            </w:tcBorders>
            <w:shd w:val="clear" w:color="auto" w:fill="auto"/>
          </w:tcPr>
          <w:p w:rsidR="00ED6788" w:rsidRPr="00AE2B65" w:rsidRDefault="00ED6788" w:rsidP="00AE2B65">
            <w:pPr>
              <w:pStyle w:val="TableText"/>
              <w:keepNext/>
              <w:jc w:val="right"/>
              <w:rPr>
                <w:b/>
              </w:rPr>
            </w:pPr>
          </w:p>
        </w:tc>
      </w:tr>
      <w:tr w:rsidR="00ED6788" w:rsidTr="00AE2B65">
        <w:trPr>
          <w:cantSplit/>
        </w:trPr>
        <w:tc>
          <w:tcPr>
            <w:tcW w:w="4300" w:type="dxa"/>
            <w:tcBorders>
              <w:top w:val="nil"/>
            </w:tcBorders>
            <w:shd w:val="clear" w:color="auto" w:fill="auto"/>
          </w:tcPr>
          <w:p w:rsidR="00ED6788" w:rsidRDefault="00ED6788" w:rsidP="00AE2B65">
            <w:pPr>
              <w:pStyle w:val="TableText"/>
              <w:keepNext/>
            </w:pPr>
            <w:r>
              <w:t>Auckland DHB</w:t>
            </w:r>
          </w:p>
        </w:tc>
        <w:tc>
          <w:tcPr>
            <w:tcW w:w="1680" w:type="dxa"/>
            <w:tcBorders>
              <w:top w:val="nil"/>
            </w:tcBorders>
            <w:shd w:val="clear" w:color="auto" w:fill="auto"/>
          </w:tcPr>
          <w:p w:rsidR="00ED6788" w:rsidRDefault="00ED6788" w:rsidP="00AE2B65">
            <w:pPr>
              <w:pStyle w:val="TableText"/>
              <w:keepNext/>
              <w:jc w:val="right"/>
            </w:pPr>
            <w:r>
              <w:t>4848</w:t>
            </w:r>
          </w:p>
        </w:tc>
        <w:tc>
          <w:tcPr>
            <w:tcW w:w="1680" w:type="dxa"/>
            <w:tcBorders>
              <w:top w:val="nil"/>
            </w:tcBorders>
            <w:shd w:val="clear" w:color="auto" w:fill="auto"/>
          </w:tcPr>
          <w:p w:rsidR="00ED6788" w:rsidRDefault="00ED6788" w:rsidP="00AE2B65">
            <w:pPr>
              <w:pStyle w:val="TableText"/>
              <w:keepNext/>
              <w:jc w:val="right"/>
            </w:pPr>
            <w:r>
              <w:t>4848</w:t>
            </w:r>
          </w:p>
        </w:tc>
      </w:tr>
      <w:tr w:rsidR="00ED6788" w:rsidTr="00AE2B65">
        <w:trPr>
          <w:cantSplit/>
        </w:trPr>
        <w:tc>
          <w:tcPr>
            <w:tcW w:w="4300" w:type="dxa"/>
            <w:shd w:val="clear" w:color="auto" w:fill="auto"/>
          </w:tcPr>
          <w:p w:rsidR="00ED6788" w:rsidRDefault="00ED6788" w:rsidP="00AE2B65">
            <w:pPr>
              <w:pStyle w:val="TableText"/>
              <w:keepNext/>
            </w:pPr>
            <w:r>
              <w:t>Bay of Plenty DHB</w:t>
            </w:r>
          </w:p>
        </w:tc>
        <w:tc>
          <w:tcPr>
            <w:tcW w:w="1680" w:type="dxa"/>
            <w:shd w:val="clear" w:color="auto" w:fill="auto"/>
          </w:tcPr>
          <w:p w:rsidR="00ED6788" w:rsidRDefault="00ED6788" w:rsidP="00AE2B65">
            <w:pPr>
              <w:pStyle w:val="TableText"/>
              <w:keepNext/>
              <w:jc w:val="right"/>
            </w:pPr>
            <w:r>
              <w:t>1338</w:t>
            </w:r>
          </w:p>
        </w:tc>
        <w:tc>
          <w:tcPr>
            <w:tcW w:w="1680" w:type="dxa"/>
            <w:shd w:val="clear" w:color="auto" w:fill="auto"/>
          </w:tcPr>
          <w:p w:rsidR="00ED6788" w:rsidRDefault="00ED6788" w:rsidP="00AE2B65">
            <w:pPr>
              <w:pStyle w:val="TableText"/>
              <w:keepNext/>
              <w:jc w:val="right"/>
            </w:pPr>
            <w:r>
              <w:t>1338</w:t>
            </w:r>
          </w:p>
        </w:tc>
      </w:tr>
      <w:tr w:rsidR="00ED6788" w:rsidTr="00AE2B65">
        <w:trPr>
          <w:cantSplit/>
        </w:trPr>
        <w:tc>
          <w:tcPr>
            <w:tcW w:w="4300" w:type="dxa"/>
            <w:shd w:val="clear" w:color="auto" w:fill="auto"/>
          </w:tcPr>
          <w:p w:rsidR="00ED6788" w:rsidRDefault="00ED6788" w:rsidP="00AE2B65">
            <w:pPr>
              <w:pStyle w:val="TableText"/>
              <w:keepNext/>
            </w:pPr>
            <w:r>
              <w:t>Canterbury DHB</w:t>
            </w:r>
          </w:p>
        </w:tc>
        <w:tc>
          <w:tcPr>
            <w:tcW w:w="1680" w:type="dxa"/>
            <w:shd w:val="clear" w:color="auto" w:fill="auto"/>
          </w:tcPr>
          <w:p w:rsidR="00ED6788" w:rsidRDefault="00ED6788" w:rsidP="00AE2B65">
            <w:pPr>
              <w:pStyle w:val="TableText"/>
              <w:keepNext/>
              <w:jc w:val="right"/>
            </w:pPr>
            <w:r>
              <w:t>5317</w:t>
            </w:r>
          </w:p>
        </w:tc>
        <w:tc>
          <w:tcPr>
            <w:tcW w:w="1680" w:type="dxa"/>
            <w:shd w:val="clear" w:color="auto" w:fill="auto"/>
          </w:tcPr>
          <w:p w:rsidR="00ED6788" w:rsidRDefault="00ED6788" w:rsidP="00AE2B65">
            <w:pPr>
              <w:pStyle w:val="TableText"/>
              <w:keepNext/>
              <w:jc w:val="right"/>
            </w:pPr>
            <w:r>
              <w:t>5317</w:t>
            </w:r>
          </w:p>
        </w:tc>
      </w:tr>
      <w:tr w:rsidR="00ED6788" w:rsidTr="00AE2B65">
        <w:trPr>
          <w:cantSplit/>
        </w:trPr>
        <w:tc>
          <w:tcPr>
            <w:tcW w:w="4300" w:type="dxa"/>
            <w:shd w:val="clear" w:color="auto" w:fill="auto"/>
          </w:tcPr>
          <w:p w:rsidR="00ED6788" w:rsidRDefault="00ED6788" w:rsidP="00AE2B65">
            <w:pPr>
              <w:pStyle w:val="TableText"/>
              <w:keepNext/>
            </w:pPr>
            <w:r>
              <w:t>Capital and Coast DHB</w:t>
            </w:r>
          </w:p>
        </w:tc>
        <w:tc>
          <w:tcPr>
            <w:tcW w:w="1680" w:type="dxa"/>
            <w:shd w:val="clear" w:color="auto" w:fill="auto"/>
          </w:tcPr>
          <w:p w:rsidR="00ED6788" w:rsidRDefault="00ED6788" w:rsidP="00AE2B65">
            <w:pPr>
              <w:pStyle w:val="TableText"/>
              <w:keepNext/>
              <w:jc w:val="right"/>
            </w:pPr>
            <w:r>
              <w:t>2440</w:t>
            </w:r>
          </w:p>
        </w:tc>
        <w:tc>
          <w:tcPr>
            <w:tcW w:w="1680" w:type="dxa"/>
            <w:shd w:val="clear" w:color="auto" w:fill="auto"/>
          </w:tcPr>
          <w:p w:rsidR="00ED6788" w:rsidRDefault="00ED6788" w:rsidP="00AE2B65">
            <w:pPr>
              <w:pStyle w:val="TableText"/>
              <w:keepNext/>
              <w:jc w:val="right"/>
            </w:pPr>
            <w:r>
              <w:t>2440</w:t>
            </w:r>
          </w:p>
        </w:tc>
      </w:tr>
      <w:tr w:rsidR="00ED6788" w:rsidTr="00AE2B65">
        <w:trPr>
          <w:cantSplit/>
        </w:trPr>
        <w:tc>
          <w:tcPr>
            <w:tcW w:w="4300" w:type="dxa"/>
            <w:shd w:val="clear" w:color="auto" w:fill="auto"/>
          </w:tcPr>
          <w:p w:rsidR="00ED6788" w:rsidRDefault="00ED6788" w:rsidP="00AE2B65">
            <w:pPr>
              <w:pStyle w:val="TableText"/>
              <w:keepNext/>
            </w:pPr>
            <w:r>
              <w:t>Counties Manukau DHB</w:t>
            </w:r>
          </w:p>
        </w:tc>
        <w:tc>
          <w:tcPr>
            <w:tcW w:w="1680" w:type="dxa"/>
            <w:shd w:val="clear" w:color="auto" w:fill="auto"/>
          </w:tcPr>
          <w:p w:rsidR="00ED6788" w:rsidRDefault="00ED6788" w:rsidP="00AE2B65">
            <w:pPr>
              <w:pStyle w:val="TableText"/>
              <w:keepNext/>
              <w:jc w:val="right"/>
            </w:pPr>
            <w:r>
              <w:t>3758</w:t>
            </w:r>
          </w:p>
        </w:tc>
        <w:tc>
          <w:tcPr>
            <w:tcW w:w="1680" w:type="dxa"/>
            <w:shd w:val="clear" w:color="auto" w:fill="auto"/>
          </w:tcPr>
          <w:p w:rsidR="00ED6788" w:rsidRDefault="00ED6788" w:rsidP="00AE2B65">
            <w:pPr>
              <w:pStyle w:val="TableText"/>
              <w:keepNext/>
              <w:jc w:val="right"/>
            </w:pPr>
            <w:r>
              <w:t>3758</w:t>
            </w:r>
          </w:p>
        </w:tc>
      </w:tr>
      <w:tr w:rsidR="00ED6788" w:rsidTr="00AE2B65">
        <w:trPr>
          <w:cantSplit/>
        </w:trPr>
        <w:tc>
          <w:tcPr>
            <w:tcW w:w="4300" w:type="dxa"/>
            <w:shd w:val="clear" w:color="auto" w:fill="auto"/>
          </w:tcPr>
          <w:p w:rsidR="00ED6788" w:rsidRDefault="00ED6788" w:rsidP="00AE2B65">
            <w:pPr>
              <w:pStyle w:val="TableText"/>
              <w:keepNext/>
            </w:pPr>
            <w:r>
              <w:t>Hawkes Bay DHB</w:t>
            </w:r>
          </w:p>
        </w:tc>
        <w:tc>
          <w:tcPr>
            <w:tcW w:w="1680" w:type="dxa"/>
            <w:shd w:val="clear" w:color="auto" w:fill="auto"/>
          </w:tcPr>
          <w:p w:rsidR="00ED6788" w:rsidRDefault="00ED6788" w:rsidP="00AE2B65">
            <w:pPr>
              <w:pStyle w:val="TableText"/>
              <w:keepNext/>
              <w:jc w:val="right"/>
            </w:pPr>
            <w:r>
              <w:t>1373</w:t>
            </w:r>
          </w:p>
        </w:tc>
        <w:tc>
          <w:tcPr>
            <w:tcW w:w="1680" w:type="dxa"/>
            <w:shd w:val="clear" w:color="auto" w:fill="auto"/>
          </w:tcPr>
          <w:p w:rsidR="00ED6788" w:rsidRDefault="00ED6788" w:rsidP="00AE2B65">
            <w:pPr>
              <w:pStyle w:val="TableText"/>
              <w:keepNext/>
              <w:jc w:val="right"/>
            </w:pPr>
            <w:r>
              <w:t>1373</w:t>
            </w:r>
          </w:p>
        </w:tc>
      </w:tr>
      <w:tr w:rsidR="00ED6788" w:rsidTr="00AE2B65">
        <w:trPr>
          <w:cantSplit/>
        </w:trPr>
        <w:tc>
          <w:tcPr>
            <w:tcW w:w="4300" w:type="dxa"/>
            <w:shd w:val="clear" w:color="auto" w:fill="auto"/>
          </w:tcPr>
          <w:p w:rsidR="00ED6788" w:rsidRDefault="00ED6788" w:rsidP="00AE2B65">
            <w:pPr>
              <w:pStyle w:val="TableText"/>
              <w:keepNext/>
            </w:pPr>
            <w:r>
              <w:t>Hutt Valley DHB</w:t>
            </w:r>
          </w:p>
        </w:tc>
        <w:tc>
          <w:tcPr>
            <w:tcW w:w="1680" w:type="dxa"/>
            <w:shd w:val="clear" w:color="auto" w:fill="auto"/>
          </w:tcPr>
          <w:p w:rsidR="00ED6788" w:rsidRDefault="00ED6788" w:rsidP="00AE2B65">
            <w:pPr>
              <w:pStyle w:val="TableText"/>
              <w:keepNext/>
              <w:jc w:val="right"/>
            </w:pPr>
            <w:r>
              <w:t>1048</w:t>
            </w:r>
          </w:p>
        </w:tc>
        <w:tc>
          <w:tcPr>
            <w:tcW w:w="1680" w:type="dxa"/>
            <w:shd w:val="clear" w:color="auto" w:fill="auto"/>
          </w:tcPr>
          <w:p w:rsidR="00ED6788" w:rsidRDefault="00ED6788" w:rsidP="00AE2B65">
            <w:pPr>
              <w:pStyle w:val="TableText"/>
              <w:keepNext/>
              <w:jc w:val="right"/>
            </w:pPr>
            <w:r>
              <w:t>1048</w:t>
            </w:r>
          </w:p>
        </w:tc>
      </w:tr>
      <w:tr w:rsidR="00ED6788" w:rsidTr="00AE2B65">
        <w:trPr>
          <w:cantSplit/>
        </w:trPr>
        <w:tc>
          <w:tcPr>
            <w:tcW w:w="4300" w:type="dxa"/>
            <w:shd w:val="clear" w:color="auto" w:fill="auto"/>
          </w:tcPr>
          <w:p w:rsidR="00ED6788" w:rsidRDefault="00ED6788" w:rsidP="00AE2B65">
            <w:pPr>
              <w:pStyle w:val="TableText"/>
              <w:keepNext/>
            </w:pPr>
            <w:r>
              <w:t>Lakes DHB</w:t>
            </w:r>
          </w:p>
        </w:tc>
        <w:tc>
          <w:tcPr>
            <w:tcW w:w="1680" w:type="dxa"/>
            <w:shd w:val="clear" w:color="auto" w:fill="auto"/>
          </w:tcPr>
          <w:p w:rsidR="00ED6788" w:rsidRDefault="00ED6788" w:rsidP="00AE2B65">
            <w:pPr>
              <w:pStyle w:val="TableText"/>
              <w:keepNext/>
              <w:jc w:val="right"/>
            </w:pPr>
            <w:r>
              <w:t>961</w:t>
            </w:r>
          </w:p>
        </w:tc>
        <w:tc>
          <w:tcPr>
            <w:tcW w:w="1680" w:type="dxa"/>
            <w:shd w:val="clear" w:color="auto" w:fill="auto"/>
          </w:tcPr>
          <w:p w:rsidR="00ED6788" w:rsidRDefault="00ED6788" w:rsidP="00AE2B65">
            <w:pPr>
              <w:pStyle w:val="TableText"/>
              <w:keepNext/>
              <w:jc w:val="right"/>
            </w:pPr>
            <w:r>
              <w:t>961</w:t>
            </w:r>
          </w:p>
        </w:tc>
      </w:tr>
      <w:tr w:rsidR="00ED6788" w:rsidTr="00AE2B65">
        <w:trPr>
          <w:cantSplit/>
        </w:trPr>
        <w:tc>
          <w:tcPr>
            <w:tcW w:w="4300" w:type="dxa"/>
            <w:shd w:val="clear" w:color="auto" w:fill="auto"/>
          </w:tcPr>
          <w:p w:rsidR="00ED6788" w:rsidRDefault="00ED6788" w:rsidP="00AE2B65">
            <w:pPr>
              <w:pStyle w:val="TableText"/>
              <w:keepNext/>
            </w:pPr>
            <w:r>
              <w:t>MidCentral DHB</w:t>
            </w:r>
          </w:p>
        </w:tc>
        <w:tc>
          <w:tcPr>
            <w:tcW w:w="1680" w:type="dxa"/>
            <w:shd w:val="clear" w:color="auto" w:fill="auto"/>
          </w:tcPr>
          <w:p w:rsidR="00ED6788" w:rsidRDefault="00ED6788" w:rsidP="00AE2B65">
            <w:pPr>
              <w:pStyle w:val="TableText"/>
              <w:keepNext/>
              <w:jc w:val="right"/>
            </w:pPr>
            <w:r>
              <w:t>1642</w:t>
            </w:r>
          </w:p>
        </w:tc>
        <w:tc>
          <w:tcPr>
            <w:tcW w:w="1680" w:type="dxa"/>
            <w:shd w:val="clear" w:color="auto" w:fill="auto"/>
          </w:tcPr>
          <w:p w:rsidR="00ED6788" w:rsidRDefault="00ED6788" w:rsidP="00AE2B65">
            <w:pPr>
              <w:pStyle w:val="TableText"/>
              <w:keepNext/>
              <w:jc w:val="right"/>
            </w:pPr>
            <w:r>
              <w:t>1642</w:t>
            </w:r>
          </w:p>
        </w:tc>
      </w:tr>
      <w:tr w:rsidR="00ED6788" w:rsidTr="00AE2B65">
        <w:trPr>
          <w:cantSplit/>
        </w:trPr>
        <w:tc>
          <w:tcPr>
            <w:tcW w:w="4300" w:type="dxa"/>
            <w:shd w:val="clear" w:color="auto" w:fill="auto"/>
          </w:tcPr>
          <w:p w:rsidR="00ED6788" w:rsidRDefault="00ED6788" w:rsidP="00AE2B65">
            <w:pPr>
              <w:pStyle w:val="TableText"/>
              <w:keepNext/>
            </w:pPr>
            <w:r>
              <w:t>Nelson Marlborough DHB</w:t>
            </w:r>
          </w:p>
        </w:tc>
        <w:tc>
          <w:tcPr>
            <w:tcW w:w="1680" w:type="dxa"/>
            <w:shd w:val="clear" w:color="auto" w:fill="auto"/>
          </w:tcPr>
          <w:p w:rsidR="00ED6788" w:rsidRDefault="00ED6788" w:rsidP="00AE2B65">
            <w:pPr>
              <w:pStyle w:val="TableText"/>
              <w:keepNext/>
              <w:jc w:val="right"/>
            </w:pPr>
            <w:r>
              <w:t>1335</w:t>
            </w:r>
          </w:p>
        </w:tc>
        <w:tc>
          <w:tcPr>
            <w:tcW w:w="1680" w:type="dxa"/>
            <w:shd w:val="clear" w:color="auto" w:fill="auto"/>
          </w:tcPr>
          <w:p w:rsidR="00ED6788" w:rsidRDefault="00ED6788" w:rsidP="00AE2B65">
            <w:pPr>
              <w:pStyle w:val="TableText"/>
              <w:keepNext/>
              <w:jc w:val="right"/>
            </w:pPr>
            <w:r>
              <w:t>1335</w:t>
            </w:r>
          </w:p>
        </w:tc>
      </w:tr>
      <w:tr w:rsidR="00ED6788" w:rsidTr="00AE2B65">
        <w:trPr>
          <w:cantSplit/>
        </w:trPr>
        <w:tc>
          <w:tcPr>
            <w:tcW w:w="4300" w:type="dxa"/>
            <w:shd w:val="clear" w:color="auto" w:fill="auto"/>
          </w:tcPr>
          <w:p w:rsidR="00ED6788" w:rsidRDefault="00ED6788" w:rsidP="00AE2B65">
            <w:pPr>
              <w:pStyle w:val="TableText"/>
              <w:keepNext/>
            </w:pPr>
            <w:r>
              <w:t>Northland DHB</w:t>
            </w:r>
          </w:p>
        </w:tc>
        <w:tc>
          <w:tcPr>
            <w:tcW w:w="1680" w:type="dxa"/>
            <w:shd w:val="clear" w:color="auto" w:fill="auto"/>
          </w:tcPr>
          <w:p w:rsidR="00ED6788" w:rsidRDefault="00ED6788" w:rsidP="00AE2B65">
            <w:pPr>
              <w:pStyle w:val="TableText"/>
              <w:keepNext/>
              <w:jc w:val="right"/>
            </w:pPr>
            <w:r>
              <w:t>1725</w:t>
            </w:r>
          </w:p>
        </w:tc>
        <w:tc>
          <w:tcPr>
            <w:tcW w:w="1680" w:type="dxa"/>
            <w:shd w:val="clear" w:color="auto" w:fill="auto"/>
          </w:tcPr>
          <w:p w:rsidR="00ED6788" w:rsidRDefault="00ED6788" w:rsidP="00AE2B65">
            <w:pPr>
              <w:pStyle w:val="TableText"/>
              <w:keepNext/>
              <w:jc w:val="right"/>
            </w:pPr>
            <w:r>
              <w:t>1725</w:t>
            </w:r>
          </w:p>
        </w:tc>
      </w:tr>
      <w:tr w:rsidR="00ED6788" w:rsidTr="00AE2B65">
        <w:trPr>
          <w:cantSplit/>
        </w:trPr>
        <w:tc>
          <w:tcPr>
            <w:tcW w:w="4300" w:type="dxa"/>
            <w:shd w:val="clear" w:color="auto" w:fill="auto"/>
          </w:tcPr>
          <w:p w:rsidR="00ED6788" w:rsidRDefault="00ED6788" w:rsidP="00AE2B65">
            <w:pPr>
              <w:pStyle w:val="TableText"/>
            </w:pPr>
            <w:r>
              <w:t>South Canterbury DHB</w:t>
            </w:r>
          </w:p>
        </w:tc>
        <w:tc>
          <w:tcPr>
            <w:tcW w:w="1680" w:type="dxa"/>
            <w:shd w:val="clear" w:color="auto" w:fill="auto"/>
          </w:tcPr>
          <w:p w:rsidR="00ED6788" w:rsidRDefault="00ED6788" w:rsidP="00AE2B65">
            <w:pPr>
              <w:pStyle w:val="TableText"/>
              <w:jc w:val="right"/>
            </w:pPr>
            <w:r>
              <w:t>449</w:t>
            </w:r>
          </w:p>
        </w:tc>
        <w:tc>
          <w:tcPr>
            <w:tcW w:w="1680" w:type="dxa"/>
            <w:shd w:val="clear" w:color="auto" w:fill="auto"/>
          </w:tcPr>
          <w:p w:rsidR="00ED6788" w:rsidRDefault="00ED6788" w:rsidP="00AE2B65">
            <w:pPr>
              <w:pStyle w:val="TableText"/>
              <w:jc w:val="right"/>
            </w:pPr>
            <w:r>
              <w:t>449</w:t>
            </w:r>
          </w:p>
        </w:tc>
      </w:tr>
      <w:tr w:rsidR="00ED6788" w:rsidTr="00AE2B65">
        <w:trPr>
          <w:cantSplit/>
        </w:trPr>
        <w:tc>
          <w:tcPr>
            <w:tcW w:w="4300" w:type="dxa"/>
            <w:shd w:val="clear" w:color="auto" w:fill="auto"/>
          </w:tcPr>
          <w:p w:rsidR="00ED6788" w:rsidRDefault="00ED6788" w:rsidP="00AE2B65">
            <w:pPr>
              <w:pStyle w:val="TableText"/>
            </w:pPr>
            <w:r>
              <w:t>Southern DHB</w:t>
            </w:r>
          </w:p>
        </w:tc>
        <w:tc>
          <w:tcPr>
            <w:tcW w:w="1680" w:type="dxa"/>
            <w:shd w:val="clear" w:color="auto" w:fill="auto"/>
          </w:tcPr>
          <w:p w:rsidR="00ED6788" w:rsidRDefault="00ED6788" w:rsidP="00AE2B65">
            <w:pPr>
              <w:pStyle w:val="TableText"/>
              <w:jc w:val="right"/>
            </w:pPr>
            <w:r>
              <w:t>2504</w:t>
            </w:r>
          </w:p>
        </w:tc>
        <w:tc>
          <w:tcPr>
            <w:tcW w:w="1680" w:type="dxa"/>
            <w:shd w:val="clear" w:color="auto" w:fill="auto"/>
          </w:tcPr>
          <w:p w:rsidR="00ED6788" w:rsidRDefault="00ED6788" w:rsidP="00AE2B65">
            <w:pPr>
              <w:pStyle w:val="TableText"/>
              <w:jc w:val="right"/>
            </w:pPr>
            <w:r>
              <w:t>2504</w:t>
            </w:r>
          </w:p>
        </w:tc>
      </w:tr>
      <w:tr w:rsidR="00ED6788" w:rsidTr="00AE2B65">
        <w:trPr>
          <w:cantSplit/>
        </w:trPr>
        <w:tc>
          <w:tcPr>
            <w:tcW w:w="4300" w:type="dxa"/>
            <w:shd w:val="clear" w:color="auto" w:fill="auto"/>
          </w:tcPr>
          <w:p w:rsidR="00ED6788" w:rsidRDefault="00ED6788" w:rsidP="00AE2B65">
            <w:pPr>
              <w:pStyle w:val="TableText"/>
            </w:pPr>
            <w:r>
              <w:t>Tairawhiti DHB</w:t>
            </w:r>
          </w:p>
        </w:tc>
        <w:tc>
          <w:tcPr>
            <w:tcW w:w="1680" w:type="dxa"/>
            <w:shd w:val="clear" w:color="auto" w:fill="auto"/>
          </w:tcPr>
          <w:p w:rsidR="00ED6788" w:rsidRDefault="00ED6788" w:rsidP="00AE2B65">
            <w:pPr>
              <w:pStyle w:val="TableText"/>
              <w:jc w:val="right"/>
            </w:pPr>
            <w:r>
              <w:t>349</w:t>
            </w:r>
          </w:p>
        </w:tc>
        <w:tc>
          <w:tcPr>
            <w:tcW w:w="1680" w:type="dxa"/>
            <w:shd w:val="clear" w:color="auto" w:fill="auto"/>
          </w:tcPr>
          <w:p w:rsidR="00ED6788" w:rsidRDefault="00ED6788" w:rsidP="00AE2B65">
            <w:pPr>
              <w:pStyle w:val="TableText"/>
              <w:jc w:val="right"/>
            </w:pPr>
            <w:r>
              <w:t>349</w:t>
            </w:r>
          </w:p>
        </w:tc>
      </w:tr>
      <w:tr w:rsidR="00ED6788" w:rsidTr="00AE2B65">
        <w:trPr>
          <w:cantSplit/>
        </w:trPr>
        <w:tc>
          <w:tcPr>
            <w:tcW w:w="4300" w:type="dxa"/>
            <w:shd w:val="clear" w:color="auto" w:fill="auto"/>
          </w:tcPr>
          <w:p w:rsidR="00ED6788" w:rsidRDefault="00ED6788" w:rsidP="00AE2B65">
            <w:pPr>
              <w:pStyle w:val="TableText"/>
            </w:pPr>
            <w:r>
              <w:t>Taranaki DHB</w:t>
            </w:r>
          </w:p>
        </w:tc>
        <w:tc>
          <w:tcPr>
            <w:tcW w:w="1680" w:type="dxa"/>
            <w:shd w:val="clear" w:color="auto" w:fill="auto"/>
          </w:tcPr>
          <w:p w:rsidR="00ED6788" w:rsidRDefault="00ED6788" w:rsidP="00AE2B65">
            <w:pPr>
              <w:pStyle w:val="TableText"/>
              <w:jc w:val="right"/>
            </w:pPr>
            <w:r>
              <w:t>1067</w:t>
            </w:r>
          </w:p>
        </w:tc>
        <w:tc>
          <w:tcPr>
            <w:tcW w:w="1680" w:type="dxa"/>
            <w:shd w:val="clear" w:color="auto" w:fill="auto"/>
          </w:tcPr>
          <w:p w:rsidR="00ED6788" w:rsidRDefault="00ED6788" w:rsidP="00AE2B65">
            <w:pPr>
              <w:pStyle w:val="TableText"/>
              <w:jc w:val="right"/>
            </w:pPr>
            <w:r>
              <w:t>1067</w:t>
            </w:r>
          </w:p>
        </w:tc>
      </w:tr>
      <w:tr w:rsidR="00ED6788" w:rsidTr="00AE2B65">
        <w:trPr>
          <w:cantSplit/>
        </w:trPr>
        <w:tc>
          <w:tcPr>
            <w:tcW w:w="4300" w:type="dxa"/>
            <w:shd w:val="clear" w:color="auto" w:fill="auto"/>
          </w:tcPr>
          <w:p w:rsidR="00ED6788" w:rsidRDefault="00ED6788" w:rsidP="00AE2B65">
            <w:pPr>
              <w:pStyle w:val="TableText"/>
            </w:pPr>
            <w:r>
              <w:t>Waikato DHB</w:t>
            </w:r>
          </w:p>
        </w:tc>
        <w:tc>
          <w:tcPr>
            <w:tcW w:w="1680" w:type="dxa"/>
            <w:shd w:val="clear" w:color="auto" w:fill="auto"/>
          </w:tcPr>
          <w:p w:rsidR="00ED6788" w:rsidRDefault="00ED6788" w:rsidP="00AE2B65">
            <w:pPr>
              <w:pStyle w:val="TableText"/>
              <w:jc w:val="right"/>
            </w:pPr>
            <w:r>
              <w:t>3488</w:t>
            </w:r>
          </w:p>
        </w:tc>
        <w:tc>
          <w:tcPr>
            <w:tcW w:w="1680" w:type="dxa"/>
            <w:shd w:val="clear" w:color="auto" w:fill="auto"/>
          </w:tcPr>
          <w:p w:rsidR="00ED6788" w:rsidRDefault="00ED6788" w:rsidP="00AE2B65">
            <w:pPr>
              <w:pStyle w:val="TableText"/>
              <w:jc w:val="right"/>
            </w:pPr>
            <w:r>
              <w:t>3488</w:t>
            </w:r>
          </w:p>
        </w:tc>
      </w:tr>
      <w:tr w:rsidR="00ED6788" w:rsidTr="00AE2B65">
        <w:trPr>
          <w:cantSplit/>
        </w:trPr>
        <w:tc>
          <w:tcPr>
            <w:tcW w:w="4300" w:type="dxa"/>
            <w:shd w:val="clear" w:color="auto" w:fill="auto"/>
          </w:tcPr>
          <w:p w:rsidR="00ED6788" w:rsidRDefault="00ED6788" w:rsidP="00AE2B65">
            <w:pPr>
              <w:pStyle w:val="TableText"/>
            </w:pPr>
            <w:r>
              <w:t>Wairarapa DHB</w:t>
            </w:r>
          </w:p>
        </w:tc>
        <w:tc>
          <w:tcPr>
            <w:tcW w:w="1680" w:type="dxa"/>
            <w:shd w:val="clear" w:color="auto" w:fill="auto"/>
          </w:tcPr>
          <w:p w:rsidR="00ED6788" w:rsidRDefault="00ED6788" w:rsidP="00AE2B65">
            <w:pPr>
              <w:pStyle w:val="TableText"/>
              <w:jc w:val="right"/>
            </w:pPr>
            <w:r>
              <w:t>374</w:t>
            </w:r>
          </w:p>
        </w:tc>
        <w:tc>
          <w:tcPr>
            <w:tcW w:w="1680" w:type="dxa"/>
            <w:shd w:val="clear" w:color="auto" w:fill="auto"/>
          </w:tcPr>
          <w:p w:rsidR="00ED6788" w:rsidRDefault="00ED6788" w:rsidP="00AE2B65">
            <w:pPr>
              <w:pStyle w:val="TableText"/>
              <w:jc w:val="right"/>
            </w:pPr>
            <w:r>
              <w:t>374</w:t>
            </w:r>
          </w:p>
        </w:tc>
      </w:tr>
      <w:tr w:rsidR="00ED6788" w:rsidTr="00AE2B65">
        <w:trPr>
          <w:cantSplit/>
        </w:trPr>
        <w:tc>
          <w:tcPr>
            <w:tcW w:w="4300" w:type="dxa"/>
            <w:shd w:val="clear" w:color="auto" w:fill="auto"/>
          </w:tcPr>
          <w:p w:rsidR="00ED6788" w:rsidRDefault="00ED6788" w:rsidP="00AE2B65">
            <w:pPr>
              <w:pStyle w:val="TableText"/>
            </w:pPr>
            <w:r>
              <w:t>Waitemata DHB</w:t>
            </w:r>
          </w:p>
        </w:tc>
        <w:tc>
          <w:tcPr>
            <w:tcW w:w="1680" w:type="dxa"/>
            <w:shd w:val="clear" w:color="auto" w:fill="auto"/>
          </w:tcPr>
          <w:p w:rsidR="00ED6788" w:rsidRDefault="00ED6788" w:rsidP="00AE2B65">
            <w:pPr>
              <w:pStyle w:val="TableText"/>
              <w:jc w:val="right"/>
            </w:pPr>
            <w:r>
              <w:t>5184</w:t>
            </w:r>
          </w:p>
        </w:tc>
        <w:tc>
          <w:tcPr>
            <w:tcW w:w="1680" w:type="dxa"/>
            <w:shd w:val="clear" w:color="auto" w:fill="auto"/>
          </w:tcPr>
          <w:p w:rsidR="00ED6788" w:rsidRDefault="00ED6788" w:rsidP="00AE2B65">
            <w:pPr>
              <w:pStyle w:val="TableText"/>
              <w:jc w:val="right"/>
            </w:pPr>
            <w:r>
              <w:t>5184</w:t>
            </w:r>
          </w:p>
        </w:tc>
      </w:tr>
      <w:tr w:rsidR="00ED6788" w:rsidTr="00AE2B65">
        <w:trPr>
          <w:cantSplit/>
        </w:trPr>
        <w:tc>
          <w:tcPr>
            <w:tcW w:w="4300" w:type="dxa"/>
            <w:shd w:val="clear" w:color="auto" w:fill="auto"/>
          </w:tcPr>
          <w:p w:rsidR="00ED6788" w:rsidRDefault="00ED6788" w:rsidP="00AE2B65">
            <w:pPr>
              <w:pStyle w:val="TableText"/>
            </w:pPr>
            <w:r>
              <w:t>West Coast DHB</w:t>
            </w:r>
          </w:p>
        </w:tc>
        <w:tc>
          <w:tcPr>
            <w:tcW w:w="1680" w:type="dxa"/>
            <w:shd w:val="clear" w:color="auto" w:fill="auto"/>
          </w:tcPr>
          <w:p w:rsidR="00ED6788" w:rsidRDefault="00ED6788" w:rsidP="00AE2B65">
            <w:pPr>
              <w:pStyle w:val="TableText"/>
              <w:jc w:val="right"/>
            </w:pPr>
            <w:r>
              <w:t>255</w:t>
            </w:r>
          </w:p>
        </w:tc>
        <w:tc>
          <w:tcPr>
            <w:tcW w:w="1680" w:type="dxa"/>
            <w:shd w:val="clear" w:color="auto" w:fill="auto"/>
          </w:tcPr>
          <w:p w:rsidR="00ED6788" w:rsidRDefault="00ED6788" w:rsidP="00AE2B65">
            <w:pPr>
              <w:pStyle w:val="TableText"/>
              <w:jc w:val="right"/>
            </w:pPr>
            <w:r>
              <w:t>255</w:t>
            </w:r>
          </w:p>
        </w:tc>
      </w:tr>
      <w:tr w:rsidR="00ED6788" w:rsidTr="00AE2B65">
        <w:trPr>
          <w:cantSplit/>
        </w:trPr>
        <w:tc>
          <w:tcPr>
            <w:tcW w:w="4300" w:type="dxa"/>
            <w:shd w:val="clear" w:color="auto" w:fill="auto"/>
          </w:tcPr>
          <w:p w:rsidR="00ED6788" w:rsidRDefault="00ED6788" w:rsidP="00AE2B65">
            <w:pPr>
              <w:pStyle w:val="TableText"/>
            </w:pPr>
            <w:r>
              <w:t>Whanganui DHB</w:t>
            </w:r>
          </w:p>
        </w:tc>
        <w:tc>
          <w:tcPr>
            <w:tcW w:w="1680" w:type="dxa"/>
            <w:shd w:val="clear" w:color="auto" w:fill="auto"/>
          </w:tcPr>
          <w:p w:rsidR="00ED6788" w:rsidRDefault="00ED6788" w:rsidP="00AE2B65">
            <w:pPr>
              <w:pStyle w:val="TableText"/>
              <w:jc w:val="right"/>
            </w:pPr>
            <w:r>
              <w:t>559</w:t>
            </w:r>
          </w:p>
        </w:tc>
        <w:tc>
          <w:tcPr>
            <w:tcW w:w="1680" w:type="dxa"/>
            <w:shd w:val="clear" w:color="auto" w:fill="auto"/>
          </w:tcPr>
          <w:p w:rsidR="00ED6788" w:rsidRDefault="00ED6788" w:rsidP="00AE2B65">
            <w:pPr>
              <w:pStyle w:val="TableText"/>
              <w:jc w:val="right"/>
            </w:pPr>
            <w:r>
              <w:t>559</w:t>
            </w:r>
          </w:p>
        </w:tc>
      </w:tr>
      <w:tr w:rsidR="00ED6788" w:rsidTr="00AE2B65">
        <w:trPr>
          <w:cantSplit/>
        </w:trPr>
        <w:tc>
          <w:tcPr>
            <w:tcW w:w="4300" w:type="dxa"/>
            <w:tcBorders>
              <w:bottom w:val="single" w:sz="4" w:space="0" w:color="A6A6A6" w:themeColor="background1" w:themeShade="A6"/>
            </w:tcBorders>
            <w:shd w:val="clear" w:color="auto" w:fill="auto"/>
          </w:tcPr>
          <w:p w:rsidR="00ED6788" w:rsidRDefault="00ED6788" w:rsidP="00AE2B65">
            <w:pPr>
              <w:pStyle w:val="TableText"/>
            </w:pPr>
            <w:r>
              <w:t xml:space="preserve">Total </w:t>
            </w:r>
            <w:r w:rsidR="00AE2B65">
              <w:t>e</w:t>
            </w:r>
            <w:r>
              <w:t xml:space="preserve">lectives and </w:t>
            </w:r>
            <w:r w:rsidR="00AE2B65">
              <w:t>a</w:t>
            </w:r>
            <w:r>
              <w:t xml:space="preserve">mbulatory </w:t>
            </w:r>
            <w:r w:rsidR="00AE2B65">
              <w:t>i</w:t>
            </w:r>
            <w:r>
              <w:t>nitiative</w:t>
            </w:r>
          </w:p>
        </w:tc>
        <w:tc>
          <w:tcPr>
            <w:tcW w:w="1680" w:type="dxa"/>
            <w:tcBorders>
              <w:bottom w:val="single" w:sz="4" w:space="0" w:color="A6A6A6" w:themeColor="background1" w:themeShade="A6"/>
            </w:tcBorders>
            <w:shd w:val="clear" w:color="auto" w:fill="auto"/>
          </w:tcPr>
          <w:p w:rsidR="00ED6788" w:rsidRDefault="00ED6788" w:rsidP="00AE2B65">
            <w:pPr>
              <w:pStyle w:val="TableText"/>
              <w:jc w:val="right"/>
            </w:pPr>
            <w:r>
              <w:t>40,014</w:t>
            </w:r>
          </w:p>
        </w:tc>
        <w:tc>
          <w:tcPr>
            <w:tcW w:w="1680" w:type="dxa"/>
            <w:tcBorders>
              <w:bottom w:val="single" w:sz="4" w:space="0" w:color="A6A6A6" w:themeColor="background1" w:themeShade="A6"/>
            </w:tcBorders>
            <w:shd w:val="clear" w:color="auto" w:fill="auto"/>
          </w:tcPr>
          <w:p w:rsidR="00ED6788" w:rsidRDefault="00ED6788" w:rsidP="00AE2B65">
            <w:pPr>
              <w:pStyle w:val="TableText"/>
              <w:jc w:val="right"/>
            </w:pPr>
            <w:r>
              <w:t>40,014</w:t>
            </w:r>
          </w:p>
        </w:tc>
      </w:tr>
      <w:tr w:rsidR="00ED6788" w:rsidRPr="00AE2B65" w:rsidTr="00AE2B65">
        <w:trPr>
          <w:cantSplit/>
        </w:trPr>
        <w:tc>
          <w:tcPr>
            <w:tcW w:w="4300" w:type="dxa"/>
            <w:tcBorders>
              <w:top w:val="single" w:sz="4" w:space="0" w:color="A6A6A6" w:themeColor="background1" w:themeShade="A6"/>
              <w:bottom w:val="nil"/>
            </w:tcBorders>
            <w:shd w:val="clear" w:color="auto" w:fill="auto"/>
          </w:tcPr>
          <w:p w:rsidR="00ED6788" w:rsidRPr="00AE2B65" w:rsidRDefault="00AE2B65" w:rsidP="00AE2B65">
            <w:pPr>
              <w:pStyle w:val="TableText"/>
              <w:rPr>
                <w:b/>
              </w:rPr>
            </w:pPr>
            <w:r>
              <w:rPr>
                <w:b/>
              </w:rPr>
              <w:t>Bariatric i</w:t>
            </w:r>
            <w:r w:rsidR="00ED6788" w:rsidRPr="00AE2B65">
              <w:rPr>
                <w:b/>
              </w:rPr>
              <w:t>nitiative</w:t>
            </w:r>
          </w:p>
        </w:tc>
        <w:tc>
          <w:tcPr>
            <w:tcW w:w="1680" w:type="dxa"/>
            <w:tcBorders>
              <w:top w:val="single" w:sz="4" w:space="0" w:color="A6A6A6" w:themeColor="background1" w:themeShade="A6"/>
              <w:bottom w:val="nil"/>
            </w:tcBorders>
            <w:shd w:val="clear" w:color="auto" w:fill="auto"/>
          </w:tcPr>
          <w:p w:rsidR="00ED6788" w:rsidRPr="00AE2B65" w:rsidRDefault="00ED6788" w:rsidP="00AE2B65">
            <w:pPr>
              <w:pStyle w:val="TableText"/>
              <w:jc w:val="right"/>
              <w:rPr>
                <w:b/>
              </w:rPr>
            </w:pPr>
          </w:p>
        </w:tc>
        <w:tc>
          <w:tcPr>
            <w:tcW w:w="1680" w:type="dxa"/>
            <w:tcBorders>
              <w:top w:val="single" w:sz="4" w:space="0" w:color="A6A6A6" w:themeColor="background1" w:themeShade="A6"/>
              <w:bottom w:val="nil"/>
            </w:tcBorders>
            <w:shd w:val="clear" w:color="auto" w:fill="auto"/>
          </w:tcPr>
          <w:p w:rsidR="00ED6788" w:rsidRPr="00AE2B65" w:rsidRDefault="00ED6788" w:rsidP="00AE2B65">
            <w:pPr>
              <w:pStyle w:val="TableText"/>
              <w:jc w:val="right"/>
              <w:rPr>
                <w:b/>
              </w:rPr>
            </w:pPr>
          </w:p>
        </w:tc>
      </w:tr>
      <w:tr w:rsidR="00ED6788" w:rsidTr="00AE2B65">
        <w:trPr>
          <w:cantSplit/>
        </w:trPr>
        <w:tc>
          <w:tcPr>
            <w:tcW w:w="4300" w:type="dxa"/>
            <w:tcBorders>
              <w:top w:val="nil"/>
              <w:bottom w:val="single" w:sz="4" w:space="0" w:color="A6A6A6" w:themeColor="background1" w:themeShade="A6"/>
            </w:tcBorders>
            <w:shd w:val="clear" w:color="auto" w:fill="auto"/>
          </w:tcPr>
          <w:p w:rsidR="00ED6788" w:rsidRDefault="00ED6788" w:rsidP="00AE2B65">
            <w:pPr>
              <w:pStyle w:val="TableText"/>
            </w:pPr>
            <w:r>
              <w:t>All 20 DHBs Total Bariatric Initiative</w:t>
            </w:r>
          </w:p>
        </w:tc>
        <w:tc>
          <w:tcPr>
            <w:tcW w:w="1680" w:type="dxa"/>
            <w:tcBorders>
              <w:top w:val="nil"/>
              <w:bottom w:val="single" w:sz="4" w:space="0" w:color="A6A6A6" w:themeColor="background1" w:themeShade="A6"/>
            </w:tcBorders>
            <w:shd w:val="clear" w:color="auto" w:fill="auto"/>
          </w:tcPr>
          <w:p w:rsidR="00ED6788" w:rsidRDefault="00ED6788" w:rsidP="00AE2B65">
            <w:pPr>
              <w:pStyle w:val="TableText"/>
              <w:jc w:val="right"/>
            </w:pPr>
            <w:r>
              <w:t>126</w:t>
            </w:r>
          </w:p>
        </w:tc>
        <w:tc>
          <w:tcPr>
            <w:tcW w:w="1680" w:type="dxa"/>
            <w:tcBorders>
              <w:top w:val="nil"/>
              <w:bottom w:val="single" w:sz="4" w:space="0" w:color="A6A6A6" w:themeColor="background1" w:themeShade="A6"/>
            </w:tcBorders>
            <w:shd w:val="clear" w:color="auto" w:fill="auto"/>
          </w:tcPr>
          <w:p w:rsidR="00ED6788" w:rsidRDefault="00ED6788" w:rsidP="00AE2B65">
            <w:pPr>
              <w:pStyle w:val="TableText"/>
              <w:jc w:val="right"/>
            </w:pPr>
            <w:r>
              <w:t>126</w:t>
            </w:r>
          </w:p>
        </w:tc>
      </w:tr>
      <w:tr w:rsidR="00ED6788" w:rsidRPr="00AE2B65" w:rsidTr="00AE2B65">
        <w:trPr>
          <w:cantSplit/>
        </w:trPr>
        <w:tc>
          <w:tcPr>
            <w:tcW w:w="4300" w:type="dxa"/>
            <w:tcBorders>
              <w:top w:val="single" w:sz="4" w:space="0" w:color="A6A6A6" w:themeColor="background1" w:themeShade="A6"/>
            </w:tcBorders>
            <w:shd w:val="clear" w:color="auto" w:fill="auto"/>
          </w:tcPr>
          <w:p w:rsidR="00ED6788" w:rsidRPr="00AE2B65" w:rsidRDefault="00AE2B65" w:rsidP="00AE2B65">
            <w:pPr>
              <w:pStyle w:val="TableText"/>
              <w:rPr>
                <w:b/>
              </w:rPr>
            </w:pPr>
            <w:r>
              <w:rPr>
                <w:b/>
              </w:rPr>
              <w:t>Quality i</w:t>
            </w:r>
            <w:r w:rsidR="00ED6788" w:rsidRPr="00AE2B65">
              <w:rPr>
                <w:b/>
              </w:rPr>
              <w:t>nitiative</w:t>
            </w:r>
          </w:p>
        </w:tc>
        <w:tc>
          <w:tcPr>
            <w:tcW w:w="1680" w:type="dxa"/>
            <w:tcBorders>
              <w:top w:val="single" w:sz="4" w:space="0" w:color="A6A6A6" w:themeColor="background1" w:themeShade="A6"/>
            </w:tcBorders>
            <w:shd w:val="clear" w:color="auto" w:fill="auto"/>
          </w:tcPr>
          <w:p w:rsidR="00ED6788" w:rsidRPr="00AE2B65" w:rsidRDefault="00ED6788" w:rsidP="00AE2B65">
            <w:pPr>
              <w:pStyle w:val="TableText"/>
              <w:jc w:val="right"/>
              <w:rPr>
                <w:b/>
              </w:rPr>
            </w:pPr>
          </w:p>
        </w:tc>
        <w:tc>
          <w:tcPr>
            <w:tcW w:w="1680" w:type="dxa"/>
            <w:tcBorders>
              <w:top w:val="single" w:sz="4" w:space="0" w:color="A6A6A6" w:themeColor="background1" w:themeShade="A6"/>
            </w:tcBorders>
            <w:shd w:val="clear" w:color="auto" w:fill="auto"/>
          </w:tcPr>
          <w:p w:rsidR="00ED6788" w:rsidRPr="00AE2B65" w:rsidRDefault="00ED6788" w:rsidP="00AE2B65">
            <w:pPr>
              <w:pStyle w:val="TableText"/>
              <w:jc w:val="right"/>
              <w:rPr>
                <w:b/>
              </w:rPr>
            </w:pPr>
          </w:p>
        </w:tc>
      </w:tr>
      <w:tr w:rsidR="00ED6788" w:rsidTr="00AE2B65">
        <w:trPr>
          <w:cantSplit/>
        </w:trPr>
        <w:tc>
          <w:tcPr>
            <w:tcW w:w="4300" w:type="dxa"/>
            <w:tcBorders>
              <w:bottom w:val="single" w:sz="4" w:space="0" w:color="A6A6A6" w:themeColor="background1" w:themeShade="A6"/>
            </w:tcBorders>
            <w:shd w:val="clear" w:color="auto" w:fill="auto"/>
          </w:tcPr>
          <w:p w:rsidR="00ED6788" w:rsidRDefault="00ED6788" w:rsidP="00AE2B65">
            <w:pPr>
              <w:pStyle w:val="TableText"/>
            </w:pPr>
            <w:r>
              <w:t>All 20 DHBs</w:t>
            </w:r>
          </w:p>
        </w:tc>
        <w:tc>
          <w:tcPr>
            <w:tcW w:w="1680" w:type="dxa"/>
            <w:tcBorders>
              <w:bottom w:val="single" w:sz="4" w:space="0" w:color="A6A6A6" w:themeColor="background1" w:themeShade="A6"/>
            </w:tcBorders>
            <w:shd w:val="clear" w:color="auto" w:fill="auto"/>
          </w:tcPr>
          <w:p w:rsidR="00ED6788" w:rsidRDefault="00ED6788" w:rsidP="00AE2B65">
            <w:pPr>
              <w:pStyle w:val="TableText"/>
              <w:jc w:val="right"/>
            </w:pPr>
            <w:r>
              <w:t>20</w:t>
            </w:r>
          </w:p>
        </w:tc>
        <w:tc>
          <w:tcPr>
            <w:tcW w:w="1680" w:type="dxa"/>
            <w:tcBorders>
              <w:bottom w:val="single" w:sz="4" w:space="0" w:color="A6A6A6" w:themeColor="background1" w:themeShade="A6"/>
            </w:tcBorders>
            <w:shd w:val="clear" w:color="auto" w:fill="auto"/>
          </w:tcPr>
          <w:p w:rsidR="00ED6788" w:rsidRDefault="00ED6788" w:rsidP="00AE2B65">
            <w:pPr>
              <w:pStyle w:val="TableText"/>
              <w:jc w:val="right"/>
            </w:pPr>
            <w:r>
              <w:t>20</w:t>
            </w:r>
          </w:p>
        </w:tc>
      </w:tr>
      <w:tr w:rsidR="00ED6788" w:rsidRPr="00AE2B65" w:rsidTr="00AE2B65">
        <w:trPr>
          <w:cantSplit/>
        </w:trPr>
        <w:tc>
          <w:tcPr>
            <w:tcW w:w="4300" w:type="dxa"/>
            <w:tcBorders>
              <w:top w:val="single" w:sz="4" w:space="0" w:color="A6A6A6" w:themeColor="background1" w:themeShade="A6"/>
              <w:bottom w:val="nil"/>
            </w:tcBorders>
            <w:shd w:val="clear" w:color="auto" w:fill="auto"/>
          </w:tcPr>
          <w:p w:rsidR="00ED6788" w:rsidRPr="00AE2B65" w:rsidRDefault="00ED6788" w:rsidP="00AE2B65">
            <w:pPr>
              <w:pStyle w:val="TableText"/>
              <w:rPr>
                <w:b/>
              </w:rPr>
            </w:pPr>
            <w:r w:rsidRPr="00AE2B65">
              <w:rPr>
                <w:b/>
              </w:rPr>
              <w:t xml:space="preserve">Mobile </w:t>
            </w:r>
            <w:r w:rsidR="00AE2B65">
              <w:rPr>
                <w:b/>
              </w:rPr>
              <w:t>s</w:t>
            </w:r>
            <w:r w:rsidRPr="00AE2B65">
              <w:rPr>
                <w:b/>
              </w:rPr>
              <w:t xml:space="preserve">urgical </w:t>
            </w:r>
            <w:r w:rsidR="00AE2B65">
              <w:rPr>
                <w:b/>
              </w:rPr>
              <w:t>s</w:t>
            </w:r>
            <w:r w:rsidRPr="00AE2B65">
              <w:rPr>
                <w:b/>
              </w:rPr>
              <w:t>ervices</w:t>
            </w:r>
          </w:p>
        </w:tc>
        <w:tc>
          <w:tcPr>
            <w:tcW w:w="1680" w:type="dxa"/>
            <w:tcBorders>
              <w:top w:val="single" w:sz="4" w:space="0" w:color="A6A6A6" w:themeColor="background1" w:themeShade="A6"/>
              <w:bottom w:val="nil"/>
            </w:tcBorders>
            <w:shd w:val="clear" w:color="auto" w:fill="auto"/>
          </w:tcPr>
          <w:p w:rsidR="00ED6788" w:rsidRPr="00AE2B65" w:rsidRDefault="00ED6788" w:rsidP="00AE2B65">
            <w:pPr>
              <w:pStyle w:val="TableText"/>
              <w:jc w:val="right"/>
              <w:rPr>
                <w:b/>
              </w:rPr>
            </w:pPr>
          </w:p>
        </w:tc>
        <w:tc>
          <w:tcPr>
            <w:tcW w:w="1680" w:type="dxa"/>
            <w:tcBorders>
              <w:top w:val="single" w:sz="4" w:space="0" w:color="A6A6A6" w:themeColor="background1" w:themeShade="A6"/>
              <w:bottom w:val="nil"/>
            </w:tcBorders>
            <w:shd w:val="clear" w:color="auto" w:fill="auto"/>
          </w:tcPr>
          <w:p w:rsidR="00ED6788" w:rsidRPr="00AE2B65" w:rsidRDefault="00ED6788" w:rsidP="00AE2B65">
            <w:pPr>
              <w:pStyle w:val="TableText"/>
              <w:jc w:val="right"/>
              <w:rPr>
                <w:b/>
              </w:rPr>
            </w:pPr>
          </w:p>
        </w:tc>
      </w:tr>
      <w:tr w:rsidR="00ED6788" w:rsidTr="00AE2B65">
        <w:trPr>
          <w:cantSplit/>
        </w:trPr>
        <w:tc>
          <w:tcPr>
            <w:tcW w:w="4300" w:type="dxa"/>
            <w:tcBorders>
              <w:top w:val="nil"/>
            </w:tcBorders>
            <w:shd w:val="clear" w:color="auto" w:fill="auto"/>
          </w:tcPr>
          <w:p w:rsidR="00ED6788" w:rsidRDefault="00ED6788" w:rsidP="00AE2B65">
            <w:pPr>
              <w:pStyle w:val="TableText"/>
            </w:pPr>
            <w:r>
              <w:t>The elective day surgery target of case-weights (approximately 1500 operations per annum)</w:t>
            </w:r>
          </w:p>
        </w:tc>
        <w:tc>
          <w:tcPr>
            <w:tcW w:w="1680" w:type="dxa"/>
            <w:tcBorders>
              <w:top w:val="nil"/>
            </w:tcBorders>
            <w:shd w:val="clear" w:color="auto" w:fill="auto"/>
          </w:tcPr>
          <w:p w:rsidR="00ED6788" w:rsidRDefault="00ED6788" w:rsidP="00AE2B65">
            <w:pPr>
              <w:pStyle w:val="TableText"/>
              <w:jc w:val="right"/>
            </w:pPr>
            <w:r>
              <w:t>on track</w:t>
            </w:r>
            <w:r w:rsidR="00AE2B65">
              <w:br/>
            </w:r>
            <w:r>
              <w:t>(479 at Feb 2015)</w:t>
            </w:r>
          </w:p>
        </w:tc>
        <w:tc>
          <w:tcPr>
            <w:tcW w:w="1680" w:type="dxa"/>
            <w:tcBorders>
              <w:top w:val="nil"/>
            </w:tcBorders>
            <w:shd w:val="clear" w:color="auto" w:fill="auto"/>
          </w:tcPr>
          <w:p w:rsidR="00ED6788" w:rsidRDefault="00ED6788" w:rsidP="00AE2B65">
            <w:pPr>
              <w:pStyle w:val="TableText"/>
              <w:jc w:val="right"/>
            </w:pPr>
            <w:r>
              <w:t>650</w:t>
            </w:r>
          </w:p>
        </w:tc>
      </w:tr>
      <w:tr w:rsidR="00ED6788" w:rsidTr="00AE2B65">
        <w:trPr>
          <w:cantSplit/>
        </w:trPr>
        <w:tc>
          <w:tcPr>
            <w:tcW w:w="4300" w:type="dxa"/>
            <w:shd w:val="clear" w:color="auto" w:fill="auto"/>
          </w:tcPr>
          <w:p w:rsidR="00ED6788" w:rsidRDefault="00ED6788" w:rsidP="00AE2B65">
            <w:pPr>
              <w:pStyle w:val="TableText"/>
            </w:pPr>
            <w:r>
              <w:t>Rural health professional development and remote collaboration services volume targets met</w:t>
            </w:r>
          </w:p>
        </w:tc>
        <w:tc>
          <w:tcPr>
            <w:tcW w:w="1680" w:type="dxa"/>
            <w:shd w:val="clear" w:color="auto" w:fill="auto"/>
          </w:tcPr>
          <w:p w:rsidR="00ED6788" w:rsidRDefault="00ED6788" w:rsidP="00AE2B65">
            <w:pPr>
              <w:pStyle w:val="TableText"/>
              <w:jc w:val="right"/>
            </w:pPr>
            <w:r>
              <w:t>62%</w:t>
            </w:r>
          </w:p>
        </w:tc>
        <w:tc>
          <w:tcPr>
            <w:tcW w:w="1680" w:type="dxa"/>
            <w:shd w:val="clear" w:color="auto" w:fill="auto"/>
          </w:tcPr>
          <w:p w:rsidR="00ED6788" w:rsidRDefault="00ED6788" w:rsidP="00AE2B65">
            <w:pPr>
              <w:pStyle w:val="TableText"/>
              <w:jc w:val="right"/>
            </w:pPr>
            <w:r>
              <w:t>100%</w:t>
            </w:r>
          </w:p>
        </w:tc>
      </w:tr>
    </w:tbl>
    <w:p w:rsidR="00ED6788" w:rsidRDefault="00ED6788" w:rsidP="00AE2B65"/>
    <w:p w:rsidR="00ED6788" w:rsidRPr="00D6552D" w:rsidRDefault="00ED6788" w:rsidP="00AE2B65">
      <w:pPr>
        <w:pStyle w:val="Heading3"/>
      </w:pPr>
      <w:r w:rsidRPr="00D6552D">
        <w:lastRenderedPageBreak/>
        <w:t>Comments</w:t>
      </w:r>
    </w:p>
    <w:p w:rsidR="000845D9" w:rsidRDefault="00ED6788" w:rsidP="00AE2B65">
      <w:r w:rsidRPr="002C6142">
        <w:t xml:space="preserve">The output is the agreed </w:t>
      </w:r>
      <w:r>
        <w:t xml:space="preserve">number of </w:t>
      </w:r>
      <w:r w:rsidRPr="002C6142">
        <w:t>discharges, above the base funding for each DHB, which are funded through NDE funding only. This is only a proportion of each DHB</w:t>
      </w:r>
      <w:r w:rsidR="000845D9">
        <w:t>’</w:t>
      </w:r>
      <w:r w:rsidRPr="002C6142">
        <w:t xml:space="preserve">s total </w:t>
      </w:r>
      <w:r>
        <w:t>health t</w:t>
      </w:r>
      <w:r w:rsidRPr="002C6142">
        <w:t>arget expectation.</w:t>
      </w:r>
    </w:p>
    <w:p w:rsidR="00ED6788" w:rsidRDefault="00ED6788" w:rsidP="00AE2B65">
      <w:pPr>
        <w:pStyle w:val="Bullet"/>
      </w:pPr>
      <w:r w:rsidRPr="00030522">
        <w:t>The elective initiative supports agreed levels of delivery of surgical discharges</w:t>
      </w:r>
      <w:r>
        <w:t>.</w:t>
      </w:r>
    </w:p>
    <w:p w:rsidR="000845D9" w:rsidRDefault="00ED6788" w:rsidP="00AE2B65">
      <w:pPr>
        <w:pStyle w:val="Bullet"/>
      </w:pPr>
      <w:r>
        <w:t>T</w:t>
      </w:r>
      <w:r w:rsidRPr="00030522">
        <w:t>he ambulatory initiative supports agreed levels of surgical and medical first specialist assessments, community referred test</w:t>
      </w:r>
      <w:r w:rsidR="00AE2B65">
        <w:t>s</w:t>
      </w:r>
      <w:r w:rsidRPr="00030522">
        <w:t xml:space="preserve"> and some non-admitted procedures.</w:t>
      </w:r>
    </w:p>
    <w:p w:rsidR="000845D9" w:rsidRDefault="00ED6788" w:rsidP="00AE2B65">
      <w:pPr>
        <w:pStyle w:val="Bullet"/>
      </w:pPr>
      <w:r w:rsidRPr="002C6142">
        <w:t xml:space="preserve">The </w:t>
      </w:r>
      <w:r w:rsidR="00AE2B65">
        <w:t>b</w:t>
      </w:r>
      <w:r w:rsidRPr="002C6142">
        <w:t xml:space="preserve">ariatric </w:t>
      </w:r>
      <w:r>
        <w:t>i</w:t>
      </w:r>
      <w:r w:rsidRPr="002C6142">
        <w:t>nitiative supports agreed levels of bariatric surgery discharges above DHB base levels.</w:t>
      </w:r>
    </w:p>
    <w:p w:rsidR="00ED6788" w:rsidRDefault="00ED6788" w:rsidP="00AE2B65">
      <w:pPr>
        <w:pStyle w:val="Bullet"/>
      </w:pPr>
      <w:r w:rsidRPr="002C6142">
        <w:t xml:space="preserve">The </w:t>
      </w:r>
      <w:r>
        <w:t>quality i</w:t>
      </w:r>
      <w:r w:rsidRPr="002C6142">
        <w:t>nitiative is targeted funding to support DHBs in maintaining timely access, implementing system change or new models of care to create capacity to elective surgery</w:t>
      </w:r>
      <w:r>
        <w:t>.</w:t>
      </w:r>
    </w:p>
    <w:p w:rsidR="00ED6788" w:rsidRDefault="00ED6788" w:rsidP="00AE2B65"/>
    <w:p w:rsidR="00ED6788" w:rsidRDefault="00ED6788" w:rsidP="00AE2B65">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C25CC8">
            <w:pPr>
              <w:pStyle w:val="TableText"/>
              <w:keepNext/>
              <w:ind w:right="284"/>
              <w:jc w:val="right"/>
            </w:pPr>
            <w:r>
              <w:t>300,241</w:t>
            </w:r>
          </w:p>
        </w:tc>
        <w:tc>
          <w:tcPr>
            <w:tcW w:w="3968" w:type="dxa"/>
            <w:tcBorders>
              <w:top w:val="single" w:sz="4" w:space="0" w:color="auto"/>
              <w:left w:val="nil"/>
            </w:tcBorders>
            <w:shd w:val="solid" w:color="FFFFFF" w:fill="auto"/>
          </w:tcPr>
          <w:p w:rsidR="00ED6788" w:rsidRPr="00F76DA3" w:rsidRDefault="00ED6788" w:rsidP="00C25CC8">
            <w:pPr>
              <w:pStyle w:val="TableText"/>
              <w:rPr>
                <w:rFonts w:cs="Arial"/>
                <w:szCs w:val="18"/>
              </w:rPr>
            </w:pPr>
            <w:r w:rsidRPr="00F76DA3">
              <w:rPr>
                <w:rFonts w:cs="Arial"/>
                <w:szCs w:val="18"/>
              </w:rPr>
              <w:t>DHBs</w:t>
            </w:r>
          </w:p>
        </w:tc>
        <w:tc>
          <w:tcPr>
            <w:tcW w:w="1276" w:type="dxa"/>
            <w:tcBorders>
              <w:top w:val="single" w:sz="4" w:space="0" w:color="auto"/>
            </w:tcBorders>
            <w:shd w:val="clear" w:color="E3E3E3" w:fill="D9D9D9"/>
          </w:tcPr>
          <w:p w:rsidR="00ED6788" w:rsidRPr="00F76DA3" w:rsidRDefault="00ED6788" w:rsidP="00C25CC8">
            <w:pPr>
              <w:pStyle w:val="TableText"/>
              <w:jc w:val="right"/>
              <w:rPr>
                <w:rFonts w:cs="Arial"/>
                <w:szCs w:val="18"/>
              </w:rPr>
            </w:pPr>
            <w:r>
              <w:t>289,139</w:t>
            </w:r>
          </w:p>
        </w:tc>
        <w:tc>
          <w:tcPr>
            <w:tcW w:w="1488" w:type="dxa"/>
            <w:tcBorders>
              <w:top w:val="single" w:sz="4" w:space="0" w:color="auto"/>
            </w:tcBorders>
          </w:tcPr>
          <w:p w:rsidR="00ED6788" w:rsidRPr="002C0E8B" w:rsidRDefault="00ED6788" w:rsidP="00C25CC8">
            <w:pPr>
              <w:pStyle w:val="TableText"/>
              <w:keepNext/>
              <w:jc w:val="right"/>
            </w:pPr>
            <w:r>
              <w:t>294,378</w:t>
            </w:r>
          </w:p>
        </w:tc>
        <w:tc>
          <w:tcPr>
            <w:tcW w:w="1347" w:type="dxa"/>
            <w:tcBorders>
              <w:top w:val="single" w:sz="4" w:space="0" w:color="auto"/>
            </w:tcBorders>
          </w:tcPr>
          <w:p w:rsidR="00ED6788" w:rsidRPr="002C0E8B" w:rsidRDefault="00ED6788" w:rsidP="00C25CC8">
            <w:pPr>
              <w:pStyle w:val="TableText"/>
              <w:keepNext/>
              <w:jc w:val="right"/>
            </w:pPr>
            <w:r>
              <w:t>286,728</w:t>
            </w:r>
          </w:p>
        </w:tc>
      </w:tr>
      <w:tr w:rsidR="00ED6788" w:rsidRPr="002C0E8B" w:rsidTr="00C25CC8">
        <w:trPr>
          <w:cantSplit/>
        </w:trPr>
        <w:tc>
          <w:tcPr>
            <w:tcW w:w="1277" w:type="dxa"/>
            <w:tcBorders>
              <w:right w:val="nil"/>
            </w:tcBorders>
            <w:shd w:val="solid" w:color="FFFFFF" w:fill="auto"/>
          </w:tcPr>
          <w:p w:rsidR="00ED6788" w:rsidRPr="002C0E8B" w:rsidRDefault="00AE2B65" w:rsidP="00C25CC8">
            <w:pPr>
              <w:pStyle w:val="TableText"/>
              <w:ind w:right="284"/>
              <w:jc w:val="right"/>
            </w:pPr>
            <w:r>
              <w:t>1</w:t>
            </w:r>
            <w:r w:rsidR="00ED6788">
              <w:t>325</w:t>
            </w:r>
          </w:p>
        </w:tc>
        <w:tc>
          <w:tcPr>
            <w:tcW w:w="3968" w:type="dxa"/>
            <w:tcBorders>
              <w:left w:val="nil"/>
            </w:tcBorders>
            <w:shd w:val="solid" w:color="FFFFFF" w:fill="auto"/>
          </w:tcPr>
          <w:p w:rsidR="00ED6788" w:rsidRPr="00F76DA3" w:rsidRDefault="00ED6788" w:rsidP="00AE2B65">
            <w:pPr>
              <w:pStyle w:val="TableText"/>
              <w:rPr>
                <w:rFonts w:cs="Arial"/>
                <w:szCs w:val="18"/>
              </w:rPr>
            </w:pPr>
            <w:r w:rsidRPr="00F76DA3">
              <w:rPr>
                <w:rFonts w:cs="Arial"/>
                <w:szCs w:val="18"/>
              </w:rPr>
              <w:t>Non-</w:t>
            </w:r>
            <w:r w:rsidR="00AE2B65">
              <w:rPr>
                <w:rFonts w:cs="Arial"/>
                <w:szCs w:val="18"/>
              </w:rPr>
              <w:t>g</w:t>
            </w:r>
            <w:r w:rsidRPr="00F76DA3">
              <w:rPr>
                <w:rFonts w:cs="Arial"/>
                <w:szCs w:val="18"/>
              </w:rPr>
              <w:t xml:space="preserve">overnment </w:t>
            </w:r>
            <w:r w:rsidR="00AE2B65">
              <w:rPr>
                <w:rFonts w:cs="Arial"/>
                <w:szCs w:val="18"/>
              </w:rPr>
              <w:t>o</w:t>
            </w:r>
            <w:r w:rsidRPr="00F76DA3">
              <w:rPr>
                <w:rFonts w:cs="Arial"/>
                <w:szCs w:val="18"/>
              </w:rPr>
              <w:t>rganisations</w:t>
            </w:r>
          </w:p>
        </w:tc>
        <w:tc>
          <w:tcPr>
            <w:tcW w:w="1276" w:type="dxa"/>
            <w:shd w:val="clear" w:color="E3E3E3" w:fill="D9D9D9"/>
          </w:tcPr>
          <w:p w:rsidR="00ED6788" w:rsidRPr="00F76DA3" w:rsidRDefault="00ED6788" w:rsidP="00C25CC8">
            <w:pPr>
              <w:pStyle w:val="TableText"/>
              <w:jc w:val="right"/>
              <w:rPr>
                <w:rFonts w:cs="Arial"/>
                <w:szCs w:val="18"/>
              </w:rPr>
            </w:pPr>
            <w:r>
              <w:t>833</w:t>
            </w:r>
          </w:p>
        </w:tc>
        <w:tc>
          <w:tcPr>
            <w:tcW w:w="1488" w:type="dxa"/>
          </w:tcPr>
          <w:p w:rsidR="00ED6788" w:rsidRPr="002C0E8B" w:rsidRDefault="00ED6788" w:rsidP="00AE2B65">
            <w:pPr>
              <w:pStyle w:val="TableText"/>
              <w:jc w:val="right"/>
            </w:pPr>
            <w:r>
              <w:t>3449</w:t>
            </w:r>
          </w:p>
        </w:tc>
        <w:tc>
          <w:tcPr>
            <w:tcW w:w="1347" w:type="dxa"/>
          </w:tcPr>
          <w:p w:rsidR="00ED6788" w:rsidRPr="002C0E8B" w:rsidRDefault="00ED6788" w:rsidP="00AE2B65">
            <w:pPr>
              <w:pStyle w:val="TableText"/>
              <w:jc w:val="right"/>
            </w:pPr>
            <w:r>
              <w:t>3449</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301,566</w:t>
            </w:r>
          </w:p>
        </w:tc>
        <w:tc>
          <w:tcPr>
            <w:tcW w:w="3968" w:type="dxa"/>
            <w:tcBorders>
              <w:left w:val="nil"/>
            </w:tcBorders>
            <w:shd w:val="solid" w:color="FFFFFF" w:fill="auto"/>
          </w:tcPr>
          <w:p w:rsidR="00ED6788" w:rsidRPr="002C0E8B" w:rsidRDefault="00ED6788" w:rsidP="00C25CC8">
            <w:pPr>
              <w:pStyle w:val="TableText"/>
              <w:keepNext/>
              <w:rPr>
                <w:b/>
              </w:rPr>
            </w:pPr>
            <w:r w:rsidRPr="00402325">
              <w:rPr>
                <w:rFonts w:cs="Arial"/>
                <w:b/>
                <w:szCs w:val="18"/>
              </w:rPr>
              <w:t>Total appropriation</w:t>
            </w:r>
          </w:p>
        </w:tc>
        <w:tc>
          <w:tcPr>
            <w:tcW w:w="1276" w:type="dxa"/>
            <w:shd w:val="clear" w:color="E3E3E3" w:fill="D9D9D9"/>
          </w:tcPr>
          <w:p w:rsidR="00ED6788" w:rsidRDefault="00ED6788" w:rsidP="00C25CC8">
            <w:pPr>
              <w:pStyle w:val="TableText"/>
              <w:keepNext/>
              <w:jc w:val="right"/>
            </w:pPr>
            <w:r>
              <w:rPr>
                <w:b/>
                <w:bCs/>
              </w:rPr>
              <w:t>289,972</w:t>
            </w:r>
          </w:p>
        </w:tc>
        <w:tc>
          <w:tcPr>
            <w:tcW w:w="1488" w:type="dxa"/>
          </w:tcPr>
          <w:p w:rsidR="00ED6788" w:rsidRPr="002C0E8B" w:rsidRDefault="00ED6788" w:rsidP="00C25CC8">
            <w:pPr>
              <w:pStyle w:val="TableText"/>
              <w:jc w:val="right"/>
              <w:rPr>
                <w:b/>
              </w:rPr>
            </w:pPr>
            <w:r>
              <w:rPr>
                <w:b/>
                <w:bCs/>
              </w:rPr>
              <w:t>297,827</w:t>
            </w:r>
          </w:p>
        </w:tc>
        <w:tc>
          <w:tcPr>
            <w:tcW w:w="1347" w:type="dxa"/>
          </w:tcPr>
          <w:p w:rsidR="00ED6788" w:rsidRPr="002C0E8B" w:rsidRDefault="00ED6788" w:rsidP="00C25CC8">
            <w:pPr>
              <w:pStyle w:val="TableText"/>
              <w:jc w:val="right"/>
              <w:rPr>
                <w:b/>
              </w:rPr>
            </w:pPr>
            <w:r>
              <w:rPr>
                <w:b/>
                <w:bCs/>
              </w:rPr>
              <w:t>290,177</w:t>
            </w:r>
          </w:p>
        </w:tc>
      </w:tr>
    </w:tbl>
    <w:p w:rsidR="00ED6788" w:rsidRDefault="00ED6788" w:rsidP="00AE2B65"/>
    <w:p w:rsidR="00ED6788" w:rsidRDefault="00ED6788" w:rsidP="00AE2B65">
      <w:pPr>
        <w:pStyle w:val="Heading4"/>
      </w:pPr>
      <w:r w:rsidRPr="007A1F5B">
        <w:t>Comments</w:t>
      </w:r>
    </w:p>
    <w:p w:rsidR="00ED6788" w:rsidRDefault="00ED6788" w:rsidP="00AE2B65">
      <w:r>
        <w:t xml:space="preserve">The </w:t>
      </w:r>
      <w:r w:rsidRPr="005A7686">
        <w:t>underspend of $</w:t>
      </w:r>
      <w:r>
        <w:t>7.855 million against</w:t>
      </w:r>
      <w:r w:rsidRPr="005A7686">
        <w:t xml:space="preserve"> the Main Estimates </w:t>
      </w:r>
      <w:r>
        <w:t xml:space="preserve">(3 percent of appropriation) </w:t>
      </w:r>
      <w:r w:rsidRPr="005A7686">
        <w:t xml:space="preserve">relates </w:t>
      </w:r>
      <w:r>
        <w:t xml:space="preserve">mainly </w:t>
      </w:r>
      <w:r w:rsidRPr="005A7686">
        <w:t>to the colonoscopy capacity initiative being transferred to the National Personal Health Servi</w:t>
      </w:r>
      <w:r>
        <w:t>ces appropriation.</w:t>
      </w:r>
    </w:p>
    <w:p w:rsidR="00AE2B65" w:rsidRPr="005A7686" w:rsidRDefault="00AE2B65" w:rsidP="00AE2B65"/>
    <w:p w:rsidR="00734595" w:rsidRDefault="00734595">
      <w:pPr>
        <w:spacing w:line="240" w:lineRule="auto"/>
        <w:rPr>
          <w:b/>
          <w:sz w:val="40"/>
        </w:rPr>
      </w:pPr>
      <w:bookmarkStart w:id="27" w:name="_Toc432765749"/>
      <w:r>
        <w:br w:type="page"/>
      </w:r>
    </w:p>
    <w:p w:rsidR="000845D9" w:rsidRDefault="00ED6788" w:rsidP="00734595">
      <w:pPr>
        <w:pStyle w:val="Heading2"/>
        <w:spacing w:before="0"/>
      </w:pPr>
      <w:bookmarkStart w:id="28" w:name="_Toc433713782"/>
      <w:r w:rsidRPr="00500121">
        <w:lastRenderedPageBreak/>
        <w:t xml:space="preserve">National </w:t>
      </w:r>
      <w:r w:rsidR="00734595">
        <w:t>e</w:t>
      </w:r>
      <w:r w:rsidRPr="00500121">
        <w:t xml:space="preserve">mergency </w:t>
      </w:r>
      <w:r w:rsidR="00734595">
        <w:t>s</w:t>
      </w:r>
      <w:r w:rsidRPr="00500121">
        <w:t>ervices</w:t>
      </w:r>
      <w:bookmarkEnd w:id="27"/>
      <w:bookmarkEnd w:id="28"/>
    </w:p>
    <w:p w:rsidR="00ED6788" w:rsidRDefault="00ED6788" w:rsidP="00AE2B65">
      <w:r>
        <w:t>The s</w:t>
      </w:r>
      <w:r w:rsidRPr="007F473C">
        <w:t xml:space="preserve">cope </w:t>
      </w:r>
      <w:r>
        <w:t>of the appropriation is for the funding and purchase of health emergency services directly by the Crown.</w:t>
      </w:r>
      <w:r w:rsidRPr="00926CC4">
        <w:t xml:space="preserve"> This appropriation is intended to </w:t>
      </w:r>
      <w:r>
        <w:t>ensure</w:t>
      </w:r>
      <w:r w:rsidRPr="00926CC4">
        <w:t xml:space="preserve"> emergency services to assist people who require urgent acute health care (air and road ambulances) are provided in a timely fashion.</w:t>
      </w:r>
    </w:p>
    <w:p w:rsidR="00ED6788" w:rsidRDefault="00ED6788" w:rsidP="00AE2B65"/>
    <w:p w:rsidR="00ED6788" w:rsidRDefault="00ED6788" w:rsidP="00AE2B65">
      <w:r>
        <w:t>This appropriation provides funding contributions for the following services:</w:t>
      </w:r>
    </w:p>
    <w:p w:rsidR="00ED6788" w:rsidRDefault="00ED6788" w:rsidP="00AE2B65">
      <w:pPr>
        <w:pStyle w:val="Bullet"/>
      </w:pPr>
      <w:r>
        <w:t>emergency road and air ambulance services</w:t>
      </w:r>
    </w:p>
    <w:p w:rsidR="00ED6788" w:rsidRDefault="00ED6788" w:rsidP="00AE2B65">
      <w:pPr>
        <w:pStyle w:val="Bullet"/>
      </w:pPr>
      <w:r>
        <w:t>disaster preparedness for all regions</w:t>
      </w:r>
    </w:p>
    <w:p w:rsidR="00ED6788" w:rsidRDefault="00ED6788" w:rsidP="00AE2B65">
      <w:pPr>
        <w:pStyle w:val="Bullet"/>
      </w:pPr>
      <w:r>
        <w:t>Primary Response in a Medical Emergency (PRIME) for selected rural regions</w:t>
      </w:r>
    </w:p>
    <w:p w:rsidR="00ED6788" w:rsidRDefault="00ED6788" w:rsidP="00AE2B65">
      <w:pPr>
        <w:pStyle w:val="Bullet"/>
      </w:pPr>
      <w:r>
        <w:t>emergency ambulance communication centre services for the whole country</w:t>
      </w:r>
    </w:p>
    <w:p w:rsidR="00ED6788" w:rsidRDefault="00ED6788" w:rsidP="00AE2B65">
      <w:pPr>
        <w:pStyle w:val="Bullet"/>
      </w:pPr>
      <w:r>
        <w:t>funding for projects set out in the New Zealand Ambulance Service Strategy (2009).</w:t>
      </w:r>
    </w:p>
    <w:p w:rsidR="00ED6788" w:rsidRDefault="00ED6788" w:rsidP="00AE2B65"/>
    <w:p w:rsidR="00ED6788" w:rsidRDefault="00ED6788" w:rsidP="00AE2B65">
      <w:r>
        <w:t>Emergency Ambulance Services (EAS) are part of the first line in the continuum of health care. EAS operate</w:t>
      </w:r>
      <w:r w:rsidR="00AE2B65">
        <w:t>s</w:t>
      </w:r>
      <w:r>
        <w:t xml:space="preserve"> 24 hours a day seven days a week and respond</w:t>
      </w:r>
      <w:r w:rsidR="00AE2B65">
        <w:t>s</w:t>
      </w:r>
      <w:r>
        <w:t xml:space="preserve"> to medical emergencies and accidents, providing clinical assessment and advice by phone, treatment at the scene and, if necessary, transportation to hospital. The primary role of EAS is to meet emergency pre</w:t>
      </w:r>
      <w:r w:rsidR="00AE2B65">
        <w:noBreakHyphen/>
      </w:r>
      <w:r>
        <w:t>hospital care needs.</w:t>
      </w:r>
    </w:p>
    <w:p w:rsidR="00ED6788" w:rsidRDefault="00ED6788" w:rsidP="00AE2B65"/>
    <w:p w:rsidR="00ED6788" w:rsidRDefault="00ED6788" w:rsidP="00AE2B65">
      <w:r>
        <w:t xml:space="preserve">EAS aim to have a positive impact on patient outcomes by providing the right care, at the right time, in the right place, delivered by the right person. They determine the level of patient need through a telephone triage system, and authorise and dispatch the most appropriate and available EAS resource. </w:t>
      </w:r>
      <w:r w:rsidRPr="00DF7ECC">
        <w:t>They work closely with other pre-hospital acute and urgent care services, including primary care and Healthline.</w:t>
      </w:r>
    </w:p>
    <w:p w:rsidR="00ED6788" w:rsidRDefault="00ED6788" w:rsidP="00AE2B65"/>
    <w:p w:rsidR="00ED6788" w:rsidRPr="003756B9" w:rsidRDefault="00ED6788" w:rsidP="00AE2B65">
      <w:pPr>
        <w:pStyle w:val="Heading3"/>
      </w:pPr>
      <w:r>
        <w:t>Summary of output performance</w:t>
      </w:r>
    </w:p>
    <w:tbl>
      <w:tblPr>
        <w:tblW w:w="494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3"/>
        <w:gridCol w:w="5997"/>
        <w:gridCol w:w="1035"/>
        <w:gridCol w:w="1118"/>
      </w:tblGrid>
      <w:tr w:rsidR="00ED6788" w:rsidRPr="00B41430" w:rsidTr="00C25CC8">
        <w:trPr>
          <w:cantSplit/>
          <w:tblHeader/>
        </w:trPr>
        <w:tc>
          <w:tcPr>
            <w:tcW w:w="591" w:type="pct"/>
            <w:tcBorders>
              <w:top w:val="single" w:sz="4" w:space="0" w:color="auto"/>
              <w:bottom w:val="single" w:sz="4" w:space="0" w:color="auto"/>
            </w:tcBorders>
          </w:tcPr>
          <w:p w:rsidR="00ED6788" w:rsidRPr="00B41430" w:rsidRDefault="00ED6788" w:rsidP="00C25CC8">
            <w:pPr>
              <w:pStyle w:val="TableText"/>
              <w:ind w:right="284"/>
              <w:jc w:val="right"/>
              <w:rPr>
                <w:rFonts w:cs="Arial"/>
                <w:b/>
                <w:szCs w:val="18"/>
              </w:rPr>
            </w:pPr>
            <w:r w:rsidRPr="00B41430">
              <w:rPr>
                <w:rFonts w:cs="Arial"/>
                <w:b/>
                <w:szCs w:val="18"/>
              </w:rPr>
              <w:t>Actual 2013/14</w:t>
            </w:r>
          </w:p>
        </w:tc>
        <w:tc>
          <w:tcPr>
            <w:tcW w:w="3244" w:type="pct"/>
            <w:tcBorders>
              <w:top w:val="single" w:sz="4" w:space="0" w:color="auto"/>
              <w:bottom w:val="single" w:sz="4" w:space="0" w:color="auto"/>
            </w:tcBorders>
          </w:tcPr>
          <w:p w:rsidR="00ED6788" w:rsidRPr="00B41430" w:rsidRDefault="00ED6788" w:rsidP="00C25CC8">
            <w:pPr>
              <w:pStyle w:val="TableText"/>
              <w:rPr>
                <w:rFonts w:cs="Arial"/>
                <w:b/>
                <w:szCs w:val="18"/>
              </w:rPr>
            </w:pPr>
            <w:r w:rsidRPr="00B41430">
              <w:rPr>
                <w:rFonts w:cs="Arial"/>
                <w:b/>
                <w:szCs w:val="18"/>
              </w:rPr>
              <w:t>Performance measure</w:t>
            </w:r>
          </w:p>
        </w:tc>
        <w:tc>
          <w:tcPr>
            <w:tcW w:w="560" w:type="pct"/>
            <w:tcBorders>
              <w:top w:val="single" w:sz="4" w:space="0" w:color="auto"/>
              <w:bottom w:val="single" w:sz="4" w:space="0" w:color="auto"/>
            </w:tcBorders>
          </w:tcPr>
          <w:p w:rsidR="00ED6788" w:rsidRPr="00B41430" w:rsidRDefault="00ED6788" w:rsidP="00C25CC8">
            <w:pPr>
              <w:pStyle w:val="TableText"/>
              <w:ind w:right="142"/>
              <w:jc w:val="right"/>
              <w:rPr>
                <w:rFonts w:cs="Arial"/>
                <w:b/>
                <w:szCs w:val="18"/>
              </w:rPr>
            </w:pPr>
            <w:r w:rsidRPr="00B41430">
              <w:rPr>
                <w:rFonts w:cs="Arial"/>
                <w:b/>
                <w:szCs w:val="18"/>
              </w:rPr>
              <w:t>Standard</w:t>
            </w:r>
            <w:r w:rsidRPr="00B41430">
              <w:rPr>
                <w:rFonts w:cs="Arial"/>
                <w:b/>
                <w:szCs w:val="18"/>
              </w:rPr>
              <w:br/>
              <w:t>2014/15</w:t>
            </w:r>
          </w:p>
        </w:tc>
        <w:tc>
          <w:tcPr>
            <w:tcW w:w="605" w:type="pct"/>
            <w:tcBorders>
              <w:top w:val="single" w:sz="4" w:space="0" w:color="auto"/>
              <w:bottom w:val="single" w:sz="4" w:space="0" w:color="auto"/>
            </w:tcBorders>
            <w:shd w:val="clear" w:color="auto" w:fill="D9D9D9"/>
          </w:tcPr>
          <w:p w:rsidR="00ED6788" w:rsidRPr="00B41430" w:rsidRDefault="00ED6788" w:rsidP="00C25CC8">
            <w:pPr>
              <w:pStyle w:val="TableText"/>
              <w:ind w:right="142"/>
              <w:jc w:val="right"/>
              <w:rPr>
                <w:rFonts w:cs="Arial"/>
                <w:b/>
                <w:szCs w:val="18"/>
              </w:rPr>
            </w:pPr>
            <w:r w:rsidRPr="00B41430">
              <w:rPr>
                <w:rFonts w:cs="Arial"/>
                <w:b/>
                <w:szCs w:val="18"/>
              </w:rPr>
              <w:t>Actual</w:t>
            </w:r>
            <w:r w:rsidRPr="00B41430">
              <w:rPr>
                <w:rFonts w:cs="Arial"/>
                <w:b/>
                <w:szCs w:val="18"/>
              </w:rPr>
              <w:br/>
              <w:t>2014/15</w:t>
            </w:r>
          </w:p>
        </w:tc>
      </w:tr>
      <w:tr w:rsidR="00ED6788" w:rsidRPr="00B41430" w:rsidTr="00C25CC8">
        <w:trPr>
          <w:cantSplit/>
        </w:trPr>
        <w:tc>
          <w:tcPr>
            <w:tcW w:w="591" w:type="pct"/>
          </w:tcPr>
          <w:p w:rsidR="00ED6788" w:rsidRPr="00B41430" w:rsidRDefault="00ED6788" w:rsidP="00C25CC8">
            <w:pPr>
              <w:pStyle w:val="TableText"/>
              <w:ind w:right="284"/>
              <w:jc w:val="center"/>
              <w:rPr>
                <w:rFonts w:cs="Arial"/>
                <w:szCs w:val="18"/>
              </w:rPr>
            </w:pPr>
          </w:p>
        </w:tc>
        <w:tc>
          <w:tcPr>
            <w:tcW w:w="3244" w:type="pct"/>
          </w:tcPr>
          <w:p w:rsidR="00ED6788" w:rsidRPr="00B41430" w:rsidRDefault="00ED6788" w:rsidP="00C25CC8">
            <w:pPr>
              <w:pStyle w:val="TableText"/>
              <w:rPr>
                <w:rFonts w:cs="Arial"/>
                <w:szCs w:val="18"/>
              </w:rPr>
            </w:pPr>
            <w:r w:rsidRPr="00B41430">
              <w:rPr>
                <w:rFonts w:cs="Arial"/>
                <w:szCs w:val="18"/>
              </w:rPr>
              <w:t>Emergency calls are triaged and services dispatc</w:t>
            </w:r>
            <w:r w:rsidR="00AE2B65">
              <w:rPr>
                <w:rFonts w:cs="Arial"/>
                <w:szCs w:val="18"/>
              </w:rPr>
              <w:t>hed effectively and efficiently:</w:t>
            </w:r>
          </w:p>
        </w:tc>
        <w:tc>
          <w:tcPr>
            <w:tcW w:w="560" w:type="pct"/>
          </w:tcPr>
          <w:p w:rsidR="00ED6788" w:rsidRPr="00B41430" w:rsidRDefault="00ED6788" w:rsidP="00C25CC8">
            <w:pPr>
              <w:pStyle w:val="TableText"/>
              <w:ind w:right="142"/>
              <w:jc w:val="right"/>
              <w:rPr>
                <w:rFonts w:cs="Arial"/>
                <w:szCs w:val="18"/>
              </w:rPr>
            </w:pPr>
          </w:p>
        </w:tc>
        <w:tc>
          <w:tcPr>
            <w:tcW w:w="605" w:type="pct"/>
            <w:shd w:val="clear" w:color="auto" w:fill="D9D9D9"/>
          </w:tcPr>
          <w:p w:rsidR="00ED6788" w:rsidRPr="00B41430" w:rsidRDefault="00ED6788" w:rsidP="00C25CC8">
            <w:pPr>
              <w:pStyle w:val="TableText"/>
              <w:ind w:right="142"/>
              <w:jc w:val="right"/>
              <w:rPr>
                <w:rFonts w:cs="Arial"/>
                <w:szCs w:val="18"/>
              </w:rPr>
            </w:pPr>
          </w:p>
        </w:tc>
      </w:tr>
      <w:tr w:rsidR="00ED6788" w:rsidRPr="00B41430" w:rsidTr="00C25CC8">
        <w:trPr>
          <w:cantSplit/>
        </w:trPr>
        <w:tc>
          <w:tcPr>
            <w:tcW w:w="591" w:type="pct"/>
          </w:tcPr>
          <w:p w:rsidR="00ED6788" w:rsidRPr="000F1C09" w:rsidRDefault="00ED6788" w:rsidP="00AE2B65">
            <w:pPr>
              <w:pStyle w:val="TableText"/>
              <w:spacing w:before="0"/>
              <w:ind w:right="284"/>
              <w:jc w:val="right"/>
              <w:rPr>
                <w:rFonts w:cs="Arial"/>
                <w:szCs w:val="18"/>
              </w:rPr>
            </w:pPr>
            <w:r>
              <w:rPr>
                <w:rFonts w:cs="Arial"/>
                <w:szCs w:val="18"/>
              </w:rPr>
              <w:t>94.47%</w:t>
            </w:r>
          </w:p>
        </w:tc>
        <w:tc>
          <w:tcPr>
            <w:tcW w:w="3244" w:type="pct"/>
          </w:tcPr>
          <w:p w:rsidR="00ED6788" w:rsidRPr="000F4460" w:rsidRDefault="00ED6788" w:rsidP="00AE2B65">
            <w:pPr>
              <w:pStyle w:val="TableBullet"/>
            </w:pPr>
            <w:r w:rsidRPr="000F4460">
              <w:t>Call response times</w:t>
            </w:r>
            <w:r w:rsidR="000845D9">
              <w:t xml:space="preserve"> – </w:t>
            </w:r>
            <w:r w:rsidRPr="000F4460">
              <w:t>percentage of calls answered in 15 seconds</w:t>
            </w:r>
          </w:p>
        </w:tc>
        <w:tc>
          <w:tcPr>
            <w:tcW w:w="560" w:type="pct"/>
          </w:tcPr>
          <w:p w:rsidR="00ED6788" w:rsidRPr="00B41430" w:rsidRDefault="00ED6788" w:rsidP="00AE2B65">
            <w:pPr>
              <w:pStyle w:val="TableText"/>
              <w:spacing w:before="0"/>
              <w:ind w:right="142"/>
              <w:jc w:val="right"/>
              <w:rPr>
                <w:rFonts w:cs="Arial"/>
                <w:szCs w:val="18"/>
              </w:rPr>
            </w:pPr>
            <w:r w:rsidRPr="00B41430">
              <w:rPr>
                <w:rFonts w:cs="Arial"/>
                <w:szCs w:val="18"/>
              </w:rPr>
              <w:t>95%</w:t>
            </w:r>
          </w:p>
        </w:tc>
        <w:tc>
          <w:tcPr>
            <w:tcW w:w="605" w:type="pct"/>
            <w:shd w:val="clear" w:color="auto" w:fill="D9D9D9"/>
          </w:tcPr>
          <w:p w:rsidR="00ED6788" w:rsidRPr="00F926D1" w:rsidRDefault="00ED6788" w:rsidP="00AE2B65">
            <w:pPr>
              <w:pStyle w:val="TableText"/>
              <w:spacing w:before="0"/>
              <w:ind w:right="142"/>
              <w:jc w:val="right"/>
              <w:rPr>
                <w:rFonts w:cs="Arial"/>
                <w:szCs w:val="18"/>
              </w:rPr>
            </w:pPr>
            <w:r w:rsidRPr="00F926D1">
              <w:rPr>
                <w:rFonts w:cs="Arial"/>
                <w:szCs w:val="18"/>
              </w:rPr>
              <w:t>95%</w:t>
            </w:r>
          </w:p>
        </w:tc>
      </w:tr>
      <w:tr w:rsidR="00ED6788" w:rsidRPr="00B41430" w:rsidTr="00C25CC8">
        <w:trPr>
          <w:cantSplit/>
          <w:trHeight w:val="451"/>
        </w:trPr>
        <w:tc>
          <w:tcPr>
            <w:tcW w:w="591" w:type="pct"/>
          </w:tcPr>
          <w:p w:rsidR="00ED6788" w:rsidRPr="000F1C09" w:rsidRDefault="00ED6788" w:rsidP="00AE2B65">
            <w:pPr>
              <w:pStyle w:val="TableText"/>
              <w:spacing w:before="0"/>
              <w:ind w:right="284"/>
              <w:jc w:val="right"/>
              <w:rPr>
                <w:rFonts w:cs="Arial"/>
                <w:szCs w:val="18"/>
              </w:rPr>
            </w:pPr>
            <w:r w:rsidRPr="000F1C09">
              <w:rPr>
                <w:rFonts w:cs="Arial"/>
                <w:szCs w:val="18"/>
              </w:rPr>
              <w:t>100%</w:t>
            </w:r>
          </w:p>
        </w:tc>
        <w:tc>
          <w:tcPr>
            <w:tcW w:w="3244" w:type="pct"/>
          </w:tcPr>
          <w:p w:rsidR="00ED6788" w:rsidRPr="000F4460" w:rsidRDefault="00ED6788" w:rsidP="00AE2B65">
            <w:pPr>
              <w:pStyle w:val="TableBullet"/>
            </w:pPr>
            <w:r w:rsidRPr="000F4460">
              <w:t>Calls reach compliance with the medical priority dispatch system performance indicators</w:t>
            </w:r>
          </w:p>
        </w:tc>
        <w:tc>
          <w:tcPr>
            <w:tcW w:w="560" w:type="pct"/>
          </w:tcPr>
          <w:p w:rsidR="00ED6788" w:rsidRPr="00B41430" w:rsidRDefault="00ED6788" w:rsidP="00AE2B65">
            <w:pPr>
              <w:pStyle w:val="TableText"/>
              <w:spacing w:before="0"/>
              <w:ind w:right="142"/>
              <w:jc w:val="right"/>
              <w:rPr>
                <w:rFonts w:cs="Arial"/>
                <w:szCs w:val="18"/>
              </w:rPr>
            </w:pPr>
            <w:r w:rsidRPr="00B41430">
              <w:rPr>
                <w:rFonts w:cs="Arial"/>
                <w:szCs w:val="18"/>
              </w:rPr>
              <w:t>100%</w:t>
            </w:r>
          </w:p>
        </w:tc>
        <w:tc>
          <w:tcPr>
            <w:tcW w:w="605" w:type="pct"/>
            <w:shd w:val="clear" w:color="auto" w:fill="D9D9D9"/>
          </w:tcPr>
          <w:p w:rsidR="00ED6788" w:rsidRPr="00F926D1" w:rsidRDefault="00ED6788" w:rsidP="00AE2B65">
            <w:pPr>
              <w:pStyle w:val="TableText"/>
              <w:spacing w:before="0"/>
              <w:ind w:right="142"/>
              <w:jc w:val="right"/>
              <w:rPr>
                <w:rFonts w:cs="Arial"/>
                <w:szCs w:val="18"/>
              </w:rPr>
            </w:pPr>
            <w:r w:rsidRPr="00F926D1">
              <w:rPr>
                <w:rFonts w:cs="Arial"/>
                <w:szCs w:val="18"/>
              </w:rPr>
              <w:t>95%</w:t>
            </w:r>
          </w:p>
        </w:tc>
      </w:tr>
      <w:tr w:rsidR="00ED6788" w:rsidRPr="00B41430" w:rsidTr="00C25CC8">
        <w:trPr>
          <w:cantSplit/>
        </w:trPr>
        <w:tc>
          <w:tcPr>
            <w:tcW w:w="591" w:type="pct"/>
          </w:tcPr>
          <w:p w:rsidR="00ED6788" w:rsidRPr="00B41430" w:rsidRDefault="00ED6788" w:rsidP="00C25CC8">
            <w:pPr>
              <w:pStyle w:val="TableText"/>
              <w:ind w:right="284"/>
              <w:jc w:val="right"/>
              <w:rPr>
                <w:rFonts w:cs="Arial"/>
                <w:szCs w:val="18"/>
              </w:rPr>
            </w:pPr>
          </w:p>
        </w:tc>
        <w:tc>
          <w:tcPr>
            <w:tcW w:w="3244" w:type="pct"/>
          </w:tcPr>
          <w:p w:rsidR="00ED6788" w:rsidRPr="00B41430" w:rsidRDefault="00ED6788" w:rsidP="00C25CC8">
            <w:pPr>
              <w:pStyle w:val="TableText"/>
              <w:rPr>
                <w:rFonts w:cs="Arial"/>
                <w:szCs w:val="18"/>
              </w:rPr>
            </w:pPr>
            <w:r w:rsidRPr="00B41430">
              <w:rPr>
                <w:rFonts w:cs="Arial"/>
                <w:szCs w:val="18"/>
              </w:rPr>
              <w:t>Ambulance response times</w:t>
            </w:r>
            <w:r w:rsidR="000845D9">
              <w:rPr>
                <w:rFonts w:cs="Arial"/>
                <w:szCs w:val="18"/>
              </w:rPr>
              <w:t xml:space="preserve"> – </w:t>
            </w:r>
            <w:r w:rsidRPr="00B41430">
              <w:rPr>
                <w:rFonts w:cs="Arial"/>
                <w:szCs w:val="18"/>
              </w:rPr>
              <w:t>for immediately life-threatening incidents an ambulance reaches the scene within:</w:t>
            </w:r>
          </w:p>
        </w:tc>
        <w:tc>
          <w:tcPr>
            <w:tcW w:w="560" w:type="pct"/>
          </w:tcPr>
          <w:p w:rsidR="00ED6788" w:rsidRPr="00B41430" w:rsidRDefault="00ED6788" w:rsidP="00C25CC8">
            <w:pPr>
              <w:pStyle w:val="TableText"/>
              <w:ind w:right="142"/>
              <w:jc w:val="right"/>
              <w:rPr>
                <w:rFonts w:cs="Arial"/>
                <w:szCs w:val="18"/>
              </w:rPr>
            </w:pPr>
          </w:p>
        </w:tc>
        <w:tc>
          <w:tcPr>
            <w:tcW w:w="605" w:type="pct"/>
            <w:shd w:val="clear" w:color="auto" w:fill="D9D9D9"/>
          </w:tcPr>
          <w:p w:rsidR="00ED6788" w:rsidRPr="00F926D1" w:rsidRDefault="00ED6788" w:rsidP="00C25CC8">
            <w:pPr>
              <w:pStyle w:val="TableText"/>
              <w:ind w:right="142"/>
              <w:jc w:val="right"/>
              <w:rPr>
                <w:rFonts w:cs="Arial"/>
                <w:szCs w:val="18"/>
              </w:rPr>
            </w:pPr>
          </w:p>
        </w:tc>
      </w:tr>
      <w:tr w:rsidR="00ED6788" w:rsidRPr="00B41430" w:rsidTr="00C25CC8">
        <w:trPr>
          <w:cantSplit/>
        </w:trPr>
        <w:tc>
          <w:tcPr>
            <w:tcW w:w="591" w:type="pct"/>
          </w:tcPr>
          <w:p w:rsidR="00ED6788" w:rsidRPr="00B41430" w:rsidRDefault="00ED6788" w:rsidP="00AE2B65">
            <w:pPr>
              <w:pStyle w:val="TableText"/>
              <w:spacing w:before="0"/>
              <w:ind w:right="284"/>
              <w:jc w:val="right"/>
              <w:rPr>
                <w:rFonts w:cs="Arial"/>
                <w:szCs w:val="18"/>
              </w:rPr>
            </w:pPr>
            <w:r>
              <w:rPr>
                <w:rFonts w:cs="Arial"/>
                <w:szCs w:val="18"/>
              </w:rPr>
              <w:t>53%</w:t>
            </w:r>
          </w:p>
        </w:tc>
        <w:tc>
          <w:tcPr>
            <w:tcW w:w="3244" w:type="pct"/>
          </w:tcPr>
          <w:p w:rsidR="00ED6788" w:rsidRPr="000F4460" w:rsidRDefault="00ED6788" w:rsidP="00AE2B65">
            <w:pPr>
              <w:pStyle w:val="TableBullet"/>
            </w:pPr>
            <w:r w:rsidRPr="000F4460">
              <w:t>Urban reached in 8 minutes</w:t>
            </w:r>
          </w:p>
        </w:tc>
        <w:tc>
          <w:tcPr>
            <w:tcW w:w="560" w:type="pct"/>
          </w:tcPr>
          <w:p w:rsidR="00ED6788" w:rsidRPr="00B41430" w:rsidRDefault="00ED6788" w:rsidP="00AE2B65">
            <w:pPr>
              <w:pStyle w:val="TableText"/>
              <w:spacing w:before="0"/>
              <w:ind w:right="142"/>
              <w:jc w:val="right"/>
              <w:rPr>
                <w:rFonts w:cs="Arial"/>
                <w:szCs w:val="18"/>
              </w:rPr>
            </w:pPr>
            <w:r w:rsidRPr="00B41430">
              <w:rPr>
                <w:rFonts w:cs="Arial"/>
                <w:szCs w:val="18"/>
              </w:rPr>
              <w:t>50%</w:t>
            </w:r>
          </w:p>
        </w:tc>
        <w:tc>
          <w:tcPr>
            <w:tcW w:w="605" w:type="pct"/>
            <w:shd w:val="clear" w:color="auto" w:fill="D9D9D9"/>
          </w:tcPr>
          <w:p w:rsidR="00ED6788" w:rsidRPr="00F926D1" w:rsidRDefault="00ED6788" w:rsidP="00AE2B65">
            <w:pPr>
              <w:pStyle w:val="TableText"/>
              <w:spacing w:before="0"/>
              <w:ind w:right="142"/>
              <w:jc w:val="right"/>
              <w:rPr>
                <w:rFonts w:cs="Arial"/>
                <w:szCs w:val="18"/>
              </w:rPr>
            </w:pPr>
            <w:r w:rsidRPr="00F926D1">
              <w:rPr>
                <w:rFonts w:cs="Arial"/>
                <w:szCs w:val="18"/>
              </w:rPr>
              <w:t>56%</w:t>
            </w:r>
            <w:r w:rsidR="00AE2B65">
              <w:rPr>
                <w:rFonts w:cs="Arial"/>
                <w:szCs w:val="18"/>
              </w:rPr>
              <w:br/>
            </w:r>
            <w:r>
              <w:rPr>
                <w:rFonts w:cs="Arial"/>
                <w:szCs w:val="18"/>
              </w:rPr>
              <w:t>see Note A</w:t>
            </w:r>
          </w:p>
        </w:tc>
      </w:tr>
      <w:tr w:rsidR="00ED6788" w:rsidRPr="00B41430" w:rsidTr="00C25CC8">
        <w:trPr>
          <w:cantSplit/>
        </w:trPr>
        <w:tc>
          <w:tcPr>
            <w:tcW w:w="591" w:type="pct"/>
          </w:tcPr>
          <w:p w:rsidR="00ED6788" w:rsidRPr="00B41430" w:rsidRDefault="00ED6788" w:rsidP="00AE2B65">
            <w:pPr>
              <w:pStyle w:val="TableText"/>
              <w:spacing w:before="0"/>
              <w:ind w:right="284"/>
              <w:jc w:val="right"/>
              <w:rPr>
                <w:rFonts w:cs="Arial"/>
                <w:szCs w:val="18"/>
              </w:rPr>
            </w:pPr>
            <w:r>
              <w:rPr>
                <w:rFonts w:cs="Arial"/>
                <w:szCs w:val="18"/>
              </w:rPr>
              <w:t>95%</w:t>
            </w:r>
          </w:p>
        </w:tc>
        <w:tc>
          <w:tcPr>
            <w:tcW w:w="3244" w:type="pct"/>
          </w:tcPr>
          <w:p w:rsidR="00ED6788" w:rsidRPr="000F4460" w:rsidRDefault="00ED6788" w:rsidP="00AE2B65">
            <w:pPr>
              <w:pStyle w:val="TableBullet"/>
            </w:pPr>
            <w:r w:rsidRPr="000F4460">
              <w:t>Urban reached in 20 minutes</w:t>
            </w:r>
          </w:p>
        </w:tc>
        <w:tc>
          <w:tcPr>
            <w:tcW w:w="560" w:type="pct"/>
          </w:tcPr>
          <w:p w:rsidR="00ED6788" w:rsidRPr="00B41430" w:rsidRDefault="00ED6788" w:rsidP="00AE2B65">
            <w:pPr>
              <w:pStyle w:val="TableText"/>
              <w:spacing w:before="0"/>
              <w:ind w:right="142"/>
              <w:jc w:val="right"/>
              <w:rPr>
                <w:rFonts w:cs="Arial"/>
                <w:szCs w:val="18"/>
              </w:rPr>
            </w:pPr>
            <w:r w:rsidRPr="00B41430">
              <w:rPr>
                <w:rFonts w:cs="Arial"/>
                <w:szCs w:val="18"/>
              </w:rPr>
              <w:t>95%</w:t>
            </w:r>
          </w:p>
        </w:tc>
        <w:tc>
          <w:tcPr>
            <w:tcW w:w="605" w:type="pct"/>
            <w:shd w:val="clear" w:color="auto" w:fill="D9D9D9"/>
          </w:tcPr>
          <w:p w:rsidR="00ED6788" w:rsidRPr="00F926D1" w:rsidRDefault="00ED6788" w:rsidP="00AE2B65">
            <w:pPr>
              <w:pStyle w:val="TableText"/>
              <w:spacing w:before="0"/>
              <w:ind w:right="142"/>
              <w:jc w:val="right"/>
              <w:rPr>
                <w:rFonts w:cs="Arial"/>
                <w:szCs w:val="18"/>
              </w:rPr>
            </w:pPr>
            <w:r w:rsidRPr="00F926D1">
              <w:rPr>
                <w:rFonts w:cs="Arial"/>
                <w:szCs w:val="18"/>
              </w:rPr>
              <w:t>95%</w:t>
            </w:r>
          </w:p>
        </w:tc>
      </w:tr>
      <w:tr w:rsidR="00ED6788" w:rsidRPr="00B41430" w:rsidTr="00C25CC8">
        <w:trPr>
          <w:cantSplit/>
          <w:trHeight w:val="194"/>
        </w:trPr>
        <w:tc>
          <w:tcPr>
            <w:tcW w:w="591" w:type="pct"/>
          </w:tcPr>
          <w:p w:rsidR="00ED6788" w:rsidRPr="00B41430" w:rsidRDefault="00ED6788" w:rsidP="00AE2B65">
            <w:pPr>
              <w:pStyle w:val="TableText"/>
              <w:spacing w:before="0"/>
              <w:ind w:right="284"/>
              <w:jc w:val="right"/>
              <w:rPr>
                <w:rFonts w:cs="Arial"/>
                <w:szCs w:val="18"/>
              </w:rPr>
            </w:pPr>
            <w:r>
              <w:rPr>
                <w:rFonts w:cs="Arial"/>
                <w:szCs w:val="18"/>
              </w:rPr>
              <w:t>51%</w:t>
            </w:r>
          </w:p>
        </w:tc>
        <w:tc>
          <w:tcPr>
            <w:tcW w:w="3244" w:type="pct"/>
          </w:tcPr>
          <w:p w:rsidR="00ED6788" w:rsidRPr="000F4460" w:rsidRDefault="00ED6788" w:rsidP="00AE2B65">
            <w:pPr>
              <w:pStyle w:val="TableBullet"/>
            </w:pPr>
            <w:r w:rsidRPr="000F4460">
              <w:t>Rural reached in 12 minutes</w:t>
            </w:r>
          </w:p>
        </w:tc>
        <w:tc>
          <w:tcPr>
            <w:tcW w:w="560" w:type="pct"/>
          </w:tcPr>
          <w:p w:rsidR="00ED6788" w:rsidRPr="00B41430" w:rsidRDefault="00ED6788" w:rsidP="00AE2B65">
            <w:pPr>
              <w:pStyle w:val="TableText"/>
              <w:spacing w:before="0"/>
              <w:ind w:right="142"/>
              <w:jc w:val="right"/>
              <w:rPr>
                <w:rFonts w:cs="Arial"/>
                <w:szCs w:val="18"/>
              </w:rPr>
            </w:pPr>
            <w:r w:rsidRPr="00B41430">
              <w:rPr>
                <w:rFonts w:cs="Arial"/>
                <w:szCs w:val="18"/>
              </w:rPr>
              <w:t>50%</w:t>
            </w:r>
          </w:p>
        </w:tc>
        <w:tc>
          <w:tcPr>
            <w:tcW w:w="605" w:type="pct"/>
            <w:shd w:val="clear" w:color="auto" w:fill="D9D9D9"/>
          </w:tcPr>
          <w:p w:rsidR="00ED6788" w:rsidRPr="00F926D1" w:rsidRDefault="00ED6788" w:rsidP="00AE2B65">
            <w:pPr>
              <w:pStyle w:val="TableText"/>
              <w:spacing w:before="0"/>
              <w:ind w:right="142"/>
              <w:jc w:val="right"/>
              <w:rPr>
                <w:rFonts w:cs="Arial"/>
                <w:szCs w:val="18"/>
              </w:rPr>
            </w:pPr>
            <w:r w:rsidRPr="00F926D1">
              <w:rPr>
                <w:rFonts w:cs="Arial"/>
                <w:szCs w:val="18"/>
              </w:rPr>
              <w:t>52%</w:t>
            </w:r>
          </w:p>
        </w:tc>
      </w:tr>
      <w:tr w:rsidR="00ED6788" w:rsidRPr="00B41430" w:rsidTr="00C25CC8">
        <w:trPr>
          <w:cantSplit/>
        </w:trPr>
        <w:tc>
          <w:tcPr>
            <w:tcW w:w="591" w:type="pct"/>
          </w:tcPr>
          <w:p w:rsidR="00ED6788" w:rsidRPr="00B41430" w:rsidRDefault="00ED6788" w:rsidP="00AE2B65">
            <w:pPr>
              <w:pStyle w:val="TableText"/>
              <w:spacing w:before="0"/>
              <w:ind w:right="284"/>
              <w:jc w:val="right"/>
              <w:rPr>
                <w:rFonts w:cs="Arial"/>
                <w:szCs w:val="18"/>
              </w:rPr>
            </w:pPr>
            <w:r>
              <w:rPr>
                <w:rFonts w:cs="Arial"/>
                <w:szCs w:val="18"/>
              </w:rPr>
              <w:t>93%</w:t>
            </w:r>
          </w:p>
        </w:tc>
        <w:tc>
          <w:tcPr>
            <w:tcW w:w="3244" w:type="pct"/>
          </w:tcPr>
          <w:p w:rsidR="00ED6788" w:rsidRPr="000F4460" w:rsidRDefault="00ED6788" w:rsidP="00AE2B65">
            <w:pPr>
              <w:pStyle w:val="TableBullet"/>
            </w:pPr>
            <w:r w:rsidRPr="000F4460">
              <w:t>Rural reached in 30 minutes</w:t>
            </w:r>
          </w:p>
        </w:tc>
        <w:tc>
          <w:tcPr>
            <w:tcW w:w="560" w:type="pct"/>
          </w:tcPr>
          <w:p w:rsidR="00ED6788" w:rsidRPr="00B41430" w:rsidRDefault="00ED6788" w:rsidP="00AE2B65">
            <w:pPr>
              <w:pStyle w:val="TableText"/>
              <w:spacing w:before="0"/>
              <w:ind w:right="142"/>
              <w:jc w:val="right"/>
              <w:rPr>
                <w:rFonts w:cs="Arial"/>
                <w:szCs w:val="18"/>
              </w:rPr>
            </w:pPr>
            <w:r w:rsidRPr="00B41430">
              <w:rPr>
                <w:rFonts w:cs="Arial"/>
                <w:szCs w:val="18"/>
              </w:rPr>
              <w:t>95%</w:t>
            </w:r>
          </w:p>
        </w:tc>
        <w:tc>
          <w:tcPr>
            <w:tcW w:w="605" w:type="pct"/>
            <w:shd w:val="clear" w:color="auto" w:fill="D9D9D9"/>
          </w:tcPr>
          <w:p w:rsidR="00ED6788" w:rsidRPr="00F926D1" w:rsidRDefault="00ED6788" w:rsidP="00AE2B65">
            <w:pPr>
              <w:pStyle w:val="TableText"/>
              <w:spacing w:before="0"/>
              <w:ind w:right="142"/>
              <w:jc w:val="right"/>
              <w:rPr>
                <w:rFonts w:cs="Arial"/>
                <w:szCs w:val="18"/>
              </w:rPr>
            </w:pPr>
            <w:r w:rsidRPr="00F926D1">
              <w:rPr>
                <w:rFonts w:cs="Arial"/>
                <w:szCs w:val="18"/>
              </w:rPr>
              <w:t>93%</w:t>
            </w:r>
          </w:p>
        </w:tc>
      </w:tr>
      <w:tr w:rsidR="00ED6788" w:rsidRPr="00B41430" w:rsidTr="00C25CC8">
        <w:trPr>
          <w:cantSplit/>
        </w:trPr>
        <w:tc>
          <w:tcPr>
            <w:tcW w:w="591" w:type="pct"/>
          </w:tcPr>
          <w:p w:rsidR="00ED6788" w:rsidRPr="00B41430" w:rsidRDefault="00ED6788" w:rsidP="00C25CC8">
            <w:pPr>
              <w:pStyle w:val="TableText"/>
              <w:ind w:right="284"/>
              <w:jc w:val="right"/>
              <w:rPr>
                <w:rFonts w:cs="Arial"/>
                <w:szCs w:val="18"/>
              </w:rPr>
            </w:pPr>
            <w:r>
              <w:rPr>
                <w:rFonts w:cs="Arial"/>
                <w:szCs w:val="18"/>
              </w:rPr>
              <w:t>New</w:t>
            </w:r>
          </w:p>
        </w:tc>
        <w:tc>
          <w:tcPr>
            <w:tcW w:w="3244" w:type="pct"/>
          </w:tcPr>
          <w:p w:rsidR="00ED6788" w:rsidRPr="00B41430" w:rsidRDefault="00ED6788" w:rsidP="00C25CC8">
            <w:pPr>
              <w:spacing w:before="60" w:after="60"/>
              <w:rPr>
                <w:rFonts w:cs="Arial"/>
                <w:sz w:val="18"/>
                <w:szCs w:val="18"/>
              </w:rPr>
            </w:pPr>
            <w:r w:rsidRPr="00B41430">
              <w:rPr>
                <w:rFonts w:cs="Arial"/>
                <w:sz w:val="18"/>
                <w:szCs w:val="18"/>
              </w:rPr>
              <w:t>Percentage of air ambulance activations that are within the target times</w:t>
            </w:r>
          </w:p>
        </w:tc>
        <w:tc>
          <w:tcPr>
            <w:tcW w:w="560" w:type="pct"/>
          </w:tcPr>
          <w:p w:rsidR="00ED6788" w:rsidRPr="00B41430" w:rsidRDefault="00ED6788" w:rsidP="00C25CC8">
            <w:pPr>
              <w:pStyle w:val="TableText"/>
              <w:ind w:right="142"/>
              <w:jc w:val="right"/>
              <w:rPr>
                <w:rFonts w:cs="Arial"/>
                <w:szCs w:val="18"/>
              </w:rPr>
            </w:pPr>
            <w:r w:rsidRPr="00B41430">
              <w:rPr>
                <w:rFonts w:cs="Arial"/>
                <w:szCs w:val="18"/>
              </w:rPr>
              <w:t>50%</w:t>
            </w:r>
          </w:p>
        </w:tc>
        <w:tc>
          <w:tcPr>
            <w:tcW w:w="605" w:type="pct"/>
            <w:shd w:val="clear" w:color="auto" w:fill="D9D9D9"/>
          </w:tcPr>
          <w:p w:rsidR="00ED6788" w:rsidRPr="00F926D1" w:rsidRDefault="00ED6788" w:rsidP="00AE2B65">
            <w:pPr>
              <w:pStyle w:val="TableText"/>
              <w:ind w:right="142"/>
              <w:jc w:val="right"/>
              <w:rPr>
                <w:rFonts w:cs="Arial"/>
                <w:szCs w:val="18"/>
              </w:rPr>
            </w:pPr>
            <w:r w:rsidRPr="00F926D1">
              <w:rPr>
                <w:rFonts w:cs="Arial"/>
                <w:szCs w:val="18"/>
              </w:rPr>
              <w:t>66%</w:t>
            </w:r>
            <w:r w:rsidR="00AE2B65">
              <w:rPr>
                <w:rFonts w:cs="Arial"/>
                <w:szCs w:val="18"/>
              </w:rPr>
              <w:br/>
            </w:r>
            <w:r>
              <w:rPr>
                <w:rFonts w:cs="Arial"/>
                <w:szCs w:val="18"/>
              </w:rPr>
              <w:t>see Note B</w:t>
            </w:r>
          </w:p>
        </w:tc>
      </w:tr>
      <w:tr w:rsidR="00ED6788" w:rsidRPr="00B41430" w:rsidTr="00C25CC8">
        <w:trPr>
          <w:cantSplit/>
        </w:trPr>
        <w:tc>
          <w:tcPr>
            <w:tcW w:w="591" w:type="pct"/>
          </w:tcPr>
          <w:p w:rsidR="00ED6788" w:rsidRPr="00B41430" w:rsidRDefault="00ED6788" w:rsidP="00C25CC8">
            <w:pPr>
              <w:pStyle w:val="TableText"/>
              <w:ind w:right="284"/>
              <w:jc w:val="right"/>
              <w:rPr>
                <w:rFonts w:cs="Arial"/>
                <w:szCs w:val="18"/>
              </w:rPr>
            </w:pPr>
            <w:r>
              <w:rPr>
                <w:rFonts w:cs="Arial"/>
                <w:szCs w:val="18"/>
              </w:rPr>
              <w:t>New</w:t>
            </w:r>
          </w:p>
        </w:tc>
        <w:tc>
          <w:tcPr>
            <w:tcW w:w="3244" w:type="pct"/>
          </w:tcPr>
          <w:p w:rsidR="00ED6788" w:rsidRPr="00B41430" w:rsidRDefault="00ED6788" w:rsidP="00C25CC8">
            <w:pPr>
              <w:spacing w:before="60" w:after="60"/>
              <w:rPr>
                <w:rFonts w:cs="Arial"/>
                <w:sz w:val="18"/>
                <w:szCs w:val="18"/>
              </w:rPr>
            </w:pPr>
            <w:r w:rsidRPr="00B41430">
              <w:rPr>
                <w:rFonts w:cs="Arial"/>
                <w:sz w:val="18"/>
                <w:szCs w:val="18"/>
              </w:rPr>
              <w:t>Percentage of Reportable Events that providers manage in accordance with the HQSC guidelines</w:t>
            </w:r>
          </w:p>
        </w:tc>
        <w:tc>
          <w:tcPr>
            <w:tcW w:w="560" w:type="pct"/>
          </w:tcPr>
          <w:p w:rsidR="00ED6788" w:rsidRPr="00B41430" w:rsidRDefault="00ED6788" w:rsidP="00C25CC8">
            <w:pPr>
              <w:pStyle w:val="TableText"/>
              <w:ind w:right="142"/>
              <w:jc w:val="right"/>
              <w:rPr>
                <w:rFonts w:cs="Arial"/>
                <w:szCs w:val="18"/>
              </w:rPr>
            </w:pPr>
            <w:r w:rsidRPr="00B41430">
              <w:rPr>
                <w:rFonts w:cs="Arial"/>
                <w:szCs w:val="18"/>
              </w:rPr>
              <w:t>100%</w:t>
            </w:r>
          </w:p>
        </w:tc>
        <w:tc>
          <w:tcPr>
            <w:tcW w:w="605" w:type="pct"/>
            <w:shd w:val="clear" w:color="auto" w:fill="D9D9D9"/>
          </w:tcPr>
          <w:p w:rsidR="00ED6788" w:rsidRPr="00F926D1" w:rsidRDefault="00ED6788" w:rsidP="00C25CC8">
            <w:pPr>
              <w:pStyle w:val="TableText"/>
              <w:ind w:right="142"/>
              <w:jc w:val="right"/>
              <w:rPr>
                <w:rFonts w:cs="Arial"/>
                <w:szCs w:val="18"/>
              </w:rPr>
            </w:pPr>
            <w:r w:rsidRPr="00F926D1">
              <w:rPr>
                <w:rFonts w:cs="Arial"/>
                <w:szCs w:val="18"/>
              </w:rPr>
              <w:t>100%</w:t>
            </w:r>
          </w:p>
        </w:tc>
      </w:tr>
    </w:tbl>
    <w:p w:rsidR="00ED6788" w:rsidRDefault="00ED6788" w:rsidP="00AE2B65">
      <w:pPr>
        <w:rPr>
          <w:highlight w:val="yellow"/>
        </w:rPr>
      </w:pPr>
    </w:p>
    <w:p w:rsidR="00ED6788" w:rsidRDefault="00ED6788" w:rsidP="00AE2B65">
      <w:pPr>
        <w:pStyle w:val="Heading3"/>
      </w:pPr>
      <w:r w:rsidRPr="00D6552D">
        <w:lastRenderedPageBreak/>
        <w:t>Comments</w:t>
      </w:r>
    </w:p>
    <w:p w:rsidR="00ED6788" w:rsidRPr="00F926D1" w:rsidRDefault="00ED6788" w:rsidP="00734595">
      <w:pPr>
        <w:keepNext/>
      </w:pPr>
      <w:r w:rsidRPr="00F926D1">
        <w:t>The Ministry contracts with:</w:t>
      </w:r>
    </w:p>
    <w:p w:rsidR="00ED6788" w:rsidRPr="00A33BD6" w:rsidRDefault="00ED6788" w:rsidP="00734595">
      <w:pPr>
        <w:pStyle w:val="Bullet"/>
        <w:keepNext/>
      </w:pPr>
      <w:r w:rsidRPr="00A33BD6">
        <w:t>two ambulance communications centre providers</w:t>
      </w:r>
    </w:p>
    <w:p w:rsidR="00ED6788" w:rsidRPr="00A33BD6" w:rsidRDefault="00ED6788" w:rsidP="00AE2B65">
      <w:pPr>
        <w:pStyle w:val="Bullet"/>
      </w:pPr>
      <w:r w:rsidRPr="00A33BD6">
        <w:t>two emergency road ambulance providers</w:t>
      </w:r>
    </w:p>
    <w:p w:rsidR="00ED6788" w:rsidRDefault="00ED6788" w:rsidP="00AE2B65">
      <w:pPr>
        <w:pStyle w:val="Bullet"/>
      </w:pPr>
      <w:r w:rsidRPr="00A33BD6">
        <w:t>12 emergency air ambulance providers.</w:t>
      </w:r>
    </w:p>
    <w:p w:rsidR="00AE2B65" w:rsidRDefault="00AE2B65" w:rsidP="00AE2B65"/>
    <w:p w:rsidR="00ED6788" w:rsidRDefault="00ED6788" w:rsidP="00AE2B65">
      <w:r w:rsidRPr="00217120">
        <w:rPr>
          <w:i/>
        </w:rPr>
        <w:t>Note A:</w:t>
      </w:r>
      <w:r>
        <w:t xml:space="preserve"> Response times to the most urgent calls have improved steadily over 2013/14 and 2014/15 despite increasing numbers of calls, as St John and Wellington Free Ambulance have increased availability of resources and made improvements to their systems and processes.</w:t>
      </w:r>
      <w:r w:rsidR="000845D9">
        <w:t xml:space="preserve"> </w:t>
      </w:r>
      <w:r>
        <w:t>They have introduced clinical triage and advice by phone for less urgent calls which means some calls can be closed by clinical advisers over the phone without the need to dispatch an ambulance. This ensures more ambulances are available to travel quickly to life</w:t>
      </w:r>
      <w:r w:rsidR="00AE2B65">
        <w:t>-</w:t>
      </w:r>
      <w:r>
        <w:t>threatening incidents.</w:t>
      </w:r>
    </w:p>
    <w:p w:rsidR="00AE2B65" w:rsidRDefault="00AE2B65" w:rsidP="00AE2B65"/>
    <w:p w:rsidR="000845D9" w:rsidRDefault="00ED6788" w:rsidP="00AE2B65">
      <w:r w:rsidRPr="00217120">
        <w:rPr>
          <w:i/>
        </w:rPr>
        <w:t>Note B:</w:t>
      </w:r>
      <w:r>
        <w:t xml:space="preserve"> This is a new measure introduced in 2014/15, for which there was no baseline information.</w:t>
      </w:r>
    </w:p>
    <w:p w:rsidR="00AE2B65" w:rsidRDefault="00AE2B65" w:rsidP="00AE2B65"/>
    <w:p w:rsidR="000845D9" w:rsidRDefault="00ED6788" w:rsidP="00AE2B65">
      <w:r w:rsidRPr="00F4091C">
        <w:t>Emergency ambulance services, including call-taking, triage, dispatch, assessment, treatment and transport, have continued to be provided in accordance with specified national service requirements. Key service performance metrics are published on the National Ambulance Sector Office (NASO</w:t>
      </w:r>
      <w:r>
        <w:t>)</w:t>
      </w:r>
      <w:r w:rsidRPr="00F4091C">
        <w:t xml:space="preserve"> website each quarter, together with summaries of ambulance services</w:t>
      </w:r>
      <w:r w:rsidR="000845D9">
        <w:t>’</w:t>
      </w:r>
      <w:r w:rsidRPr="00F4091C">
        <w:t xml:space="preserve"> serious and sentinel events. Ambulance services performed well during 2014/15, and achieved improved response times despite increasing demand. Demand for air ambulance services continues to rise.</w:t>
      </w:r>
    </w:p>
    <w:p w:rsidR="000845D9" w:rsidRDefault="00ED6788" w:rsidP="004966BC">
      <w:pPr>
        <w:spacing w:before="240"/>
      </w:pPr>
      <w:r w:rsidRPr="00D375F3">
        <w:rPr>
          <w:color w:val="000000" w:themeColor="text1"/>
        </w:rPr>
        <w:t xml:space="preserve">During 2014/15 a new joint Ministry of Health/ACC funding model was introduced for road </w:t>
      </w:r>
      <w:r w:rsidRPr="00F4091C">
        <w:t>ambulance services, together with new performance targets. Other key developments during 2014/15 included the development of a clinical hub in the Auckland ambulance control centre.</w:t>
      </w:r>
      <w:r w:rsidR="000845D9">
        <w:t xml:space="preserve"> </w:t>
      </w:r>
      <w:r w:rsidRPr="00F4091C">
        <w:t xml:space="preserve">The hub is staffed by specially trained triage nurses who provide a second tier of assessment and advice for 111 calls deemed initially to be low need. The triage nurses speak with the caller and provide clinical assessment over the phone, and if appropriate, advice for self care, or referral to primary care services, or if the caller turns out to have more acute needs, an ambulance </w:t>
      </w:r>
      <w:r w:rsidR="00796085">
        <w:t xml:space="preserve">is </w:t>
      </w:r>
      <w:r w:rsidRPr="00F4091C">
        <w:t>dispatched.</w:t>
      </w:r>
      <w:r w:rsidR="000845D9">
        <w:t xml:space="preserve"> </w:t>
      </w:r>
      <w:r w:rsidRPr="00F4091C">
        <w:t>The service has been successful in meeting low level needs quickly and more appropriately</w:t>
      </w:r>
      <w:r w:rsidR="00796085">
        <w:t>,</w:t>
      </w:r>
      <w:r w:rsidRPr="00F4091C">
        <w:t xml:space="preserve"> and reducing unnecessary ambulance dispatches.</w:t>
      </w:r>
    </w:p>
    <w:p w:rsidR="00796085" w:rsidRDefault="00796085" w:rsidP="00796085"/>
    <w:p w:rsidR="00ED6788" w:rsidRPr="00F4091C" w:rsidRDefault="00ED6788" w:rsidP="00796085">
      <w:r w:rsidRPr="00F4091C">
        <w:t>During 2014/15 the electronic patient record project has also made good progress with systems and processes, and staff prepared for pilot in early 2015/16 and completion of the national rollout by June 2016. This is a big step forward in collection and communication of patient information between health agencies and will improve outcomes for patients.</w:t>
      </w:r>
    </w:p>
    <w:p w:rsidR="00796085" w:rsidRDefault="00796085" w:rsidP="00796085"/>
    <w:p w:rsidR="00ED6788" w:rsidRPr="00F4091C" w:rsidRDefault="00ED6788" w:rsidP="00796085">
      <w:r w:rsidRPr="00F4091C">
        <w:t>During 2014/15, ambulance services worked with the New Zealand Police who are leading the Whole of Government Radio Network (WGRN) project, and completed detailed design and costings for ambulance to migrate to the Police digital network. The costs were higher than expected and the WGRN board therefore recommended that only the Wellington Free Ambulance migrate fully to the Police digital network.</w:t>
      </w:r>
    </w:p>
    <w:p w:rsidR="00ED6788" w:rsidRPr="00533D7C" w:rsidRDefault="00ED6788" w:rsidP="00796085">
      <w:pPr>
        <w:rPr>
          <w:highlight w:val="yellow"/>
        </w:rPr>
      </w:pPr>
    </w:p>
    <w:p w:rsidR="00ED6788" w:rsidRDefault="00ED6788" w:rsidP="00796085">
      <w:pPr>
        <w:pStyle w:val="Heading3"/>
      </w:pPr>
      <w:r w:rsidRPr="00E170A6">
        <w:lastRenderedPageBreak/>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95,490</w:t>
            </w:r>
          </w:p>
        </w:tc>
        <w:tc>
          <w:tcPr>
            <w:tcW w:w="3968" w:type="dxa"/>
            <w:tcBorders>
              <w:left w:val="nil"/>
            </w:tcBorders>
            <w:shd w:val="solid" w:color="FFFFFF" w:fill="auto"/>
          </w:tcPr>
          <w:p w:rsidR="00ED6788" w:rsidRPr="002C0E8B" w:rsidRDefault="00ED6788" w:rsidP="00C25CC8">
            <w:pPr>
              <w:pStyle w:val="TableText"/>
              <w:keepNext/>
              <w:rPr>
                <w:b/>
              </w:rPr>
            </w:pPr>
            <w:r w:rsidRPr="002E585D">
              <w:rPr>
                <w:rFonts w:cs="Arial"/>
                <w:b/>
                <w:szCs w:val="18"/>
              </w:rPr>
              <w:t xml:space="preserve">Total </w:t>
            </w:r>
            <w:r>
              <w:rPr>
                <w:rFonts w:cs="Arial"/>
                <w:b/>
                <w:szCs w:val="18"/>
              </w:rPr>
              <w:t>appropriation</w:t>
            </w:r>
          </w:p>
        </w:tc>
        <w:tc>
          <w:tcPr>
            <w:tcW w:w="1276" w:type="dxa"/>
            <w:shd w:val="clear" w:color="E3E3E3" w:fill="D9D9D9"/>
          </w:tcPr>
          <w:p w:rsidR="00ED6788" w:rsidRPr="002C0E8B" w:rsidRDefault="00ED6788" w:rsidP="00C25CC8">
            <w:pPr>
              <w:pStyle w:val="TableText"/>
              <w:ind w:right="142"/>
              <w:jc w:val="right"/>
              <w:rPr>
                <w:b/>
              </w:rPr>
            </w:pPr>
            <w:r>
              <w:rPr>
                <w:b/>
              </w:rPr>
              <w:t>97,105</w:t>
            </w:r>
          </w:p>
        </w:tc>
        <w:tc>
          <w:tcPr>
            <w:tcW w:w="1488" w:type="dxa"/>
          </w:tcPr>
          <w:p w:rsidR="00ED6788" w:rsidRPr="002C0E8B" w:rsidRDefault="00ED6788" w:rsidP="00C25CC8">
            <w:pPr>
              <w:pStyle w:val="TableText"/>
              <w:jc w:val="right"/>
              <w:rPr>
                <w:b/>
              </w:rPr>
            </w:pPr>
            <w:r>
              <w:rPr>
                <w:b/>
              </w:rPr>
              <w:t>93,739</w:t>
            </w:r>
          </w:p>
        </w:tc>
        <w:tc>
          <w:tcPr>
            <w:tcW w:w="1347" w:type="dxa"/>
          </w:tcPr>
          <w:p w:rsidR="00ED6788" w:rsidRPr="002C0E8B" w:rsidRDefault="00ED6788" w:rsidP="00796085">
            <w:pPr>
              <w:pStyle w:val="TableText"/>
              <w:jc w:val="right"/>
              <w:rPr>
                <w:b/>
              </w:rPr>
            </w:pPr>
            <w:r>
              <w:rPr>
                <w:b/>
              </w:rPr>
              <w:t>98,318</w:t>
            </w:r>
          </w:p>
        </w:tc>
      </w:tr>
    </w:tbl>
    <w:p w:rsidR="00ED6788" w:rsidRDefault="00ED6788" w:rsidP="00796085"/>
    <w:p w:rsidR="00ED6788" w:rsidRDefault="00ED6788" w:rsidP="00796085">
      <w:pPr>
        <w:pStyle w:val="Heading3"/>
      </w:pPr>
      <w:r w:rsidRPr="007A1F5B">
        <w:t>Comments</w:t>
      </w:r>
    </w:p>
    <w:p w:rsidR="000845D9" w:rsidRDefault="00ED6788" w:rsidP="00796085">
      <w:r w:rsidRPr="007A526D">
        <w:t>Th</w:t>
      </w:r>
      <w:r>
        <w:t>e overspend of $3.366 million against</w:t>
      </w:r>
      <w:r w:rsidRPr="007A526D">
        <w:t xml:space="preserve"> the Main Estimates </w:t>
      </w:r>
      <w:r>
        <w:t xml:space="preserve">(4 percent of appropriation) mainly </w:t>
      </w:r>
      <w:r w:rsidRPr="007A526D">
        <w:t xml:space="preserve">relates to additional funding to establish a 111 </w:t>
      </w:r>
      <w:r w:rsidR="00796085">
        <w:t>c</w:t>
      </w:r>
      <w:r w:rsidRPr="007A526D">
        <w:t xml:space="preserve">linical </w:t>
      </w:r>
      <w:r w:rsidR="00796085">
        <w:t>h</w:t>
      </w:r>
      <w:r w:rsidRPr="007A526D">
        <w:t>ub servicing the three Auckland Metro DHBs for one year.</w:t>
      </w:r>
    </w:p>
    <w:p w:rsidR="00796085" w:rsidRDefault="00796085" w:rsidP="00796085"/>
    <w:p w:rsidR="00734595" w:rsidRDefault="00734595">
      <w:pPr>
        <w:spacing w:line="240" w:lineRule="auto"/>
        <w:rPr>
          <w:b/>
          <w:sz w:val="40"/>
        </w:rPr>
      </w:pPr>
      <w:bookmarkStart w:id="29" w:name="_Toc432765750"/>
      <w:r>
        <w:br w:type="page"/>
      </w:r>
    </w:p>
    <w:p w:rsidR="000845D9" w:rsidRDefault="00ED6788" w:rsidP="00796085">
      <w:pPr>
        <w:pStyle w:val="Heading2"/>
      </w:pPr>
      <w:bookmarkStart w:id="30" w:name="_Toc433713783"/>
      <w:r w:rsidRPr="000C7904">
        <w:lastRenderedPageBreak/>
        <w:t xml:space="preserve">National </w:t>
      </w:r>
      <w:r w:rsidR="00734595">
        <w:t>h</w:t>
      </w:r>
      <w:r w:rsidRPr="000C7904">
        <w:t xml:space="preserve">ealth </w:t>
      </w:r>
      <w:r w:rsidR="00734595">
        <w:t>i</w:t>
      </w:r>
      <w:r w:rsidRPr="000C7904">
        <w:t xml:space="preserve">nformation </w:t>
      </w:r>
      <w:r w:rsidR="00734595">
        <w:t>s</w:t>
      </w:r>
      <w:r w:rsidRPr="000C7904">
        <w:t>ystems</w:t>
      </w:r>
      <w:bookmarkEnd w:id="29"/>
      <w:bookmarkEnd w:id="30"/>
    </w:p>
    <w:p w:rsidR="00ED6788" w:rsidRDefault="00ED6788" w:rsidP="006B0FC4">
      <w:pPr>
        <w:keepNext/>
      </w:pPr>
      <w:r>
        <w:t>This appropriation is limited to the provision of information technology services for the New Zealand health and social sectors. This is a new appropriation, established in 2013/14.</w:t>
      </w:r>
      <w:r w:rsidRPr="00926CC4">
        <w:t xml:space="preserve"> Th</w:t>
      </w:r>
      <w:r>
        <w:t>e</w:t>
      </w:r>
      <w:r w:rsidRPr="00926CC4">
        <w:t xml:space="preserve"> appropriation is intended to </w:t>
      </w:r>
      <w:r>
        <w:t>ensure the</w:t>
      </w:r>
      <w:r w:rsidRPr="00926CC4">
        <w:t xml:space="preserve"> Ministry of Health is able to fund or purchase health information systems on behalf of the health and social sectors, making that procurement more efficient and effective.</w:t>
      </w:r>
    </w:p>
    <w:p w:rsidR="00ED6788" w:rsidRPr="003756B9" w:rsidRDefault="00ED6788" w:rsidP="006B0FC4">
      <w:pPr>
        <w:keepNext/>
      </w:pPr>
    </w:p>
    <w:p w:rsidR="00ED6788" w:rsidRPr="003756B9" w:rsidRDefault="006B0FC4" w:rsidP="006B0FC4">
      <w:pPr>
        <w:pStyle w:val="Heading3"/>
      </w:pPr>
      <w:r>
        <w:t>Summary of output performance</w:t>
      </w:r>
    </w:p>
    <w:tbl>
      <w:tblPr>
        <w:tblW w:w="494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3"/>
        <w:gridCol w:w="5997"/>
        <w:gridCol w:w="1035"/>
        <w:gridCol w:w="1118"/>
      </w:tblGrid>
      <w:tr w:rsidR="00ED6788" w:rsidRPr="00E16661" w:rsidTr="00C25CC8">
        <w:trPr>
          <w:cantSplit/>
          <w:tblHeader/>
        </w:trPr>
        <w:tc>
          <w:tcPr>
            <w:tcW w:w="591" w:type="pct"/>
            <w:tcBorders>
              <w:top w:val="single" w:sz="4" w:space="0" w:color="auto"/>
              <w:bottom w:val="single" w:sz="4" w:space="0" w:color="auto"/>
            </w:tcBorders>
          </w:tcPr>
          <w:p w:rsidR="00ED6788" w:rsidRPr="00E16661" w:rsidRDefault="00ED6788" w:rsidP="006B0FC4">
            <w:pPr>
              <w:pStyle w:val="TableText"/>
              <w:keepNext/>
              <w:ind w:right="284"/>
              <w:jc w:val="right"/>
              <w:rPr>
                <w:b/>
              </w:rPr>
            </w:pPr>
            <w:r w:rsidRPr="00E16661">
              <w:rPr>
                <w:b/>
              </w:rPr>
              <w:t>Actual 201</w:t>
            </w:r>
            <w:r>
              <w:rPr>
                <w:b/>
              </w:rPr>
              <w:t>3/14</w:t>
            </w:r>
          </w:p>
        </w:tc>
        <w:tc>
          <w:tcPr>
            <w:tcW w:w="3244" w:type="pct"/>
            <w:tcBorders>
              <w:top w:val="single" w:sz="4" w:space="0" w:color="auto"/>
              <w:bottom w:val="single" w:sz="4" w:space="0" w:color="auto"/>
            </w:tcBorders>
          </w:tcPr>
          <w:p w:rsidR="00ED6788" w:rsidRPr="00E16661" w:rsidRDefault="00ED6788" w:rsidP="006B0FC4">
            <w:pPr>
              <w:pStyle w:val="TableText"/>
              <w:keepNext/>
              <w:ind w:right="142"/>
              <w:rPr>
                <w:b/>
              </w:rPr>
            </w:pPr>
            <w:r w:rsidRPr="00E16661">
              <w:rPr>
                <w:b/>
              </w:rPr>
              <w:t>Performance measure</w:t>
            </w:r>
          </w:p>
        </w:tc>
        <w:tc>
          <w:tcPr>
            <w:tcW w:w="560" w:type="pct"/>
            <w:tcBorders>
              <w:top w:val="single" w:sz="4" w:space="0" w:color="auto"/>
              <w:bottom w:val="single" w:sz="4" w:space="0" w:color="auto"/>
            </w:tcBorders>
          </w:tcPr>
          <w:p w:rsidR="00ED6788" w:rsidRPr="00E16661" w:rsidRDefault="00ED6788" w:rsidP="006B0FC4">
            <w:pPr>
              <w:pStyle w:val="TableText"/>
              <w:keepN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605" w:type="pct"/>
            <w:tcBorders>
              <w:top w:val="single" w:sz="4" w:space="0" w:color="auto"/>
              <w:bottom w:val="single" w:sz="4" w:space="0" w:color="auto"/>
            </w:tcBorders>
            <w:shd w:val="clear" w:color="auto" w:fill="D9D9D9"/>
          </w:tcPr>
          <w:p w:rsidR="00ED6788" w:rsidRPr="00E16661" w:rsidRDefault="00ED6788" w:rsidP="006B0FC4">
            <w:pPr>
              <w:pStyle w:val="TableText"/>
              <w:keepN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C25CC8">
        <w:trPr>
          <w:cantSplit/>
        </w:trPr>
        <w:tc>
          <w:tcPr>
            <w:tcW w:w="591" w:type="pct"/>
            <w:tcBorders>
              <w:top w:val="single" w:sz="4" w:space="0" w:color="auto"/>
            </w:tcBorders>
          </w:tcPr>
          <w:p w:rsidR="00ED6788" w:rsidRPr="002C0E8B" w:rsidRDefault="00ED6788" w:rsidP="006B0FC4">
            <w:pPr>
              <w:pStyle w:val="TableText"/>
              <w:keepNext/>
              <w:ind w:right="284"/>
              <w:jc w:val="right"/>
              <w:rPr>
                <w:bCs/>
                <w:lang w:eastAsia="en-NZ"/>
              </w:rPr>
            </w:pPr>
          </w:p>
        </w:tc>
        <w:tc>
          <w:tcPr>
            <w:tcW w:w="3244" w:type="pct"/>
            <w:tcBorders>
              <w:top w:val="single" w:sz="4" w:space="0" w:color="auto"/>
            </w:tcBorders>
          </w:tcPr>
          <w:p w:rsidR="00ED6788" w:rsidRPr="00AB69C4" w:rsidRDefault="00ED6788" w:rsidP="006B0FC4">
            <w:pPr>
              <w:pStyle w:val="TableText"/>
              <w:keepNext/>
              <w:ind w:right="142"/>
              <w:rPr>
                <w:b/>
              </w:rPr>
            </w:pPr>
            <w:r w:rsidRPr="00F45139">
              <w:rPr>
                <w:b/>
                <w:bCs/>
                <w:lang w:eastAsia="en-NZ"/>
              </w:rPr>
              <w:t>E-prescription Tool</w:t>
            </w:r>
          </w:p>
        </w:tc>
        <w:tc>
          <w:tcPr>
            <w:tcW w:w="560" w:type="pct"/>
            <w:tcBorders>
              <w:top w:val="single" w:sz="4" w:space="0" w:color="auto"/>
            </w:tcBorders>
          </w:tcPr>
          <w:p w:rsidR="00ED6788" w:rsidRPr="002C0E8B" w:rsidRDefault="00ED6788" w:rsidP="006B0FC4">
            <w:pPr>
              <w:pStyle w:val="TableText"/>
              <w:keepNext/>
              <w:ind w:right="142"/>
              <w:jc w:val="right"/>
            </w:pPr>
          </w:p>
        </w:tc>
        <w:tc>
          <w:tcPr>
            <w:tcW w:w="605" w:type="pct"/>
            <w:tcBorders>
              <w:top w:val="single" w:sz="4" w:space="0" w:color="auto"/>
            </w:tcBorders>
            <w:shd w:val="clear" w:color="auto" w:fill="D9D9D9"/>
          </w:tcPr>
          <w:p w:rsidR="00ED6788" w:rsidRPr="002C0E8B" w:rsidRDefault="00ED6788" w:rsidP="006B0FC4">
            <w:pPr>
              <w:pStyle w:val="TableText"/>
              <w:keepNext/>
              <w:ind w:right="142"/>
              <w:jc w:val="right"/>
            </w:pPr>
          </w:p>
        </w:tc>
      </w:tr>
      <w:tr w:rsidR="00ED6788" w:rsidRPr="002C0E8B" w:rsidTr="006B0FC4">
        <w:trPr>
          <w:cantSplit/>
        </w:trPr>
        <w:tc>
          <w:tcPr>
            <w:tcW w:w="591" w:type="pct"/>
            <w:tcBorders>
              <w:bottom w:val="nil"/>
            </w:tcBorders>
          </w:tcPr>
          <w:p w:rsidR="00ED6788" w:rsidRPr="002C0E8B" w:rsidRDefault="00ED6788" w:rsidP="006B0FC4">
            <w:pPr>
              <w:pStyle w:val="TableText"/>
              <w:keepNext/>
              <w:spacing w:before="0"/>
              <w:ind w:right="284"/>
              <w:jc w:val="right"/>
            </w:pPr>
            <w:r>
              <w:t>New</w:t>
            </w:r>
          </w:p>
        </w:tc>
        <w:tc>
          <w:tcPr>
            <w:tcW w:w="3244" w:type="pct"/>
            <w:tcBorders>
              <w:bottom w:val="nil"/>
            </w:tcBorders>
          </w:tcPr>
          <w:p w:rsidR="00ED6788" w:rsidRPr="002C0E8B" w:rsidRDefault="00ED6788" w:rsidP="006B0FC4">
            <w:pPr>
              <w:pStyle w:val="TableText"/>
              <w:keepNext/>
              <w:spacing w:before="0"/>
              <w:ind w:right="142"/>
            </w:pPr>
            <w:r w:rsidRPr="00F45139">
              <w:t>E-prescription Tool implemented over three years</w:t>
            </w:r>
          </w:p>
        </w:tc>
        <w:tc>
          <w:tcPr>
            <w:tcW w:w="560" w:type="pct"/>
            <w:tcBorders>
              <w:bottom w:val="nil"/>
            </w:tcBorders>
          </w:tcPr>
          <w:p w:rsidR="00ED6788" w:rsidRPr="002C0E8B" w:rsidRDefault="00ED6788" w:rsidP="006B0FC4">
            <w:pPr>
              <w:pStyle w:val="TableText"/>
              <w:keepNext/>
              <w:spacing w:before="0"/>
              <w:ind w:right="142"/>
              <w:jc w:val="right"/>
            </w:pPr>
            <w:r w:rsidRPr="00F45139">
              <w:t>Achieved</w:t>
            </w:r>
          </w:p>
        </w:tc>
        <w:tc>
          <w:tcPr>
            <w:tcW w:w="605" w:type="pct"/>
            <w:tcBorders>
              <w:bottom w:val="nil"/>
            </w:tcBorders>
            <w:shd w:val="clear" w:color="auto" w:fill="D9D9D9"/>
          </w:tcPr>
          <w:p w:rsidR="00ED6788" w:rsidRPr="007768A5" w:rsidRDefault="00ED6788" w:rsidP="006B0FC4">
            <w:pPr>
              <w:pStyle w:val="TableText"/>
              <w:keepNext/>
              <w:spacing w:before="0"/>
              <w:ind w:right="142"/>
              <w:jc w:val="right"/>
            </w:pPr>
            <w:r w:rsidRPr="007768A5">
              <w:t>Achieved</w:t>
            </w:r>
          </w:p>
        </w:tc>
      </w:tr>
      <w:tr w:rsidR="00ED6788" w:rsidRPr="002C0E8B" w:rsidTr="006B0FC4">
        <w:trPr>
          <w:cantSplit/>
        </w:trPr>
        <w:tc>
          <w:tcPr>
            <w:tcW w:w="591" w:type="pct"/>
            <w:tcBorders>
              <w:top w:val="nil"/>
              <w:bottom w:val="nil"/>
            </w:tcBorders>
          </w:tcPr>
          <w:p w:rsidR="00ED6788" w:rsidRPr="002C0E8B" w:rsidRDefault="00ED6788" w:rsidP="006B0FC4">
            <w:pPr>
              <w:pStyle w:val="TableText"/>
              <w:keepNext/>
              <w:ind w:right="284"/>
              <w:jc w:val="right"/>
              <w:rPr>
                <w:bCs/>
                <w:lang w:eastAsia="en-NZ"/>
              </w:rPr>
            </w:pPr>
          </w:p>
        </w:tc>
        <w:tc>
          <w:tcPr>
            <w:tcW w:w="3244" w:type="pct"/>
            <w:tcBorders>
              <w:top w:val="nil"/>
              <w:bottom w:val="nil"/>
            </w:tcBorders>
          </w:tcPr>
          <w:p w:rsidR="00ED6788" w:rsidRPr="00AB69C4" w:rsidRDefault="00ED6788" w:rsidP="006B0FC4">
            <w:pPr>
              <w:pStyle w:val="TableText"/>
              <w:keepNext/>
              <w:ind w:right="142"/>
              <w:rPr>
                <w:b/>
              </w:rPr>
            </w:pPr>
            <w:r w:rsidRPr="00F45139">
              <w:rPr>
                <w:b/>
                <w:bCs/>
                <w:lang w:eastAsia="en-NZ"/>
              </w:rPr>
              <w:t>Whānau Ora Information System</w:t>
            </w:r>
          </w:p>
        </w:tc>
        <w:tc>
          <w:tcPr>
            <w:tcW w:w="560" w:type="pct"/>
            <w:tcBorders>
              <w:top w:val="nil"/>
              <w:bottom w:val="nil"/>
            </w:tcBorders>
          </w:tcPr>
          <w:p w:rsidR="00ED6788" w:rsidRPr="002C0E8B" w:rsidRDefault="00ED6788" w:rsidP="006B0FC4">
            <w:pPr>
              <w:pStyle w:val="TableText"/>
              <w:keepNext/>
              <w:ind w:right="142"/>
              <w:jc w:val="right"/>
            </w:pPr>
          </w:p>
        </w:tc>
        <w:tc>
          <w:tcPr>
            <w:tcW w:w="605" w:type="pct"/>
            <w:tcBorders>
              <w:top w:val="nil"/>
              <w:bottom w:val="nil"/>
            </w:tcBorders>
            <w:shd w:val="clear" w:color="auto" w:fill="D9D9D9"/>
          </w:tcPr>
          <w:p w:rsidR="00ED6788" w:rsidRDefault="00ED6788" w:rsidP="006B0FC4">
            <w:pPr>
              <w:pStyle w:val="TableText"/>
              <w:keepNext/>
              <w:ind w:right="142"/>
              <w:jc w:val="right"/>
            </w:pPr>
          </w:p>
        </w:tc>
      </w:tr>
      <w:tr w:rsidR="00ED6788" w:rsidRPr="002C0E8B" w:rsidTr="006B0FC4">
        <w:trPr>
          <w:cantSplit/>
        </w:trPr>
        <w:tc>
          <w:tcPr>
            <w:tcW w:w="591" w:type="pct"/>
            <w:tcBorders>
              <w:top w:val="nil"/>
              <w:bottom w:val="nil"/>
            </w:tcBorders>
          </w:tcPr>
          <w:p w:rsidR="00ED6788" w:rsidRPr="002C0E8B" w:rsidRDefault="00ED6788" w:rsidP="006B0FC4">
            <w:pPr>
              <w:pStyle w:val="TableText"/>
              <w:keepNext/>
              <w:spacing w:before="0"/>
              <w:ind w:right="284"/>
              <w:jc w:val="right"/>
            </w:pPr>
            <w:r>
              <w:t>New</w:t>
            </w:r>
          </w:p>
        </w:tc>
        <w:tc>
          <w:tcPr>
            <w:tcW w:w="3244" w:type="pct"/>
            <w:tcBorders>
              <w:top w:val="nil"/>
              <w:bottom w:val="nil"/>
            </w:tcBorders>
          </w:tcPr>
          <w:p w:rsidR="00ED6788" w:rsidRPr="002C0E8B" w:rsidRDefault="00ED6788" w:rsidP="006B0FC4">
            <w:pPr>
              <w:pStyle w:val="TableText"/>
              <w:keepNext/>
              <w:spacing w:before="0"/>
              <w:ind w:right="142"/>
            </w:pPr>
            <w:r w:rsidRPr="00F45139">
              <w:t>Whānau Ora information system implementation, starting from 1 July 2014</w:t>
            </w:r>
          </w:p>
        </w:tc>
        <w:tc>
          <w:tcPr>
            <w:tcW w:w="560" w:type="pct"/>
            <w:tcBorders>
              <w:top w:val="nil"/>
              <w:bottom w:val="nil"/>
            </w:tcBorders>
          </w:tcPr>
          <w:p w:rsidR="00ED6788" w:rsidRPr="002C0E8B" w:rsidRDefault="00ED6788" w:rsidP="006B0FC4">
            <w:pPr>
              <w:pStyle w:val="TableText"/>
              <w:keepNext/>
              <w:spacing w:before="0"/>
              <w:ind w:right="142"/>
              <w:jc w:val="right"/>
            </w:pPr>
            <w:r w:rsidRPr="00F45139">
              <w:t>Achieved</w:t>
            </w:r>
          </w:p>
        </w:tc>
        <w:tc>
          <w:tcPr>
            <w:tcW w:w="605" w:type="pct"/>
            <w:tcBorders>
              <w:top w:val="nil"/>
              <w:bottom w:val="nil"/>
            </w:tcBorders>
            <w:shd w:val="clear" w:color="auto" w:fill="D9D9D9"/>
          </w:tcPr>
          <w:p w:rsidR="00ED6788" w:rsidRPr="007768A5" w:rsidRDefault="00ED6788" w:rsidP="006B0FC4">
            <w:pPr>
              <w:pStyle w:val="TableText"/>
              <w:keepNext/>
              <w:spacing w:before="0"/>
              <w:ind w:right="142"/>
              <w:jc w:val="right"/>
            </w:pPr>
            <w:r w:rsidRPr="003B1F97">
              <w:t>Achieved</w:t>
            </w:r>
          </w:p>
        </w:tc>
      </w:tr>
      <w:tr w:rsidR="00ED6788" w:rsidRPr="002C0E8B" w:rsidTr="006B0FC4">
        <w:trPr>
          <w:cantSplit/>
        </w:trPr>
        <w:tc>
          <w:tcPr>
            <w:tcW w:w="591" w:type="pct"/>
            <w:tcBorders>
              <w:top w:val="nil"/>
            </w:tcBorders>
          </w:tcPr>
          <w:p w:rsidR="00ED6788" w:rsidRPr="002C0E8B" w:rsidRDefault="00ED6788" w:rsidP="00C25CC8">
            <w:pPr>
              <w:pStyle w:val="TableText"/>
              <w:ind w:right="284"/>
              <w:jc w:val="right"/>
              <w:rPr>
                <w:bCs/>
                <w:lang w:eastAsia="en-NZ"/>
              </w:rPr>
            </w:pPr>
          </w:p>
        </w:tc>
        <w:tc>
          <w:tcPr>
            <w:tcW w:w="3244" w:type="pct"/>
            <w:tcBorders>
              <w:top w:val="nil"/>
            </w:tcBorders>
          </w:tcPr>
          <w:p w:rsidR="00ED6788" w:rsidRPr="00AB69C4" w:rsidRDefault="00ED6788" w:rsidP="006B0FC4">
            <w:pPr>
              <w:pStyle w:val="TableText"/>
              <w:ind w:right="142"/>
              <w:rPr>
                <w:b/>
              </w:rPr>
            </w:pPr>
            <w:r w:rsidRPr="00F45139">
              <w:rPr>
                <w:b/>
                <w:bCs/>
                <w:lang w:eastAsia="en-NZ"/>
              </w:rPr>
              <w:t>National Implementation of InterRAI Assessment Tool</w:t>
            </w:r>
          </w:p>
        </w:tc>
        <w:tc>
          <w:tcPr>
            <w:tcW w:w="560" w:type="pct"/>
            <w:tcBorders>
              <w:top w:val="nil"/>
            </w:tcBorders>
          </w:tcPr>
          <w:p w:rsidR="00ED6788" w:rsidRPr="002C0E8B" w:rsidRDefault="00ED6788" w:rsidP="00C25CC8">
            <w:pPr>
              <w:pStyle w:val="TableText"/>
              <w:ind w:right="142"/>
              <w:jc w:val="right"/>
            </w:pPr>
          </w:p>
        </w:tc>
        <w:tc>
          <w:tcPr>
            <w:tcW w:w="605" w:type="pct"/>
            <w:tcBorders>
              <w:top w:val="nil"/>
            </w:tcBorders>
            <w:shd w:val="clear" w:color="auto" w:fill="D9D9D9"/>
          </w:tcPr>
          <w:p w:rsidR="00ED6788" w:rsidRPr="002C0E8B" w:rsidRDefault="00ED6788" w:rsidP="00C25CC8">
            <w:pPr>
              <w:pStyle w:val="TableText"/>
              <w:ind w:right="142"/>
              <w:jc w:val="right"/>
            </w:pPr>
          </w:p>
        </w:tc>
      </w:tr>
      <w:tr w:rsidR="00ED6788" w:rsidRPr="002C0E8B" w:rsidTr="00C25CC8">
        <w:trPr>
          <w:cantSplit/>
        </w:trPr>
        <w:tc>
          <w:tcPr>
            <w:tcW w:w="591" w:type="pct"/>
          </w:tcPr>
          <w:p w:rsidR="00ED6788" w:rsidRPr="002C0E8B" w:rsidRDefault="00ED6788" w:rsidP="006B0FC4">
            <w:pPr>
              <w:pStyle w:val="TableText"/>
              <w:keepNext/>
              <w:spacing w:before="0"/>
              <w:ind w:right="284"/>
              <w:jc w:val="right"/>
            </w:pPr>
            <w:r w:rsidRPr="000F1C09">
              <w:t>20 DHBs</w:t>
            </w:r>
          </w:p>
        </w:tc>
        <w:tc>
          <w:tcPr>
            <w:tcW w:w="3244" w:type="pct"/>
          </w:tcPr>
          <w:p w:rsidR="00ED6788" w:rsidRPr="002C0E8B" w:rsidRDefault="00ED6788" w:rsidP="006B0FC4">
            <w:pPr>
              <w:pStyle w:val="TableText"/>
              <w:keepNext/>
              <w:spacing w:before="0"/>
              <w:ind w:right="142"/>
            </w:pPr>
            <w:r w:rsidRPr="00F45139">
              <w:t>DHBs implement the InterRAI Home Care and Contact Assessments tools for assessing the needs of older people to access long-term support services in the community or residential care</w:t>
            </w:r>
          </w:p>
        </w:tc>
        <w:tc>
          <w:tcPr>
            <w:tcW w:w="560" w:type="pct"/>
          </w:tcPr>
          <w:p w:rsidR="00ED6788" w:rsidRPr="002C0E8B" w:rsidRDefault="00ED6788" w:rsidP="006B0FC4">
            <w:pPr>
              <w:pStyle w:val="TableText"/>
              <w:keepNext/>
              <w:spacing w:before="0"/>
              <w:ind w:right="142"/>
              <w:jc w:val="right"/>
            </w:pPr>
            <w:r w:rsidRPr="00F45139">
              <w:t>20 DHBs</w:t>
            </w:r>
          </w:p>
        </w:tc>
        <w:tc>
          <w:tcPr>
            <w:tcW w:w="605" w:type="pct"/>
            <w:shd w:val="clear" w:color="auto" w:fill="D9D9D9"/>
          </w:tcPr>
          <w:p w:rsidR="00ED6788" w:rsidRPr="00D155EF" w:rsidRDefault="00ED6788" w:rsidP="006B0FC4">
            <w:pPr>
              <w:pStyle w:val="TableText"/>
              <w:keepNext/>
              <w:spacing w:before="0"/>
              <w:ind w:right="142"/>
              <w:jc w:val="right"/>
            </w:pPr>
            <w:r w:rsidRPr="003E0E45">
              <w:t>20 DHBs</w:t>
            </w:r>
          </w:p>
        </w:tc>
      </w:tr>
    </w:tbl>
    <w:p w:rsidR="00ED6788" w:rsidRPr="00802126" w:rsidRDefault="00ED6788" w:rsidP="006B0FC4">
      <w:pPr>
        <w:rPr>
          <w:highlight w:val="yellow"/>
        </w:rPr>
      </w:pPr>
    </w:p>
    <w:p w:rsidR="000845D9" w:rsidRDefault="00ED6788" w:rsidP="006B0FC4">
      <w:pPr>
        <w:pStyle w:val="Heading3"/>
      </w:pPr>
      <w:r w:rsidRPr="003B1F97">
        <w:t>Information technology</w:t>
      </w:r>
    </w:p>
    <w:p w:rsidR="00ED6788" w:rsidRDefault="00ED6788" w:rsidP="006B0FC4">
      <w:r>
        <w:t>I</w:t>
      </w:r>
      <w:r w:rsidRPr="00F94602">
        <w:t xml:space="preserve">nformation technology services </w:t>
      </w:r>
      <w:r>
        <w:t>includes:</w:t>
      </w:r>
    </w:p>
    <w:p w:rsidR="00ED6788" w:rsidRDefault="00ED6788" w:rsidP="006B0FC4">
      <w:pPr>
        <w:pStyle w:val="Bullet"/>
      </w:pPr>
      <w:r>
        <w:t>Whānau Ora IT services from Te Puni Kōkiri to 2014/15 to 2019/20</w:t>
      </w:r>
      <w:r w:rsidR="006B0FC4">
        <w:t>;</w:t>
      </w:r>
      <w:r>
        <w:t xml:space="preserve"> t</w:t>
      </w:r>
      <w:r w:rsidRPr="003B1F97">
        <w:t>he system will go live with t</w:t>
      </w:r>
      <w:r>
        <w:t>he first collectives in 2015/16</w:t>
      </w:r>
    </w:p>
    <w:p w:rsidR="000845D9" w:rsidRDefault="00ED6788" w:rsidP="006B0FC4">
      <w:pPr>
        <w:pStyle w:val="Bullet"/>
      </w:pPr>
      <w:r>
        <w:t>the NZ Medicines Formulary</w:t>
      </w:r>
    </w:p>
    <w:p w:rsidR="000845D9" w:rsidRDefault="00ED6788" w:rsidP="006B0FC4">
      <w:pPr>
        <w:pStyle w:val="Bullet"/>
      </w:pPr>
      <w:r>
        <w:t>the National Immunisation Register</w:t>
      </w:r>
    </w:p>
    <w:p w:rsidR="000845D9" w:rsidRDefault="00ED6788" w:rsidP="006B0FC4">
      <w:pPr>
        <w:pStyle w:val="Bullet"/>
      </w:pPr>
      <w:r>
        <w:t>a diagnostic system change</w:t>
      </w:r>
    </w:p>
    <w:p w:rsidR="000845D9" w:rsidRDefault="00ED6788" w:rsidP="006B0FC4">
      <w:pPr>
        <w:pStyle w:val="Bullet"/>
      </w:pPr>
      <w:r>
        <w:t>E-Medicines</w:t>
      </w:r>
    </w:p>
    <w:p w:rsidR="000845D9" w:rsidRDefault="00ED6788" w:rsidP="006B0FC4">
      <w:pPr>
        <w:pStyle w:val="Bullet"/>
      </w:pPr>
      <w:r>
        <w:t>InterRAI software</w:t>
      </w:r>
    </w:p>
    <w:p w:rsidR="000845D9" w:rsidRDefault="00ED6788" w:rsidP="006B0FC4">
      <w:pPr>
        <w:pStyle w:val="Bullet"/>
      </w:pPr>
      <w:r>
        <w:t>National Child Health Services</w:t>
      </w:r>
    </w:p>
    <w:p w:rsidR="00ED6788" w:rsidRDefault="00ED6788" w:rsidP="006B0FC4">
      <w:pPr>
        <w:pStyle w:val="Bullet"/>
      </w:pPr>
      <w:r>
        <w:t>E-Medicine Reconciliation Software from the reprioritisation of underspends.</w:t>
      </w:r>
    </w:p>
    <w:p w:rsidR="006B0FC4" w:rsidRDefault="006B0FC4" w:rsidP="006B0FC4"/>
    <w:p w:rsidR="000845D9" w:rsidRDefault="00ED6788" w:rsidP="006B0FC4">
      <w:pPr>
        <w:pStyle w:val="Heading3"/>
      </w:pPr>
      <w:r>
        <w:t>National implementation of InterRAI assessment tool</w:t>
      </w:r>
    </w:p>
    <w:p w:rsidR="00ED6788" w:rsidRDefault="00ED6788" w:rsidP="006B0FC4">
      <w:r>
        <w:t>InterRAI is a collaborative network of researchers in over 30 countries committed to improving health care for persons who are elderly, frail, or disabled. Appropriate assessment of older people in a timely fashion is one of the most significant aspects in the development of services for older people in New Zealand.</w:t>
      </w:r>
    </w:p>
    <w:p w:rsidR="00ED6788" w:rsidRPr="003756B9" w:rsidRDefault="00ED6788" w:rsidP="00ED6788"/>
    <w:p w:rsidR="00ED6788" w:rsidRDefault="00ED6788" w:rsidP="00ED6788">
      <w:r w:rsidRPr="00712024">
        <w:t>The interRAI comprehensive clinical assessment framework continues to be imple</w:t>
      </w:r>
      <w:r>
        <w:t>mented in aged residential care</w:t>
      </w:r>
      <w:r w:rsidRPr="00712024">
        <w:t xml:space="preserve">. Alongside this implementation, the interRAI NZ Governance Board </w:t>
      </w:r>
      <w:r>
        <w:t>has been reconfiguring</w:t>
      </w:r>
      <w:r w:rsidRPr="00712024">
        <w:t xml:space="preserve"> the Board</w:t>
      </w:r>
      <w:r w:rsidR="000845D9">
        <w:t>’</w:t>
      </w:r>
      <w:r w:rsidRPr="00712024">
        <w:t>s ter</w:t>
      </w:r>
      <w:r>
        <w:t>ms of reference and functioning</w:t>
      </w:r>
      <w:r w:rsidRPr="00712024">
        <w:t>. This will enable a refreshed Board to begin more active oversight of the interRAI programme</w:t>
      </w:r>
      <w:r>
        <w:t>, which</w:t>
      </w:r>
      <w:r w:rsidRPr="00712024">
        <w:t xml:space="preserve"> will coincide with the establishment of </w:t>
      </w:r>
      <w:r w:rsidR="006B0FC4">
        <w:t xml:space="preserve">a </w:t>
      </w:r>
      <w:r w:rsidRPr="00712024">
        <w:t>long</w:t>
      </w:r>
      <w:r w:rsidR="006B0FC4">
        <w:t>-</w:t>
      </w:r>
      <w:r w:rsidRPr="00712024">
        <w:t>term budget and work programme for interRAI</w:t>
      </w:r>
      <w:r w:rsidR="000845D9">
        <w:t>’</w:t>
      </w:r>
      <w:r w:rsidRPr="00712024">
        <w:t>s implementation and operation.</w:t>
      </w:r>
    </w:p>
    <w:p w:rsidR="006B0FC4" w:rsidRDefault="006B0FC4" w:rsidP="006B0FC4"/>
    <w:p w:rsidR="00ED6788" w:rsidRDefault="00ED6788" w:rsidP="006B0FC4">
      <w:pPr>
        <w:pStyle w:val="Heading3"/>
      </w:pPr>
      <w:r w:rsidRPr="00E170A6">
        <w:lastRenderedPageBreak/>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6B0FC4">
            <w:pPr>
              <w:pStyle w:val="TableText"/>
              <w:keepNext/>
              <w:ind w:right="284"/>
              <w:jc w:val="right"/>
            </w:pPr>
            <w:r>
              <w:t>3825</w:t>
            </w:r>
          </w:p>
        </w:tc>
        <w:tc>
          <w:tcPr>
            <w:tcW w:w="3968" w:type="dxa"/>
            <w:tcBorders>
              <w:top w:val="single" w:sz="4" w:space="0" w:color="auto"/>
              <w:left w:val="nil"/>
            </w:tcBorders>
            <w:shd w:val="solid" w:color="FFFFFF" w:fill="auto"/>
          </w:tcPr>
          <w:p w:rsidR="00ED6788" w:rsidRPr="002C0E8B" w:rsidRDefault="00ED6788" w:rsidP="00C25CC8">
            <w:pPr>
              <w:pStyle w:val="TableText"/>
              <w:keepNext/>
            </w:pPr>
            <w:r w:rsidRPr="00C44EA0">
              <w:rPr>
                <w:rFonts w:cs="Arial"/>
                <w:szCs w:val="18"/>
              </w:rPr>
              <w:t>DHBs</w:t>
            </w:r>
          </w:p>
        </w:tc>
        <w:tc>
          <w:tcPr>
            <w:tcW w:w="1276" w:type="dxa"/>
            <w:tcBorders>
              <w:top w:val="single" w:sz="4" w:space="0" w:color="auto"/>
            </w:tcBorders>
            <w:shd w:val="clear" w:color="E3E3E3" w:fill="D9D9D9"/>
          </w:tcPr>
          <w:p w:rsidR="00ED6788" w:rsidRPr="002C0E8B" w:rsidRDefault="00ED6788" w:rsidP="006B0FC4">
            <w:pPr>
              <w:pStyle w:val="TableText"/>
              <w:keepNext/>
              <w:ind w:right="142"/>
              <w:jc w:val="right"/>
            </w:pPr>
            <w:r>
              <w:t>4334</w:t>
            </w:r>
          </w:p>
        </w:tc>
        <w:tc>
          <w:tcPr>
            <w:tcW w:w="1488" w:type="dxa"/>
            <w:tcBorders>
              <w:top w:val="single" w:sz="4" w:space="0" w:color="auto"/>
            </w:tcBorders>
          </w:tcPr>
          <w:p w:rsidR="00ED6788" w:rsidRPr="002C0E8B" w:rsidRDefault="00ED6788" w:rsidP="006B0FC4">
            <w:pPr>
              <w:pStyle w:val="TableText"/>
              <w:keepNext/>
              <w:jc w:val="right"/>
            </w:pPr>
            <w:r>
              <w:t>1874</w:t>
            </w:r>
          </w:p>
        </w:tc>
        <w:tc>
          <w:tcPr>
            <w:tcW w:w="1347" w:type="dxa"/>
            <w:tcBorders>
              <w:top w:val="single" w:sz="4" w:space="0" w:color="auto"/>
            </w:tcBorders>
          </w:tcPr>
          <w:p w:rsidR="00ED6788" w:rsidRPr="002C0E8B" w:rsidRDefault="00ED6788" w:rsidP="006B0FC4">
            <w:pPr>
              <w:pStyle w:val="TableText"/>
              <w:keepNext/>
              <w:jc w:val="right"/>
            </w:pPr>
            <w:r>
              <w:t>1874</w:t>
            </w:r>
          </w:p>
        </w:tc>
      </w:tr>
      <w:tr w:rsidR="00ED6788" w:rsidRPr="002C0E8B" w:rsidTr="00C25CC8">
        <w:trPr>
          <w:cantSplit/>
        </w:trPr>
        <w:tc>
          <w:tcPr>
            <w:tcW w:w="1277" w:type="dxa"/>
            <w:tcBorders>
              <w:right w:val="nil"/>
            </w:tcBorders>
            <w:shd w:val="solid" w:color="FFFFFF" w:fill="auto"/>
          </w:tcPr>
          <w:p w:rsidR="00ED6788" w:rsidRPr="002C0E8B" w:rsidRDefault="00ED6788" w:rsidP="006B0FC4">
            <w:pPr>
              <w:pStyle w:val="TableText"/>
              <w:ind w:right="284"/>
              <w:jc w:val="right"/>
            </w:pPr>
            <w:r>
              <w:t>3877</w:t>
            </w:r>
          </w:p>
        </w:tc>
        <w:tc>
          <w:tcPr>
            <w:tcW w:w="3968" w:type="dxa"/>
            <w:tcBorders>
              <w:left w:val="nil"/>
            </w:tcBorders>
            <w:shd w:val="solid" w:color="FFFFFF" w:fill="auto"/>
          </w:tcPr>
          <w:p w:rsidR="00ED6788" w:rsidRPr="002C0E8B" w:rsidRDefault="00ED6788" w:rsidP="006B0FC4">
            <w:pPr>
              <w:pStyle w:val="TableText"/>
              <w:keepNext/>
            </w:pPr>
            <w:r w:rsidRPr="00C44EA0">
              <w:rPr>
                <w:rFonts w:cs="Arial"/>
                <w:szCs w:val="18"/>
              </w:rPr>
              <w:t>Non-</w:t>
            </w:r>
            <w:r w:rsidR="006B0FC4">
              <w:rPr>
                <w:rFonts w:cs="Arial"/>
                <w:szCs w:val="18"/>
              </w:rPr>
              <w:t>g</w:t>
            </w:r>
            <w:r w:rsidRPr="00C44EA0">
              <w:rPr>
                <w:rFonts w:cs="Arial"/>
                <w:szCs w:val="18"/>
              </w:rPr>
              <w:t xml:space="preserve">overnment </w:t>
            </w:r>
            <w:r w:rsidR="006B0FC4">
              <w:rPr>
                <w:rFonts w:cs="Arial"/>
                <w:szCs w:val="18"/>
              </w:rPr>
              <w:t>o</w:t>
            </w:r>
            <w:r w:rsidRPr="00C44EA0">
              <w:rPr>
                <w:rFonts w:cs="Arial"/>
                <w:szCs w:val="18"/>
              </w:rPr>
              <w:t>rganisations</w:t>
            </w:r>
          </w:p>
        </w:tc>
        <w:tc>
          <w:tcPr>
            <w:tcW w:w="1276" w:type="dxa"/>
            <w:shd w:val="clear" w:color="E3E3E3" w:fill="D9D9D9"/>
          </w:tcPr>
          <w:p w:rsidR="00ED6788" w:rsidRPr="002C0E8B" w:rsidRDefault="00ED6788" w:rsidP="006B0FC4">
            <w:pPr>
              <w:pStyle w:val="TableText"/>
              <w:ind w:right="142"/>
              <w:jc w:val="right"/>
            </w:pPr>
            <w:r>
              <w:t>9516</w:t>
            </w:r>
          </w:p>
        </w:tc>
        <w:tc>
          <w:tcPr>
            <w:tcW w:w="1488" w:type="dxa"/>
          </w:tcPr>
          <w:p w:rsidR="00ED6788" w:rsidRPr="002C0E8B" w:rsidRDefault="00ED6788" w:rsidP="00C25CC8">
            <w:pPr>
              <w:pStyle w:val="TableText"/>
              <w:jc w:val="right"/>
            </w:pPr>
            <w:r>
              <w:t>10,535</w:t>
            </w:r>
          </w:p>
        </w:tc>
        <w:tc>
          <w:tcPr>
            <w:tcW w:w="1347" w:type="dxa"/>
          </w:tcPr>
          <w:p w:rsidR="00ED6788" w:rsidRPr="002C0E8B" w:rsidRDefault="00ED6788" w:rsidP="00C25CC8">
            <w:pPr>
              <w:pStyle w:val="TableText"/>
              <w:jc w:val="right"/>
            </w:pPr>
            <w:r>
              <w:t>12,326</w:t>
            </w:r>
          </w:p>
        </w:tc>
      </w:tr>
      <w:tr w:rsidR="00ED6788" w:rsidRPr="002C0E8B" w:rsidTr="00C25CC8">
        <w:trPr>
          <w:cantSplit/>
        </w:trPr>
        <w:tc>
          <w:tcPr>
            <w:tcW w:w="1277" w:type="dxa"/>
            <w:tcBorders>
              <w:right w:val="nil"/>
            </w:tcBorders>
            <w:shd w:val="solid" w:color="FFFFFF" w:fill="auto"/>
          </w:tcPr>
          <w:p w:rsidR="00ED6788" w:rsidRPr="002C0E8B" w:rsidRDefault="00ED6788" w:rsidP="006B0FC4">
            <w:pPr>
              <w:pStyle w:val="TableText"/>
              <w:ind w:right="284"/>
              <w:jc w:val="right"/>
              <w:rPr>
                <w:b/>
                <w:bCs/>
              </w:rPr>
            </w:pPr>
            <w:r>
              <w:rPr>
                <w:b/>
                <w:bCs/>
              </w:rPr>
              <w:t>7702</w:t>
            </w:r>
          </w:p>
        </w:tc>
        <w:tc>
          <w:tcPr>
            <w:tcW w:w="3968" w:type="dxa"/>
            <w:tcBorders>
              <w:left w:val="nil"/>
            </w:tcBorders>
            <w:shd w:val="solid" w:color="FFFFFF" w:fill="auto"/>
          </w:tcPr>
          <w:p w:rsidR="00ED6788" w:rsidRPr="002C0E8B" w:rsidRDefault="00ED6788" w:rsidP="00C25CC8">
            <w:pPr>
              <w:pStyle w:val="TableText"/>
              <w:keepNext/>
              <w:rPr>
                <w:b/>
              </w:rPr>
            </w:pPr>
            <w:r w:rsidRPr="00402325">
              <w:rPr>
                <w:rFonts w:cs="Arial"/>
                <w:b/>
                <w:szCs w:val="18"/>
              </w:rPr>
              <w:t>Total appropriation</w:t>
            </w:r>
          </w:p>
        </w:tc>
        <w:tc>
          <w:tcPr>
            <w:tcW w:w="1276" w:type="dxa"/>
            <w:shd w:val="clear" w:color="E3E3E3" w:fill="D9D9D9"/>
          </w:tcPr>
          <w:p w:rsidR="00ED6788" w:rsidRPr="002C0E8B" w:rsidRDefault="00ED6788" w:rsidP="00C25CC8">
            <w:pPr>
              <w:pStyle w:val="TableText"/>
              <w:ind w:right="142"/>
              <w:jc w:val="right"/>
              <w:rPr>
                <w:b/>
              </w:rPr>
            </w:pPr>
            <w:r>
              <w:rPr>
                <w:b/>
                <w:bCs/>
              </w:rPr>
              <w:t>13,851</w:t>
            </w:r>
          </w:p>
        </w:tc>
        <w:tc>
          <w:tcPr>
            <w:tcW w:w="1488" w:type="dxa"/>
          </w:tcPr>
          <w:p w:rsidR="00ED6788" w:rsidRPr="002C0E8B" w:rsidRDefault="00ED6788" w:rsidP="00C25CC8">
            <w:pPr>
              <w:pStyle w:val="TableText"/>
              <w:jc w:val="right"/>
              <w:rPr>
                <w:b/>
              </w:rPr>
            </w:pPr>
            <w:r>
              <w:rPr>
                <w:b/>
                <w:bCs/>
              </w:rPr>
              <w:t>12,409</w:t>
            </w:r>
          </w:p>
        </w:tc>
        <w:tc>
          <w:tcPr>
            <w:tcW w:w="1347" w:type="dxa"/>
          </w:tcPr>
          <w:p w:rsidR="00ED6788" w:rsidRPr="002C0E8B" w:rsidRDefault="00ED6788" w:rsidP="00C25CC8">
            <w:pPr>
              <w:pStyle w:val="TableText"/>
              <w:jc w:val="right"/>
              <w:rPr>
                <w:b/>
              </w:rPr>
            </w:pPr>
            <w:r>
              <w:rPr>
                <w:b/>
                <w:bCs/>
              </w:rPr>
              <w:t>14,200</w:t>
            </w:r>
          </w:p>
        </w:tc>
      </w:tr>
    </w:tbl>
    <w:p w:rsidR="00ED6788" w:rsidRDefault="00ED6788" w:rsidP="006B0FC4"/>
    <w:p w:rsidR="00ED6788" w:rsidRDefault="00ED6788" w:rsidP="006B0FC4">
      <w:pPr>
        <w:pStyle w:val="Heading3"/>
      </w:pPr>
      <w:r w:rsidRPr="007A1F5B">
        <w:t>Comments</w:t>
      </w:r>
    </w:p>
    <w:p w:rsidR="00ED6788" w:rsidRDefault="00ED6788" w:rsidP="006B0FC4">
      <w:r w:rsidRPr="007A526D">
        <w:t>Th</w:t>
      </w:r>
      <w:r>
        <w:t>is appropriation was overspent by $1.442 million against</w:t>
      </w:r>
      <w:r w:rsidRPr="007A526D">
        <w:t xml:space="preserve"> the Main Estimates </w:t>
      </w:r>
      <w:r>
        <w:t xml:space="preserve">(12 percent of appropriation), </w:t>
      </w:r>
      <w:r w:rsidR="006B0FC4">
        <w:t xml:space="preserve">and </w:t>
      </w:r>
      <w:r>
        <w:t>a transfer of funding of $1.791 million was approved in the Supplementary Estimates. The additional funding is mainly for implementing patient portals to allow people to securely access their health information online.</w:t>
      </w:r>
    </w:p>
    <w:p w:rsidR="00ED6788" w:rsidRPr="004F080D" w:rsidRDefault="00ED6788" w:rsidP="006B0FC4"/>
    <w:p w:rsidR="00734595" w:rsidRDefault="00734595">
      <w:pPr>
        <w:spacing w:line="240" w:lineRule="auto"/>
        <w:rPr>
          <w:b/>
          <w:sz w:val="40"/>
        </w:rPr>
      </w:pPr>
      <w:bookmarkStart w:id="31" w:name="_Toc432765751"/>
      <w:r>
        <w:br w:type="page"/>
      </w:r>
    </w:p>
    <w:p w:rsidR="000845D9" w:rsidRDefault="00ED6788" w:rsidP="006B0FC4">
      <w:pPr>
        <w:pStyle w:val="Heading2"/>
      </w:pPr>
      <w:bookmarkStart w:id="32" w:name="_Toc433713784"/>
      <w:r w:rsidRPr="000C7904">
        <w:lastRenderedPageBreak/>
        <w:t xml:space="preserve">National Māori </w:t>
      </w:r>
      <w:r w:rsidR="00734595">
        <w:t>h</w:t>
      </w:r>
      <w:r w:rsidRPr="000C7904">
        <w:t xml:space="preserve">ealth </w:t>
      </w:r>
      <w:r w:rsidR="00734595">
        <w:t>s</w:t>
      </w:r>
      <w:r w:rsidRPr="000C7904">
        <w:t>ervices</w:t>
      </w:r>
      <w:bookmarkEnd w:id="31"/>
      <w:bookmarkEnd w:id="32"/>
    </w:p>
    <w:p w:rsidR="00ED6788" w:rsidRDefault="00ED6788" w:rsidP="008729AA">
      <w:r>
        <w:t>The scope of a</w:t>
      </w:r>
      <w:r w:rsidRPr="007F473C">
        <w:t>ppropriation</w:t>
      </w:r>
      <w:r>
        <w:t xml:space="preserve"> </w:t>
      </w:r>
      <w:r w:rsidR="008729AA">
        <w:t xml:space="preserve">is </w:t>
      </w:r>
      <w:r>
        <w:t xml:space="preserve">for the funding and purchase of Māori health services directly by the Crown. This </w:t>
      </w:r>
      <w:r w:rsidRPr="00926CC4">
        <w:t xml:space="preserve">appropriation is intended to </w:t>
      </w:r>
      <w:r>
        <w:t>ensure</w:t>
      </w:r>
      <w:r w:rsidRPr="00926CC4">
        <w:t xml:space="preserve"> the provision of health services by </w:t>
      </w:r>
      <w:r w:rsidR="008729AA">
        <w:t xml:space="preserve">and for </w:t>
      </w:r>
      <w:r w:rsidRPr="00926CC4">
        <w:t>Māori is supported and encouraged</w:t>
      </w:r>
      <w:r w:rsidR="008729AA">
        <w:t>.</w:t>
      </w:r>
    </w:p>
    <w:p w:rsidR="00ED6788" w:rsidRDefault="00ED6788" w:rsidP="008729AA"/>
    <w:p w:rsidR="00ED6788" w:rsidRDefault="00ED6788" w:rsidP="008729AA">
      <w:r>
        <w:t>The Minister purchases the following services:</w:t>
      </w:r>
    </w:p>
    <w:p w:rsidR="00ED6788" w:rsidRDefault="00ED6788" w:rsidP="008729AA">
      <w:pPr>
        <w:pStyle w:val="Bullet"/>
      </w:pPr>
      <w:r>
        <w:t>activities to support Māori health and disability providers, including implementation of Taonga Tuku Iho (rongoā Māori traditional healing services and the development of national standards for rongoā)</w:t>
      </w:r>
    </w:p>
    <w:p w:rsidR="00ED6788" w:rsidRDefault="00ED6788" w:rsidP="008729AA">
      <w:pPr>
        <w:pStyle w:val="Bullet"/>
      </w:pPr>
      <w:r>
        <w:t>implementation of He Korowai Oranga: Māori Health Strategy to achieve whānau ora</w:t>
      </w:r>
    </w:p>
    <w:p w:rsidR="00ED6788" w:rsidRDefault="00ED6788" w:rsidP="008729AA">
      <w:pPr>
        <w:pStyle w:val="Bullet"/>
      </w:pPr>
      <w:r>
        <w:t>robust statistical data to inform good planning to improve Māori health outcomes</w:t>
      </w:r>
    </w:p>
    <w:p w:rsidR="00ED6788" w:rsidRDefault="00ED6788" w:rsidP="008729AA">
      <w:pPr>
        <w:pStyle w:val="Bullet"/>
      </w:pPr>
      <w:r>
        <w:t>the development of research projects in target areas.</w:t>
      </w:r>
    </w:p>
    <w:p w:rsidR="008729AA" w:rsidRPr="003756B9" w:rsidRDefault="008729AA" w:rsidP="008729AA"/>
    <w:p w:rsidR="00ED6788" w:rsidRPr="003756B9" w:rsidRDefault="008729AA" w:rsidP="008729AA">
      <w:pPr>
        <w:pStyle w:val="Heading3"/>
      </w:pPr>
      <w:r>
        <w:t>Summary of output performance</w:t>
      </w:r>
    </w:p>
    <w:tbl>
      <w:tblPr>
        <w:tblW w:w="5001"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89"/>
        <w:gridCol w:w="5697"/>
        <w:gridCol w:w="1130"/>
        <w:gridCol w:w="1441"/>
      </w:tblGrid>
      <w:tr w:rsidR="00ED6788" w:rsidRPr="00E16661" w:rsidTr="008729AA">
        <w:trPr>
          <w:cantSplit/>
          <w:tblHeader/>
        </w:trPr>
        <w:tc>
          <w:tcPr>
            <w:tcW w:w="582" w:type="pct"/>
            <w:tcBorders>
              <w:top w:val="single" w:sz="4" w:space="0" w:color="auto"/>
              <w:bottom w:val="single" w:sz="4" w:space="0" w:color="auto"/>
            </w:tcBorders>
          </w:tcPr>
          <w:p w:rsidR="00ED6788" w:rsidRPr="00E16661" w:rsidRDefault="00ED6788" w:rsidP="00C25CC8">
            <w:pPr>
              <w:pStyle w:val="TableText"/>
              <w:ind w:right="284"/>
              <w:jc w:val="right"/>
              <w:rPr>
                <w:b/>
              </w:rPr>
            </w:pPr>
            <w:r w:rsidRPr="00E16661">
              <w:rPr>
                <w:b/>
              </w:rPr>
              <w:t>Actual 201</w:t>
            </w:r>
            <w:r>
              <w:rPr>
                <w:b/>
              </w:rPr>
              <w:t>3/14</w:t>
            </w:r>
          </w:p>
        </w:tc>
        <w:tc>
          <w:tcPr>
            <w:tcW w:w="3044" w:type="pct"/>
            <w:tcBorders>
              <w:top w:val="single" w:sz="4" w:space="0" w:color="auto"/>
              <w:bottom w:val="single" w:sz="4" w:space="0" w:color="auto"/>
            </w:tcBorders>
          </w:tcPr>
          <w:p w:rsidR="00ED6788" w:rsidRPr="00E16661" w:rsidRDefault="00ED6788" w:rsidP="00C25CC8">
            <w:pPr>
              <w:pStyle w:val="TableText"/>
              <w:rPr>
                <w:b/>
              </w:rPr>
            </w:pPr>
            <w:r w:rsidRPr="00E16661">
              <w:rPr>
                <w:b/>
              </w:rPr>
              <w:t>Performance measure</w:t>
            </w:r>
          </w:p>
        </w:tc>
        <w:tc>
          <w:tcPr>
            <w:tcW w:w="604" w:type="pct"/>
            <w:tcBorders>
              <w:top w:val="single" w:sz="4" w:space="0" w:color="auto"/>
              <w:bottom w:val="single" w:sz="4" w:space="0" w:color="auto"/>
            </w:tcBorders>
          </w:tcPr>
          <w:p w:rsidR="00ED6788" w:rsidRPr="00E16661" w:rsidRDefault="00ED6788" w:rsidP="00C25CC8">
            <w:pPr>
              <w:pStyle w:val="TableT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771" w:type="pct"/>
            <w:tcBorders>
              <w:top w:val="single" w:sz="4" w:space="0" w:color="auto"/>
              <w:bottom w:val="single" w:sz="4" w:space="0" w:color="auto"/>
            </w:tcBorders>
            <w:shd w:val="clear" w:color="auto" w:fill="D9D9D9"/>
          </w:tcPr>
          <w:p w:rsidR="00ED6788" w:rsidRPr="00E16661" w:rsidRDefault="00ED6788" w:rsidP="00C25CC8">
            <w:pPr>
              <w:pStyle w:val="TableT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8729AA">
        <w:trPr>
          <w:cantSplit/>
        </w:trPr>
        <w:tc>
          <w:tcPr>
            <w:tcW w:w="582" w:type="pct"/>
            <w:tcBorders>
              <w:top w:val="single" w:sz="4" w:space="0" w:color="auto"/>
            </w:tcBorders>
          </w:tcPr>
          <w:p w:rsidR="00ED6788" w:rsidRPr="002C0E8B" w:rsidRDefault="00ED6788" w:rsidP="00C25CC8">
            <w:pPr>
              <w:pStyle w:val="TableText"/>
              <w:ind w:right="284"/>
              <w:jc w:val="right"/>
              <w:rPr>
                <w:bCs/>
                <w:lang w:eastAsia="en-NZ"/>
              </w:rPr>
            </w:pPr>
          </w:p>
        </w:tc>
        <w:tc>
          <w:tcPr>
            <w:tcW w:w="3044" w:type="pct"/>
            <w:tcBorders>
              <w:top w:val="single" w:sz="4" w:space="0" w:color="auto"/>
            </w:tcBorders>
          </w:tcPr>
          <w:p w:rsidR="00ED6788" w:rsidRPr="00AB69C4" w:rsidRDefault="00ED6788" w:rsidP="00C25CC8">
            <w:pPr>
              <w:pStyle w:val="TableText"/>
              <w:rPr>
                <w:b/>
              </w:rPr>
            </w:pPr>
            <w:r w:rsidRPr="00071B99">
              <w:rPr>
                <w:b/>
                <w:bCs/>
                <w:lang w:eastAsia="en-NZ"/>
              </w:rPr>
              <w:t>Funding and purchasing of services to reduce Māori health disparities and improve Māori health outcomes</w:t>
            </w:r>
          </w:p>
        </w:tc>
        <w:tc>
          <w:tcPr>
            <w:tcW w:w="604" w:type="pct"/>
            <w:tcBorders>
              <w:top w:val="single" w:sz="4" w:space="0" w:color="auto"/>
            </w:tcBorders>
          </w:tcPr>
          <w:p w:rsidR="00ED6788" w:rsidRPr="002C0E8B" w:rsidRDefault="00ED6788" w:rsidP="00C25CC8">
            <w:pPr>
              <w:pStyle w:val="TableText"/>
              <w:ind w:right="142"/>
              <w:jc w:val="right"/>
            </w:pPr>
          </w:p>
        </w:tc>
        <w:tc>
          <w:tcPr>
            <w:tcW w:w="771" w:type="pct"/>
            <w:tcBorders>
              <w:top w:val="single" w:sz="4" w:space="0" w:color="auto"/>
            </w:tcBorders>
            <w:shd w:val="clear" w:color="auto" w:fill="D9D9D9"/>
          </w:tcPr>
          <w:p w:rsidR="00ED6788" w:rsidRPr="002C0E8B" w:rsidRDefault="00ED6788" w:rsidP="00C25CC8">
            <w:pPr>
              <w:pStyle w:val="TableText"/>
              <w:ind w:right="142"/>
              <w:jc w:val="right"/>
            </w:pPr>
          </w:p>
        </w:tc>
      </w:tr>
      <w:tr w:rsidR="00ED6788" w:rsidRPr="002C0E8B" w:rsidTr="008729AA">
        <w:trPr>
          <w:cantSplit/>
        </w:trPr>
        <w:tc>
          <w:tcPr>
            <w:tcW w:w="582" w:type="pct"/>
          </w:tcPr>
          <w:p w:rsidR="00ED6788" w:rsidRPr="002C0E8B" w:rsidRDefault="00ED6788" w:rsidP="00C25CC8">
            <w:pPr>
              <w:pStyle w:val="TableText"/>
              <w:ind w:right="284"/>
              <w:jc w:val="right"/>
            </w:pPr>
          </w:p>
        </w:tc>
        <w:tc>
          <w:tcPr>
            <w:tcW w:w="3044" w:type="pct"/>
          </w:tcPr>
          <w:p w:rsidR="00ED6788" w:rsidRPr="00071B99" w:rsidRDefault="00ED6788" w:rsidP="00C25CC8">
            <w:pPr>
              <w:pStyle w:val="TableText"/>
              <w:rPr>
                <w:i/>
              </w:rPr>
            </w:pPr>
            <w:r w:rsidRPr="00071B99">
              <w:rPr>
                <w:b/>
                <w:bCs/>
                <w:i/>
                <w:lang w:eastAsia="en-NZ"/>
              </w:rPr>
              <w:t>Rongoā (traditional Māori healing) services</w:t>
            </w:r>
          </w:p>
        </w:tc>
        <w:tc>
          <w:tcPr>
            <w:tcW w:w="604" w:type="pct"/>
          </w:tcPr>
          <w:p w:rsidR="00ED6788" w:rsidRPr="002C0E8B" w:rsidRDefault="00ED6788" w:rsidP="00C25CC8">
            <w:pPr>
              <w:pStyle w:val="TableText"/>
              <w:ind w:right="142"/>
              <w:jc w:val="right"/>
            </w:pPr>
          </w:p>
        </w:tc>
        <w:tc>
          <w:tcPr>
            <w:tcW w:w="771" w:type="pct"/>
            <w:shd w:val="clear" w:color="auto" w:fill="D9D9D9"/>
          </w:tcPr>
          <w:p w:rsidR="00ED6788" w:rsidRPr="00D155EF" w:rsidRDefault="00ED6788" w:rsidP="00C25CC8">
            <w:pPr>
              <w:pStyle w:val="TableText"/>
              <w:ind w:right="142"/>
              <w:jc w:val="right"/>
            </w:pPr>
          </w:p>
        </w:tc>
      </w:tr>
      <w:tr w:rsidR="00ED6788" w:rsidRPr="002C0E8B" w:rsidTr="008729AA">
        <w:trPr>
          <w:cantSplit/>
        </w:trPr>
        <w:tc>
          <w:tcPr>
            <w:tcW w:w="582" w:type="pct"/>
          </w:tcPr>
          <w:p w:rsidR="00ED6788" w:rsidRPr="002C0E8B" w:rsidRDefault="00ED6788" w:rsidP="008729AA">
            <w:pPr>
              <w:pStyle w:val="TableText"/>
              <w:spacing w:before="0"/>
              <w:ind w:right="284"/>
              <w:jc w:val="right"/>
            </w:pPr>
            <w:r>
              <w:t>15</w:t>
            </w:r>
          </w:p>
        </w:tc>
        <w:tc>
          <w:tcPr>
            <w:tcW w:w="3044" w:type="pct"/>
          </w:tcPr>
          <w:p w:rsidR="00ED6788" w:rsidRPr="00961BD1" w:rsidRDefault="00ED6788" w:rsidP="008729AA">
            <w:pPr>
              <w:pStyle w:val="TableText"/>
              <w:spacing w:before="0"/>
            </w:pPr>
            <w:r w:rsidRPr="00961BD1">
              <w:t>The number of Rongoā providers delivering at least 650 client contacts</w:t>
            </w:r>
          </w:p>
        </w:tc>
        <w:tc>
          <w:tcPr>
            <w:tcW w:w="604" w:type="pct"/>
          </w:tcPr>
          <w:p w:rsidR="00ED6788" w:rsidRPr="002C0E8B" w:rsidRDefault="00ED6788" w:rsidP="008729AA">
            <w:pPr>
              <w:pStyle w:val="TableText"/>
              <w:spacing w:before="0"/>
              <w:ind w:right="142"/>
              <w:jc w:val="right"/>
            </w:pPr>
            <w:r>
              <w:t>15</w:t>
            </w:r>
          </w:p>
        </w:tc>
        <w:tc>
          <w:tcPr>
            <w:tcW w:w="771" w:type="pct"/>
            <w:shd w:val="clear" w:color="auto" w:fill="D9D9D9"/>
          </w:tcPr>
          <w:p w:rsidR="000845D9" w:rsidRDefault="00ED6788" w:rsidP="008729AA">
            <w:pPr>
              <w:pStyle w:val="TableText"/>
              <w:spacing w:before="0"/>
              <w:ind w:right="142"/>
              <w:jc w:val="right"/>
            </w:pPr>
            <w:r>
              <w:t>15</w:t>
            </w:r>
            <w:r w:rsidR="008729AA">
              <w:br/>
            </w:r>
            <w:r>
              <w:t>Jul</w:t>
            </w:r>
            <w:r w:rsidR="008729AA">
              <w:t>–</w:t>
            </w:r>
            <w:r>
              <w:t>Mar</w:t>
            </w:r>
          </w:p>
          <w:p w:rsidR="00ED6788" w:rsidRPr="00D155EF" w:rsidRDefault="00ED6788" w:rsidP="008729AA">
            <w:pPr>
              <w:pStyle w:val="TableText"/>
              <w:spacing w:before="0"/>
              <w:ind w:right="142"/>
              <w:jc w:val="right"/>
            </w:pPr>
            <w:r>
              <w:t>19</w:t>
            </w:r>
            <w:r w:rsidR="008729AA">
              <w:br/>
            </w:r>
            <w:r>
              <w:t>April onwards</w:t>
            </w:r>
          </w:p>
        </w:tc>
      </w:tr>
      <w:tr w:rsidR="00ED6788" w:rsidRPr="002C0E8B" w:rsidTr="008729AA">
        <w:trPr>
          <w:cantSplit/>
        </w:trPr>
        <w:tc>
          <w:tcPr>
            <w:tcW w:w="582" w:type="pct"/>
          </w:tcPr>
          <w:p w:rsidR="00ED6788" w:rsidRDefault="00ED6788" w:rsidP="00C25CC8">
            <w:pPr>
              <w:pStyle w:val="TableText"/>
              <w:ind w:right="284"/>
              <w:jc w:val="right"/>
            </w:pPr>
          </w:p>
        </w:tc>
        <w:tc>
          <w:tcPr>
            <w:tcW w:w="3044" w:type="pct"/>
          </w:tcPr>
          <w:p w:rsidR="00ED6788" w:rsidRPr="00071B99" w:rsidRDefault="00ED6788" w:rsidP="00C25CC8">
            <w:pPr>
              <w:pStyle w:val="TableText"/>
              <w:rPr>
                <w:b/>
                <w:bCs/>
                <w:i/>
                <w:lang w:eastAsia="en-NZ"/>
              </w:rPr>
            </w:pPr>
            <w:r w:rsidRPr="00071B99">
              <w:rPr>
                <w:b/>
                <w:bCs/>
                <w:i/>
                <w:lang w:eastAsia="en-NZ"/>
              </w:rPr>
              <w:t>Provision and funding to support the delivery of health services for Māori</w:t>
            </w:r>
          </w:p>
        </w:tc>
        <w:tc>
          <w:tcPr>
            <w:tcW w:w="604" w:type="pct"/>
          </w:tcPr>
          <w:p w:rsidR="00ED6788" w:rsidRPr="00071B99" w:rsidRDefault="00ED6788" w:rsidP="00C25CC8">
            <w:pPr>
              <w:pStyle w:val="TableText"/>
              <w:ind w:right="142"/>
              <w:jc w:val="right"/>
              <w:rPr>
                <w:b/>
                <w:bCs/>
                <w:i/>
                <w:lang w:eastAsia="en-NZ"/>
              </w:rPr>
            </w:pPr>
          </w:p>
        </w:tc>
        <w:tc>
          <w:tcPr>
            <w:tcW w:w="771" w:type="pct"/>
            <w:shd w:val="clear" w:color="auto" w:fill="D9D9D9"/>
          </w:tcPr>
          <w:p w:rsidR="00ED6788" w:rsidRDefault="00ED6788" w:rsidP="00C25CC8">
            <w:pPr>
              <w:pStyle w:val="TableText"/>
              <w:ind w:right="142"/>
              <w:jc w:val="right"/>
            </w:pPr>
          </w:p>
        </w:tc>
      </w:tr>
      <w:tr w:rsidR="00ED6788" w:rsidRPr="002C0E8B" w:rsidTr="008729AA">
        <w:trPr>
          <w:cantSplit/>
        </w:trPr>
        <w:tc>
          <w:tcPr>
            <w:tcW w:w="582" w:type="pct"/>
          </w:tcPr>
          <w:p w:rsidR="00ED6788" w:rsidRDefault="00ED6788" w:rsidP="008729AA">
            <w:pPr>
              <w:pStyle w:val="TableText"/>
              <w:spacing w:before="0"/>
              <w:ind w:right="284"/>
              <w:jc w:val="right"/>
            </w:pPr>
            <w:r>
              <w:t>97%</w:t>
            </w:r>
          </w:p>
        </w:tc>
        <w:tc>
          <w:tcPr>
            <w:tcW w:w="3044" w:type="pct"/>
          </w:tcPr>
          <w:p w:rsidR="00ED6788" w:rsidRDefault="00ED6788" w:rsidP="008729AA">
            <w:pPr>
              <w:pStyle w:val="TableText"/>
              <w:spacing w:before="0"/>
            </w:pPr>
            <w:r w:rsidRPr="00961BD1">
              <w:t>The percentage of providers who deliver services in accordance with their provider contracts with the Ministry of Health</w:t>
            </w:r>
          </w:p>
        </w:tc>
        <w:tc>
          <w:tcPr>
            <w:tcW w:w="604" w:type="pct"/>
          </w:tcPr>
          <w:p w:rsidR="00ED6788" w:rsidRDefault="00ED6788" w:rsidP="008729AA">
            <w:pPr>
              <w:pStyle w:val="TableText"/>
              <w:spacing w:before="0"/>
              <w:ind w:right="142"/>
              <w:jc w:val="right"/>
            </w:pPr>
            <w:r w:rsidRPr="00071B99">
              <w:t>100%</w:t>
            </w:r>
          </w:p>
        </w:tc>
        <w:tc>
          <w:tcPr>
            <w:tcW w:w="771" w:type="pct"/>
            <w:shd w:val="clear" w:color="auto" w:fill="D9D9D9"/>
          </w:tcPr>
          <w:p w:rsidR="00ED6788" w:rsidRDefault="00ED6788" w:rsidP="008729AA">
            <w:pPr>
              <w:pStyle w:val="TableText"/>
              <w:spacing w:before="0"/>
              <w:ind w:right="142"/>
              <w:jc w:val="right"/>
            </w:pPr>
            <w:r>
              <w:t>97%</w:t>
            </w:r>
          </w:p>
        </w:tc>
      </w:tr>
    </w:tbl>
    <w:p w:rsidR="00ED6788" w:rsidRDefault="00ED6788" w:rsidP="008729AA"/>
    <w:p w:rsidR="00ED6788" w:rsidRDefault="00ED6788" w:rsidP="008729AA">
      <w:pPr>
        <w:pStyle w:val="Heading3"/>
      </w:pPr>
      <w:r>
        <w:t>Comments</w:t>
      </w:r>
    </w:p>
    <w:p w:rsidR="00ED6788" w:rsidRPr="004F164E" w:rsidRDefault="00ED6788" w:rsidP="008729AA">
      <w:r>
        <w:t>Seventy</w:t>
      </w:r>
      <w:r w:rsidRPr="004F164E">
        <w:t xml:space="preserve"> contracts </w:t>
      </w:r>
      <w:r>
        <w:t xml:space="preserve">are administered </w:t>
      </w:r>
      <w:r w:rsidRPr="004F164E">
        <w:t xml:space="preserve">with organisations </w:t>
      </w:r>
      <w:r w:rsidR="008729AA">
        <w:t xml:space="preserve">providing </w:t>
      </w:r>
      <w:r w:rsidRPr="004F164E">
        <w:t>a range of services including rongoā services</w:t>
      </w:r>
      <w:r w:rsidR="008729AA">
        <w:t>,</w:t>
      </w:r>
      <w:r w:rsidRPr="004F164E">
        <w:t xml:space="preserve"> governance training</w:t>
      </w:r>
      <w:r w:rsidR="008729AA">
        <w:t>,</w:t>
      </w:r>
      <w:r w:rsidRPr="004F164E">
        <w:t xml:space="preserve"> cultural competency</w:t>
      </w:r>
      <w:r w:rsidR="008729AA">
        <w:t>,</w:t>
      </w:r>
      <w:r w:rsidRPr="004F164E">
        <w:t xml:space="preserve"> oral health</w:t>
      </w:r>
      <w:r w:rsidR="008729AA">
        <w:t>,</w:t>
      </w:r>
      <w:r w:rsidRPr="004F164E">
        <w:t xml:space="preserve"> rheumatic fever</w:t>
      </w:r>
      <w:r w:rsidR="008729AA">
        <w:t>,</w:t>
      </w:r>
      <w:r w:rsidRPr="004F164E">
        <w:t xml:space="preserve"> health literacy</w:t>
      </w:r>
      <w:r w:rsidR="008729AA">
        <w:t>,</w:t>
      </w:r>
      <w:r w:rsidRPr="004F164E">
        <w:t xml:space="preserve"> child health</w:t>
      </w:r>
      <w:r w:rsidR="008729AA">
        <w:t>,</w:t>
      </w:r>
      <w:r w:rsidRPr="004F164E">
        <w:t xml:space="preserve"> health of older people</w:t>
      </w:r>
      <w:r w:rsidR="008729AA">
        <w:t>,</w:t>
      </w:r>
      <w:r w:rsidRPr="004F164E">
        <w:t xml:space="preserve"> improving Māori access</w:t>
      </w:r>
      <w:r w:rsidR="008729AA">
        <w:t>,</w:t>
      </w:r>
      <w:r w:rsidRPr="004F164E">
        <w:t xml:space="preserve"> research</w:t>
      </w:r>
      <w:r w:rsidR="008729AA">
        <w:t>ing</w:t>
      </w:r>
      <w:r w:rsidRPr="004F164E">
        <w:t xml:space="preserve"> publications and reports</w:t>
      </w:r>
      <w:r w:rsidR="008729AA">
        <w:t>,</w:t>
      </w:r>
      <w:r w:rsidRPr="004F164E">
        <w:t xml:space="preserve"> </w:t>
      </w:r>
      <w:r>
        <w:t>sudden unexpected death of an i</w:t>
      </w:r>
      <w:r w:rsidRPr="00C14D20">
        <w:t xml:space="preserve">nfant </w:t>
      </w:r>
      <w:r>
        <w:t xml:space="preserve">(SUDI) </w:t>
      </w:r>
      <w:r w:rsidRPr="004F164E">
        <w:t>prevention</w:t>
      </w:r>
      <w:r w:rsidR="008729AA">
        <w:t>,</w:t>
      </w:r>
      <w:r w:rsidRPr="004F164E">
        <w:t xml:space="preserve"> supporting Māori health providers</w:t>
      </w:r>
      <w:r w:rsidR="008729AA">
        <w:t>,</w:t>
      </w:r>
      <w:r w:rsidRPr="004F164E">
        <w:t xml:space="preserve"> and ethnicity data.</w:t>
      </w:r>
    </w:p>
    <w:p w:rsidR="00ED6788" w:rsidRPr="004F164E" w:rsidRDefault="00ED6788" w:rsidP="008729AA"/>
    <w:p w:rsidR="00ED6788" w:rsidRDefault="00ED6788" w:rsidP="008729AA">
      <w:r w:rsidRPr="004F164E">
        <w:t>Thirty</w:t>
      </w:r>
      <w:r>
        <w:t>-</w:t>
      </w:r>
      <w:r w:rsidRPr="004F164E">
        <w:t xml:space="preserve">five out of a total of </w:t>
      </w:r>
      <w:r>
        <w:t>36</w:t>
      </w:r>
      <w:r w:rsidRPr="004F164E">
        <w:t xml:space="preserve"> Māori health service contracts (excluding 34 rongoā service contracts) </w:t>
      </w:r>
      <w:r w:rsidRPr="009A713C">
        <w:t>provided services in accordance with their provider contracts</w:t>
      </w:r>
      <w:r>
        <w:t xml:space="preserve"> (97%)</w:t>
      </w:r>
      <w:r w:rsidRPr="009A713C">
        <w:t xml:space="preserve">. One Māori health </w:t>
      </w:r>
      <w:r w:rsidRPr="000E2071">
        <w:t>service contract was exited due to non-delivery.</w:t>
      </w:r>
    </w:p>
    <w:p w:rsidR="008729AA" w:rsidRPr="00C8298A" w:rsidRDefault="008729AA" w:rsidP="008729AA"/>
    <w:p w:rsidR="00ED6788" w:rsidRPr="00342C09" w:rsidRDefault="00ED6788" w:rsidP="008729AA">
      <w:pPr>
        <w:pStyle w:val="Heading4"/>
      </w:pPr>
      <w:r w:rsidRPr="00342C09">
        <w:t>Rongoā</w:t>
      </w:r>
    </w:p>
    <w:p w:rsidR="000845D9" w:rsidRDefault="00ED6788" w:rsidP="008729AA">
      <w:r w:rsidRPr="00435550">
        <w:t xml:space="preserve">The 15 rongoā services contracts were extended for nine months, from 1 July 2014 to 31 March 2015. The extension was required to allow time for the Ministry to conduct </w:t>
      </w:r>
      <w:r w:rsidR="008729AA">
        <w:t xml:space="preserve">a </w:t>
      </w:r>
      <w:r w:rsidRPr="00435550">
        <w:t>procurement process to select providers to deliver rongoā services. From April 2015 the Ministry has 19</w:t>
      </w:r>
      <w:r w:rsidR="008729AA">
        <w:t> </w:t>
      </w:r>
      <w:r w:rsidRPr="00435550">
        <w:t>rongoā service providers.</w:t>
      </w:r>
      <w:r w:rsidRPr="00342C09">
        <w:t xml:space="preserve"> </w:t>
      </w:r>
      <w:r>
        <w:t>The total annual client contacts for the new contracts range from 300</w:t>
      </w:r>
      <w:r w:rsidR="008729AA">
        <w:t xml:space="preserve"> to </w:t>
      </w:r>
      <w:r>
        <w:t>1500 client contacts.</w:t>
      </w:r>
    </w:p>
    <w:p w:rsidR="00ED6788" w:rsidRPr="00C8298A" w:rsidRDefault="00ED6788" w:rsidP="008729AA"/>
    <w:p w:rsidR="00ED6788" w:rsidRPr="00342C09" w:rsidRDefault="00ED6788" w:rsidP="008729AA">
      <w:pPr>
        <w:pStyle w:val="Heading4"/>
      </w:pPr>
      <w:r w:rsidRPr="00342C09">
        <w:lastRenderedPageBreak/>
        <w:t>Governance training</w:t>
      </w:r>
    </w:p>
    <w:p w:rsidR="00ED6788" w:rsidRDefault="00ED6788" w:rsidP="008729AA">
      <w:r w:rsidRPr="00342C09">
        <w:t>The New Zealand Public Health and Disability Act 2000 requires DHBs to enable Māori to participate in the improvement of Māori health. Th</w:t>
      </w:r>
      <w:r>
        <w:t xml:space="preserve">is appropriation provides </w:t>
      </w:r>
      <w:r w:rsidRPr="00342C09">
        <w:t>support, professional development and networking opportunities</w:t>
      </w:r>
      <w:r>
        <w:t xml:space="preserve"> for Māori DHB board members and DHB Māori Relationship Board members</w:t>
      </w:r>
      <w:r w:rsidRPr="00342C09">
        <w:t>.</w:t>
      </w:r>
    </w:p>
    <w:p w:rsidR="008729AA" w:rsidRPr="00342C09" w:rsidRDefault="008729AA" w:rsidP="008729AA"/>
    <w:p w:rsidR="00ED6788" w:rsidRPr="000E2071" w:rsidRDefault="00ED6788" w:rsidP="008729AA">
      <w:pPr>
        <w:pStyle w:val="Heading4"/>
      </w:pPr>
      <w:r w:rsidRPr="000E2071">
        <w:t>Research</w:t>
      </w:r>
    </w:p>
    <w:p w:rsidR="00ED6788" w:rsidRDefault="00ED6788" w:rsidP="008729AA">
      <w:r w:rsidRPr="000E2071">
        <w:t>Comprehensive high quality Māori health research and information is necessary to inform Ministry of Health policy advice.</w:t>
      </w:r>
      <w:r>
        <w:t xml:space="preserve"> </w:t>
      </w:r>
      <w:r w:rsidRPr="000E2071">
        <w:t xml:space="preserve">Relevant 2014/15 reports published under </w:t>
      </w:r>
      <w:r>
        <w:t>the research topic include:</w:t>
      </w:r>
    </w:p>
    <w:p w:rsidR="00ED6788" w:rsidRPr="000E2071" w:rsidRDefault="00ED6788" w:rsidP="008729AA">
      <w:pPr>
        <w:pStyle w:val="Bullet"/>
        <w:rPr>
          <w:lang w:val="en"/>
        </w:rPr>
      </w:pPr>
      <w:r w:rsidRPr="000E2071">
        <w:rPr>
          <w:lang w:val="en"/>
        </w:rPr>
        <w:t xml:space="preserve">Kerse N, LiLACS NZ. 2014. </w:t>
      </w:r>
      <w:r w:rsidR="008729AA">
        <w:rPr>
          <w:i/>
          <w:lang w:val="en"/>
        </w:rPr>
        <w:t>Alcohol U</w:t>
      </w:r>
      <w:r w:rsidRPr="000E2071">
        <w:rPr>
          <w:i/>
          <w:lang w:val="en"/>
        </w:rPr>
        <w:t>se in Advanced Age: Findings from LiLACS NZ</w:t>
      </w:r>
      <w:r w:rsidRPr="000E2071">
        <w:rPr>
          <w:lang w:val="en"/>
        </w:rPr>
        <w:t>. Auckland: School of Population Health, The University of Auckland.</w:t>
      </w:r>
    </w:p>
    <w:p w:rsidR="00ED6788" w:rsidRPr="000E2071" w:rsidRDefault="00ED6788" w:rsidP="008729AA">
      <w:pPr>
        <w:pStyle w:val="Bullet"/>
        <w:rPr>
          <w:lang w:val="en"/>
        </w:rPr>
      </w:pPr>
      <w:r w:rsidRPr="000E2071">
        <w:rPr>
          <w:lang w:val="en"/>
        </w:rPr>
        <w:t xml:space="preserve">Kerse N, LiLACS NZ. 2014. </w:t>
      </w:r>
      <w:r w:rsidRPr="000E2071">
        <w:rPr>
          <w:i/>
          <w:lang w:val="en"/>
        </w:rPr>
        <w:t>Falls in Advanced Age: Findings from LiLACS NZ</w:t>
      </w:r>
      <w:r w:rsidRPr="000E2071">
        <w:rPr>
          <w:lang w:val="en"/>
        </w:rPr>
        <w:t>. Auckland: School of Population Health, The University of Auckland.</w:t>
      </w:r>
    </w:p>
    <w:p w:rsidR="00ED6788" w:rsidRPr="000E2071" w:rsidRDefault="00ED6788" w:rsidP="008729AA">
      <w:pPr>
        <w:pStyle w:val="Bullet"/>
        <w:rPr>
          <w:lang w:val="en"/>
        </w:rPr>
      </w:pPr>
      <w:r w:rsidRPr="000E2071">
        <w:rPr>
          <w:lang w:val="en"/>
        </w:rPr>
        <w:t xml:space="preserve">Kerse N, LiLACS NZ. 2014. </w:t>
      </w:r>
      <w:r w:rsidRPr="000E2071">
        <w:rPr>
          <w:i/>
          <w:lang w:val="en"/>
        </w:rPr>
        <w:t xml:space="preserve">Hospital </w:t>
      </w:r>
      <w:r w:rsidR="008729AA">
        <w:rPr>
          <w:i/>
          <w:lang w:val="en"/>
        </w:rPr>
        <w:t>V</w:t>
      </w:r>
      <w:r w:rsidRPr="000E2071">
        <w:rPr>
          <w:i/>
          <w:lang w:val="en"/>
        </w:rPr>
        <w:t>isits in Advanced Age: Findings from LiLACS NZ</w:t>
      </w:r>
      <w:r w:rsidRPr="000E2071">
        <w:rPr>
          <w:lang w:val="en"/>
        </w:rPr>
        <w:t>. Auckland: School of Population Health, The University of Auckland.</w:t>
      </w:r>
    </w:p>
    <w:p w:rsidR="00ED6788" w:rsidRPr="000E2071" w:rsidRDefault="00ED6788" w:rsidP="008729AA">
      <w:pPr>
        <w:pStyle w:val="Bullet"/>
        <w:rPr>
          <w:lang w:val="en"/>
        </w:rPr>
      </w:pPr>
      <w:r w:rsidRPr="000E2071">
        <w:rPr>
          <w:lang w:val="en"/>
        </w:rPr>
        <w:t xml:space="preserve">Kerse N, LiLACS NZ. 2014. </w:t>
      </w:r>
      <w:r w:rsidRPr="000E2071">
        <w:rPr>
          <w:i/>
          <w:lang w:val="en"/>
        </w:rPr>
        <w:t>Income in Advanced Age: Findings from LiLACS NZ</w:t>
      </w:r>
      <w:r w:rsidRPr="000E2071">
        <w:rPr>
          <w:lang w:val="en"/>
        </w:rPr>
        <w:t>. Auckland: School of Population Health, The University of Auckland.</w:t>
      </w:r>
    </w:p>
    <w:p w:rsidR="00ED6788" w:rsidRPr="000E2071" w:rsidRDefault="00ED6788" w:rsidP="008729AA">
      <w:pPr>
        <w:pStyle w:val="Bullet"/>
        <w:rPr>
          <w:lang w:val="en"/>
        </w:rPr>
      </w:pPr>
      <w:r w:rsidRPr="000E2071">
        <w:rPr>
          <w:lang w:val="en"/>
        </w:rPr>
        <w:t xml:space="preserve">Kerse N, LiLACS NZ. 2014. </w:t>
      </w:r>
      <w:r w:rsidRPr="000E2071">
        <w:rPr>
          <w:i/>
          <w:lang w:val="en"/>
        </w:rPr>
        <w:t xml:space="preserve">Medication </w:t>
      </w:r>
      <w:r w:rsidR="004F2B24">
        <w:rPr>
          <w:i/>
          <w:lang w:val="en"/>
        </w:rPr>
        <w:t>U</w:t>
      </w:r>
      <w:r w:rsidRPr="000E2071">
        <w:rPr>
          <w:i/>
          <w:lang w:val="en"/>
        </w:rPr>
        <w:t xml:space="preserve">se and </w:t>
      </w:r>
      <w:r w:rsidR="004F2B24">
        <w:rPr>
          <w:i/>
          <w:lang w:val="en"/>
        </w:rPr>
        <w:t>P</w:t>
      </w:r>
      <w:r w:rsidRPr="000E2071">
        <w:rPr>
          <w:i/>
          <w:lang w:val="en"/>
        </w:rPr>
        <w:t xml:space="preserve">erceptions of GP </w:t>
      </w:r>
      <w:r w:rsidR="004F2B24">
        <w:rPr>
          <w:i/>
          <w:lang w:val="en"/>
        </w:rPr>
        <w:t>C</w:t>
      </w:r>
      <w:r w:rsidRPr="000E2071">
        <w:rPr>
          <w:i/>
          <w:lang w:val="en"/>
        </w:rPr>
        <w:t xml:space="preserve">are in </w:t>
      </w:r>
      <w:r w:rsidR="004F2B24">
        <w:rPr>
          <w:i/>
          <w:lang w:val="en"/>
        </w:rPr>
        <w:t>A</w:t>
      </w:r>
      <w:r w:rsidRPr="000E2071">
        <w:rPr>
          <w:i/>
          <w:lang w:val="en"/>
        </w:rPr>
        <w:t xml:space="preserve">dvanced </w:t>
      </w:r>
      <w:r w:rsidR="004F2B24">
        <w:rPr>
          <w:i/>
          <w:lang w:val="en"/>
        </w:rPr>
        <w:t>A</w:t>
      </w:r>
      <w:r w:rsidRPr="000E2071">
        <w:rPr>
          <w:i/>
          <w:lang w:val="en"/>
        </w:rPr>
        <w:t xml:space="preserve">ge: Findings from LiLACS NZ. </w:t>
      </w:r>
      <w:r w:rsidRPr="000E2071">
        <w:rPr>
          <w:lang w:val="en"/>
        </w:rPr>
        <w:t>Auckland: School of Population Health, The University of Auckland.</w:t>
      </w:r>
    </w:p>
    <w:p w:rsidR="00ED6788" w:rsidRPr="000E2071" w:rsidRDefault="00ED6788" w:rsidP="008729AA">
      <w:pPr>
        <w:pStyle w:val="Bullet"/>
        <w:rPr>
          <w:lang w:val="en"/>
        </w:rPr>
      </w:pPr>
      <w:r w:rsidRPr="000E2071">
        <w:rPr>
          <w:lang w:val="en"/>
        </w:rPr>
        <w:t>Kidd J</w:t>
      </w:r>
      <w:r w:rsidR="004F2B24">
        <w:rPr>
          <w:lang w:val="en"/>
        </w:rPr>
        <w:t>,</w:t>
      </w:r>
      <w:r w:rsidRPr="000E2071">
        <w:rPr>
          <w:lang w:val="en"/>
        </w:rPr>
        <w:t xml:space="preserve"> et al. 2014. </w:t>
      </w:r>
      <w:r w:rsidRPr="000E2071">
        <w:rPr>
          <w:i/>
          <w:lang w:val="en"/>
        </w:rPr>
        <w:t xml:space="preserve">Kia Mau te Kahu Whakamauru: Health Literacy in Palliative Care. </w:t>
      </w:r>
      <w:r w:rsidRPr="000E2071">
        <w:rPr>
          <w:lang w:val="en"/>
        </w:rPr>
        <w:t>Auckland: The University of Auckland.</w:t>
      </w:r>
    </w:p>
    <w:p w:rsidR="00ED6788" w:rsidRPr="000E2071" w:rsidRDefault="00ED6788" w:rsidP="008729AA">
      <w:pPr>
        <w:pStyle w:val="Bullet"/>
        <w:rPr>
          <w:lang w:val="en"/>
        </w:rPr>
      </w:pPr>
      <w:r w:rsidRPr="000E2071">
        <w:rPr>
          <w:lang w:val="en"/>
        </w:rPr>
        <w:t xml:space="preserve">Ministry of Health. 2015. </w:t>
      </w:r>
      <w:r w:rsidRPr="000E2071">
        <w:rPr>
          <w:i/>
          <w:lang w:val="en"/>
        </w:rPr>
        <w:t>A Framework for Health Literacy</w:t>
      </w:r>
      <w:r w:rsidRPr="000E2071">
        <w:rPr>
          <w:lang w:val="en"/>
        </w:rPr>
        <w:t>. Wellington: Ministry of Health.</w:t>
      </w:r>
    </w:p>
    <w:p w:rsidR="00ED6788" w:rsidRPr="000E2071" w:rsidRDefault="00ED6788" w:rsidP="008729AA">
      <w:pPr>
        <w:pStyle w:val="Bullet"/>
        <w:rPr>
          <w:lang w:val="en"/>
        </w:rPr>
      </w:pPr>
      <w:r w:rsidRPr="000E2071">
        <w:rPr>
          <w:lang w:val="en"/>
        </w:rPr>
        <w:t xml:space="preserve">Ministry of Health. 2015. </w:t>
      </w:r>
      <w:r w:rsidRPr="000E2071">
        <w:rPr>
          <w:i/>
          <w:lang w:val="en"/>
        </w:rPr>
        <w:t>Health Literacy Review: A guide</w:t>
      </w:r>
      <w:r w:rsidRPr="000E2071">
        <w:rPr>
          <w:lang w:val="en"/>
        </w:rPr>
        <w:t>. Wellington: Ministry of Health.</w:t>
      </w:r>
    </w:p>
    <w:p w:rsidR="00ED6788" w:rsidRPr="000E2071" w:rsidRDefault="00ED6788" w:rsidP="008729AA">
      <w:pPr>
        <w:pStyle w:val="Bullet"/>
        <w:rPr>
          <w:lang w:val="en"/>
        </w:rPr>
      </w:pPr>
      <w:r w:rsidRPr="000E2071">
        <w:rPr>
          <w:lang w:val="en"/>
        </w:rPr>
        <w:t xml:space="preserve">Ministry of Health. 2014. </w:t>
      </w:r>
      <w:r w:rsidRPr="000E2071">
        <w:rPr>
          <w:i/>
          <w:lang w:val="en"/>
        </w:rPr>
        <w:t>Māori and Palliative Care from a Health Literacy Perspective</w:t>
      </w:r>
      <w:r w:rsidRPr="000E2071">
        <w:rPr>
          <w:lang w:val="en"/>
        </w:rPr>
        <w:t>. Wellington: Ministry of Health.</w:t>
      </w:r>
    </w:p>
    <w:p w:rsidR="00ED6788" w:rsidRPr="000E2071" w:rsidRDefault="00ED6788" w:rsidP="008729AA">
      <w:pPr>
        <w:pStyle w:val="Bullet"/>
        <w:rPr>
          <w:lang w:val="en"/>
        </w:rPr>
      </w:pPr>
      <w:r w:rsidRPr="000E2071">
        <w:rPr>
          <w:lang w:val="en"/>
        </w:rPr>
        <w:t xml:space="preserve">Ministry of Health. 2015. </w:t>
      </w:r>
      <w:r w:rsidRPr="000E2071">
        <w:rPr>
          <w:i/>
          <w:lang w:val="en"/>
        </w:rPr>
        <w:t>Report on the Performance of General Practices in Whānau Ora Collectives as at December 2014.</w:t>
      </w:r>
      <w:r w:rsidRPr="000E2071">
        <w:rPr>
          <w:lang w:val="en"/>
        </w:rPr>
        <w:t xml:space="preserve"> Wellington: Ministry of Health.</w:t>
      </w:r>
    </w:p>
    <w:p w:rsidR="00ED6788" w:rsidRPr="000E2071" w:rsidRDefault="00ED6788" w:rsidP="008729AA">
      <w:pPr>
        <w:pStyle w:val="Bullet"/>
        <w:rPr>
          <w:lang w:val="en"/>
        </w:rPr>
      </w:pPr>
      <w:r w:rsidRPr="000E2071">
        <w:rPr>
          <w:lang w:val="en"/>
        </w:rPr>
        <w:t xml:space="preserve">Rauawaawa Kaumātua Charitable Trust Project Team. 2014. </w:t>
      </w:r>
      <w:r w:rsidRPr="000E2071">
        <w:rPr>
          <w:i/>
          <w:lang w:val="en"/>
        </w:rPr>
        <w:t xml:space="preserve">Māori </w:t>
      </w:r>
      <w:r w:rsidR="004F2B24">
        <w:rPr>
          <w:i/>
          <w:lang w:val="en"/>
        </w:rPr>
        <w:t>H</w:t>
      </w:r>
      <w:r w:rsidRPr="000E2071">
        <w:rPr>
          <w:i/>
          <w:lang w:val="en"/>
        </w:rPr>
        <w:t xml:space="preserve">ealth </w:t>
      </w:r>
      <w:r w:rsidR="004F2B24">
        <w:rPr>
          <w:i/>
          <w:lang w:val="en"/>
        </w:rPr>
        <w:t>L</w:t>
      </w:r>
      <w:r w:rsidRPr="000E2071">
        <w:rPr>
          <w:i/>
          <w:lang w:val="en"/>
        </w:rPr>
        <w:t xml:space="preserve">iteracy and </w:t>
      </w:r>
      <w:r w:rsidR="004F2B24">
        <w:rPr>
          <w:i/>
          <w:lang w:val="en"/>
        </w:rPr>
        <w:t>C</w:t>
      </w:r>
      <w:r w:rsidRPr="000E2071">
        <w:rPr>
          <w:i/>
          <w:lang w:val="en"/>
        </w:rPr>
        <w:t xml:space="preserve">ommunication in </w:t>
      </w:r>
      <w:r w:rsidR="004F2B24">
        <w:rPr>
          <w:i/>
          <w:lang w:val="en"/>
        </w:rPr>
        <w:t>P</w:t>
      </w:r>
      <w:r w:rsidRPr="000E2071">
        <w:rPr>
          <w:i/>
          <w:lang w:val="en"/>
        </w:rPr>
        <w:t xml:space="preserve">alliative </w:t>
      </w:r>
      <w:r w:rsidR="004F2B24">
        <w:rPr>
          <w:i/>
          <w:lang w:val="en"/>
        </w:rPr>
        <w:t>C</w:t>
      </w:r>
      <w:r w:rsidRPr="000E2071">
        <w:rPr>
          <w:i/>
          <w:lang w:val="en"/>
        </w:rPr>
        <w:t>are: Kaumātua led models.</w:t>
      </w:r>
      <w:r w:rsidRPr="000E2071">
        <w:rPr>
          <w:lang w:val="en"/>
        </w:rPr>
        <w:t xml:space="preserve"> Hamilton: Rauawaawa Kaumātua Charitable Trust.</w:t>
      </w:r>
    </w:p>
    <w:p w:rsidR="00ED6788" w:rsidRPr="000E2071" w:rsidRDefault="00ED6788" w:rsidP="008729AA">
      <w:pPr>
        <w:pStyle w:val="Bullet"/>
        <w:rPr>
          <w:lang w:val="en"/>
        </w:rPr>
      </w:pPr>
      <w:r w:rsidRPr="000E2071">
        <w:rPr>
          <w:lang w:val="en"/>
        </w:rPr>
        <w:t xml:space="preserve">Steinman M, Nichol J, Wright S, </w:t>
      </w:r>
      <w:r w:rsidR="004F2B24">
        <w:rPr>
          <w:lang w:val="en"/>
        </w:rPr>
        <w:t xml:space="preserve">et al. </w:t>
      </w:r>
      <w:r w:rsidRPr="000E2071">
        <w:rPr>
          <w:lang w:val="en"/>
        </w:rPr>
        <w:t xml:space="preserve">2015. </w:t>
      </w:r>
      <w:r w:rsidRPr="000E2071">
        <w:rPr>
          <w:i/>
          <w:lang w:val="en"/>
        </w:rPr>
        <w:t>Oranga niho me ngā tangata whaiora: Oral health and Māori mental health patients</w:t>
      </w:r>
      <w:r w:rsidRPr="000E2071">
        <w:rPr>
          <w:lang w:val="en"/>
        </w:rPr>
        <w:t>. University of Otago.</w:t>
      </w:r>
    </w:p>
    <w:p w:rsidR="000845D9" w:rsidRDefault="00ED6788" w:rsidP="008729AA">
      <w:pPr>
        <w:pStyle w:val="Bullet"/>
      </w:pPr>
      <w:r w:rsidRPr="00F82D22">
        <w:t xml:space="preserve">White C, Reid S, Damiris V. 2014. </w:t>
      </w:r>
      <w:r w:rsidRPr="00F82D22">
        <w:rPr>
          <w:i/>
        </w:rPr>
        <w:t>Māori Health Literacy Research: Gestational diabetes mellitus.</w:t>
      </w:r>
      <w:r w:rsidRPr="00F82D22">
        <w:t xml:space="preserve"> Auckland: Workbase Education Trust.</w:t>
      </w:r>
    </w:p>
    <w:p w:rsidR="00ED6788" w:rsidRDefault="00ED6788" w:rsidP="004F2B24"/>
    <w:p w:rsidR="00ED6788" w:rsidRPr="000E2071" w:rsidRDefault="00ED6788" w:rsidP="004F2B24">
      <w:pPr>
        <w:pStyle w:val="Heading4"/>
      </w:pPr>
      <w:r w:rsidRPr="000E2071">
        <w:t>Service development</w:t>
      </w:r>
    </w:p>
    <w:p w:rsidR="00ED6788" w:rsidRPr="000E2071" w:rsidRDefault="00ED6788" w:rsidP="004F2B24">
      <w:r w:rsidRPr="00C14D20">
        <w:t>Service development</w:t>
      </w:r>
      <w:r w:rsidRPr="000E2071">
        <w:t xml:space="preserve"> aim</w:t>
      </w:r>
      <w:r>
        <w:t>s</w:t>
      </w:r>
      <w:r w:rsidRPr="000E2071">
        <w:t xml:space="preserve"> to improve access to, and effectivenes</w:t>
      </w:r>
      <w:r>
        <w:t>s of, health services for Māori by funding projects including oral health</w:t>
      </w:r>
      <w:r w:rsidR="004F2B24">
        <w:t>,</w:t>
      </w:r>
      <w:r>
        <w:t xml:space="preserve"> </w:t>
      </w:r>
      <w:r w:rsidR="004F2B24">
        <w:t xml:space="preserve">a </w:t>
      </w:r>
      <w:r>
        <w:t>cultural competence training tool</w:t>
      </w:r>
      <w:r w:rsidR="004F2B24">
        <w:t>,</w:t>
      </w:r>
      <w:r>
        <w:t xml:space="preserve"> health literacy</w:t>
      </w:r>
      <w:r w:rsidR="004F2B24">
        <w:t>,</w:t>
      </w:r>
      <w:r>
        <w:t xml:space="preserve"> SUDI prevention</w:t>
      </w:r>
      <w:r w:rsidR="004F2B24">
        <w:t>,</w:t>
      </w:r>
      <w:r>
        <w:t xml:space="preserve"> and supporting Maōri health providers.</w:t>
      </w:r>
    </w:p>
    <w:p w:rsidR="00ED6788" w:rsidRPr="003756B9" w:rsidRDefault="00ED6788" w:rsidP="004F2B24"/>
    <w:p w:rsidR="00ED6788" w:rsidRDefault="00ED6788" w:rsidP="004F2B24">
      <w:pPr>
        <w:pStyle w:val="Heading3"/>
      </w:pPr>
      <w:r w:rsidRPr="00E170A6">
        <w:lastRenderedPageBreak/>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4F2B24">
            <w:pPr>
              <w:pStyle w:val="TableText"/>
              <w:keepNext/>
              <w:ind w:right="284"/>
              <w:jc w:val="right"/>
            </w:pPr>
            <w:r>
              <w:t>4697</w:t>
            </w:r>
          </w:p>
        </w:tc>
        <w:tc>
          <w:tcPr>
            <w:tcW w:w="3968" w:type="dxa"/>
            <w:tcBorders>
              <w:top w:val="single" w:sz="4" w:space="0" w:color="auto"/>
              <w:left w:val="nil"/>
            </w:tcBorders>
            <w:shd w:val="solid" w:color="FFFFFF" w:fill="auto"/>
          </w:tcPr>
          <w:p w:rsidR="00ED6788" w:rsidRPr="002C0E8B" w:rsidRDefault="00ED6788" w:rsidP="004F2B24">
            <w:pPr>
              <w:pStyle w:val="TableText"/>
              <w:keepNext/>
            </w:pPr>
            <w:r w:rsidRPr="00234ECE">
              <w:rPr>
                <w:rFonts w:cs="Arial"/>
                <w:szCs w:val="18"/>
              </w:rPr>
              <w:t>Non-</w:t>
            </w:r>
            <w:r w:rsidR="004F2B24">
              <w:rPr>
                <w:rFonts w:cs="Arial"/>
                <w:szCs w:val="18"/>
              </w:rPr>
              <w:t>g</w:t>
            </w:r>
            <w:r w:rsidRPr="00234ECE">
              <w:rPr>
                <w:rFonts w:cs="Arial"/>
                <w:szCs w:val="18"/>
              </w:rPr>
              <w:t xml:space="preserve">overnment </w:t>
            </w:r>
            <w:r w:rsidR="004F2B24">
              <w:rPr>
                <w:rFonts w:cs="Arial"/>
                <w:szCs w:val="18"/>
              </w:rPr>
              <w:t>o</w:t>
            </w:r>
            <w:r w:rsidRPr="00234ECE">
              <w:rPr>
                <w:rFonts w:cs="Arial"/>
                <w:szCs w:val="18"/>
              </w:rPr>
              <w:t>rganisations</w:t>
            </w:r>
          </w:p>
        </w:tc>
        <w:tc>
          <w:tcPr>
            <w:tcW w:w="1276" w:type="dxa"/>
            <w:tcBorders>
              <w:top w:val="single" w:sz="4" w:space="0" w:color="auto"/>
            </w:tcBorders>
            <w:shd w:val="clear" w:color="E3E3E3" w:fill="D9D9D9"/>
          </w:tcPr>
          <w:p w:rsidR="00ED6788" w:rsidRPr="002C0E8B" w:rsidRDefault="00ED6788" w:rsidP="004F2B24">
            <w:pPr>
              <w:pStyle w:val="TableText"/>
              <w:keepNext/>
              <w:ind w:right="142"/>
              <w:jc w:val="right"/>
            </w:pPr>
            <w:r>
              <w:t>4195</w:t>
            </w:r>
          </w:p>
        </w:tc>
        <w:tc>
          <w:tcPr>
            <w:tcW w:w="1488" w:type="dxa"/>
            <w:tcBorders>
              <w:top w:val="single" w:sz="4" w:space="0" w:color="auto"/>
            </w:tcBorders>
          </w:tcPr>
          <w:p w:rsidR="00ED6788" w:rsidRPr="002C0E8B" w:rsidRDefault="004F2B24" w:rsidP="00C25CC8">
            <w:pPr>
              <w:pStyle w:val="TableText"/>
              <w:keepNext/>
              <w:tabs>
                <w:tab w:val="left" w:pos="1248"/>
              </w:tabs>
              <w:jc w:val="right"/>
            </w:pPr>
            <w:r>
              <w:t>7</w:t>
            </w:r>
            <w:r w:rsidR="00ED6788">
              <w:t>308</w:t>
            </w:r>
          </w:p>
        </w:tc>
        <w:tc>
          <w:tcPr>
            <w:tcW w:w="1347" w:type="dxa"/>
            <w:tcBorders>
              <w:top w:val="single" w:sz="4" w:space="0" w:color="auto"/>
            </w:tcBorders>
          </w:tcPr>
          <w:p w:rsidR="00ED6788" w:rsidRPr="002C0E8B" w:rsidRDefault="00ED6788" w:rsidP="004F2B24">
            <w:pPr>
              <w:pStyle w:val="TableText"/>
              <w:keepNext/>
              <w:jc w:val="right"/>
            </w:pPr>
            <w:r>
              <w:t>4808</w:t>
            </w:r>
          </w:p>
        </w:tc>
      </w:tr>
      <w:tr w:rsidR="00ED6788" w:rsidRPr="002C0E8B" w:rsidTr="00C25CC8">
        <w:trPr>
          <w:cantSplit/>
        </w:trPr>
        <w:tc>
          <w:tcPr>
            <w:tcW w:w="1277" w:type="dxa"/>
            <w:tcBorders>
              <w:right w:val="nil"/>
            </w:tcBorders>
            <w:shd w:val="solid" w:color="FFFFFF" w:fill="auto"/>
          </w:tcPr>
          <w:p w:rsidR="00ED6788" w:rsidRPr="00B911D1" w:rsidRDefault="00ED6788" w:rsidP="004F2B24">
            <w:pPr>
              <w:pStyle w:val="TableText"/>
              <w:ind w:right="284"/>
              <w:jc w:val="right"/>
              <w:rPr>
                <w:b/>
                <w:bCs/>
              </w:rPr>
            </w:pPr>
            <w:r w:rsidRPr="00B911D1">
              <w:rPr>
                <w:b/>
              </w:rPr>
              <w:t>4697</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C0E8B" w:rsidRDefault="00ED6788" w:rsidP="004F2B24">
            <w:pPr>
              <w:pStyle w:val="TableText"/>
              <w:ind w:right="142"/>
              <w:jc w:val="right"/>
              <w:rPr>
                <w:b/>
              </w:rPr>
            </w:pPr>
            <w:r w:rsidRPr="00B911D1">
              <w:rPr>
                <w:b/>
              </w:rPr>
              <w:t>4</w:t>
            </w:r>
            <w:r>
              <w:rPr>
                <w:b/>
              </w:rPr>
              <w:t>195</w:t>
            </w:r>
          </w:p>
        </w:tc>
        <w:tc>
          <w:tcPr>
            <w:tcW w:w="1488" w:type="dxa"/>
          </w:tcPr>
          <w:p w:rsidR="00ED6788" w:rsidRPr="002C0E8B" w:rsidRDefault="00ED6788" w:rsidP="004F2B24">
            <w:pPr>
              <w:pStyle w:val="TableText"/>
              <w:keepNext/>
              <w:jc w:val="right"/>
              <w:rPr>
                <w:b/>
              </w:rPr>
            </w:pPr>
            <w:r>
              <w:rPr>
                <w:b/>
              </w:rPr>
              <w:t>7308</w:t>
            </w:r>
          </w:p>
        </w:tc>
        <w:tc>
          <w:tcPr>
            <w:tcW w:w="1347" w:type="dxa"/>
          </w:tcPr>
          <w:p w:rsidR="00ED6788" w:rsidRPr="002C0E8B" w:rsidRDefault="00ED6788" w:rsidP="004F2B24">
            <w:pPr>
              <w:pStyle w:val="TableText"/>
              <w:jc w:val="right"/>
              <w:rPr>
                <w:b/>
              </w:rPr>
            </w:pPr>
            <w:r w:rsidRPr="00B911D1">
              <w:rPr>
                <w:b/>
              </w:rPr>
              <w:t>4</w:t>
            </w:r>
            <w:r>
              <w:rPr>
                <w:b/>
              </w:rPr>
              <w:t>808</w:t>
            </w:r>
          </w:p>
        </w:tc>
      </w:tr>
    </w:tbl>
    <w:p w:rsidR="00ED6788" w:rsidRDefault="00ED6788" w:rsidP="004F2B24">
      <w:pPr>
        <w:rPr>
          <w:highlight w:val="yellow"/>
        </w:rPr>
      </w:pPr>
    </w:p>
    <w:p w:rsidR="00ED6788" w:rsidRDefault="00ED6788" w:rsidP="004F2B24">
      <w:pPr>
        <w:pStyle w:val="Heading3"/>
      </w:pPr>
      <w:r w:rsidRPr="007A1F5B">
        <w:t>Comments</w:t>
      </w:r>
    </w:p>
    <w:p w:rsidR="00ED6788" w:rsidRDefault="00ED6788" w:rsidP="004F2B24">
      <w:r w:rsidRPr="007A526D">
        <w:t>Th</w:t>
      </w:r>
      <w:r>
        <w:t>is appropriation was underspent by $3.113 million against</w:t>
      </w:r>
      <w:r w:rsidRPr="007A526D">
        <w:t xml:space="preserve"> the Main Estimates </w:t>
      </w:r>
      <w:r>
        <w:t>(43 percent of appropriation) mainly due to delays in contracting.</w:t>
      </w:r>
      <w:r w:rsidR="000845D9">
        <w:t xml:space="preserve"> </w:t>
      </w:r>
      <w:r>
        <w:t>A fiscally neutral transfer of $3.5 million has been approved through the Section 26A.</w:t>
      </w:r>
    </w:p>
    <w:p w:rsidR="00ED6788" w:rsidRDefault="00ED6788" w:rsidP="004F2B24">
      <w:pPr>
        <w:rPr>
          <w:highlight w:val="yellow"/>
        </w:rPr>
      </w:pPr>
    </w:p>
    <w:p w:rsidR="00734595" w:rsidRDefault="00734595">
      <w:pPr>
        <w:spacing w:line="240" w:lineRule="auto"/>
        <w:rPr>
          <w:b/>
          <w:sz w:val="40"/>
        </w:rPr>
      </w:pPr>
      <w:bookmarkStart w:id="33" w:name="_Toc432765752"/>
      <w:r>
        <w:br w:type="page"/>
      </w:r>
    </w:p>
    <w:p w:rsidR="00ED6788" w:rsidRDefault="00ED6788" w:rsidP="004F2B24">
      <w:pPr>
        <w:pStyle w:val="Heading2"/>
      </w:pPr>
      <w:bookmarkStart w:id="34" w:name="_Toc433713785"/>
      <w:r w:rsidRPr="000C7904">
        <w:lastRenderedPageBreak/>
        <w:t xml:space="preserve">National </w:t>
      </w:r>
      <w:r w:rsidR="00734595">
        <w:t>m</w:t>
      </w:r>
      <w:r w:rsidRPr="000C7904">
        <w:t xml:space="preserve">aternity </w:t>
      </w:r>
      <w:r w:rsidR="00734595">
        <w:t>s</w:t>
      </w:r>
      <w:r w:rsidRPr="000C7904">
        <w:t>ervices</w:t>
      </w:r>
      <w:bookmarkEnd w:id="33"/>
      <w:bookmarkEnd w:id="34"/>
    </w:p>
    <w:p w:rsidR="00ED6788" w:rsidRDefault="00ED6788" w:rsidP="00C30AA8">
      <w:pPr>
        <w:keepNext/>
      </w:pPr>
      <w:r>
        <w:t>The scope of a</w:t>
      </w:r>
      <w:r w:rsidRPr="007F473C">
        <w:t>ppropriation</w:t>
      </w:r>
      <w:r>
        <w:t xml:space="preserve"> is f</w:t>
      </w:r>
      <w:r w:rsidRPr="00926CC4">
        <w:t>or the funding and purchase of maternity services directly by the Crown</w:t>
      </w:r>
      <w:r>
        <w:t>.</w:t>
      </w:r>
      <w:r w:rsidRPr="00926CC4">
        <w:t xml:space="preserve"> </w:t>
      </w:r>
      <w:r w:rsidRPr="00F31AE1">
        <w:t>This appropriation funds community-based lead maternity carers (LMCs) and other health professionals for the provision of primary maternity care.</w:t>
      </w:r>
    </w:p>
    <w:p w:rsidR="00ED6788" w:rsidRDefault="00ED6788" w:rsidP="00C30AA8">
      <w:pPr>
        <w:keepNext/>
      </w:pPr>
    </w:p>
    <w:p w:rsidR="000845D9" w:rsidRDefault="00ED6788" w:rsidP="00C30AA8">
      <w:pPr>
        <w:keepNext/>
      </w:pPr>
      <w:r w:rsidRPr="00926CC4">
        <w:t xml:space="preserve">This appropriation is intended to </w:t>
      </w:r>
      <w:r>
        <w:t>ensure women are supported with ante</w:t>
      </w:r>
      <w:r w:rsidRPr="00926CC4">
        <w:t>natal care, care du</w:t>
      </w:r>
      <w:r>
        <w:t>ring labour and birth, and post</w:t>
      </w:r>
      <w:r w:rsidRPr="00926CC4">
        <w:t>natal care, so that the health of both mothers and babies is promoted.</w:t>
      </w:r>
      <w:r>
        <w:t xml:space="preserve"> This appropriation provides for the child of an eligible person, regardless of whether the eligible parent is male or female, with antenatal, labour and birth, and postnatal care.</w:t>
      </w:r>
    </w:p>
    <w:p w:rsidR="00ED6788" w:rsidRDefault="00ED6788" w:rsidP="00C30AA8">
      <w:pPr>
        <w:keepNext/>
      </w:pPr>
    </w:p>
    <w:p w:rsidR="000845D9" w:rsidRDefault="00ED6788" w:rsidP="00C30AA8">
      <w:pPr>
        <w:keepNext/>
      </w:pPr>
      <w:r>
        <w:t xml:space="preserve">Most pregnancy and childbirth services are </w:t>
      </w:r>
      <w:r w:rsidR="000845D9">
        <w:t>‘</w:t>
      </w:r>
      <w:r>
        <w:t>primary maternity services</w:t>
      </w:r>
      <w:r w:rsidR="000845D9">
        <w:t>’</w:t>
      </w:r>
      <w:r>
        <w:t xml:space="preserve"> delivered in the co</w:t>
      </w:r>
      <w:r w:rsidRPr="00C30AA8">
        <w:t>m</w:t>
      </w:r>
      <w:r>
        <w:t>munity by a lead maternity carer (LMC). Most LMCs are midwives</w:t>
      </w:r>
      <w:r w:rsidR="00C30AA8">
        <w:t>;</w:t>
      </w:r>
      <w:r>
        <w:t xml:space="preserve"> some general practitioners (doctors) and obstetricians also act as LMCs.</w:t>
      </w:r>
    </w:p>
    <w:p w:rsidR="00ED6788" w:rsidRDefault="00ED6788" w:rsidP="00C30AA8">
      <w:pPr>
        <w:keepNext/>
      </w:pPr>
    </w:p>
    <w:p w:rsidR="00ED6788" w:rsidRDefault="00ED6788" w:rsidP="00C30AA8">
      <w:pPr>
        <w:keepNext/>
      </w:pPr>
      <w:r>
        <w:t>Primary maternity services are funded under Section 88 of the New Zealand Public Health and Disability Act 2000 (the Notice). The</w:t>
      </w:r>
      <w:r w:rsidRPr="00423735">
        <w:t xml:space="preserve"> Notice sets out the terms and conditions for authorised health professionals to provide and claim for primary maternity services.</w:t>
      </w:r>
    </w:p>
    <w:p w:rsidR="00ED6788" w:rsidRDefault="00ED6788" w:rsidP="00C30AA8">
      <w:pPr>
        <w:keepNext/>
      </w:pPr>
    </w:p>
    <w:p w:rsidR="00ED6788" w:rsidRDefault="00ED6788" w:rsidP="00C30AA8">
      <w:r>
        <w:t>The objectives of primary maternity services are to:</w:t>
      </w:r>
    </w:p>
    <w:p w:rsidR="00ED6788" w:rsidRDefault="00ED6788" w:rsidP="00C30AA8">
      <w:pPr>
        <w:pStyle w:val="Bullet"/>
      </w:pPr>
      <w:r>
        <w:t>give each woman, her partner and her whānau or family every opportunity to have a fulfilling outcome to the woman</w:t>
      </w:r>
      <w:r w:rsidR="000845D9">
        <w:t>’</w:t>
      </w:r>
      <w:r>
        <w:t>s pregnancy and childbirth by facilitating the provision of primary maternity services that are safe, informed by evidence and based on partnership, information and choice</w:t>
      </w:r>
    </w:p>
    <w:p w:rsidR="00ED6788" w:rsidRDefault="00ED6788" w:rsidP="00C30AA8">
      <w:pPr>
        <w:pStyle w:val="Bullet"/>
      </w:pPr>
      <w:r>
        <w:t>recognise that pregnancy and childbirth are a normal life-stage for most women</w:t>
      </w:r>
    </w:p>
    <w:p w:rsidR="00ED6788" w:rsidRDefault="00ED6788" w:rsidP="00C30AA8">
      <w:pPr>
        <w:pStyle w:val="Bullet"/>
      </w:pPr>
      <w:r>
        <w:t>provide each woman with continuity of care through her LMC who is responsible for assessing her needs, planning her care with her, and the care of her baby</w:t>
      </w:r>
    </w:p>
    <w:p w:rsidR="00ED6788" w:rsidRPr="00C30AA8" w:rsidRDefault="00ED6788" w:rsidP="00C30AA8">
      <w:pPr>
        <w:pStyle w:val="Bullet"/>
        <w:rPr>
          <w:spacing w:val="-2"/>
        </w:rPr>
      </w:pPr>
      <w:r w:rsidRPr="00C30AA8">
        <w:rPr>
          <w:spacing w:val="-2"/>
        </w:rPr>
        <w:t>facilitate the provision of appropriate additional care for those women and babies who need it.</w:t>
      </w:r>
    </w:p>
    <w:p w:rsidR="00ED6788" w:rsidRDefault="00ED6788" w:rsidP="00C30AA8"/>
    <w:p w:rsidR="000845D9" w:rsidRDefault="00ED6788" w:rsidP="00C30AA8">
      <w:r>
        <w:t>Radiology services and non-LMC services for specified care provided by health professionals during pregnancy and childbirth are also funded through the Notice.</w:t>
      </w:r>
    </w:p>
    <w:p w:rsidR="00ED6788" w:rsidRDefault="00ED6788" w:rsidP="00C30AA8"/>
    <w:p w:rsidR="00ED6788" w:rsidRPr="003756B9" w:rsidRDefault="00ED6788" w:rsidP="00C30AA8">
      <w:r>
        <w:t>Primary maternity services are also delivered</w:t>
      </w:r>
      <w:r w:rsidRPr="00F31AE1">
        <w:t xml:space="preserve"> outside the Notice by DHBs</w:t>
      </w:r>
      <w:r>
        <w:t>, along with secondary and tertiary maternity services (Caesarean sections, terminations for foetal abnormality).</w:t>
      </w:r>
    </w:p>
    <w:p w:rsidR="00ED6788" w:rsidRDefault="00ED6788" w:rsidP="00C30AA8"/>
    <w:p w:rsidR="00ED6788" w:rsidRPr="003756B9" w:rsidRDefault="00ED6788" w:rsidP="00C30AA8">
      <w:pPr>
        <w:pStyle w:val="Heading3"/>
      </w:pPr>
      <w:r>
        <w:t>Summary of output performance</w:t>
      </w:r>
    </w:p>
    <w:tbl>
      <w:tblPr>
        <w:tblW w:w="494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3"/>
        <w:gridCol w:w="5002"/>
        <w:gridCol w:w="2030"/>
        <w:gridCol w:w="1118"/>
      </w:tblGrid>
      <w:tr w:rsidR="00ED6788" w:rsidRPr="00E16661" w:rsidTr="00C30AA8">
        <w:trPr>
          <w:cantSplit/>
          <w:tblHeader/>
        </w:trPr>
        <w:tc>
          <w:tcPr>
            <w:tcW w:w="591" w:type="pct"/>
            <w:tcBorders>
              <w:top w:val="single" w:sz="4" w:space="0" w:color="auto"/>
              <w:bottom w:val="single" w:sz="4" w:space="0" w:color="auto"/>
            </w:tcBorders>
          </w:tcPr>
          <w:p w:rsidR="00ED6788" w:rsidRPr="00E16661" w:rsidRDefault="00ED6788" w:rsidP="00C30AA8">
            <w:pPr>
              <w:pStyle w:val="TableText"/>
              <w:keepNext/>
              <w:ind w:right="284"/>
              <w:jc w:val="right"/>
              <w:rPr>
                <w:b/>
              </w:rPr>
            </w:pPr>
            <w:r w:rsidRPr="00E16661">
              <w:rPr>
                <w:b/>
              </w:rPr>
              <w:t>Actual 201</w:t>
            </w:r>
            <w:r>
              <w:rPr>
                <w:b/>
              </w:rPr>
              <w:t>3/14</w:t>
            </w:r>
          </w:p>
        </w:tc>
        <w:tc>
          <w:tcPr>
            <w:tcW w:w="2706" w:type="pct"/>
            <w:tcBorders>
              <w:top w:val="single" w:sz="4" w:space="0" w:color="auto"/>
              <w:bottom w:val="single" w:sz="4" w:space="0" w:color="auto"/>
            </w:tcBorders>
          </w:tcPr>
          <w:p w:rsidR="00ED6788" w:rsidRPr="00E16661" w:rsidRDefault="00ED6788" w:rsidP="00C30AA8">
            <w:pPr>
              <w:pStyle w:val="TableText"/>
              <w:keepNext/>
              <w:rPr>
                <w:b/>
              </w:rPr>
            </w:pPr>
            <w:r w:rsidRPr="00E16661">
              <w:rPr>
                <w:b/>
              </w:rPr>
              <w:t>Performance measure</w:t>
            </w:r>
          </w:p>
        </w:tc>
        <w:tc>
          <w:tcPr>
            <w:tcW w:w="1098" w:type="pct"/>
            <w:tcBorders>
              <w:top w:val="single" w:sz="4" w:space="0" w:color="auto"/>
              <w:bottom w:val="single" w:sz="4" w:space="0" w:color="auto"/>
            </w:tcBorders>
          </w:tcPr>
          <w:p w:rsidR="00ED6788" w:rsidRPr="00E16661" w:rsidRDefault="00ED6788" w:rsidP="00C30AA8">
            <w:pPr>
              <w:pStyle w:val="TableText"/>
              <w:keepN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605" w:type="pct"/>
            <w:tcBorders>
              <w:top w:val="single" w:sz="4" w:space="0" w:color="auto"/>
              <w:bottom w:val="single" w:sz="4" w:space="0" w:color="auto"/>
            </w:tcBorders>
            <w:shd w:val="clear" w:color="auto" w:fill="D9D9D9"/>
          </w:tcPr>
          <w:p w:rsidR="00ED6788" w:rsidRPr="00E16661" w:rsidRDefault="00ED6788" w:rsidP="00C30AA8">
            <w:pPr>
              <w:pStyle w:val="TableText"/>
              <w:keepN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C30AA8">
        <w:trPr>
          <w:cantSplit/>
        </w:trPr>
        <w:tc>
          <w:tcPr>
            <w:tcW w:w="591" w:type="pct"/>
            <w:tcBorders>
              <w:top w:val="single" w:sz="4" w:space="0" w:color="auto"/>
            </w:tcBorders>
          </w:tcPr>
          <w:p w:rsidR="00ED6788" w:rsidRPr="002C0E8B" w:rsidRDefault="00ED6788" w:rsidP="00C30AA8">
            <w:pPr>
              <w:pStyle w:val="TableText"/>
              <w:keepNext/>
              <w:ind w:right="284"/>
              <w:jc w:val="right"/>
              <w:rPr>
                <w:bCs/>
                <w:lang w:eastAsia="en-NZ"/>
              </w:rPr>
            </w:pPr>
          </w:p>
        </w:tc>
        <w:tc>
          <w:tcPr>
            <w:tcW w:w="2706" w:type="pct"/>
            <w:tcBorders>
              <w:top w:val="single" w:sz="4" w:space="0" w:color="auto"/>
            </w:tcBorders>
          </w:tcPr>
          <w:p w:rsidR="00ED6788" w:rsidRPr="00AB69C4" w:rsidRDefault="00ED6788" w:rsidP="00C30AA8">
            <w:pPr>
              <w:pStyle w:val="TableText"/>
              <w:keepNext/>
              <w:rPr>
                <w:b/>
              </w:rPr>
            </w:pPr>
            <w:r w:rsidRPr="00234ECE">
              <w:rPr>
                <w:b/>
                <w:bCs/>
                <w:lang w:eastAsia="en-NZ"/>
              </w:rPr>
              <w:t xml:space="preserve">Lead </w:t>
            </w:r>
            <w:r w:rsidR="00C30AA8">
              <w:rPr>
                <w:b/>
                <w:bCs/>
                <w:lang w:eastAsia="en-NZ"/>
              </w:rPr>
              <w:t>m</w:t>
            </w:r>
            <w:r w:rsidRPr="00234ECE">
              <w:rPr>
                <w:b/>
                <w:bCs/>
                <w:lang w:eastAsia="en-NZ"/>
              </w:rPr>
              <w:t xml:space="preserve">aternity </w:t>
            </w:r>
            <w:r w:rsidR="00C30AA8">
              <w:rPr>
                <w:b/>
                <w:bCs/>
                <w:lang w:eastAsia="en-NZ"/>
              </w:rPr>
              <w:t>c</w:t>
            </w:r>
            <w:r w:rsidRPr="00234ECE">
              <w:rPr>
                <w:b/>
                <w:bCs/>
                <w:lang w:eastAsia="en-NZ"/>
              </w:rPr>
              <w:t>arer</w:t>
            </w:r>
          </w:p>
        </w:tc>
        <w:tc>
          <w:tcPr>
            <w:tcW w:w="1098" w:type="pct"/>
            <w:tcBorders>
              <w:top w:val="single" w:sz="4" w:space="0" w:color="auto"/>
            </w:tcBorders>
          </w:tcPr>
          <w:p w:rsidR="00ED6788" w:rsidRPr="002C0E8B" w:rsidRDefault="00ED6788" w:rsidP="00C30AA8">
            <w:pPr>
              <w:pStyle w:val="TableText"/>
              <w:keepNext/>
              <w:ind w:right="142"/>
              <w:jc w:val="right"/>
            </w:pPr>
          </w:p>
        </w:tc>
        <w:tc>
          <w:tcPr>
            <w:tcW w:w="605" w:type="pct"/>
            <w:tcBorders>
              <w:top w:val="single" w:sz="4" w:space="0" w:color="auto"/>
            </w:tcBorders>
            <w:shd w:val="clear" w:color="auto" w:fill="D9D9D9"/>
          </w:tcPr>
          <w:p w:rsidR="00ED6788" w:rsidRPr="002C0E8B" w:rsidRDefault="00ED6788" w:rsidP="00C30AA8">
            <w:pPr>
              <w:pStyle w:val="TableText"/>
              <w:keepNext/>
              <w:ind w:right="142"/>
              <w:jc w:val="right"/>
            </w:pPr>
          </w:p>
        </w:tc>
      </w:tr>
      <w:tr w:rsidR="00ED6788" w:rsidRPr="002C0E8B" w:rsidTr="00C30AA8">
        <w:trPr>
          <w:cantSplit/>
        </w:trPr>
        <w:tc>
          <w:tcPr>
            <w:tcW w:w="591" w:type="pct"/>
          </w:tcPr>
          <w:p w:rsidR="00ED6788" w:rsidRPr="002C0E8B" w:rsidRDefault="00ED6788" w:rsidP="00C30AA8">
            <w:pPr>
              <w:pStyle w:val="TableText"/>
              <w:keepNext/>
              <w:ind w:right="284"/>
              <w:jc w:val="right"/>
            </w:pPr>
          </w:p>
        </w:tc>
        <w:tc>
          <w:tcPr>
            <w:tcW w:w="2706" w:type="pct"/>
          </w:tcPr>
          <w:p w:rsidR="00ED6788" w:rsidRPr="00234ECE" w:rsidRDefault="00ED6788" w:rsidP="00C30AA8">
            <w:pPr>
              <w:pStyle w:val="TableText"/>
              <w:keepNext/>
              <w:rPr>
                <w:i/>
              </w:rPr>
            </w:pPr>
            <w:r w:rsidRPr="00234ECE">
              <w:rPr>
                <w:b/>
                <w:bCs/>
                <w:i/>
                <w:lang w:eastAsia="en-NZ"/>
              </w:rPr>
              <w:t>Lead maternity carers (LMCs) deliver quality maternity services in compliance with the Section 88 Primary Maternity Services Notice 2007 (excludes DHB primary maternity services)</w:t>
            </w:r>
          </w:p>
        </w:tc>
        <w:tc>
          <w:tcPr>
            <w:tcW w:w="1098" w:type="pct"/>
          </w:tcPr>
          <w:p w:rsidR="00ED6788" w:rsidRPr="002C0E8B" w:rsidRDefault="00ED6788" w:rsidP="00C30AA8">
            <w:pPr>
              <w:pStyle w:val="TableText"/>
              <w:keepNext/>
              <w:ind w:right="142"/>
              <w:jc w:val="right"/>
            </w:pPr>
          </w:p>
        </w:tc>
        <w:tc>
          <w:tcPr>
            <w:tcW w:w="605" w:type="pct"/>
            <w:shd w:val="clear" w:color="auto" w:fill="D9D9D9"/>
          </w:tcPr>
          <w:p w:rsidR="00ED6788" w:rsidRPr="00D155EF" w:rsidRDefault="00ED6788" w:rsidP="00C30AA8">
            <w:pPr>
              <w:pStyle w:val="TableText"/>
              <w:keepNext/>
              <w:ind w:right="142"/>
              <w:jc w:val="right"/>
            </w:pPr>
          </w:p>
        </w:tc>
      </w:tr>
      <w:tr w:rsidR="00ED6788" w:rsidRPr="002C0E8B" w:rsidTr="00C30AA8">
        <w:trPr>
          <w:cantSplit/>
        </w:trPr>
        <w:tc>
          <w:tcPr>
            <w:tcW w:w="591" w:type="pct"/>
          </w:tcPr>
          <w:p w:rsidR="00ED6788" w:rsidRPr="002C0E8B" w:rsidRDefault="00ED6788" w:rsidP="00C30AA8">
            <w:pPr>
              <w:pStyle w:val="TableText"/>
              <w:keepNext/>
              <w:ind w:right="284"/>
              <w:jc w:val="right"/>
            </w:pPr>
            <w:r>
              <w:t>New</w:t>
            </w:r>
          </w:p>
        </w:tc>
        <w:tc>
          <w:tcPr>
            <w:tcW w:w="2706" w:type="pct"/>
          </w:tcPr>
          <w:p w:rsidR="00ED6788" w:rsidRPr="00DD750E" w:rsidRDefault="00ED6788" w:rsidP="00C30AA8">
            <w:pPr>
              <w:pStyle w:val="TableText"/>
              <w:keepNext/>
            </w:pPr>
            <w:r w:rsidRPr="00DD750E">
              <w:t>The percentage of new babies enrolled with a GP or a Well Child/Tamariki Ora provider at birth</w:t>
            </w:r>
          </w:p>
        </w:tc>
        <w:tc>
          <w:tcPr>
            <w:tcW w:w="1098" w:type="pct"/>
          </w:tcPr>
          <w:p w:rsidR="00ED6788" w:rsidRPr="002C0E8B" w:rsidRDefault="00ED6788" w:rsidP="00C30AA8">
            <w:pPr>
              <w:pStyle w:val="TableText"/>
              <w:keepNext/>
              <w:ind w:right="142"/>
              <w:jc w:val="right"/>
            </w:pPr>
            <w:r w:rsidRPr="00234ECE">
              <w:t>100%</w:t>
            </w:r>
          </w:p>
        </w:tc>
        <w:tc>
          <w:tcPr>
            <w:tcW w:w="605" w:type="pct"/>
            <w:shd w:val="clear" w:color="auto" w:fill="D9D9D9"/>
          </w:tcPr>
          <w:p w:rsidR="00ED6788" w:rsidRPr="00D155EF" w:rsidRDefault="00ED6788" w:rsidP="00C30AA8">
            <w:pPr>
              <w:pStyle w:val="TableText"/>
              <w:keepNext/>
              <w:ind w:right="142"/>
              <w:jc w:val="right"/>
            </w:pPr>
            <w:r>
              <w:t>Not available</w:t>
            </w:r>
            <w:r>
              <w:rPr>
                <w:rStyle w:val="FootnoteReference"/>
              </w:rPr>
              <w:footnoteReference w:id="1"/>
            </w:r>
          </w:p>
        </w:tc>
      </w:tr>
      <w:tr w:rsidR="00ED6788" w:rsidRPr="002C0E8B" w:rsidTr="00C30AA8">
        <w:trPr>
          <w:cantSplit/>
        </w:trPr>
        <w:tc>
          <w:tcPr>
            <w:tcW w:w="591" w:type="pct"/>
          </w:tcPr>
          <w:p w:rsidR="00ED6788" w:rsidRDefault="00ED6788" w:rsidP="00C30AA8">
            <w:pPr>
              <w:pStyle w:val="TableText"/>
              <w:ind w:right="284"/>
              <w:jc w:val="right"/>
            </w:pPr>
            <w:r w:rsidRPr="000F1C09">
              <w:t>84%</w:t>
            </w:r>
            <w:r>
              <w:br/>
              <w:t>48,988</w:t>
            </w:r>
          </w:p>
        </w:tc>
        <w:tc>
          <w:tcPr>
            <w:tcW w:w="2706" w:type="pct"/>
          </w:tcPr>
          <w:p w:rsidR="00ED6788" w:rsidRDefault="00ED6788" w:rsidP="00C25CC8">
            <w:pPr>
              <w:pStyle w:val="TableText"/>
            </w:pPr>
            <w:r w:rsidRPr="00DD750E">
              <w:t>Percentage of women giving birth in the year who receive primary maternity services through the section 88 Primary Maternity Services Notice</w:t>
            </w:r>
          </w:p>
        </w:tc>
        <w:tc>
          <w:tcPr>
            <w:tcW w:w="1098" w:type="pct"/>
          </w:tcPr>
          <w:p w:rsidR="00ED6788" w:rsidRDefault="00ED6788" w:rsidP="00C30AA8">
            <w:pPr>
              <w:pStyle w:val="TableText"/>
              <w:ind w:right="142"/>
              <w:jc w:val="right"/>
            </w:pPr>
            <w:r>
              <w:t>&gt;70%</w:t>
            </w:r>
            <w:r w:rsidR="00C30AA8">
              <w:br/>
            </w:r>
            <w:r>
              <w:t>(42,300 women, based on birth data for the year to 30 Sep 2012)</w:t>
            </w:r>
          </w:p>
        </w:tc>
        <w:tc>
          <w:tcPr>
            <w:tcW w:w="605" w:type="pct"/>
            <w:shd w:val="clear" w:color="auto" w:fill="D9D9D9"/>
          </w:tcPr>
          <w:p w:rsidR="00ED6788" w:rsidRDefault="00ED6788" w:rsidP="00C30AA8">
            <w:pPr>
              <w:pStyle w:val="TableText"/>
              <w:ind w:right="142"/>
              <w:jc w:val="right"/>
            </w:pPr>
            <w:r>
              <w:t>83%</w:t>
            </w:r>
            <w:r w:rsidR="00C30AA8">
              <w:br/>
            </w:r>
            <w:r w:rsidRPr="00F31AE1">
              <w:t>50,528</w:t>
            </w:r>
          </w:p>
        </w:tc>
      </w:tr>
    </w:tbl>
    <w:p w:rsidR="00ED6788" w:rsidRPr="00D34230" w:rsidRDefault="00ED6788" w:rsidP="00C30AA8">
      <w:pPr>
        <w:pStyle w:val="Heading3"/>
        <w:spacing w:before="360"/>
      </w:pPr>
      <w:r w:rsidRPr="00D34230">
        <w:lastRenderedPageBreak/>
        <w:t xml:space="preserve">Birth </w:t>
      </w:r>
      <w:r>
        <w:t xml:space="preserve">and service </w:t>
      </w:r>
      <w:r w:rsidRPr="00D34230">
        <w:t>trends over time</w:t>
      </w: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127"/>
        <w:gridCol w:w="1032"/>
        <w:gridCol w:w="1033"/>
        <w:gridCol w:w="1033"/>
        <w:gridCol w:w="1032"/>
        <w:gridCol w:w="1033"/>
        <w:gridCol w:w="1033"/>
        <w:gridCol w:w="1033"/>
      </w:tblGrid>
      <w:tr w:rsidR="00ED6788" w:rsidRPr="00C30AA8" w:rsidTr="00C30AA8">
        <w:trPr>
          <w:cantSplit/>
        </w:trPr>
        <w:tc>
          <w:tcPr>
            <w:tcW w:w="2127" w:type="dxa"/>
            <w:tcBorders>
              <w:top w:val="single" w:sz="4" w:space="0" w:color="auto"/>
              <w:bottom w:val="single" w:sz="4" w:space="0" w:color="auto"/>
            </w:tcBorders>
            <w:shd w:val="clear" w:color="auto" w:fill="auto"/>
          </w:tcPr>
          <w:p w:rsidR="00ED6788" w:rsidRPr="00C30AA8" w:rsidRDefault="00ED6788" w:rsidP="00C30AA8">
            <w:pPr>
              <w:pStyle w:val="TableText"/>
              <w:rPr>
                <w:b/>
              </w:rPr>
            </w:pPr>
          </w:p>
        </w:tc>
        <w:tc>
          <w:tcPr>
            <w:tcW w:w="1032" w:type="dxa"/>
            <w:tcBorders>
              <w:top w:val="single" w:sz="4" w:space="0" w:color="auto"/>
              <w:bottom w:val="single" w:sz="4" w:space="0" w:color="auto"/>
            </w:tcBorders>
            <w:shd w:val="clear" w:color="auto" w:fill="auto"/>
          </w:tcPr>
          <w:p w:rsidR="00ED6788" w:rsidRPr="00C30AA8" w:rsidRDefault="00ED6788" w:rsidP="00C30AA8">
            <w:pPr>
              <w:pStyle w:val="TableText"/>
              <w:jc w:val="center"/>
              <w:rPr>
                <w:b/>
              </w:rPr>
            </w:pPr>
            <w:r w:rsidRPr="00C30AA8">
              <w:rPr>
                <w:b/>
              </w:rPr>
              <w:t>2008/09</w:t>
            </w:r>
          </w:p>
        </w:tc>
        <w:tc>
          <w:tcPr>
            <w:tcW w:w="1033" w:type="dxa"/>
            <w:tcBorders>
              <w:top w:val="single" w:sz="4" w:space="0" w:color="auto"/>
              <w:bottom w:val="single" w:sz="4" w:space="0" w:color="auto"/>
            </w:tcBorders>
            <w:shd w:val="clear" w:color="auto" w:fill="auto"/>
          </w:tcPr>
          <w:p w:rsidR="00ED6788" w:rsidRPr="00C30AA8" w:rsidRDefault="00ED6788" w:rsidP="00C30AA8">
            <w:pPr>
              <w:pStyle w:val="TableText"/>
              <w:jc w:val="center"/>
              <w:rPr>
                <w:b/>
              </w:rPr>
            </w:pPr>
            <w:r w:rsidRPr="00C30AA8">
              <w:rPr>
                <w:b/>
              </w:rPr>
              <w:t>2009/10</w:t>
            </w:r>
          </w:p>
        </w:tc>
        <w:tc>
          <w:tcPr>
            <w:tcW w:w="1033" w:type="dxa"/>
            <w:tcBorders>
              <w:top w:val="single" w:sz="4" w:space="0" w:color="auto"/>
              <w:bottom w:val="single" w:sz="4" w:space="0" w:color="auto"/>
            </w:tcBorders>
            <w:shd w:val="clear" w:color="auto" w:fill="auto"/>
          </w:tcPr>
          <w:p w:rsidR="00ED6788" w:rsidRPr="00C30AA8" w:rsidRDefault="00ED6788" w:rsidP="00C30AA8">
            <w:pPr>
              <w:pStyle w:val="TableText"/>
              <w:jc w:val="center"/>
              <w:rPr>
                <w:b/>
              </w:rPr>
            </w:pPr>
            <w:r w:rsidRPr="00C30AA8">
              <w:rPr>
                <w:b/>
              </w:rPr>
              <w:t>2010/11</w:t>
            </w:r>
          </w:p>
        </w:tc>
        <w:tc>
          <w:tcPr>
            <w:tcW w:w="1032" w:type="dxa"/>
            <w:tcBorders>
              <w:top w:val="single" w:sz="4" w:space="0" w:color="auto"/>
              <w:bottom w:val="single" w:sz="4" w:space="0" w:color="auto"/>
            </w:tcBorders>
            <w:shd w:val="clear" w:color="auto" w:fill="auto"/>
          </w:tcPr>
          <w:p w:rsidR="00ED6788" w:rsidRPr="00C30AA8" w:rsidRDefault="00ED6788" w:rsidP="00C30AA8">
            <w:pPr>
              <w:pStyle w:val="TableText"/>
              <w:jc w:val="center"/>
              <w:rPr>
                <w:b/>
              </w:rPr>
            </w:pPr>
            <w:r w:rsidRPr="00C30AA8">
              <w:rPr>
                <w:b/>
              </w:rPr>
              <w:t>2011/12</w:t>
            </w:r>
          </w:p>
        </w:tc>
        <w:tc>
          <w:tcPr>
            <w:tcW w:w="1033" w:type="dxa"/>
            <w:tcBorders>
              <w:top w:val="single" w:sz="4" w:space="0" w:color="auto"/>
              <w:bottom w:val="single" w:sz="4" w:space="0" w:color="auto"/>
            </w:tcBorders>
            <w:shd w:val="clear" w:color="auto" w:fill="auto"/>
          </w:tcPr>
          <w:p w:rsidR="00ED6788" w:rsidRPr="00C30AA8" w:rsidRDefault="00ED6788" w:rsidP="00C30AA8">
            <w:pPr>
              <w:pStyle w:val="TableText"/>
              <w:jc w:val="center"/>
              <w:rPr>
                <w:b/>
              </w:rPr>
            </w:pPr>
            <w:r w:rsidRPr="00C30AA8">
              <w:rPr>
                <w:b/>
              </w:rPr>
              <w:t>2012/13</w:t>
            </w:r>
          </w:p>
        </w:tc>
        <w:tc>
          <w:tcPr>
            <w:tcW w:w="1033" w:type="dxa"/>
            <w:tcBorders>
              <w:top w:val="single" w:sz="4" w:space="0" w:color="auto"/>
              <w:bottom w:val="single" w:sz="4" w:space="0" w:color="auto"/>
            </w:tcBorders>
            <w:shd w:val="clear" w:color="auto" w:fill="auto"/>
          </w:tcPr>
          <w:p w:rsidR="00ED6788" w:rsidRPr="00C30AA8" w:rsidRDefault="00ED6788" w:rsidP="00C30AA8">
            <w:pPr>
              <w:pStyle w:val="TableText"/>
              <w:jc w:val="center"/>
              <w:rPr>
                <w:b/>
              </w:rPr>
            </w:pPr>
            <w:r w:rsidRPr="00C30AA8">
              <w:rPr>
                <w:b/>
              </w:rPr>
              <w:t>2013/14</w:t>
            </w:r>
          </w:p>
        </w:tc>
        <w:tc>
          <w:tcPr>
            <w:tcW w:w="1033" w:type="dxa"/>
            <w:tcBorders>
              <w:top w:val="single" w:sz="4" w:space="0" w:color="auto"/>
              <w:bottom w:val="single" w:sz="4" w:space="0" w:color="auto"/>
            </w:tcBorders>
            <w:shd w:val="clear" w:color="auto" w:fill="auto"/>
          </w:tcPr>
          <w:p w:rsidR="00ED6788" w:rsidRPr="00C30AA8" w:rsidRDefault="00ED6788" w:rsidP="00C30AA8">
            <w:pPr>
              <w:pStyle w:val="TableText"/>
              <w:jc w:val="center"/>
              <w:rPr>
                <w:b/>
              </w:rPr>
            </w:pPr>
            <w:r w:rsidRPr="00C30AA8">
              <w:rPr>
                <w:b/>
              </w:rPr>
              <w:t>2014/15</w:t>
            </w:r>
          </w:p>
        </w:tc>
      </w:tr>
      <w:tr w:rsidR="00ED6788" w:rsidRPr="00603322" w:rsidTr="00C30AA8">
        <w:tblPrEx>
          <w:tblLook w:val="04A0" w:firstRow="1" w:lastRow="0" w:firstColumn="1" w:lastColumn="0" w:noHBand="0" w:noVBand="1"/>
        </w:tblPrEx>
        <w:trPr>
          <w:cantSplit/>
        </w:trPr>
        <w:tc>
          <w:tcPr>
            <w:tcW w:w="2127" w:type="dxa"/>
            <w:tcBorders>
              <w:top w:val="single" w:sz="4" w:space="0" w:color="auto"/>
            </w:tcBorders>
            <w:shd w:val="clear" w:color="auto" w:fill="auto"/>
          </w:tcPr>
          <w:p w:rsidR="00ED6788" w:rsidRPr="00D34230" w:rsidRDefault="00ED6788" w:rsidP="00C30AA8">
            <w:pPr>
              <w:pStyle w:val="TableText"/>
            </w:pPr>
            <w:r w:rsidRPr="00D34230">
              <w:t>Live births</w:t>
            </w:r>
            <w:r w:rsidRPr="00D34230">
              <w:rPr>
                <w:rStyle w:val="FootnoteReference"/>
              </w:rPr>
              <w:footnoteReference w:id="2"/>
            </w:r>
          </w:p>
        </w:tc>
        <w:tc>
          <w:tcPr>
            <w:tcW w:w="1032" w:type="dxa"/>
            <w:tcBorders>
              <w:top w:val="single" w:sz="4" w:space="0" w:color="auto"/>
            </w:tcBorders>
            <w:shd w:val="clear" w:color="auto" w:fill="auto"/>
          </w:tcPr>
          <w:p w:rsidR="00ED6788" w:rsidRPr="00D34230" w:rsidRDefault="00ED6788" w:rsidP="00C30AA8">
            <w:pPr>
              <w:pStyle w:val="TableText"/>
              <w:jc w:val="center"/>
            </w:pPr>
            <w:r w:rsidRPr="00D34230">
              <w:t>62,960</w:t>
            </w:r>
          </w:p>
        </w:tc>
        <w:tc>
          <w:tcPr>
            <w:tcW w:w="1033" w:type="dxa"/>
            <w:tcBorders>
              <w:top w:val="single" w:sz="4" w:space="0" w:color="auto"/>
            </w:tcBorders>
            <w:shd w:val="clear" w:color="auto" w:fill="auto"/>
          </w:tcPr>
          <w:p w:rsidR="00ED6788" w:rsidRPr="00D34230" w:rsidRDefault="00ED6788" w:rsidP="00C30AA8">
            <w:pPr>
              <w:pStyle w:val="TableText"/>
              <w:jc w:val="center"/>
            </w:pPr>
            <w:r w:rsidRPr="00D34230">
              <w:t>64,120</w:t>
            </w:r>
          </w:p>
        </w:tc>
        <w:tc>
          <w:tcPr>
            <w:tcW w:w="1033" w:type="dxa"/>
            <w:tcBorders>
              <w:top w:val="single" w:sz="4" w:space="0" w:color="auto"/>
            </w:tcBorders>
            <w:shd w:val="clear" w:color="auto" w:fill="auto"/>
          </w:tcPr>
          <w:p w:rsidR="00ED6788" w:rsidRPr="00D34230" w:rsidRDefault="00ED6788" w:rsidP="00C30AA8">
            <w:pPr>
              <w:pStyle w:val="TableText"/>
              <w:jc w:val="center"/>
            </w:pPr>
            <w:r w:rsidRPr="00D34230">
              <w:t>62,660</w:t>
            </w:r>
          </w:p>
        </w:tc>
        <w:tc>
          <w:tcPr>
            <w:tcW w:w="1032" w:type="dxa"/>
            <w:tcBorders>
              <w:top w:val="single" w:sz="4" w:space="0" w:color="auto"/>
            </w:tcBorders>
            <w:shd w:val="clear" w:color="auto" w:fill="auto"/>
          </w:tcPr>
          <w:p w:rsidR="00ED6788" w:rsidRPr="00D34230" w:rsidRDefault="00ED6788" w:rsidP="00C30AA8">
            <w:pPr>
              <w:pStyle w:val="TableText"/>
              <w:jc w:val="center"/>
            </w:pPr>
            <w:r w:rsidRPr="00D34230">
              <w:t>61,400</w:t>
            </w:r>
          </w:p>
        </w:tc>
        <w:tc>
          <w:tcPr>
            <w:tcW w:w="1033" w:type="dxa"/>
            <w:tcBorders>
              <w:top w:val="single" w:sz="4" w:space="0" w:color="auto"/>
            </w:tcBorders>
            <w:shd w:val="clear" w:color="auto" w:fill="auto"/>
          </w:tcPr>
          <w:p w:rsidR="00ED6788" w:rsidRPr="00D34230" w:rsidRDefault="00ED6788" w:rsidP="00C30AA8">
            <w:pPr>
              <w:pStyle w:val="TableText"/>
              <w:jc w:val="center"/>
            </w:pPr>
            <w:r w:rsidRPr="00D34230">
              <w:t>61,816</w:t>
            </w:r>
          </w:p>
        </w:tc>
        <w:tc>
          <w:tcPr>
            <w:tcW w:w="1033" w:type="dxa"/>
            <w:tcBorders>
              <w:top w:val="single" w:sz="4" w:space="0" w:color="auto"/>
            </w:tcBorders>
            <w:shd w:val="clear" w:color="auto" w:fill="auto"/>
          </w:tcPr>
          <w:p w:rsidR="00ED6788" w:rsidRPr="00D34230" w:rsidRDefault="00ED6788" w:rsidP="00C30AA8">
            <w:pPr>
              <w:pStyle w:val="TableText"/>
              <w:jc w:val="center"/>
            </w:pPr>
            <w:r>
              <w:t>60,500</w:t>
            </w:r>
          </w:p>
        </w:tc>
        <w:tc>
          <w:tcPr>
            <w:tcW w:w="1033" w:type="dxa"/>
            <w:tcBorders>
              <w:top w:val="single" w:sz="4" w:space="0" w:color="auto"/>
            </w:tcBorders>
            <w:shd w:val="clear" w:color="auto" w:fill="auto"/>
          </w:tcPr>
          <w:p w:rsidR="00ED6788" w:rsidRPr="00603322" w:rsidRDefault="00ED6788" w:rsidP="00C30AA8">
            <w:pPr>
              <w:pStyle w:val="TableText"/>
              <w:jc w:val="center"/>
            </w:pPr>
            <w:r w:rsidRPr="00603322">
              <w:t>60,944</w:t>
            </w:r>
          </w:p>
        </w:tc>
      </w:tr>
      <w:tr w:rsidR="00ED6788" w:rsidRPr="00603322" w:rsidTr="00C30AA8">
        <w:tblPrEx>
          <w:tblLook w:val="04A0" w:firstRow="1" w:lastRow="0" w:firstColumn="1" w:lastColumn="0" w:noHBand="0" w:noVBand="1"/>
        </w:tblPrEx>
        <w:trPr>
          <w:cantSplit/>
        </w:trPr>
        <w:tc>
          <w:tcPr>
            <w:tcW w:w="2127" w:type="dxa"/>
            <w:shd w:val="clear" w:color="auto" w:fill="auto"/>
          </w:tcPr>
          <w:p w:rsidR="00ED6788" w:rsidRPr="00D34230" w:rsidRDefault="00ED6788" w:rsidP="00C30AA8">
            <w:pPr>
              <w:pStyle w:val="TableText"/>
            </w:pPr>
            <w:r w:rsidRPr="00D34230">
              <w:t>Labour and birth claims (% share of births)</w:t>
            </w:r>
          </w:p>
        </w:tc>
        <w:tc>
          <w:tcPr>
            <w:tcW w:w="1032" w:type="dxa"/>
            <w:shd w:val="clear" w:color="auto" w:fill="auto"/>
          </w:tcPr>
          <w:p w:rsidR="00ED6788" w:rsidRPr="00D34230" w:rsidRDefault="00ED6788" w:rsidP="00C30AA8">
            <w:pPr>
              <w:pStyle w:val="TableText"/>
              <w:jc w:val="center"/>
            </w:pPr>
            <w:r w:rsidRPr="00D34230">
              <w:t>46,195</w:t>
            </w:r>
            <w:r w:rsidRPr="00D34230">
              <w:br/>
              <w:t>(73.4%)</w:t>
            </w:r>
          </w:p>
        </w:tc>
        <w:tc>
          <w:tcPr>
            <w:tcW w:w="1033" w:type="dxa"/>
            <w:shd w:val="clear" w:color="auto" w:fill="auto"/>
          </w:tcPr>
          <w:p w:rsidR="00ED6788" w:rsidRPr="00D34230" w:rsidRDefault="00ED6788" w:rsidP="00C30AA8">
            <w:pPr>
              <w:pStyle w:val="TableText"/>
              <w:jc w:val="center"/>
            </w:pPr>
            <w:r w:rsidRPr="00D34230">
              <w:t>46,076</w:t>
            </w:r>
            <w:r w:rsidRPr="00D34230">
              <w:br/>
              <w:t>(71.9%)</w:t>
            </w:r>
          </w:p>
        </w:tc>
        <w:tc>
          <w:tcPr>
            <w:tcW w:w="1033" w:type="dxa"/>
            <w:shd w:val="clear" w:color="auto" w:fill="auto"/>
          </w:tcPr>
          <w:p w:rsidR="00ED6788" w:rsidRPr="00D34230" w:rsidRDefault="00ED6788" w:rsidP="00C30AA8">
            <w:pPr>
              <w:pStyle w:val="TableText"/>
              <w:jc w:val="center"/>
            </w:pPr>
            <w:r w:rsidRPr="00D34230">
              <w:t>47,008</w:t>
            </w:r>
            <w:r w:rsidRPr="00D34230">
              <w:br/>
              <w:t>(75.0%)</w:t>
            </w:r>
          </w:p>
        </w:tc>
        <w:tc>
          <w:tcPr>
            <w:tcW w:w="1032" w:type="dxa"/>
            <w:shd w:val="clear" w:color="auto" w:fill="auto"/>
          </w:tcPr>
          <w:p w:rsidR="00ED6788" w:rsidRPr="00D34230" w:rsidRDefault="00ED6788" w:rsidP="00C30AA8">
            <w:pPr>
              <w:pStyle w:val="TableText"/>
              <w:jc w:val="center"/>
            </w:pPr>
            <w:r w:rsidRPr="00D34230">
              <w:t>44,800</w:t>
            </w:r>
            <w:r w:rsidRPr="00D34230">
              <w:br/>
              <w:t>(73%)</w:t>
            </w:r>
          </w:p>
        </w:tc>
        <w:tc>
          <w:tcPr>
            <w:tcW w:w="1033" w:type="dxa"/>
            <w:shd w:val="clear" w:color="auto" w:fill="auto"/>
          </w:tcPr>
          <w:p w:rsidR="00ED6788" w:rsidRPr="00D34230" w:rsidRDefault="00ED6788" w:rsidP="00C30AA8">
            <w:pPr>
              <w:pStyle w:val="TableText"/>
              <w:jc w:val="center"/>
            </w:pPr>
            <w:r w:rsidRPr="00D34230">
              <w:t>50,291</w:t>
            </w:r>
            <w:r w:rsidRPr="00D34230">
              <w:br/>
              <w:t>(81.3%)</w:t>
            </w:r>
          </w:p>
        </w:tc>
        <w:tc>
          <w:tcPr>
            <w:tcW w:w="1033" w:type="dxa"/>
            <w:shd w:val="clear" w:color="auto" w:fill="auto"/>
          </w:tcPr>
          <w:p w:rsidR="00ED6788" w:rsidRPr="00D34230" w:rsidRDefault="00ED6788" w:rsidP="00C30AA8">
            <w:pPr>
              <w:pStyle w:val="TableText"/>
              <w:jc w:val="center"/>
            </w:pPr>
            <w:r w:rsidRPr="00D34230">
              <w:t>48,988</w:t>
            </w:r>
            <w:r w:rsidR="00C30AA8">
              <w:br/>
            </w:r>
            <w:r w:rsidRPr="00D34230">
              <w:t>(8</w:t>
            </w:r>
            <w:r>
              <w:t>1</w:t>
            </w:r>
            <w:r w:rsidRPr="00D34230">
              <w:t>%)</w:t>
            </w:r>
          </w:p>
        </w:tc>
        <w:tc>
          <w:tcPr>
            <w:tcW w:w="1033" w:type="dxa"/>
            <w:shd w:val="clear" w:color="auto" w:fill="auto"/>
          </w:tcPr>
          <w:p w:rsidR="00ED6788" w:rsidRPr="00603322" w:rsidRDefault="00ED6788" w:rsidP="00C30AA8">
            <w:pPr>
              <w:pStyle w:val="TableText"/>
              <w:jc w:val="center"/>
            </w:pPr>
            <w:r w:rsidRPr="00603322">
              <w:t>50,528</w:t>
            </w:r>
            <w:r w:rsidR="00C30AA8">
              <w:br/>
            </w:r>
            <w:r w:rsidRPr="00603322">
              <w:t>(83%)</w:t>
            </w:r>
          </w:p>
        </w:tc>
      </w:tr>
    </w:tbl>
    <w:p w:rsidR="00ED6788" w:rsidRDefault="00ED6788" w:rsidP="00C30AA8"/>
    <w:p w:rsidR="00ED6788" w:rsidRPr="003756B9" w:rsidRDefault="00ED6788" w:rsidP="00C30AA8">
      <w:r w:rsidRPr="00BD4482">
        <w:t>The Section 88 Notice and performance standard is based on 70 percent of births managed by LMCs under the Notice and 30 percent of births managed by DHB primary maternity services.</w:t>
      </w:r>
      <w:r w:rsidR="000845D9">
        <w:t xml:space="preserve"> </w:t>
      </w:r>
      <w:r w:rsidRPr="00BD4482">
        <w:t>The percentage of births with a labour and birth claim from the Section 88 Notice has continued to increase since 2007 and the performance standard of &gt;70</w:t>
      </w:r>
      <w:r>
        <w:t xml:space="preserve"> percent</w:t>
      </w:r>
      <w:r w:rsidRPr="00BD4482">
        <w:t xml:space="preserve"> continues to be exceeded</w:t>
      </w:r>
      <w:r>
        <w:t>.</w:t>
      </w:r>
    </w:p>
    <w:p w:rsidR="00ED6788" w:rsidRDefault="00ED6788" w:rsidP="00C30AA8"/>
    <w:p w:rsidR="00ED6788" w:rsidRDefault="00ED6788" w:rsidP="00C30AA8">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17"/>
        <w:gridCol w:w="1418"/>
      </w:tblGrid>
      <w:tr w:rsidR="00ED6788" w:rsidRPr="00CC2A63" w:rsidTr="00C30AA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1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1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30AA8">
        <w:trPr>
          <w:cantSplit/>
        </w:trPr>
        <w:tc>
          <w:tcPr>
            <w:tcW w:w="1277" w:type="dxa"/>
            <w:tcBorders>
              <w:top w:val="single" w:sz="4" w:space="0" w:color="auto"/>
              <w:right w:val="nil"/>
            </w:tcBorders>
            <w:shd w:val="solid" w:color="FFFFFF" w:fill="auto"/>
          </w:tcPr>
          <w:p w:rsidR="00ED6788" w:rsidRPr="002C0E8B" w:rsidRDefault="00ED6788" w:rsidP="00C30AA8">
            <w:pPr>
              <w:pStyle w:val="TableText"/>
              <w:keepNext/>
              <w:ind w:right="284"/>
              <w:jc w:val="right"/>
            </w:pPr>
            <w:r>
              <w:t>3872</w:t>
            </w:r>
          </w:p>
        </w:tc>
        <w:tc>
          <w:tcPr>
            <w:tcW w:w="3968" w:type="dxa"/>
            <w:tcBorders>
              <w:top w:val="single" w:sz="4" w:space="0" w:color="auto"/>
              <w:left w:val="nil"/>
            </w:tcBorders>
            <w:shd w:val="solid" w:color="FFFFFF" w:fill="auto"/>
          </w:tcPr>
          <w:p w:rsidR="00ED6788" w:rsidRPr="002C0E8B" w:rsidRDefault="00ED6788" w:rsidP="00C25CC8">
            <w:pPr>
              <w:pStyle w:val="TableText"/>
              <w:keepNext/>
            </w:pPr>
            <w:r w:rsidRPr="00234ECE">
              <w:rPr>
                <w:rFonts w:cs="Arial"/>
                <w:szCs w:val="18"/>
              </w:rPr>
              <w:t>DHBs</w:t>
            </w:r>
          </w:p>
        </w:tc>
        <w:tc>
          <w:tcPr>
            <w:tcW w:w="1276" w:type="dxa"/>
            <w:tcBorders>
              <w:top w:val="single" w:sz="4" w:space="0" w:color="auto"/>
            </w:tcBorders>
            <w:shd w:val="clear" w:color="E3E3E3" w:fill="D9D9D9"/>
          </w:tcPr>
          <w:p w:rsidR="00ED6788" w:rsidRPr="002C0E8B" w:rsidRDefault="00ED6788" w:rsidP="00C30AA8">
            <w:pPr>
              <w:pStyle w:val="TableText"/>
              <w:keepNext/>
              <w:ind w:right="142"/>
              <w:jc w:val="right"/>
            </w:pPr>
            <w:r>
              <w:t>4214</w:t>
            </w:r>
          </w:p>
        </w:tc>
        <w:tc>
          <w:tcPr>
            <w:tcW w:w="1417" w:type="dxa"/>
            <w:tcBorders>
              <w:top w:val="single" w:sz="4" w:space="0" w:color="auto"/>
            </w:tcBorders>
          </w:tcPr>
          <w:p w:rsidR="00ED6788" w:rsidRPr="002C0E8B" w:rsidRDefault="00ED6788" w:rsidP="00C30AA8">
            <w:pPr>
              <w:pStyle w:val="TableText"/>
              <w:keepNext/>
              <w:jc w:val="right"/>
            </w:pPr>
            <w:r>
              <w:t>4557</w:t>
            </w:r>
          </w:p>
        </w:tc>
        <w:tc>
          <w:tcPr>
            <w:tcW w:w="1418" w:type="dxa"/>
            <w:tcBorders>
              <w:top w:val="single" w:sz="4" w:space="0" w:color="auto"/>
            </w:tcBorders>
          </w:tcPr>
          <w:p w:rsidR="00ED6788" w:rsidRPr="002C0E8B" w:rsidRDefault="00ED6788" w:rsidP="00C30AA8">
            <w:pPr>
              <w:pStyle w:val="TableText"/>
              <w:keepNext/>
              <w:jc w:val="right"/>
            </w:pPr>
            <w:r>
              <w:t>4466</w:t>
            </w:r>
          </w:p>
        </w:tc>
      </w:tr>
      <w:tr w:rsidR="00ED6788" w:rsidRPr="002C0E8B" w:rsidTr="00C30AA8">
        <w:trPr>
          <w:cantSplit/>
        </w:trPr>
        <w:tc>
          <w:tcPr>
            <w:tcW w:w="1277" w:type="dxa"/>
            <w:tcBorders>
              <w:right w:val="nil"/>
            </w:tcBorders>
            <w:shd w:val="solid" w:color="FFFFFF" w:fill="auto"/>
          </w:tcPr>
          <w:p w:rsidR="00ED6788" w:rsidRPr="002C0E8B" w:rsidRDefault="00ED6788" w:rsidP="00C25CC8">
            <w:pPr>
              <w:pStyle w:val="TableText"/>
              <w:ind w:right="284"/>
              <w:jc w:val="right"/>
            </w:pPr>
            <w:r>
              <w:t>137,485</w:t>
            </w:r>
          </w:p>
        </w:tc>
        <w:tc>
          <w:tcPr>
            <w:tcW w:w="3968" w:type="dxa"/>
            <w:tcBorders>
              <w:left w:val="nil"/>
            </w:tcBorders>
            <w:shd w:val="solid" w:color="FFFFFF" w:fill="auto"/>
          </w:tcPr>
          <w:p w:rsidR="00ED6788" w:rsidRPr="002C0E8B" w:rsidRDefault="00ED6788" w:rsidP="00C30AA8">
            <w:pPr>
              <w:pStyle w:val="TableText"/>
              <w:keepNext/>
            </w:pPr>
            <w:r w:rsidRPr="00234ECE">
              <w:rPr>
                <w:rFonts w:cs="Arial"/>
                <w:szCs w:val="18"/>
              </w:rPr>
              <w:t>Non-</w:t>
            </w:r>
            <w:r w:rsidR="00C30AA8">
              <w:rPr>
                <w:rFonts w:cs="Arial"/>
                <w:szCs w:val="18"/>
              </w:rPr>
              <w:t>g</w:t>
            </w:r>
            <w:r w:rsidRPr="00234ECE">
              <w:rPr>
                <w:rFonts w:cs="Arial"/>
                <w:szCs w:val="18"/>
              </w:rPr>
              <w:t xml:space="preserve">overnment </w:t>
            </w:r>
            <w:r w:rsidR="00C30AA8">
              <w:rPr>
                <w:rFonts w:cs="Arial"/>
                <w:szCs w:val="18"/>
              </w:rPr>
              <w:t>o</w:t>
            </w:r>
            <w:r w:rsidRPr="00234ECE">
              <w:rPr>
                <w:rFonts w:cs="Arial"/>
                <w:szCs w:val="18"/>
              </w:rPr>
              <w:t>rganisations</w:t>
            </w:r>
          </w:p>
        </w:tc>
        <w:tc>
          <w:tcPr>
            <w:tcW w:w="1276" w:type="dxa"/>
            <w:shd w:val="clear" w:color="E3E3E3" w:fill="D9D9D9"/>
          </w:tcPr>
          <w:p w:rsidR="00ED6788" w:rsidRPr="002C0E8B" w:rsidRDefault="00ED6788" w:rsidP="00C25CC8">
            <w:pPr>
              <w:pStyle w:val="TableText"/>
              <w:ind w:right="142"/>
              <w:jc w:val="right"/>
            </w:pPr>
            <w:r>
              <w:t>139,634</w:t>
            </w:r>
          </w:p>
        </w:tc>
        <w:tc>
          <w:tcPr>
            <w:tcW w:w="1417" w:type="dxa"/>
          </w:tcPr>
          <w:p w:rsidR="00ED6788" w:rsidRPr="002C0E8B" w:rsidRDefault="00ED6788" w:rsidP="00C25CC8">
            <w:pPr>
              <w:pStyle w:val="TableText"/>
              <w:jc w:val="right"/>
            </w:pPr>
            <w:r>
              <w:t>142,609</w:t>
            </w:r>
          </w:p>
        </w:tc>
        <w:tc>
          <w:tcPr>
            <w:tcW w:w="1418" w:type="dxa"/>
          </w:tcPr>
          <w:p w:rsidR="00ED6788" w:rsidRPr="002C0E8B" w:rsidRDefault="00ED6788" w:rsidP="00C25CC8">
            <w:pPr>
              <w:pStyle w:val="TableText"/>
              <w:jc w:val="right"/>
            </w:pPr>
            <w:r>
              <w:t>140,200</w:t>
            </w:r>
          </w:p>
        </w:tc>
      </w:tr>
      <w:tr w:rsidR="00ED6788" w:rsidRPr="002C0E8B" w:rsidTr="00C30AA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141,358</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C0E8B" w:rsidRDefault="00ED6788" w:rsidP="00C25CC8">
            <w:pPr>
              <w:pStyle w:val="TableText"/>
              <w:ind w:right="142"/>
              <w:jc w:val="right"/>
              <w:rPr>
                <w:b/>
              </w:rPr>
            </w:pPr>
            <w:r>
              <w:rPr>
                <w:b/>
                <w:bCs/>
              </w:rPr>
              <w:t>143,848</w:t>
            </w:r>
          </w:p>
        </w:tc>
        <w:tc>
          <w:tcPr>
            <w:tcW w:w="1417" w:type="dxa"/>
          </w:tcPr>
          <w:p w:rsidR="00ED6788" w:rsidRPr="002C0E8B" w:rsidRDefault="00ED6788" w:rsidP="00C25CC8">
            <w:pPr>
              <w:pStyle w:val="TableText"/>
              <w:jc w:val="right"/>
              <w:rPr>
                <w:b/>
              </w:rPr>
            </w:pPr>
            <w:r>
              <w:rPr>
                <w:b/>
                <w:bCs/>
              </w:rPr>
              <w:t>147,166</w:t>
            </w:r>
          </w:p>
        </w:tc>
        <w:tc>
          <w:tcPr>
            <w:tcW w:w="1418" w:type="dxa"/>
          </w:tcPr>
          <w:p w:rsidR="00ED6788" w:rsidRPr="002C0E8B" w:rsidRDefault="00ED6788" w:rsidP="00C25CC8">
            <w:pPr>
              <w:pStyle w:val="TableText"/>
              <w:jc w:val="right"/>
              <w:rPr>
                <w:b/>
              </w:rPr>
            </w:pPr>
            <w:r>
              <w:rPr>
                <w:b/>
                <w:bCs/>
              </w:rPr>
              <w:t>144,666</w:t>
            </w:r>
          </w:p>
        </w:tc>
      </w:tr>
    </w:tbl>
    <w:p w:rsidR="00ED6788" w:rsidRDefault="00ED6788" w:rsidP="00C30AA8"/>
    <w:p w:rsidR="00ED6788" w:rsidRDefault="00ED6788" w:rsidP="00C30AA8">
      <w:pPr>
        <w:pStyle w:val="Heading3"/>
      </w:pPr>
      <w:r w:rsidRPr="007A1F5B">
        <w:t>Comments</w:t>
      </w:r>
    </w:p>
    <w:p w:rsidR="00ED6788" w:rsidRDefault="00ED6788" w:rsidP="00C30AA8">
      <w:r w:rsidRPr="007A7883">
        <w:t>This appropriation underspent by $3.</w:t>
      </w:r>
      <w:r>
        <w:t>318</w:t>
      </w:r>
      <w:r w:rsidRPr="007A7883">
        <w:t xml:space="preserve"> million against the Main Estimates (</w:t>
      </w:r>
      <w:r>
        <w:t>2 percent of appropriation). T</w:t>
      </w:r>
      <w:r w:rsidRPr="007A7883">
        <w:t>he variance is not significant.</w:t>
      </w:r>
    </w:p>
    <w:p w:rsidR="00C30AA8" w:rsidRPr="007A7883" w:rsidRDefault="00C30AA8" w:rsidP="00C30AA8"/>
    <w:p w:rsidR="000845D9" w:rsidRDefault="00ED6788" w:rsidP="00C30AA8">
      <w:pPr>
        <w:pStyle w:val="Heading2"/>
      </w:pPr>
      <w:bookmarkStart w:id="35" w:name="_Toc432765753"/>
      <w:bookmarkStart w:id="36" w:name="_Toc433713786"/>
      <w:r w:rsidRPr="000C7904">
        <w:lastRenderedPageBreak/>
        <w:t>N</w:t>
      </w:r>
      <w:r>
        <w:t xml:space="preserve">ational </w:t>
      </w:r>
      <w:r w:rsidR="00734595">
        <w:t>m</w:t>
      </w:r>
      <w:r>
        <w:t xml:space="preserve">ental </w:t>
      </w:r>
      <w:r w:rsidR="00734595">
        <w:t>h</w:t>
      </w:r>
      <w:r>
        <w:t xml:space="preserve">ealth </w:t>
      </w:r>
      <w:r w:rsidR="00734595">
        <w:t>s</w:t>
      </w:r>
      <w:r>
        <w:t>ervices</w:t>
      </w:r>
      <w:bookmarkEnd w:id="35"/>
      <w:bookmarkEnd w:id="36"/>
    </w:p>
    <w:p w:rsidR="00ED6788" w:rsidRDefault="00ED6788" w:rsidP="00F41A89">
      <w:pPr>
        <w:keepNext/>
      </w:pPr>
      <w:r>
        <w:t>The s</w:t>
      </w:r>
      <w:r w:rsidRPr="007F473C">
        <w:t xml:space="preserve">cope of </w:t>
      </w:r>
      <w:r>
        <w:t>a</w:t>
      </w:r>
      <w:r w:rsidRPr="007F473C">
        <w:t>ppropriation</w:t>
      </w:r>
      <w:r>
        <w:t xml:space="preserve"> </w:t>
      </w:r>
      <w:r w:rsidR="004F0FDD">
        <w:t xml:space="preserve">is </w:t>
      </w:r>
      <w:r>
        <w:t>f</w:t>
      </w:r>
      <w:r w:rsidRPr="00926CC4">
        <w:t xml:space="preserve">or the funding and purchase of mental health services directly by the Crown. This appropriation is intended to </w:t>
      </w:r>
      <w:r>
        <w:t>ensure</w:t>
      </w:r>
      <w:r w:rsidRPr="00926CC4">
        <w:t xml:space="preserve"> people are supported with mental health issues, including addiction, and work is undertaken to respond to suicidal behaviour and reduce its impact on communities.</w:t>
      </w:r>
    </w:p>
    <w:p w:rsidR="00ED6788" w:rsidRDefault="00ED6788" w:rsidP="00F41A89">
      <w:pPr>
        <w:keepNext/>
      </w:pPr>
    </w:p>
    <w:p w:rsidR="000845D9" w:rsidRDefault="00ED6788" w:rsidP="00F41A89">
      <w:pPr>
        <w:keepNext/>
      </w:pPr>
      <w:r>
        <w:t>The Mental Health appropriation supports the delivery of Rising to the Challenge: The Mental Health and Addiction Service Development Plan 2012–</w:t>
      </w:r>
      <w:r w:rsidR="00B23EAE">
        <w:t>2</w:t>
      </w:r>
      <w:r>
        <w:t xml:space="preserve">017. Rising to the Challenge sets the direction for mental health and addiction service delivery across the health sector. The Mental Health Services appropriation addresses key health priorities aimed at achieving further system-wide change to make service provision more consistent and to improve outcomes both for people who use primary and specialist services and for their families and whānau. Mental </w:t>
      </w:r>
      <w:r w:rsidR="00B23EAE">
        <w:t>h</w:t>
      </w:r>
      <w:r>
        <w:t>ealth promotion, prevention and de-stigmatisation are critical to achieving the vision and for this reason Rising to the Challenge also includes actions in these areas.</w:t>
      </w:r>
    </w:p>
    <w:p w:rsidR="00ED6788" w:rsidRDefault="00ED6788" w:rsidP="00F41A89">
      <w:pPr>
        <w:keepNext/>
      </w:pPr>
    </w:p>
    <w:p w:rsidR="00ED6788" w:rsidRDefault="00ED6788" w:rsidP="00F41A89">
      <w:pPr>
        <w:keepNext/>
      </w:pPr>
      <w:r>
        <w:t>This appropriation funds service</w:t>
      </w:r>
      <w:r w:rsidR="00B23EAE">
        <w:t xml:space="preserve"> </w:t>
      </w:r>
      <w:r>
        <w:t>level contracts with non-governmental organisation (NGO) providers, non-devolved funding for DHBs, and infrastructure initiatives for:</w:t>
      </w:r>
    </w:p>
    <w:p w:rsidR="000845D9" w:rsidRDefault="00ED6788" w:rsidP="00F41A89">
      <w:pPr>
        <w:pStyle w:val="Bullet"/>
        <w:keepNext/>
      </w:pPr>
      <w:r>
        <w:t xml:space="preserve">mental health services including inpatient services at Ashburn Clinic, youth forensic services, </w:t>
      </w:r>
      <w:r w:rsidRPr="00F25870">
        <w:t>cross-agency conduct problem work streams</w:t>
      </w:r>
      <w:r>
        <w:t>, the implementation of an adolescent e-therapy tool as part of the Prime Minister</w:t>
      </w:r>
      <w:r w:rsidR="000845D9">
        <w:t>’</w:t>
      </w:r>
      <w:r>
        <w:t>s Youth Mental Health Project, and perinatal and infant mental health services</w:t>
      </w:r>
    </w:p>
    <w:p w:rsidR="00ED6788" w:rsidRDefault="00ED6788" w:rsidP="00B23EAE">
      <w:pPr>
        <w:pStyle w:val="Bullet"/>
      </w:pPr>
      <w:r>
        <w:t>t</w:t>
      </w:r>
      <w:r w:rsidRPr="00712024">
        <w:t>he National Depression Helpline programme</w:t>
      </w:r>
    </w:p>
    <w:p w:rsidR="00ED6788" w:rsidRDefault="00ED6788" w:rsidP="00B23EAE">
      <w:pPr>
        <w:pStyle w:val="Bullet"/>
      </w:pPr>
      <w:r>
        <w:t xml:space="preserve">research and development which includes a service line of the Te Pou agreement which is dedicated to </w:t>
      </w:r>
      <w:r w:rsidR="00B23EAE">
        <w:t>m</w:t>
      </w:r>
      <w:r>
        <w:t xml:space="preserve">ental </w:t>
      </w:r>
      <w:r w:rsidR="00B23EAE">
        <w:t>h</w:t>
      </w:r>
      <w:r>
        <w:t xml:space="preserve">ealth </w:t>
      </w:r>
      <w:r w:rsidR="00B23EAE">
        <w:t>r</w:t>
      </w:r>
      <w:r>
        <w:t xml:space="preserve">esearch </w:t>
      </w:r>
      <w:r w:rsidR="00B23EAE">
        <w:t>d</w:t>
      </w:r>
      <w:r>
        <w:t xml:space="preserve">evelopment and </w:t>
      </w:r>
      <w:r w:rsidR="00B23EAE">
        <w:t>s</w:t>
      </w:r>
      <w:r>
        <w:t xml:space="preserve">ervice </w:t>
      </w:r>
      <w:r w:rsidR="00B23EAE">
        <w:t>m</w:t>
      </w:r>
      <w:r>
        <w:t>odelling</w:t>
      </w:r>
    </w:p>
    <w:p w:rsidR="00ED6788" w:rsidRDefault="00ED6788" w:rsidP="00B23EAE">
      <w:pPr>
        <w:pStyle w:val="Bullet"/>
      </w:pPr>
      <w:r>
        <w:t xml:space="preserve">alcohol and other drug services including services to implement the Methamphetamine Action Plan, </w:t>
      </w:r>
      <w:r w:rsidRPr="00AB6305">
        <w:t>and youth addiction treatment services for the Prime Minister</w:t>
      </w:r>
      <w:r w:rsidR="000845D9">
        <w:t>’</w:t>
      </w:r>
      <w:r w:rsidRPr="00AB6305">
        <w:t>s Youth Mental Health Project</w:t>
      </w:r>
    </w:p>
    <w:p w:rsidR="00ED6788" w:rsidRDefault="00ED6788" w:rsidP="00B23EAE">
      <w:pPr>
        <w:pStyle w:val="Bullet"/>
      </w:pPr>
      <w:r>
        <w:t>mental health and addiction promotion and prevention services including services that contribute to the National Depression Initiative and Like Minds, Like Mine, services for Māori youth aged 10–13 years, and a mental health and addiction literacy programme</w:t>
      </w:r>
    </w:p>
    <w:p w:rsidR="00ED6788" w:rsidRDefault="00ED6788" w:rsidP="00B23EAE">
      <w:pPr>
        <w:pStyle w:val="Bullet"/>
      </w:pPr>
      <w:r>
        <w:t>suicide prevention programmes including skills training and the Travellers Programme.</w:t>
      </w:r>
    </w:p>
    <w:p w:rsidR="00ED6788" w:rsidRDefault="00ED6788" w:rsidP="00B23EAE"/>
    <w:p w:rsidR="00ED6788" w:rsidRPr="00E636F4" w:rsidRDefault="00ED6788" w:rsidP="00B23EAE">
      <w:r w:rsidRPr="001A6E1D">
        <w:t xml:space="preserve">A range of </w:t>
      </w:r>
      <w:r>
        <w:t xml:space="preserve">other </w:t>
      </w:r>
      <w:r w:rsidRPr="001A6E1D">
        <w:t>services are</w:t>
      </w:r>
      <w:r>
        <w:t xml:space="preserve"> also </w:t>
      </w:r>
      <w:r w:rsidRPr="001A6E1D">
        <w:t>funded under this appropriation</w:t>
      </w:r>
      <w:r>
        <w:t xml:space="preserve"> including:</w:t>
      </w:r>
    </w:p>
    <w:p w:rsidR="00ED6788" w:rsidRPr="00613355" w:rsidRDefault="00B23EAE" w:rsidP="00B23EAE">
      <w:pPr>
        <w:pStyle w:val="Bullet"/>
      </w:pPr>
      <w:r>
        <w:t>t</w:t>
      </w:r>
      <w:r w:rsidR="00ED6788" w:rsidRPr="00E636F4">
        <w:t xml:space="preserve">he </w:t>
      </w:r>
      <w:r w:rsidR="00ED6788">
        <w:t xml:space="preserve">delivery </w:t>
      </w:r>
      <w:r w:rsidR="00ED6788" w:rsidRPr="00E636F4">
        <w:t>of an adolescent e-therapy tool called SPARX as part of the Prime Minister</w:t>
      </w:r>
      <w:r w:rsidR="000845D9">
        <w:t>’</w:t>
      </w:r>
      <w:r w:rsidR="00ED6788" w:rsidRPr="00E636F4">
        <w:t>s Youth Mental Health</w:t>
      </w:r>
      <w:r>
        <w:t xml:space="preserve"> Project</w:t>
      </w:r>
    </w:p>
    <w:p w:rsidR="000845D9" w:rsidRDefault="00B23EAE" w:rsidP="00B23EAE">
      <w:pPr>
        <w:pStyle w:val="Bullet"/>
      </w:pPr>
      <w:r>
        <w:t>t</w:t>
      </w:r>
      <w:r w:rsidR="00ED6788" w:rsidRPr="00423735">
        <w:t xml:space="preserve">he implementation of contracts in North Island DHBs to deliver services for women who are pregnant or in the first </w:t>
      </w:r>
      <w:r>
        <w:t>12 </w:t>
      </w:r>
      <w:r w:rsidR="00ED6788" w:rsidRPr="00423735">
        <w:t>months postpartum who are experiencing acute mental illness</w:t>
      </w:r>
    </w:p>
    <w:p w:rsidR="000845D9" w:rsidRDefault="00ED6788" w:rsidP="00B23EAE">
      <w:pPr>
        <w:pStyle w:val="Bullet"/>
      </w:pPr>
      <w:r>
        <w:t>a k</w:t>
      </w:r>
      <w:r w:rsidRPr="00423735">
        <w:t xml:space="preserve">ey </w:t>
      </w:r>
      <w:r>
        <w:t>performance i</w:t>
      </w:r>
      <w:r w:rsidRPr="00423735">
        <w:t xml:space="preserve">ndicator </w:t>
      </w:r>
      <w:r>
        <w:t>f</w:t>
      </w:r>
      <w:r w:rsidRPr="00423735">
        <w:t xml:space="preserve">ramework for </w:t>
      </w:r>
      <w:r>
        <w:t>m</w:t>
      </w:r>
      <w:r w:rsidRPr="00423735">
        <w:t xml:space="preserve">ental </w:t>
      </w:r>
      <w:r>
        <w:t>h</w:t>
      </w:r>
      <w:r w:rsidRPr="00423735">
        <w:t xml:space="preserve">ealth and </w:t>
      </w:r>
      <w:r>
        <w:t>a</w:t>
      </w:r>
      <w:r w:rsidRPr="00423735">
        <w:t xml:space="preserve">ddiction </w:t>
      </w:r>
      <w:r>
        <w:t>s</w:t>
      </w:r>
      <w:r w:rsidRPr="00423735">
        <w:t>ervices</w:t>
      </w:r>
      <w:r>
        <w:t xml:space="preserve">, which </w:t>
      </w:r>
      <w:r w:rsidRPr="00423735">
        <w:t xml:space="preserve">is </w:t>
      </w:r>
      <w:r>
        <w:t xml:space="preserve">now </w:t>
      </w:r>
      <w:r w:rsidRPr="00423735">
        <w:t>being used by DHBs and NGOs in all DHB areas</w:t>
      </w:r>
    </w:p>
    <w:p w:rsidR="000845D9" w:rsidRDefault="00B23EAE" w:rsidP="00B23EAE">
      <w:pPr>
        <w:pStyle w:val="Bullet"/>
      </w:pPr>
      <w:r>
        <w:t>c</w:t>
      </w:r>
      <w:r w:rsidR="00ED6788">
        <w:t>ontracts for methamphetamine</w:t>
      </w:r>
      <w:r w:rsidR="00ED6788" w:rsidRPr="00F25870">
        <w:t xml:space="preserve"> treatment programmes</w:t>
      </w:r>
      <w:r w:rsidR="00ED6788">
        <w:t>.</w:t>
      </w:r>
    </w:p>
    <w:p w:rsidR="00B23EAE" w:rsidRDefault="00B23EAE" w:rsidP="00B23EAE"/>
    <w:p w:rsidR="00ED6788" w:rsidRPr="003756B9" w:rsidRDefault="00ED6788" w:rsidP="00B23EAE">
      <w:pPr>
        <w:pStyle w:val="Heading3"/>
      </w:pPr>
      <w:r>
        <w:lastRenderedPageBreak/>
        <w:t>Summary of output performance</w:t>
      </w:r>
    </w:p>
    <w:tbl>
      <w:tblPr>
        <w:tblW w:w="494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3"/>
        <w:gridCol w:w="5853"/>
        <w:gridCol w:w="1179"/>
        <w:gridCol w:w="1118"/>
      </w:tblGrid>
      <w:tr w:rsidR="00ED6788" w:rsidRPr="00E16661" w:rsidTr="00F41A89">
        <w:trPr>
          <w:cantSplit/>
          <w:tblHeader/>
        </w:trPr>
        <w:tc>
          <w:tcPr>
            <w:tcW w:w="591" w:type="pct"/>
            <w:tcBorders>
              <w:top w:val="single" w:sz="4" w:space="0" w:color="auto"/>
              <w:bottom w:val="single" w:sz="4" w:space="0" w:color="auto"/>
            </w:tcBorders>
          </w:tcPr>
          <w:p w:rsidR="00ED6788" w:rsidRPr="00E16661" w:rsidRDefault="00ED6788" w:rsidP="00F41A89">
            <w:pPr>
              <w:pStyle w:val="TableText"/>
              <w:keepNext/>
              <w:ind w:right="284"/>
              <w:jc w:val="right"/>
              <w:rPr>
                <w:b/>
              </w:rPr>
            </w:pPr>
            <w:r w:rsidRPr="00E16661">
              <w:rPr>
                <w:b/>
              </w:rPr>
              <w:t>Actual 201</w:t>
            </w:r>
            <w:r>
              <w:rPr>
                <w:b/>
              </w:rPr>
              <w:t>3/14</w:t>
            </w:r>
          </w:p>
        </w:tc>
        <w:tc>
          <w:tcPr>
            <w:tcW w:w="3166" w:type="pct"/>
            <w:tcBorders>
              <w:top w:val="single" w:sz="4" w:space="0" w:color="auto"/>
              <w:bottom w:val="single" w:sz="4" w:space="0" w:color="auto"/>
            </w:tcBorders>
          </w:tcPr>
          <w:p w:rsidR="00ED6788" w:rsidRPr="00E16661" w:rsidRDefault="00ED6788" w:rsidP="00F41A89">
            <w:pPr>
              <w:pStyle w:val="TableText"/>
              <w:keepNext/>
              <w:ind w:right="142"/>
              <w:rPr>
                <w:b/>
              </w:rPr>
            </w:pPr>
            <w:r w:rsidRPr="00E16661">
              <w:rPr>
                <w:b/>
              </w:rPr>
              <w:t>Performance measure</w:t>
            </w:r>
          </w:p>
        </w:tc>
        <w:tc>
          <w:tcPr>
            <w:tcW w:w="638" w:type="pct"/>
            <w:tcBorders>
              <w:top w:val="single" w:sz="4" w:space="0" w:color="auto"/>
              <w:bottom w:val="single" w:sz="4" w:space="0" w:color="auto"/>
            </w:tcBorders>
          </w:tcPr>
          <w:p w:rsidR="00ED6788" w:rsidRPr="00E16661" w:rsidRDefault="00ED6788" w:rsidP="00F41A89">
            <w:pPr>
              <w:pStyle w:val="TableText"/>
              <w:keepN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605" w:type="pct"/>
            <w:tcBorders>
              <w:top w:val="single" w:sz="4" w:space="0" w:color="auto"/>
              <w:bottom w:val="single" w:sz="4" w:space="0" w:color="auto"/>
            </w:tcBorders>
            <w:shd w:val="clear" w:color="auto" w:fill="D9D9D9"/>
          </w:tcPr>
          <w:p w:rsidR="00ED6788" w:rsidRPr="00E16661" w:rsidRDefault="00ED6788" w:rsidP="00F41A89">
            <w:pPr>
              <w:pStyle w:val="TableText"/>
              <w:keepN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F41A89">
        <w:trPr>
          <w:cantSplit/>
          <w:trHeight w:val="288"/>
        </w:trPr>
        <w:tc>
          <w:tcPr>
            <w:tcW w:w="591" w:type="pct"/>
            <w:tcBorders>
              <w:top w:val="single" w:sz="4" w:space="0" w:color="auto"/>
            </w:tcBorders>
          </w:tcPr>
          <w:p w:rsidR="00ED6788" w:rsidRPr="002C0E8B" w:rsidRDefault="00ED6788" w:rsidP="00F41A89">
            <w:pPr>
              <w:pStyle w:val="TableText"/>
              <w:keepNext/>
              <w:ind w:right="284"/>
              <w:jc w:val="right"/>
              <w:rPr>
                <w:bCs/>
                <w:lang w:eastAsia="en-NZ"/>
              </w:rPr>
            </w:pPr>
          </w:p>
        </w:tc>
        <w:tc>
          <w:tcPr>
            <w:tcW w:w="3166" w:type="pct"/>
            <w:tcBorders>
              <w:top w:val="single" w:sz="4" w:space="0" w:color="auto"/>
            </w:tcBorders>
          </w:tcPr>
          <w:p w:rsidR="00ED6788" w:rsidRPr="00AB69C4" w:rsidRDefault="00ED6788" w:rsidP="00F41A89">
            <w:pPr>
              <w:pStyle w:val="TableText"/>
              <w:keepNext/>
              <w:ind w:right="142"/>
              <w:rPr>
                <w:b/>
              </w:rPr>
            </w:pPr>
            <w:r w:rsidRPr="0023667A">
              <w:rPr>
                <w:b/>
                <w:bCs/>
                <w:lang w:eastAsia="en-NZ"/>
              </w:rPr>
              <w:t xml:space="preserve">Mental </w:t>
            </w:r>
            <w:r w:rsidR="00F41A89">
              <w:rPr>
                <w:b/>
                <w:bCs/>
                <w:lang w:eastAsia="en-NZ"/>
              </w:rPr>
              <w:t>h</w:t>
            </w:r>
            <w:r w:rsidRPr="0023667A">
              <w:rPr>
                <w:b/>
                <w:bCs/>
                <w:lang w:eastAsia="en-NZ"/>
              </w:rPr>
              <w:t xml:space="preserve">ealth </w:t>
            </w:r>
            <w:r w:rsidR="00F41A89">
              <w:rPr>
                <w:b/>
                <w:bCs/>
                <w:lang w:eastAsia="en-NZ"/>
              </w:rPr>
              <w:t>p</w:t>
            </w:r>
            <w:r w:rsidRPr="0023667A">
              <w:rPr>
                <w:b/>
                <w:bCs/>
                <w:lang w:eastAsia="en-NZ"/>
              </w:rPr>
              <w:t>rogrammes</w:t>
            </w:r>
          </w:p>
        </w:tc>
        <w:tc>
          <w:tcPr>
            <w:tcW w:w="638" w:type="pct"/>
            <w:tcBorders>
              <w:top w:val="single" w:sz="4" w:space="0" w:color="auto"/>
            </w:tcBorders>
          </w:tcPr>
          <w:p w:rsidR="00ED6788" w:rsidRPr="002C0E8B" w:rsidRDefault="00ED6788" w:rsidP="00F41A89">
            <w:pPr>
              <w:pStyle w:val="TableText"/>
              <w:keepNext/>
              <w:ind w:right="142"/>
              <w:jc w:val="right"/>
            </w:pPr>
          </w:p>
        </w:tc>
        <w:tc>
          <w:tcPr>
            <w:tcW w:w="605" w:type="pct"/>
            <w:tcBorders>
              <w:top w:val="single" w:sz="4" w:space="0" w:color="auto"/>
            </w:tcBorders>
            <w:shd w:val="clear" w:color="auto" w:fill="D9D9D9"/>
          </w:tcPr>
          <w:p w:rsidR="00ED6788" w:rsidRPr="002C0E8B" w:rsidRDefault="00ED6788" w:rsidP="00F41A89">
            <w:pPr>
              <w:pStyle w:val="TableText"/>
              <w:keepNext/>
              <w:ind w:right="142"/>
              <w:jc w:val="right"/>
            </w:pPr>
          </w:p>
        </w:tc>
      </w:tr>
      <w:tr w:rsidR="00ED6788" w:rsidRPr="002C0E8B" w:rsidTr="00F41A89">
        <w:trPr>
          <w:cantSplit/>
        </w:trPr>
        <w:tc>
          <w:tcPr>
            <w:tcW w:w="591" w:type="pct"/>
          </w:tcPr>
          <w:p w:rsidR="00ED6788" w:rsidRPr="002C0E8B" w:rsidRDefault="00ED6788" w:rsidP="00C25CC8">
            <w:pPr>
              <w:pStyle w:val="TableText"/>
              <w:ind w:right="284"/>
              <w:jc w:val="right"/>
            </w:pPr>
            <w:r>
              <w:t>New</w:t>
            </w:r>
          </w:p>
        </w:tc>
        <w:tc>
          <w:tcPr>
            <w:tcW w:w="3166" w:type="pct"/>
          </w:tcPr>
          <w:p w:rsidR="00ED6788" w:rsidRPr="008D2549" w:rsidRDefault="00ED6788" w:rsidP="00F41A89">
            <w:pPr>
              <w:pStyle w:val="TableText"/>
              <w:ind w:right="142"/>
            </w:pPr>
            <w:r w:rsidRPr="008D2549">
              <w:t xml:space="preserve">Inpatient </w:t>
            </w:r>
            <w:r w:rsidR="00F41A89">
              <w:t>m</w:t>
            </w:r>
            <w:r w:rsidRPr="008D2549">
              <w:t xml:space="preserve">ental </w:t>
            </w:r>
            <w:r w:rsidR="00F41A89">
              <w:t>h</w:t>
            </w:r>
            <w:r w:rsidRPr="008D2549">
              <w:t xml:space="preserve">ealth </w:t>
            </w:r>
            <w:r w:rsidR="00F41A89">
              <w:t>s</w:t>
            </w:r>
            <w:r w:rsidRPr="008D2549">
              <w:t>ervices; national specialist Ashburn clinic: the percentage of occupied bed days</w:t>
            </w:r>
          </w:p>
        </w:tc>
        <w:tc>
          <w:tcPr>
            <w:tcW w:w="638" w:type="pct"/>
          </w:tcPr>
          <w:p w:rsidR="00ED6788" w:rsidRPr="007D2309" w:rsidRDefault="00ED6788" w:rsidP="00C25CC8">
            <w:pPr>
              <w:pStyle w:val="TableText"/>
              <w:ind w:right="142"/>
              <w:jc w:val="right"/>
            </w:pPr>
            <w:r w:rsidRPr="007D2309">
              <w:t>95% occupancy</w:t>
            </w:r>
          </w:p>
        </w:tc>
        <w:tc>
          <w:tcPr>
            <w:tcW w:w="605" w:type="pct"/>
            <w:shd w:val="clear" w:color="auto" w:fill="D9D9D9"/>
          </w:tcPr>
          <w:p w:rsidR="00ED6788" w:rsidRPr="00C8779E" w:rsidRDefault="00ED6788" w:rsidP="00F41A89">
            <w:pPr>
              <w:pStyle w:val="TableText"/>
              <w:ind w:right="142"/>
              <w:jc w:val="right"/>
            </w:pPr>
            <w:r>
              <w:t>81</w:t>
            </w:r>
            <w:r w:rsidRPr="00C8779E">
              <w:t>%</w:t>
            </w:r>
            <w:r>
              <w:t xml:space="preserve"> </w:t>
            </w:r>
            <w:r w:rsidRPr="003E0E45">
              <w:t>occupancy</w:t>
            </w:r>
            <w:r w:rsidR="00F41A89">
              <w:br/>
            </w:r>
            <w:r w:rsidRPr="00613355">
              <w:t xml:space="preserve">see Note </w:t>
            </w:r>
            <w:r>
              <w:t>A</w:t>
            </w:r>
          </w:p>
        </w:tc>
      </w:tr>
      <w:tr w:rsidR="00ED6788" w:rsidRPr="002C0E8B" w:rsidTr="00F41A89">
        <w:trPr>
          <w:cantSplit/>
        </w:trPr>
        <w:tc>
          <w:tcPr>
            <w:tcW w:w="591" w:type="pct"/>
          </w:tcPr>
          <w:p w:rsidR="00ED6788" w:rsidRPr="002C0E8B" w:rsidRDefault="00ED6788" w:rsidP="00C25CC8">
            <w:pPr>
              <w:pStyle w:val="TableText"/>
              <w:ind w:right="284"/>
              <w:jc w:val="right"/>
            </w:pPr>
            <w:r w:rsidRPr="000F1C09">
              <w:t>22,999</w:t>
            </w:r>
          </w:p>
        </w:tc>
        <w:tc>
          <w:tcPr>
            <w:tcW w:w="3166" w:type="pct"/>
          </w:tcPr>
          <w:p w:rsidR="00ED6788" w:rsidRPr="008D2549" w:rsidRDefault="00ED6788" w:rsidP="00F41A89">
            <w:pPr>
              <w:pStyle w:val="TableText"/>
              <w:ind w:right="142"/>
            </w:pPr>
            <w:r w:rsidRPr="008D2549">
              <w:t>Number of annual contacts made through the National Depression Helpline service</w:t>
            </w:r>
          </w:p>
        </w:tc>
        <w:tc>
          <w:tcPr>
            <w:tcW w:w="638" w:type="pct"/>
          </w:tcPr>
          <w:p w:rsidR="00ED6788" w:rsidRPr="007D2309" w:rsidRDefault="00ED6788" w:rsidP="00C25CC8">
            <w:pPr>
              <w:pStyle w:val="TableText"/>
              <w:ind w:right="142"/>
              <w:jc w:val="right"/>
            </w:pPr>
            <w:r w:rsidRPr="007D2309">
              <w:t>25,000</w:t>
            </w:r>
          </w:p>
        </w:tc>
        <w:tc>
          <w:tcPr>
            <w:tcW w:w="605" w:type="pct"/>
            <w:shd w:val="clear" w:color="auto" w:fill="D9D9D9"/>
          </w:tcPr>
          <w:p w:rsidR="00ED6788" w:rsidRPr="00C8779E" w:rsidRDefault="00ED6788" w:rsidP="00F41A89">
            <w:pPr>
              <w:pStyle w:val="TableText"/>
              <w:ind w:right="142"/>
              <w:jc w:val="right"/>
            </w:pPr>
            <w:r>
              <w:t>16,609</w:t>
            </w:r>
            <w:r>
              <w:br/>
            </w:r>
            <w:r>
              <w:rPr>
                <w:rFonts w:cs="Arial"/>
                <w:szCs w:val="18"/>
              </w:rPr>
              <w:t>see Note B</w:t>
            </w:r>
          </w:p>
        </w:tc>
      </w:tr>
      <w:tr w:rsidR="00ED6788" w:rsidRPr="002C0E8B" w:rsidTr="00F41A89">
        <w:trPr>
          <w:cantSplit/>
        </w:trPr>
        <w:tc>
          <w:tcPr>
            <w:tcW w:w="591" w:type="pct"/>
          </w:tcPr>
          <w:p w:rsidR="00ED6788" w:rsidRDefault="00ED6788" w:rsidP="00C25CC8">
            <w:pPr>
              <w:pStyle w:val="TableText"/>
              <w:ind w:right="284"/>
              <w:jc w:val="right"/>
            </w:pPr>
            <w:r w:rsidRPr="000F1C09">
              <w:t>Achieved</w:t>
            </w:r>
          </w:p>
        </w:tc>
        <w:tc>
          <w:tcPr>
            <w:tcW w:w="3166" w:type="pct"/>
          </w:tcPr>
          <w:p w:rsidR="00ED6788" w:rsidRDefault="00ED6788" w:rsidP="00F41A89">
            <w:pPr>
              <w:pStyle w:val="TableText"/>
              <w:ind w:right="142"/>
            </w:pPr>
            <w:r w:rsidRPr="008D2549">
              <w:t>Deliver on the work schedule for four Mental Health and Addiction Workforce Centre work plans</w:t>
            </w:r>
          </w:p>
        </w:tc>
        <w:tc>
          <w:tcPr>
            <w:tcW w:w="638" w:type="pct"/>
          </w:tcPr>
          <w:p w:rsidR="00ED6788" w:rsidRDefault="00ED6788" w:rsidP="00C25CC8">
            <w:pPr>
              <w:pStyle w:val="TableText"/>
              <w:ind w:right="142"/>
              <w:jc w:val="right"/>
            </w:pPr>
            <w:r w:rsidRPr="007D2309">
              <w:t>Achieved</w:t>
            </w:r>
          </w:p>
        </w:tc>
        <w:tc>
          <w:tcPr>
            <w:tcW w:w="605" w:type="pct"/>
            <w:shd w:val="clear" w:color="auto" w:fill="D9D9D9"/>
          </w:tcPr>
          <w:p w:rsidR="00ED6788" w:rsidRDefault="00ED6788" w:rsidP="00C25CC8">
            <w:pPr>
              <w:pStyle w:val="TableText"/>
              <w:ind w:right="142"/>
              <w:jc w:val="right"/>
            </w:pPr>
            <w:r w:rsidRPr="00C8779E">
              <w:t>Achieved</w:t>
            </w:r>
          </w:p>
        </w:tc>
      </w:tr>
      <w:tr w:rsidR="00ED6788" w:rsidRPr="002C0E8B" w:rsidTr="00F41A89">
        <w:trPr>
          <w:cantSplit/>
        </w:trPr>
        <w:tc>
          <w:tcPr>
            <w:tcW w:w="591" w:type="pct"/>
            <w:tcBorders>
              <w:top w:val="single" w:sz="4" w:space="0" w:color="auto"/>
            </w:tcBorders>
          </w:tcPr>
          <w:p w:rsidR="00ED6788" w:rsidRPr="002C0E8B" w:rsidRDefault="00ED6788" w:rsidP="00C25CC8">
            <w:pPr>
              <w:pStyle w:val="TableText"/>
              <w:ind w:right="284"/>
              <w:jc w:val="right"/>
              <w:rPr>
                <w:bCs/>
                <w:lang w:eastAsia="en-NZ"/>
              </w:rPr>
            </w:pPr>
          </w:p>
        </w:tc>
        <w:tc>
          <w:tcPr>
            <w:tcW w:w="3166" w:type="pct"/>
            <w:tcBorders>
              <w:top w:val="single" w:sz="4" w:space="0" w:color="auto"/>
            </w:tcBorders>
          </w:tcPr>
          <w:p w:rsidR="00ED6788" w:rsidRPr="00AB69C4" w:rsidRDefault="00ED6788" w:rsidP="00F41A89">
            <w:pPr>
              <w:pStyle w:val="TableText"/>
              <w:ind w:right="142"/>
              <w:rPr>
                <w:b/>
              </w:rPr>
            </w:pPr>
            <w:r w:rsidRPr="0023667A">
              <w:rPr>
                <w:b/>
                <w:bCs/>
                <w:lang w:eastAsia="en-NZ"/>
              </w:rPr>
              <w:t>Addictions</w:t>
            </w:r>
          </w:p>
        </w:tc>
        <w:tc>
          <w:tcPr>
            <w:tcW w:w="638" w:type="pct"/>
            <w:tcBorders>
              <w:top w:val="single" w:sz="4" w:space="0" w:color="auto"/>
            </w:tcBorders>
          </w:tcPr>
          <w:p w:rsidR="00ED6788" w:rsidRPr="002C0E8B" w:rsidRDefault="00ED6788" w:rsidP="00C25CC8">
            <w:pPr>
              <w:pStyle w:val="TableText"/>
              <w:ind w:right="142"/>
              <w:jc w:val="right"/>
            </w:pPr>
          </w:p>
        </w:tc>
        <w:tc>
          <w:tcPr>
            <w:tcW w:w="605" w:type="pct"/>
            <w:tcBorders>
              <w:top w:val="single" w:sz="4" w:space="0" w:color="auto"/>
            </w:tcBorders>
            <w:shd w:val="clear" w:color="auto" w:fill="D9D9D9"/>
          </w:tcPr>
          <w:p w:rsidR="00ED6788" w:rsidRPr="002C0E8B" w:rsidRDefault="00ED6788" w:rsidP="00C25CC8">
            <w:pPr>
              <w:pStyle w:val="TableText"/>
              <w:ind w:right="142"/>
              <w:jc w:val="right"/>
            </w:pPr>
          </w:p>
        </w:tc>
      </w:tr>
      <w:tr w:rsidR="00ED6788" w:rsidRPr="002C0E8B" w:rsidTr="00F41A89">
        <w:trPr>
          <w:cantSplit/>
        </w:trPr>
        <w:tc>
          <w:tcPr>
            <w:tcW w:w="591" w:type="pct"/>
          </w:tcPr>
          <w:p w:rsidR="00ED6788" w:rsidRPr="002C0E8B" w:rsidRDefault="00ED6788" w:rsidP="00C25CC8">
            <w:pPr>
              <w:pStyle w:val="TableText"/>
              <w:ind w:right="284"/>
              <w:jc w:val="right"/>
            </w:pPr>
          </w:p>
        </w:tc>
        <w:tc>
          <w:tcPr>
            <w:tcW w:w="3166" w:type="pct"/>
          </w:tcPr>
          <w:p w:rsidR="00ED6788" w:rsidRPr="002C0E8B" w:rsidRDefault="00ED6788" w:rsidP="00F41A89">
            <w:pPr>
              <w:pStyle w:val="TableText"/>
              <w:ind w:right="142"/>
            </w:pPr>
            <w:r w:rsidRPr="0023667A">
              <w:t>Deliver on the Tackling Methamphetamine Action Plan:</w:t>
            </w:r>
          </w:p>
        </w:tc>
        <w:tc>
          <w:tcPr>
            <w:tcW w:w="638" w:type="pct"/>
          </w:tcPr>
          <w:p w:rsidR="00ED6788" w:rsidRPr="002C0E8B" w:rsidRDefault="00ED6788" w:rsidP="00C25CC8">
            <w:pPr>
              <w:pStyle w:val="TableText"/>
              <w:ind w:right="142"/>
              <w:jc w:val="right"/>
            </w:pPr>
          </w:p>
        </w:tc>
        <w:tc>
          <w:tcPr>
            <w:tcW w:w="605" w:type="pct"/>
            <w:shd w:val="clear" w:color="auto" w:fill="D9D9D9"/>
          </w:tcPr>
          <w:p w:rsidR="00ED6788" w:rsidRPr="00D155EF" w:rsidRDefault="00ED6788" w:rsidP="00C25CC8">
            <w:pPr>
              <w:pStyle w:val="TableText"/>
              <w:ind w:right="142"/>
              <w:jc w:val="right"/>
            </w:pPr>
          </w:p>
        </w:tc>
      </w:tr>
      <w:tr w:rsidR="00ED6788" w:rsidRPr="002C0E8B" w:rsidTr="00F41A89">
        <w:trPr>
          <w:cantSplit/>
        </w:trPr>
        <w:tc>
          <w:tcPr>
            <w:tcW w:w="591" w:type="pct"/>
          </w:tcPr>
          <w:p w:rsidR="00ED6788" w:rsidRPr="002C0E8B" w:rsidRDefault="00ED6788" w:rsidP="00F41A89">
            <w:pPr>
              <w:pStyle w:val="TableText"/>
              <w:spacing w:before="0"/>
              <w:ind w:right="284"/>
              <w:jc w:val="right"/>
            </w:pPr>
            <w:r w:rsidRPr="000F1C09">
              <w:t>New</w:t>
            </w:r>
          </w:p>
        </w:tc>
        <w:tc>
          <w:tcPr>
            <w:tcW w:w="3166" w:type="pct"/>
          </w:tcPr>
          <w:p w:rsidR="00ED6788" w:rsidRPr="002C0E8B" w:rsidRDefault="00ED6788" w:rsidP="00F41A89">
            <w:pPr>
              <w:pStyle w:val="TableBullet"/>
              <w:ind w:right="142"/>
            </w:pPr>
            <w:r w:rsidRPr="00926CC4">
              <w:t>the number of people receiving residential treatment</w:t>
            </w:r>
          </w:p>
        </w:tc>
        <w:tc>
          <w:tcPr>
            <w:tcW w:w="638" w:type="pct"/>
          </w:tcPr>
          <w:p w:rsidR="00ED6788" w:rsidRPr="000F1C09" w:rsidRDefault="00ED6788" w:rsidP="00F41A89">
            <w:pPr>
              <w:pStyle w:val="TableText"/>
              <w:spacing w:before="0"/>
              <w:ind w:right="142"/>
              <w:jc w:val="right"/>
            </w:pPr>
            <w:r>
              <w:t>200 people</w:t>
            </w:r>
          </w:p>
        </w:tc>
        <w:tc>
          <w:tcPr>
            <w:tcW w:w="605" w:type="pct"/>
            <w:shd w:val="clear" w:color="auto" w:fill="D9D9D9"/>
          </w:tcPr>
          <w:p w:rsidR="00ED6788" w:rsidRPr="000F1C09" w:rsidRDefault="00ED6788" w:rsidP="00F41A89">
            <w:pPr>
              <w:pStyle w:val="TableText"/>
              <w:spacing w:before="0"/>
              <w:ind w:right="142"/>
              <w:jc w:val="right"/>
            </w:pPr>
            <w:r>
              <w:t>172 people</w:t>
            </w:r>
            <w:r w:rsidR="00F41A89">
              <w:br/>
            </w:r>
            <w:r w:rsidRPr="00613355">
              <w:t xml:space="preserve">see Note </w:t>
            </w:r>
            <w:r>
              <w:t>C</w:t>
            </w:r>
          </w:p>
        </w:tc>
      </w:tr>
      <w:tr w:rsidR="00ED6788" w:rsidRPr="002C0E8B" w:rsidTr="00F41A89">
        <w:trPr>
          <w:cantSplit/>
        </w:trPr>
        <w:tc>
          <w:tcPr>
            <w:tcW w:w="591" w:type="pct"/>
          </w:tcPr>
          <w:p w:rsidR="00ED6788" w:rsidRDefault="00ED6788" w:rsidP="00C25CC8">
            <w:pPr>
              <w:pStyle w:val="TableText"/>
              <w:ind w:right="284"/>
              <w:jc w:val="right"/>
            </w:pPr>
          </w:p>
        </w:tc>
        <w:tc>
          <w:tcPr>
            <w:tcW w:w="3166" w:type="pct"/>
          </w:tcPr>
          <w:p w:rsidR="00ED6788" w:rsidRDefault="00ED6788" w:rsidP="00F41A89">
            <w:pPr>
              <w:pStyle w:val="TableText"/>
              <w:ind w:right="142"/>
            </w:pPr>
            <w:r w:rsidRPr="0023667A">
              <w:t>Deliver on the Drivers of Crime Action Plan:</w:t>
            </w:r>
          </w:p>
        </w:tc>
        <w:tc>
          <w:tcPr>
            <w:tcW w:w="638" w:type="pct"/>
          </w:tcPr>
          <w:p w:rsidR="00ED6788" w:rsidRDefault="00ED6788" w:rsidP="00C25CC8">
            <w:pPr>
              <w:pStyle w:val="TableText"/>
              <w:ind w:right="142"/>
              <w:jc w:val="right"/>
            </w:pPr>
          </w:p>
        </w:tc>
        <w:tc>
          <w:tcPr>
            <w:tcW w:w="605" w:type="pct"/>
            <w:shd w:val="clear" w:color="auto" w:fill="D9D9D9"/>
          </w:tcPr>
          <w:p w:rsidR="00ED6788" w:rsidRDefault="00ED6788" w:rsidP="00C25CC8">
            <w:pPr>
              <w:pStyle w:val="TableText"/>
              <w:ind w:right="142"/>
              <w:jc w:val="right"/>
            </w:pPr>
          </w:p>
        </w:tc>
      </w:tr>
      <w:tr w:rsidR="00ED6788" w:rsidRPr="002C0E8B" w:rsidTr="00F41A89">
        <w:trPr>
          <w:cantSplit/>
        </w:trPr>
        <w:tc>
          <w:tcPr>
            <w:tcW w:w="591" w:type="pct"/>
          </w:tcPr>
          <w:p w:rsidR="00ED6788" w:rsidRDefault="00ED6788" w:rsidP="00F41A89">
            <w:pPr>
              <w:pStyle w:val="TableText"/>
              <w:spacing w:before="0"/>
              <w:ind w:right="284"/>
              <w:jc w:val="right"/>
            </w:pPr>
            <w:r w:rsidRPr="00CD6136">
              <w:t>New</w:t>
            </w:r>
          </w:p>
        </w:tc>
        <w:tc>
          <w:tcPr>
            <w:tcW w:w="3166" w:type="pct"/>
          </w:tcPr>
          <w:p w:rsidR="00ED6788" w:rsidRPr="000F4460" w:rsidRDefault="00ED6788" w:rsidP="00F41A89">
            <w:pPr>
              <w:pStyle w:val="TableBullet"/>
              <w:ind w:right="142"/>
            </w:pPr>
            <w:r w:rsidRPr="000F4460">
              <w:t>Drug Court: the number of participants</w:t>
            </w:r>
          </w:p>
        </w:tc>
        <w:tc>
          <w:tcPr>
            <w:tcW w:w="638" w:type="pct"/>
          </w:tcPr>
          <w:p w:rsidR="00ED6788" w:rsidRDefault="00ED6788" w:rsidP="00F41A89">
            <w:pPr>
              <w:pStyle w:val="TableText"/>
              <w:spacing w:before="0"/>
              <w:ind w:right="142"/>
              <w:jc w:val="right"/>
            </w:pPr>
            <w:r>
              <w:t>100 people</w:t>
            </w:r>
          </w:p>
        </w:tc>
        <w:tc>
          <w:tcPr>
            <w:tcW w:w="605" w:type="pct"/>
            <w:shd w:val="clear" w:color="auto" w:fill="D9D9D9"/>
          </w:tcPr>
          <w:p w:rsidR="00ED6788" w:rsidRPr="00AA578E" w:rsidRDefault="00ED6788" w:rsidP="00F41A89">
            <w:pPr>
              <w:pStyle w:val="TableText"/>
              <w:spacing w:before="0"/>
              <w:ind w:right="142"/>
              <w:jc w:val="right"/>
            </w:pPr>
            <w:r>
              <w:t xml:space="preserve">98 people </w:t>
            </w:r>
          </w:p>
        </w:tc>
      </w:tr>
      <w:tr w:rsidR="00ED6788" w:rsidRPr="002C0E8B" w:rsidTr="00F41A89">
        <w:trPr>
          <w:cantSplit/>
        </w:trPr>
        <w:tc>
          <w:tcPr>
            <w:tcW w:w="591" w:type="pct"/>
          </w:tcPr>
          <w:p w:rsidR="00ED6788" w:rsidRDefault="00ED6788" w:rsidP="00F41A89">
            <w:pPr>
              <w:pStyle w:val="TableText"/>
              <w:spacing w:before="0"/>
              <w:ind w:right="284"/>
              <w:jc w:val="right"/>
            </w:pPr>
            <w:r w:rsidRPr="00CD6136">
              <w:t>New</w:t>
            </w:r>
          </w:p>
        </w:tc>
        <w:tc>
          <w:tcPr>
            <w:tcW w:w="3166" w:type="pct"/>
          </w:tcPr>
          <w:p w:rsidR="00ED6788" w:rsidRPr="000F4460" w:rsidRDefault="00ED6788" w:rsidP="00F41A89">
            <w:pPr>
              <w:pStyle w:val="TableBullet"/>
              <w:ind w:right="142"/>
            </w:pPr>
            <w:r w:rsidRPr="000F4460">
              <w:t xml:space="preserve">Alcohol Brief Intervention </w:t>
            </w:r>
            <w:r w:rsidR="00F41A89">
              <w:t>and</w:t>
            </w:r>
            <w:r w:rsidRPr="000F4460">
              <w:t xml:space="preserve"> Screening: the percentage of people older than 12 years of age who receive Primary Mental Health (PMHI) who are screened</w:t>
            </w:r>
          </w:p>
        </w:tc>
        <w:tc>
          <w:tcPr>
            <w:tcW w:w="638" w:type="pct"/>
          </w:tcPr>
          <w:p w:rsidR="00ED6788" w:rsidRDefault="00ED6788" w:rsidP="00F41A89">
            <w:pPr>
              <w:pStyle w:val="TableText"/>
              <w:spacing w:before="0"/>
              <w:ind w:right="142"/>
              <w:jc w:val="right"/>
            </w:pPr>
            <w:r>
              <w:t>50%</w:t>
            </w:r>
          </w:p>
        </w:tc>
        <w:tc>
          <w:tcPr>
            <w:tcW w:w="605" w:type="pct"/>
            <w:shd w:val="clear" w:color="auto" w:fill="D9D9D9"/>
          </w:tcPr>
          <w:p w:rsidR="00ED6788" w:rsidRPr="00AA578E" w:rsidRDefault="00ED6788" w:rsidP="00F41A89">
            <w:pPr>
              <w:pStyle w:val="TableText"/>
              <w:spacing w:before="0"/>
              <w:ind w:right="142"/>
              <w:jc w:val="right"/>
            </w:pPr>
            <w:r>
              <w:t>38%</w:t>
            </w:r>
            <w:r>
              <w:br/>
            </w:r>
            <w:r w:rsidRPr="00613355">
              <w:t xml:space="preserve">see Note </w:t>
            </w:r>
            <w:r>
              <w:t>D</w:t>
            </w:r>
          </w:p>
        </w:tc>
      </w:tr>
      <w:tr w:rsidR="00ED6788" w:rsidRPr="002C0E8B" w:rsidTr="00F41A89">
        <w:trPr>
          <w:cantSplit/>
        </w:trPr>
        <w:tc>
          <w:tcPr>
            <w:tcW w:w="591" w:type="pct"/>
          </w:tcPr>
          <w:p w:rsidR="00ED6788" w:rsidRDefault="00ED6788" w:rsidP="00F41A89">
            <w:pPr>
              <w:pStyle w:val="TableText"/>
              <w:spacing w:before="0"/>
              <w:ind w:right="284"/>
              <w:jc w:val="right"/>
            </w:pPr>
            <w:r w:rsidRPr="00CD6136">
              <w:t>New</w:t>
            </w:r>
          </w:p>
        </w:tc>
        <w:tc>
          <w:tcPr>
            <w:tcW w:w="3166" w:type="pct"/>
          </w:tcPr>
          <w:p w:rsidR="00ED6788" w:rsidRPr="000F4460" w:rsidRDefault="00ED6788" w:rsidP="00F41A89">
            <w:pPr>
              <w:pStyle w:val="TableBullet"/>
              <w:ind w:right="142"/>
            </w:pPr>
            <w:r w:rsidRPr="000F4460">
              <w:t>Triple P Parenting Programme: the number of practitioners trained</w:t>
            </w:r>
          </w:p>
        </w:tc>
        <w:tc>
          <w:tcPr>
            <w:tcW w:w="638" w:type="pct"/>
          </w:tcPr>
          <w:p w:rsidR="00ED6788" w:rsidRDefault="00ED6788" w:rsidP="00F41A89">
            <w:pPr>
              <w:pStyle w:val="TableText"/>
              <w:spacing w:before="0"/>
              <w:ind w:right="142"/>
              <w:jc w:val="right"/>
            </w:pPr>
            <w:r>
              <w:t>60</w:t>
            </w:r>
          </w:p>
        </w:tc>
        <w:tc>
          <w:tcPr>
            <w:tcW w:w="605" w:type="pct"/>
            <w:shd w:val="clear" w:color="auto" w:fill="D9D9D9"/>
          </w:tcPr>
          <w:p w:rsidR="00ED6788" w:rsidRPr="00AA578E" w:rsidRDefault="00ED6788" w:rsidP="00F41A89">
            <w:pPr>
              <w:pStyle w:val="TableText"/>
              <w:spacing w:before="0"/>
              <w:ind w:right="142"/>
              <w:jc w:val="right"/>
            </w:pPr>
            <w:r>
              <w:t>88</w:t>
            </w:r>
          </w:p>
        </w:tc>
      </w:tr>
      <w:tr w:rsidR="00ED6788" w:rsidRPr="002C0E8B" w:rsidTr="00F41A89">
        <w:trPr>
          <w:cantSplit/>
        </w:trPr>
        <w:tc>
          <w:tcPr>
            <w:tcW w:w="591" w:type="pct"/>
          </w:tcPr>
          <w:p w:rsidR="00ED6788" w:rsidRDefault="00ED6788" w:rsidP="00F41A89">
            <w:pPr>
              <w:pStyle w:val="TableText"/>
              <w:spacing w:before="0"/>
              <w:ind w:right="284"/>
              <w:jc w:val="right"/>
            </w:pPr>
            <w:r w:rsidRPr="00CD6136">
              <w:t>New</w:t>
            </w:r>
          </w:p>
        </w:tc>
        <w:tc>
          <w:tcPr>
            <w:tcW w:w="3166" w:type="pct"/>
          </w:tcPr>
          <w:p w:rsidR="00ED6788" w:rsidRPr="000F4460" w:rsidRDefault="00ED6788" w:rsidP="00F41A89">
            <w:pPr>
              <w:pStyle w:val="TableBullet"/>
              <w:ind w:right="142"/>
            </w:pPr>
            <w:r w:rsidRPr="000F4460">
              <w:t>Triple P Parenting Programme: the number of families receiving an intervention</w:t>
            </w:r>
          </w:p>
        </w:tc>
        <w:tc>
          <w:tcPr>
            <w:tcW w:w="638" w:type="pct"/>
          </w:tcPr>
          <w:p w:rsidR="00ED6788" w:rsidRDefault="00ED6788" w:rsidP="00F41A89">
            <w:pPr>
              <w:pStyle w:val="TableText"/>
              <w:spacing w:before="0"/>
              <w:ind w:right="142"/>
              <w:jc w:val="right"/>
            </w:pPr>
            <w:r>
              <w:t>800</w:t>
            </w:r>
          </w:p>
        </w:tc>
        <w:tc>
          <w:tcPr>
            <w:tcW w:w="605" w:type="pct"/>
            <w:shd w:val="clear" w:color="auto" w:fill="D9D9D9"/>
          </w:tcPr>
          <w:p w:rsidR="00ED6788" w:rsidRDefault="00ED6788" w:rsidP="00F41A89">
            <w:pPr>
              <w:pStyle w:val="TableText"/>
              <w:spacing w:before="0"/>
              <w:ind w:right="142"/>
              <w:jc w:val="right"/>
            </w:pPr>
            <w:r>
              <w:t>1461</w:t>
            </w:r>
          </w:p>
        </w:tc>
      </w:tr>
      <w:tr w:rsidR="00ED6788" w:rsidRPr="002C0E8B" w:rsidTr="00F41A89">
        <w:trPr>
          <w:cantSplit/>
        </w:trPr>
        <w:tc>
          <w:tcPr>
            <w:tcW w:w="591" w:type="pct"/>
          </w:tcPr>
          <w:p w:rsidR="00ED6788" w:rsidRDefault="00ED6788" w:rsidP="00C25CC8">
            <w:pPr>
              <w:pStyle w:val="TableText"/>
              <w:ind w:right="284"/>
              <w:jc w:val="right"/>
            </w:pPr>
          </w:p>
        </w:tc>
        <w:tc>
          <w:tcPr>
            <w:tcW w:w="3166" w:type="pct"/>
          </w:tcPr>
          <w:p w:rsidR="00ED6788" w:rsidRPr="003647B3" w:rsidRDefault="00ED6788" w:rsidP="00F41A89">
            <w:pPr>
              <w:pStyle w:val="TableText"/>
              <w:ind w:right="142"/>
            </w:pPr>
            <w:r w:rsidRPr="0023667A">
              <w:t>Deliver on the Drivers of Crime Action Plan and PM Youth Mental Health Project:</w:t>
            </w:r>
          </w:p>
        </w:tc>
        <w:tc>
          <w:tcPr>
            <w:tcW w:w="638" w:type="pct"/>
          </w:tcPr>
          <w:p w:rsidR="00ED6788" w:rsidRDefault="00ED6788" w:rsidP="00C25CC8">
            <w:pPr>
              <w:pStyle w:val="TableText"/>
              <w:ind w:right="142"/>
              <w:jc w:val="right"/>
            </w:pPr>
          </w:p>
        </w:tc>
        <w:tc>
          <w:tcPr>
            <w:tcW w:w="605" w:type="pct"/>
            <w:shd w:val="clear" w:color="auto" w:fill="D9D9D9"/>
          </w:tcPr>
          <w:p w:rsidR="00ED6788" w:rsidRDefault="00ED6788" w:rsidP="00C25CC8">
            <w:pPr>
              <w:jc w:val="right"/>
            </w:pPr>
          </w:p>
        </w:tc>
      </w:tr>
      <w:tr w:rsidR="00ED6788" w:rsidRPr="002C0E8B" w:rsidTr="00F41A89">
        <w:trPr>
          <w:cantSplit/>
        </w:trPr>
        <w:tc>
          <w:tcPr>
            <w:tcW w:w="591" w:type="pct"/>
          </w:tcPr>
          <w:p w:rsidR="00ED6788" w:rsidRDefault="00ED6788" w:rsidP="00F41A89">
            <w:pPr>
              <w:pStyle w:val="TableText"/>
              <w:spacing w:before="0"/>
              <w:ind w:right="284"/>
              <w:jc w:val="right"/>
            </w:pPr>
            <w:r w:rsidRPr="0023667A">
              <w:t>New</w:t>
            </w:r>
          </w:p>
        </w:tc>
        <w:tc>
          <w:tcPr>
            <w:tcW w:w="3166" w:type="pct"/>
          </w:tcPr>
          <w:p w:rsidR="00ED6788" w:rsidRPr="003647B3" w:rsidRDefault="00ED6788" w:rsidP="00F41A89">
            <w:pPr>
              <w:pStyle w:val="TableBullet"/>
              <w:ind w:right="142"/>
            </w:pPr>
            <w:r w:rsidRPr="00926CC4">
              <w:t>Exemplar Youth Mental Health Services</w:t>
            </w:r>
          </w:p>
        </w:tc>
        <w:tc>
          <w:tcPr>
            <w:tcW w:w="638" w:type="pct"/>
          </w:tcPr>
          <w:p w:rsidR="00ED6788" w:rsidRPr="00E845D7" w:rsidRDefault="00ED6788" w:rsidP="00F41A89">
            <w:pPr>
              <w:pStyle w:val="TableText"/>
              <w:spacing w:before="0"/>
              <w:ind w:right="142"/>
              <w:jc w:val="right"/>
              <w:rPr>
                <w:highlight w:val="yellow"/>
              </w:rPr>
            </w:pPr>
            <w:r>
              <w:t>see footnote</w:t>
            </w:r>
            <w:r w:rsidRPr="00CA1C33">
              <w:rPr>
                <w:rStyle w:val="FootnoteReference"/>
              </w:rPr>
              <w:footnoteReference w:id="3"/>
            </w:r>
          </w:p>
        </w:tc>
        <w:tc>
          <w:tcPr>
            <w:tcW w:w="605" w:type="pct"/>
            <w:shd w:val="clear" w:color="auto" w:fill="D9D9D9"/>
          </w:tcPr>
          <w:p w:rsidR="00ED6788" w:rsidRPr="00CA1C33" w:rsidRDefault="00ED6788" w:rsidP="00F41A89">
            <w:pPr>
              <w:pStyle w:val="TableText"/>
              <w:spacing w:before="0"/>
              <w:ind w:right="142"/>
              <w:jc w:val="right"/>
            </w:pPr>
            <w:r w:rsidRPr="00AB6305">
              <w:t>Achieve</w:t>
            </w:r>
            <w:r>
              <w:t>d</w:t>
            </w:r>
          </w:p>
        </w:tc>
      </w:tr>
      <w:tr w:rsidR="00ED6788" w:rsidRPr="002C0E8B" w:rsidTr="00F41A89">
        <w:trPr>
          <w:cantSplit/>
        </w:trPr>
        <w:tc>
          <w:tcPr>
            <w:tcW w:w="591" w:type="pct"/>
            <w:tcBorders>
              <w:top w:val="single" w:sz="4" w:space="0" w:color="auto"/>
            </w:tcBorders>
          </w:tcPr>
          <w:p w:rsidR="00ED6788" w:rsidRPr="002C0E8B" w:rsidRDefault="00ED6788" w:rsidP="00C25CC8">
            <w:pPr>
              <w:pStyle w:val="TableText"/>
              <w:ind w:right="284"/>
              <w:jc w:val="right"/>
              <w:rPr>
                <w:bCs/>
                <w:lang w:eastAsia="en-NZ"/>
              </w:rPr>
            </w:pPr>
          </w:p>
        </w:tc>
        <w:tc>
          <w:tcPr>
            <w:tcW w:w="3166" w:type="pct"/>
            <w:tcBorders>
              <w:top w:val="single" w:sz="4" w:space="0" w:color="auto"/>
            </w:tcBorders>
          </w:tcPr>
          <w:p w:rsidR="00ED6788" w:rsidRPr="00AB69C4" w:rsidRDefault="00ED6788" w:rsidP="00F41A89">
            <w:pPr>
              <w:pStyle w:val="TableText"/>
              <w:ind w:right="142"/>
              <w:rPr>
                <w:b/>
              </w:rPr>
            </w:pPr>
            <w:r w:rsidRPr="0023667A">
              <w:rPr>
                <w:b/>
                <w:bCs/>
                <w:lang w:eastAsia="en-NZ"/>
              </w:rPr>
              <w:t>Deliver on the Suicide Prevention Action Plan:</w:t>
            </w:r>
          </w:p>
        </w:tc>
        <w:tc>
          <w:tcPr>
            <w:tcW w:w="638" w:type="pct"/>
            <w:tcBorders>
              <w:top w:val="single" w:sz="4" w:space="0" w:color="auto"/>
            </w:tcBorders>
          </w:tcPr>
          <w:p w:rsidR="00ED6788" w:rsidRPr="00E845D7" w:rsidRDefault="00ED6788" w:rsidP="00C25CC8">
            <w:pPr>
              <w:pStyle w:val="TableText"/>
              <w:ind w:right="142"/>
              <w:jc w:val="right"/>
              <w:rPr>
                <w:highlight w:val="yellow"/>
              </w:rPr>
            </w:pPr>
          </w:p>
        </w:tc>
        <w:tc>
          <w:tcPr>
            <w:tcW w:w="605" w:type="pct"/>
            <w:tcBorders>
              <w:top w:val="single" w:sz="4" w:space="0" w:color="auto"/>
            </w:tcBorders>
            <w:shd w:val="clear" w:color="auto" w:fill="D9D9D9"/>
          </w:tcPr>
          <w:p w:rsidR="00ED6788" w:rsidRPr="00CA1C33" w:rsidRDefault="00ED6788" w:rsidP="00F41A89">
            <w:pPr>
              <w:pStyle w:val="TableText"/>
              <w:ind w:right="142"/>
              <w:jc w:val="right"/>
            </w:pPr>
          </w:p>
        </w:tc>
      </w:tr>
      <w:tr w:rsidR="00ED6788" w:rsidRPr="002C0E8B" w:rsidTr="00F41A89">
        <w:trPr>
          <w:cantSplit/>
        </w:trPr>
        <w:tc>
          <w:tcPr>
            <w:tcW w:w="591" w:type="pct"/>
          </w:tcPr>
          <w:p w:rsidR="00ED6788" w:rsidRDefault="00ED6788" w:rsidP="00F41A89">
            <w:pPr>
              <w:pStyle w:val="TableText"/>
              <w:spacing w:before="0"/>
              <w:ind w:right="284"/>
              <w:jc w:val="right"/>
            </w:pPr>
            <w:r w:rsidRPr="00B218E1">
              <w:t>New</w:t>
            </w:r>
          </w:p>
        </w:tc>
        <w:tc>
          <w:tcPr>
            <w:tcW w:w="3166" w:type="pct"/>
          </w:tcPr>
          <w:p w:rsidR="00ED6788" w:rsidRPr="000F4460" w:rsidRDefault="00ED6788" w:rsidP="00F41A89">
            <w:pPr>
              <w:pStyle w:val="TableBullet"/>
              <w:ind w:right="142"/>
            </w:pPr>
            <w:r w:rsidRPr="000F4460">
              <w:t>Implement actions from the action plan for one-off community Suicide Prevention initiatives</w:t>
            </w:r>
          </w:p>
        </w:tc>
        <w:tc>
          <w:tcPr>
            <w:tcW w:w="638" w:type="pct"/>
          </w:tcPr>
          <w:p w:rsidR="00ED6788" w:rsidRPr="00E845D7" w:rsidRDefault="00ED6788" w:rsidP="00F41A89">
            <w:pPr>
              <w:pStyle w:val="TableText"/>
              <w:spacing w:before="0"/>
              <w:ind w:right="142"/>
              <w:jc w:val="right"/>
              <w:rPr>
                <w:highlight w:val="yellow"/>
              </w:rPr>
            </w:pPr>
            <w:r>
              <w:t>see footnote</w:t>
            </w:r>
          </w:p>
        </w:tc>
        <w:tc>
          <w:tcPr>
            <w:tcW w:w="605" w:type="pct"/>
            <w:shd w:val="clear" w:color="auto" w:fill="D9D9D9"/>
          </w:tcPr>
          <w:p w:rsidR="00ED6788" w:rsidRPr="00CA1C33" w:rsidRDefault="00ED6788" w:rsidP="00F41A89">
            <w:pPr>
              <w:pStyle w:val="TableText"/>
              <w:spacing w:before="0"/>
              <w:ind w:right="142"/>
              <w:jc w:val="right"/>
            </w:pPr>
            <w:r w:rsidRPr="00AB6305">
              <w:t>Achiev</w:t>
            </w:r>
            <w:r>
              <w:t>ed</w:t>
            </w:r>
          </w:p>
        </w:tc>
      </w:tr>
      <w:tr w:rsidR="00ED6788" w:rsidRPr="002C0E8B" w:rsidTr="00F41A89">
        <w:trPr>
          <w:cantSplit/>
        </w:trPr>
        <w:tc>
          <w:tcPr>
            <w:tcW w:w="591" w:type="pct"/>
          </w:tcPr>
          <w:p w:rsidR="00ED6788" w:rsidRDefault="00ED6788" w:rsidP="00F41A89">
            <w:pPr>
              <w:pStyle w:val="TableText"/>
              <w:spacing w:before="0"/>
              <w:ind w:right="284"/>
              <w:jc w:val="right"/>
            </w:pPr>
            <w:r w:rsidRPr="00B218E1">
              <w:t>New</w:t>
            </w:r>
          </w:p>
        </w:tc>
        <w:tc>
          <w:tcPr>
            <w:tcW w:w="3166" w:type="pct"/>
          </w:tcPr>
          <w:p w:rsidR="00ED6788" w:rsidRPr="000F4460" w:rsidRDefault="00ED6788" w:rsidP="00F41A89">
            <w:pPr>
              <w:pStyle w:val="TableBullet"/>
              <w:ind w:right="142"/>
            </w:pPr>
            <w:r w:rsidRPr="000F4460">
              <w:t xml:space="preserve">Implement actions from the action plan for up to </w:t>
            </w:r>
            <w:r w:rsidR="00F41A89">
              <w:t>three</w:t>
            </w:r>
            <w:r w:rsidRPr="000F4460">
              <w:t xml:space="preserve"> year</w:t>
            </w:r>
            <w:r w:rsidR="00F41A89">
              <w:t>s</w:t>
            </w:r>
            <w:r w:rsidRPr="000F4460">
              <w:t xml:space="preserve"> community</w:t>
            </w:r>
            <w:r w:rsidR="00F41A89">
              <w:t>-</w:t>
            </w:r>
            <w:r w:rsidRPr="000F4460">
              <w:t>based Suicide Prevention initiatives</w:t>
            </w:r>
          </w:p>
        </w:tc>
        <w:tc>
          <w:tcPr>
            <w:tcW w:w="638" w:type="pct"/>
          </w:tcPr>
          <w:p w:rsidR="00ED6788" w:rsidRPr="00E845D7" w:rsidRDefault="00ED6788" w:rsidP="00F41A89">
            <w:pPr>
              <w:pStyle w:val="TableText"/>
              <w:spacing w:before="0"/>
              <w:ind w:right="142"/>
              <w:jc w:val="right"/>
              <w:rPr>
                <w:highlight w:val="yellow"/>
              </w:rPr>
            </w:pPr>
            <w:r>
              <w:t>see footnote</w:t>
            </w:r>
          </w:p>
        </w:tc>
        <w:tc>
          <w:tcPr>
            <w:tcW w:w="605" w:type="pct"/>
            <w:shd w:val="clear" w:color="auto" w:fill="D9D9D9"/>
          </w:tcPr>
          <w:p w:rsidR="00ED6788" w:rsidRPr="00320BF1" w:rsidRDefault="00ED6788" w:rsidP="00F41A89">
            <w:pPr>
              <w:pStyle w:val="TableText"/>
              <w:spacing w:before="0"/>
              <w:ind w:right="142"/>
              <w:jc w:val="right"/>
            </w:pPr>
            <w:r w:rsidRPr="00AB6305">
              <w:t>Achieve</w:t>
            </w:r>
            <w:r>
              <w:t>d</w:t>
            </w:r>
          </w:p>
        </w:tc>
      </w:tr>
    </w:tbl>
    <w:p w:rsidR="00ED6788" w:rsidRDefault="00ED6788" w:rsidP="00F41A89"/>
    <w:p w:rsidR="00ED6788" w:rsidRDefault="00ED6788" w:rsidP="00F41A89">
      <w:pPr>
        <w:pStyle w:val="Heading4"/>
      </w:pPr>
      <w:r w:rsidRPr="00712024">
        <w:t xml:space="preserve">Mental </w:t>
      </w:r>
      <w:r w:rsidR="00F41A89">
        <w:t>h</w:t>
      </w:r>
      <w:r w:rsidRPr="00712024">
        <w:t xml:space="preserve">ealth </w:t>
      </w:r>
      <w:r w:rsidR="00F41A89">
        <w:t>p</w:t>
      </w:r>
      <w:r w:rsidRPr="00712024">
        <w:t>rogrammes</w:t>
      </w:r>
    </w:p>
    <w:p w:rsidR="00ED6788" w:rsidRDefault="00ED6788" w:rsidP="00F41A89">
      <w:r>
        <w:t xml:space="preserve">The </w:t>
      </w:r>
      <w:r w:rsidR="00F41A89">
        <w:t>25 </w:t>
      </w:r>
      <w:r w:rsidRPr="006A5A50">
        <w:t>beds for inpatient psychiatric treatment services provided at Ashburn Clinic in Dunedin</w:t>
      </w:r>
      <w:r w:rsidRPr="00712024">
        <w:t xml:space="preserve"> is a national service within a therapeutic community model of care</w:t>
      </w:r>
      <w:r>
        <w:t>. I</w:t>
      </w:r>
      <w:r w:rsidRPr="00712024">
        <w:t xml:space="preserve">t specialises in eating disorders, borderline personality disorder, mood disorders and alcohol and drug issues. </w:t>
      </w:r>
      <w:r>
        <w:t>It</w:t>
      </w:r>
      <w:r w:rsidRPr="00712024">
        <w:t xml:space="preserve"> also caters for impaired professionals who are unable to receive treatment in their own or neighbouring DHBs for privacy reasons</w:t>
      </w:r>
      <w:r w:rsidRPr="006A5A50">
        <w:t>.</w:t>
      </w:r>
    </w:p>
    <w:p w:rsidR="00F41A89" w:rsidRDefault="00F41A89" w:rsidP="00F41A89"/>
    <w:p w:rsidR="00ED6788" w:rsidRDefault="00ED6788" w:rsidP="00F41A89">
      <w:r w:rsidRPr="00217120">
        <w:rPr>
          <w:i/>
        </w:rPr>
        <w:t>Note A:</w:t>
      </w:r>
      <w:r>
        <w:t xml:space="preserve"> The new 95 percent target</w:t>
      </w:r>
      <w:r w:rsidRPr="00712024">
        <w:t xml:space="preserve"> </w:t>
      </w:r>
      <w:r>
        <w:t xml:space="preserve">for </w:t>
      </w:r>
      <w:r w:rsidRPr="00712024">
        <w:t xml:space="preserve">percentage of occupied bed days was an estimation. We are now aware that the unique nature of this service would not achieve this level of occupancy and the </w:t>
      </w:r>
      <w:r>
        <w:t>target</w:t>
      </w:r>
      <w:r w:rsidRPr="00712024">
        <w:t xml:space="preserve"> needs to be re</w:t>
      </w:r>
      <w:r>
        <w:t>vised</w:t>
      </w:r>
      <w:r w:rsidRPr="00712024">
        <w:t>.</w:t>
      </w:r>
    </w:p>
    <w:p w:rsidR="00F41A89" w:rsidRDefault="00F41A89" w:rsidP="00F41A89"/>
    <w:p w:rsidR="00ED6788" w:rsidRPr="00712024" w:rsidRDefault="00ED6788" w:rsidP="00F41A89">
      <w:pPr>
        <w:pStyle w:val="Heading4"/>
      </w:pPr>
      <w:r w:rsidRPr="00712024">
        <w:lastRenderedPageBreak/>
        <w:t>National depression helpline service</w:t>
      </w:r>
    </w:p>
    <w:p w:rsidR="00ED6788" w:rsidRDefault="00ED6788" w:rsidP="00295D75">
      <w:pPr>
        <w:keepLines/>
      </w:pPr>
      <w:r w:rsidRPr="00023984">
        <w:t>National depression initiative (NDI) helpline services are delivered by Lifeline Aotearoa</w:t>
      </w:r>
      <w:r>
        <w:t>. S</w:t>
      </w:r>
      <w:r w:rsidRPr="00023984">
        <w:t>ervice volumes are directly related to media campaigns and advertising delivered by the NDI providers. The initiative is a key component of the suicide prevention programme, and the mental health and addictions service development plan which promotes primary care for people with depression and other mental health issues. NDI facilitates access to primary care and also moderates demand through a self-managed programme linked with the depression helpline, on</w:t>
      </w:r>
      <w:r>
        <w:t>line and text</w:t>
      </w:r>
      <w:r w:rsidR="00F41A89">
        <w:t>-</w:t>
      </w:r>
      <w:r w:rsidRPr="00023984">
        <w:t>based support services, health education material</w:t>
      </w:r>
      <w:r>
        <w:t>s and two interactive websites.</w:t>
      </w:r>
    </w:p>
    <w:p w:rsidR="00ED6788" w:rsidRDefault="00ED6788" w:rsidP="00295D75"/>
    <w:p w:rsidR="000845D9" w:rsidRDefault="00ED6788" w:rsidP="00295D75">
      <w:r w:rsidRPr="00023984">
        <w:t>The Journal,</w:t>
      </w:r>
      <w:r w:rsidRPr="00853526">
        <w:t xml:space="preserve"> fronted by Sir John Kirwan</w:t>
      </w:r>
      <w:r w:rsidR="00295D75">
        <w:t xml:space="preserve"> and </w:t>
      </w:r>
      <w:r w:rsidRPr="00023984">
        <w:t>launched in June 2010 as part of the www.depression.org.nz website, is an online interactive self-management programme for people who are experiencing mild to moderate depression. It is based on structured problem</w:t>
      </w:r>
      <w:r w:rsidR="00295D75">
        <w:t>-</w:t>
      </w:r>
      <w:r w:rsidRPr="00023984">
        <w:t>solving therapy and users can complete a self-managed programme and can also, if they choose, seek additional support via the Depression helpline.</w:t>
      </w:r>
    </w:p>
    <w:p w:rsidR="00ED6788" w:rsidRDefault="00ED6788" w:rsidP="00295D75"/>
    <w:p w:rsidR="000845D9" w:rsidRDefault="00ED6788" w:rsidP="00295D75">
      <w:r>
        <w:t xml:space="preserve">There were 676,800 unique visitors to depression.org.nz in the 2014/15 financial year, </w:t>
      </w:r>
      <w:r w:rsidR="00295D75">
        <w:t xml:space="preserve">an increase </w:t>
      </w:r>
      <w:r>
        <w:t xml:space="preserve">from 602,600 in 2013/14. The depression.org.nz/rural page, which features farmers speaking about their experiences of mental health issues, had 8900 unique visitors, </w:t>
      </w:r>
      <w:r w:rsidR="00295D75">
        <w:t xml:space="preserve">an increase </w:t>
      </w:r>
      <w:r>
        <w:t xml:space="preserve">from 4200 in the previous </w:t>
      </w:r>
      <w:r w:rsidRPr="00320BF1">
        <w:t>financial year.</w:t>
      </w:r>
    </w:p>
    <w:p w:rsidR="00ED6788" w:rsidRDefault="00ED6788" w:rsidP="00295D75"/>
    <w:p w:rsidR="00ED6788" w:rsidRPr="00023984" w:rsidRDefault="00ED6788" w:rsidP="00295D75">
      <w:r>
        <w:t>There were 5700 people registered to use The Journal in 2014/15 compared to 7600 in 2013/14. This number is expected to increase once a planned technical update to The Journal takes place which will enable access by mobile phone and tablet.</w:t>
      </w:r>
    </w:p>
    <w:p w:rsidR="00ED6788" w:rsidRPr="00023984" w:rsidRDefault="00ED6788" w:rsidP="00295D75"/>
    <w:p w:rsidR="000845D9" w:rsidRDefault="00ED6788" w:rsidP="00295D75">
      <w:r w:rsidRPr="00023984">
        <w:t>A youth website, www.thelowdown.co.nz, helps young people understand and recover from depression. It provides information and fact sheets along with online self-tests and support for youth who are experiencing depression or who know someone experiencing depression. It enables users to interface with the depression helpline by phone</w:t>
      </w:r>
      <w:r w:rsidR="00295D75">
        <w:t>,</w:t>
      </w:r>
      <w:r w:rsidRPr="00023984">
        <w:t xml:space="preserve"> email, text or instant messaging. </w:t>
      </w:r>
      <w:r>
        <w:t>This website has recently been refreshed with a new layout, and new and updated content, and has been designed for access on mobiles</w:t>
      </w:r>
      <w:r w:rsidR="00295D75">
        <w:t xml:space="preserve"> and </w:t>
      </w:r>
      <w:r>
        <w:t>tablets. The new website features videos of young people sharing their experiences of mental health issues and what helped them recover.</w:t>
      </w:r>
    </w:p>
    <w:p w:rsidR="00ED6788" w:rsidRDefault="00ED6788" w:rsidP="00295D75"/>
    <w:p w:rsidR="00ED6788" w:rsidRPr="00023984" w:rsidRDefault="00ED6788" w:rsidP="00295D75">
      <w:r>
        <w:t>There were 109,500 unique visits to The Lowdown in 2014/15, down from an estimated 146,300 in 2013/14. This number is expected to increase now that the website has been refreshed and is available on mobiles and tablets.</w:t>
      </w:r>
    </w:p>
    <w:p w:rsidR="00ED6788" w:rsidRDefault="00ED6788" w:rsidP="00295D75"/>
    <w:p w:rsidR="00ED6788" w:rsidRPr="00023984" w:rsidRDefault="00ED6788" w:rsidP="00295D75">
      <w:r w:rsidRPr="00217120">
        <w:rPr>
          <w:i/>
        </w:rPr>
        <w:t>Note B:</w:t>
      </w:r>
      <w:r w:rsidRPr="00712024">
        <w:t xml:space="preserve"> </w:t>
      </w:r>
      <w:r w:rsidRPr="00023984">
        <w:t>The depression helpline support services provide support to The Journal and both websites (depression.org.nz and thelowdown.co.nz</w:t>
      </w:r>
      <w:r>
        <w:t>).</w:t>
      </w:r>
      <w:r w:rsidR="000845D9">
        <w:t xml:space="preserve"> </w:t>
      </w:r>
      <w:r w:rsidRPr="00712024">
        <w:t xml:space="preserve">There were 16,609 annual contacts made through the </w:t>
      </w:r>
      <w:r>
        <w:t>n</w:t>
      </w:r>
      <w:r w:rsidRPr="00712024">
        <w:t xml:space="preserve">ational </w:t>
      </w:r>
      <w:r>
        <w:t>d</w:t>
      </w:r>
      <w:r w:rsidRPr="00712024">
        <w:t xml:space="preserve">epression </w:t>
      </w:r>
      <w:r>
        <w:t>h</w:t>
      </w:r>
      <w:r w:rsidRPr="00712024">
        <w:t>elpline service. Th</w:t>
      </w:r>
      <w:r>
        <w:t>is i</w:t>
      </w:r>
      <w:r w:rsidRPr="00712024">
        <w:t>s a significant reduction in the number of callers fro</w:t>
      </w:r>
      <w:r>
        <w:t>m April to June of this year. T</w:t>
      </w:r>
      <w:r w:rsidRPr="00712024">
        <w:t>he Ministry is following up with the provider regarding this.</w:t>
      </w:r>
      <w:r>
        <w:t xml:space="preserve"> Over 46,000</w:t>
      </w:r>
      <w:r w:rsidRPr="00023984">
        <w:t xml:space="preserve"> text messages were processed between users and the helpline in this same period.</w:t>
      </w:r>
      <w:r>
        <w:t xml:space="preserve"> This is a reduction on the 2013/14 financial year volumes. The volumes are directly related to media campaigns and</w:t>
      </w:r>
      <w:r w:rsidR="00295D75">
        <w:t>,</w:t>
      </w:r>
      <w:r>
        <w:t xml:space="preserve"> due to planned updates to the content and websites, there has been limited advertising in recent months.</w:t>
      </w:r>
    </w:p>
    <w:p w:rsidR="00ED6788" w:rsidRDefault="00ED6788" w:rsidP="00295D75"/>
    <w:p w:rsidR="00ED6788" w:rsidRPr="00B94AAB" w:rsidRDefault="00ED6788" w:rsidP="00295D75">
      <w:pPr>
        <w:pStyle w:val="Heading4"/>
      </w:pPr>
      <w:r w:rsidRPr="00B94AAB">
        <w:t xml:space="preserve">Youth </w:t>
      </w:r>
      <w:r w:rsidR="00295D75">
        <w:t>e</w:t>
      </w:r>
      <w:r w:rsidRPr="00B94AAB">
        <w:t xml:space="preserve">xemplar </w:t>
      </w:r>
      <w:r w:rsidR="00295D75">
        <w:t>s</w:t>
      </w:r>
      <w:r w:rsidRPr="00B94AAB">
        <w:t>ervices</w:t>
      </w:r>
    </w:p>
    <w:p w:rsidR="00ED6788" w:rsidRPr="00320BF1" w:rsidRDefault="00ED6788" w:rsidP="00295D75">
      <w:pPr>
        <w:keepLines/>
      </w:pPr>
      <w:r>
        <w:t>T</w:t>
      </w:r>
      <w:r w:rsidRPr="00320BF1">
        <w:t xml:space="preserve">he </w:t>
      </w:r>
      <w:r>
        <w:t>2014/15 target</w:t>
      </w:r>
      <w:r w:rsidRPr="00320BF1">
        <w:t xml:space="preserve"> was to have </w:t>
      </w:r>
      <w:r w:rsidR="00295D75">
        <w:t>y</w:t>
      </w:r>
      <w:r w:rsidRPr="00B94AAB">
        <w:t xml:space="preserve">outh </w:t>
      </w:r>
      <w:r w:rsidR="00295D75">
        <w:t>e</w:t>
      </w:r>
      <w:r w:rsidRPr="00B94AAB">
        <w:t xml:space="preserve">xemplar </w:t>
      </w:r>
      <w:r w:rsidR="00295D75">
        <w:t>s</w:t>
      </w:r>
      <w:r w:rsidRPr="00B94AAB">
        <w:t xml:space="preserve">ervices </w:t>
      </w:r>
      <w:r w:rsidRPr="00320BF1">
        <w:t xml:space="preserve">established in two regions. Following a contestable procurement process, the Ministry identified Southern DHB and Northland DHB as the areas for implementation. Services are now well established and are contributing to addressing the significant gaps that existed in </w:t>
      </w:r>
      <w:r w:rsidR="00295D75">
        <w:t>y</w:t>
      </w:r>
      <w:r w:rsidRPr="00320BF1">
        <w:t>outh alcohol and other drug (AOD) service provision.</w:t>
      </w:r>
    </w:p>
    <w:p w:rsidR="00ED6788" w:rsidRPr="00320BF1" w:rsidRDefault="00ED6788" w:rsidP="00295D75"/>
    <w:p w:rsidR="000845D9" w:rsidRDefault="00ED6788" w:rsidP="00295D75">
      <w:r w:rsidRPr="00320BF1">
        <w:t xml:space="preserve">Mirror HQ, the Southern </w:t>
      </w:r>
      <w:r w:rsidR="00295D75">
        <w:t>y</w:t>
      </w:r>
      <w:r w:rsidRPr="00320BF1">
        <w:t xml:space="preserve">outh </w:t>
      </w:r>
      <w:r w:rsidR="00295D75">
        <w:t>e</w:t>
      </w:r>
      <w:r w:rsidRPr="00320BF1">
        <w:t xml:space="preserve">xemplar </w:t>
      </w:r>
      <w:r w:rsidR="00295D75">
        <w:t>s</w:t>
      </w:r>
      <w:r w:rsidRPr="00320BF1">
        <w:t>ervice</w:t>
      </w:r>
      <w:r w:rsidR="00295D75">
        <w:t>,</w:t>
      </w:r>
      <w:r w:rsidRPr="00320BF1">
        <w:t xml:space="preserve"> </w:t>
      </w:r>
      <w:r>
        <w:t>is</w:t>
      </w:r>
      <w:r w:rsidRPr="00320BF1">
        <w:t xml:space="preserve"> a cohesive, effective, specialist multidisciplinary team. The provider reports that some of the concerns for young people with AOD issues and mental health issues that have been raised for decades are finally being addressed. There are approximately </w:t>
      </w:r>
      <w:r w:rsidR="00295D75">
        <w:t xml:space="preserve">200 </w:t>
      </w:r>
      <w:r w:rsidRPr="00320BF1">
        <w:t xml:space="preserve">existing clients in the service. Of the new referrals in </w:t>
      </w:r>
      <w:r>
        <w:t xml:space="preserve">the </w:t>
      </w:r>
      <w:r w:rsidRPr="00320BF1">
        <w:t>April to June 2015 qua</w:t>
      </w:r>
      <w:r>
        <w:t>r</w:t>
      </w:r>
      <w:r w:rsidRPr="00320BF1">
        <w:t xml:space="preserve">ter, </w:t>
      </w:r>
      <w:r w:rsidR="00295D75">
        <w:t xml:space="preserve">55 </w:t>
      </w:r>
      <w:r>
        <w:t xml:space="preserve">were male and </w:t>
      </w:r>
      <w:r w:rsidR="00295D75">
        <w:t xml:space="preserve">31 </w:t>
      </w:r>
      <w:r w:rsidRPr="00320BF1">
        <w:t>female, 69</w:t>
      </w:r>
      <w:r w:rsidR="00295D75">
        <w:t> </w:t>
      </w:r>
      <w:r>
        <w:t>percent</w:t>
      </w:r>
      <w:r w:rsidRPr="00320BF1">
        <w:t xml:space="preserve"> were NZ</w:t>
      </w:r>
      <w:r w:rsidR="00295D75">
        <w:t> </w:t>
      </w:r>
      <w:r w:rsidRPr="00320BF1">
        <w:t>European, 20</w:t>
      </w:r>
      <w:r>
        <w:t xml:space="preserve"> percent</w:t>
      </w:r>
      <w:r w:rsidRPr="00320BF1">
        <w:t xml:space="preserve"> </w:t>
      </w:r>
      <w:r>
        <w:t>Māori</w:t>
      </w:r>
      <w:r w:rsidRPr="00320BF1">
        <w:t>, 3</w:t>
      </w:r>
      <w:r>
        <w:t xml:space="preserve"> percent</w:t>
      </w:r>
      <w:r w:rsidRPr="00320BF1">
        <w:t xml:space="preserve"> Pacific and 8</w:t>
      </w:r>
      <w:r>
        <w:t xml:space="preserve"> percent</w:t>
      </w:r>
      <w:r w:rsidRPr="00320BF1">
        <w:t xml:space="preserve"> Other.</w:t>
      </w:r>
    </w:p>
    <w:p w:rsidR="00ED6788" w:rsidRPr="00320BF1" w:rsidRDefault="00ED6788" w:rsidP="00295D75"/>
    <w:p w:rsidR="000845D9" w:rsidRDefault="00ED6788" w:rsidP="00ED6788">
      <w:r w:rsidRPr="00320BF1">
        <w:t>The client group has complex needs and many require extensive case management. The hi</w:t>
      </w:r>
      <w:r w:rsidRPr="00295D75">
        <w:t>g</w:t>
      </w:r>
      <w:r w:rsidRPr="00320BF1">
        <w:t>hest presenting concerns are in order</w:t>
      </w:r>
      <w:r w:rsidR="00295D75">
        <w:t>:</w:t>
      </w:r>
      <w:r w:rsidRPr="00320BF1">
        <w:t xml:space="preserve"> cannabis use</w:t>
      </w:r>
      <w:r w:rsidR="00295D75">
        <w:t>;</w:t>
      </w:r>
      <w:r w:rsidRPr="00320BF1">
        <w:t xml:space="preserve"> alcohol use</w:t>
      </w:r>
      <w:r w:rsidR="00295D75">
        <w:t>;</w:t>
      </w:r>
      <w:r w:rsidRPr="00320BF1">
        <w:t xml:space="preserve"> familial AOD use</w:t>
      </w:r>
      <w:r w:rsidR="00295D75">
        <w:t>;</w:t>
      </w:r>
      <w:r w:rsidRPr="00320BF1">
        <w:t xml:space="preserve"> </w:t>
      </w:r>
      <w:r w:rsidR="00295D75">
        <w:t xml:space="preserve">and </w:t>
      </w:r>
      <w:r w:rsidRPr="00320BF1">
        <w:t>co</w:t>
      </w:r>
      <w:r w:rsidR="00295D75">
        <w:noBreakHyphen/>
      </w:r>
      <w:r w:rsidRPr="00320BF1">
        <w:t>existing problems with depression, anxiety, past trauma, low mood, criminal offending, separated family issues, tobacco use, child/parent relationship issues, aggressive/violent behaviour, relationship issues, familial mental health, situational crisis, grief/loss, violence, neglect and sleep problems.</w:t>
      </w:r>
    </w:p>
    <w:p w:rsidR="00ED6788" w:rsidRDefault="00ED6788" w:rsidP="00295D75"/>
    <w:p w:rsidR="00ED6788" w:rsidRPr="00320BF1" w:rsidRDefault="00ED6788" w:rsidP="00295D75">
      <w:r w:rsidRPr="00320BF1">
        <w:t>The Rubicon exemplar service is delivered in the Whangarei/Kaipara and Far North Districts.</w:t>
      </w:r>
      <w:r>
        <w:t xml:space="preserve"> Specialist</w:t>
      </w:r>
      <w:r w:rsidRPr="00320BF1">
        <w:t xml:space="preserve"> positions</w:t>
      </w:r>
      <w:r>
        <w:t xml:space="preserve"> have been filled in psychology</w:t>
      </w:r>
      <w:r w:rsidRPr="00320BF1">
        <w:t xml:space="preserve"> </w:t>
      </w:r>
      <w:r w:rsidR="00295D75">
        <w:t xml:space="preserve">and </w:t>
      </w:r>
      <w:r w:rsidRPr="00320BF1">
        <w:t>nursing</w:t>
      </w:r>
      <w:r w:rsidR="00295D75">
        <w:t>,</w:t>
      </w:r>
      <w:r w:rsidRPr="00320BF1">
        <w:t xml:space="preserve"> and practitioners have been employed for the </w:t>
      </w:r>
      <w:r w:rsidRPr="00853526">
        <w:t xml:space="preserve">Co-Existing Problem </w:t>
      </w:r>
      <w:r w:rsidRPr="00320BF1">
        <w:t>CEP service</w:t>
      </w:r>
      <w:r>
        <w:t>.</w:t>
      </w:r>
    </w:p>
    <w:p w:rsidR="00ED6788" w:rsidRDefault="00ED6788" w:rsidP="00295D75"/>
    <w:p w:rsidR="00ED6788" w:rsidRPr="00B83C83" w:rsidRDefault="00ED6788" w:rsidP="00295D75">
      <w:r w:rsidRPr="00320BF1">
        <w:t>The daily after school youth activity programme, run from the Whangarei office of Rubicon, for at</w:t>
      </w:r>
      <w:r w:rsidR="00295D75">
        <w:t>-</w:t>
      </w:r>
      <w:r w:rsidRPr="00320BF1">
        <w:t>risk youth continues to be successful. There are a range of activities planned for four nights per week includ</w:t>
      </w:r>
      <w:r w:rsidR="00295D75">
        <w:t>ing</w:t>
      </w:r>
      <w:r w:rsidRPr="00320BF1">
        <w:t xml:space="preserve"> weekly boxing classes, a gym programme, swimming, music lessons, basketball and touch. </w:t>
      </w:r>
      <w:r w:rsidR="00B83C83">
        <w:t>There is a</w:t>
      </w:r>
      <w:r w:rsidRPr="00320BF1">
        <w:t xml:space="preserve"> homework station with computers and internet access</w:t>
      </w:r>
      <w:r w:rsidR="00B83C83">
        <w:t>, and</w:t>
      </w:r>
      <w:r w:rsidRPr="00320BF1">
        <w:t xml:space="preserve"> resources and equipment are supplied to ensure </w:t>
      </w:r>
      <w:r w:rsidR="00B83C83">
        <w:t xml:space="preserve">youth </w:t>
      </w:r>
      <w:r w:rsidRPr="00320BF1">
        <w:t>can complete their work. Daily responsibility for planning meals, cooking, and general clean-up is taken on by the young people, teaching them social skills and health and nutrition. The registered nurse is available one night per week for the young people to access health checks.</w:t>
      </w:r>
    </w:p>
    <w:p w:rsidR="00ED6788" w:rsidRDefault="00ED6788" w:rsidP="00B83C83"/>
    <w:p w:rsidR="00ED6788" w:rsidRPr="00712024" w:rsidRDefault="00ED6788" w:rsidP="00B83C83">
      <w:pPr>
        <w:pStyle w:val="Heading3"/>
      </w:pPr>
      <w:r w:rsidRPr="00712024">
        <w:t>Addictions</w:t>
      </w:r>
    </w:p>
    <w:p w:rsidR="000845D9" w:rsidRDefault="00ED6788" w:rsidP="00B83C83">
      <w:pPr>
        <w:pStyle w:val="Heading4"/>
      </w:pPr>
      <w:r w:rsidRPr="00712024">
        <w:t xml:space="preserve">Tackling </w:t>
      </w:r>
      <w:r w:rsidR="00B83C83">
        <w:t>m</w:t>
      </w:r>
      <w:r w:rsidRPr="00712024">
        <w:t>ethamphetamine</w:t>
      </w:r>
    </w:p>
    <w:p w:rsidR="000845D9" w:rsidRDefault="00ED6788" w:rsidP="00ED6788">
      <w:r w:rsidRPr="00A066F6">
        <w:t>Treatment providers report that there is strong demand for</w:t>
      </w:r>
      <w:r>
        <w:t xml:space="preserve"> methamphetamine</w:t>
      </w:r>
      <w:r w:rsidR="00B83C83">
        <w:t>-</w:t>
      </w:r>
      <w:r>
        <w:t>related</w:t>
      </w:r>
      <w:r w:rsidRPr="00A066F6">
        <w:t xml:space="preserve"> treatment services. This includes not only residential and detox services but also the Alcohol</w:t>
      </w:r>
      <w:r w:rsidR="00B83C83">
        <w:t xml:space="preserve"> </w:t>
      </w:r>
      <w:r w:rsidRPr="00A066F6">
        <w:t>Drug Helpline and MethHelp which allow people to manage their own treatment. As initiatives by Police and Customs continue to reduce the availability of methamphetamine, it is likely that users will seek treatment.</w:t>
      </w:r>
    </w:p>
    <w:p w:rsidR="00ED6788" w:rsidRDefault="00ED6788" w:rsidP="00B83C83"/>
    <w:p w:rsidR="00ED6788" w:rsidRDefault="00ED6788" w:rsidP="00B83C83">
      <w:r w:rsidRPr="00217120">
        <w:rPr>
          <w:i/>
        </w:rPr>
        <w:t>Note C:</w:t>
      </w:r>
      <w:r>
        <w:t xml:space="preserve"> A</w:t>
      </w:r>
      <w:r w:rsidRPr="00A066F6">
        <w:t xml:space="preserve"> hard core of persistent users</w:t>
      </w:r>
      <w:r>
        <w:t xml:space="preserve"> remain</w:t>
      </w:r>
      <w:r w:rsidRPr="00A066F6">
        <w:t>, rather than high</w:t>
      </w:r>
      <w:r>
        <w:t>er</w:t>
      </w:r>
      <w:r w:rsidRPr="00A066F6">
        <w:t xml:space="preserve"> num</w:t>
      </w:r>
      <w:r>
        <w:t>ber</w:t>
      </w:r>
      <w:r w:rsidRPr="00A066F6">
        <w:t xml:space="preserve"> of new users</w:t>
      </w:r>
      <w:r>
        <w:t xml:space="preserve"> forecast</w:t>
      </w:r>
      <w:r w:rsidR="00B83C83">
        <w:t>.</w:t>
      </w:r>
      <w:r w:rsidRPr="00A066F6">
        <w:t xml:space="preserve"> </w:t>
      </w:r>
      <w:r w:rsidR="00B83C83">
        <w:t>T</w:t>
      </w:r>
      <w:r w:rsidRPr="00A066F6">
        <w:t>reatment providers will continue to see clients with related issues for some time.</w:t>
      </w:r>
    </w:p>
    <w:p w:rsidR="00ED6788" w:rsidRDefault="00ED6788" w:rsidP="00B83C83"/>
    <w:p w:rsidR="000845D9" w:rsidRDefault="00ED6788" w:rsidP="00B83C83">
      <w:pPr>
        <w:keepLines/>
      </w:pPr>
      <w:r w:rsidRPr="00743B57">
        <w:t>Contracts for met</w:t>
      </w:r>
      <w:r>
        <w:t xml:space="preserve">hamphetamine </w:t>
      </w:r>
      <w:r w:rsidRPr="00C326F6">
        <w:t xml:space="preserve">treatment programmes </w:t>
      </w:r>
      <w:r>
        <w:t xml:space="preserve">were reviewed. </w:t>
      </w:r>
      <w:r w:rsidRPr="00743B57">
        <w:t>Adult residential treatment services contracts have been re</w:t>
      </w:r>
      <w:r>
        <w:t xml:space="preserve">newed with </w:t>
      </w:r>
      <w:r w:rsidR="00B83C83">
        <w:t xml:space="preserve">an </w:t>
      </w:r>
      <w:r>
        <w:t xml:space="preserve">outcomes framework. </w:t>
      </w:r>
      <w:r w:rsidRPr="00743B57">
        <w:t xml:space="preserve">Youth residential treatment services have been consolidated with a single provider. Social detox/withdrawal management services </w:t>
      </w:r>
      <w:r>
        <w:t xml:space="preserve">have been </w:t>
      </w:r>
      <w:r w:rsidRPr="00743B57">
        <w:t xml:space="preserve">extended for one year, while </w:t>
      </w:r>
      <w:r>
        <w:t xml:space="preserve">new </w:t>
      </w:r>
      <w:r w:rsidRPr="00743B57">
        <w:t>models of care for</w:t>
      </w:r>
      <w:r>
        <w:t xml:space="preserve"> these services are developed.</w:t>
      </w:r>
    </w:p>
    <w:p w:rsidR="00B83C83" w:rsidRDefault="00B83C83" w:rsidP="00B83C83"/>
    <w:p w:rsidR="00ED6788" w:rsidRPr="00712024" w:rsidRDefault="00ED6788" w:rsidP="00B83C83">
      <w:pPr>
        <w:pStyle w:val="Heading4"/>
      </w:pPr>
      <w:r w:rsidRPr="00712024">
        <w:t>Multi-level approach to conduct problems</w:t>
      </w:r>
    </w:p>
    <w:p w:rsidR="000845D9" w:rsidRDefault="00ED6788" w:rsidP="00B83C83">
      <w:r>
        <w:t>T</w:t>
      </w:r>
      <w:r w:rsidRPr="008B2FB6">
        <w:t>he conduct problems workstream is one of four work</w:t>
      </w:r>
      <w:r>
        <w:t>streams that make up the cross</w:t>
      </w:r>
      <w:r w:rsidR="00AE5D7C">
        <w:t>-</w:t>
      </w:r>
      <w:r w:rsidRPr="008B2FB6">
        <w:t xml:space="preserve">government </w:t>
      </w:r>
      <w:r>
        <w:t>initiative</w:t>
      </w:r>
      <w:r w:rsidR="00AE5D7C">
        <w:t>,</w:t>
      </w:r>
      <w:r>
        <w:t xml:space="preserve"> </w:t>
      </w:r>
      <w:r w:rsidRPr="008B2FB6">
        <w:t xml:space="preserve">Addressing the Drivers of Crime. The approach is based on expert advice from the Advisory Group for Conduct Problems (AGCP) on the most effective programmes to reduce conduct problems in </w:t>
      </w:r>
      <w:r w:rsidR="00AE5D7C">
        <w:t>3–7-</w:t>
      </w:r>
      <w:r w:rsidRPr="008B2FB6">
        <w:t>year-old children.</w:t>
      </w:r>
      <w:r>
        <w:t xml:space="preserve"> One of the Drivers of Crime health-led </w:t>
      </w:r>
      <w:r>
        <w:lastRenderedPageBreak/>
        <w:t>deliverables is implementation of the Multi-level Approach to Conduct Problems in four participating DHBs.</w:t>
      </w:r>
    </w:p>
    <w:p w:rsidR="00ED6788" w:rsidRDefault="00ED6788" w:rsidP="00AE5D7C"/>
    <w:p w:rsidR="000845D9" w:rsidRDefault="00ED6788" w:rsidP="00AE5D7C">
      <w:r>
        <w:t xml:space="preserve">Triple P (positive parenting programme) and Incredible Years are being delivered through Manukau Counties, Bay of Plenty, MidCentral and Waitemata DHBs. </w:t>
      </w:r>
      <w:r w:rsidRPr="003B1453">
        <w:t>Triple P</w:t>
      </w:r>
      <w:r>
        <w:t xml:space="preserve"> and IY are delivered by </w:t>
      </w:r>
      <w:r w:rsidR="00AE5D7C">
        <w:t xml:space="preserve">a </w:t>
      </w:r>
      <w:r>
        <w:t xml:space="preserve">skilled workforce in both primary care and specialist settings. During 2014/15 a total of 88 practitioners were trained and 1461 families have participated in the Triple P programmes. Data for </w:t>
      </w:r>
      <w:r w:rsidRPr="003B1453">
        <w:t>Incredible Years</w:t>
      </w:r>
      <w:r>
        <w:t xml:space="preserve"> was incomplete at the time of this report. Ten contracts provide support for the</w:t>
      </w:r>
      <w:r w:rsidRPr="008B2FB6">
        <w:t xml:space="preserve"> multi-level, multi-agency response to conduct problems, which include the Triple</w:t>
      </w:r>
      <w:r w:rsidRPr="008B2FB6">
        <w:rPr>
          <w:rFonts w:cs="Arial"/>
          <w:szCs w:val="22"/>
          <w:lang w:eastAsia="en-NZ"/>
        </w:rPr>
        <w:t> </w:t>
      </w:r>
      <w:r w:rsidRPr="008B2FB6">
        <w:t>P</w:t>
      </w:r>
      <w:r>
        <w:t xml:space="preserve"> </w:t>
      </w:r>
      <w:r w:rsidRPr="008B2FB6">
        <w:t>and Incredible Years</w:t>
      </w:r>
      <w:r>
        <w:t xml:space="preserve"> </w:t>
      </w:r>
      <w:r w:rsidRPr="008B2FB6">
        <w:t xml:space="preserve">parenting programmes. </w:t>
      </w:r>
      <w:r>
        <w:t xml:space="preserve">Both the </w:t>
      </w:r>
      <w:r w:rsidRPr="003B1453">
        <w:t>Triple P</w:t>
      </w:r>
      <w:r>
        <w:t xml:space="preserve"> and </w:t>
      </w:r>
      <w:r w:rsidRPr="003B1453">
        <w:t>Incredible Years</w:t>
      </w:r>
      <w:r>
        <w:t xml:space="preserve"> programmes continue to maintain positive accounts of improvements in child behaviours and improvements in wellbeing and confidence in parenting.</w:t>
      </w:r>
    </w:p>
    <w:p w:rsidR="00ED6788" w:rsidRDefault="00ED6788" w:rsidP="00AE5D7C"/>
    <w:p w:rsidR="000845D9" w:rsidRPr="00AE5D7C" w:rsidRDefault="00ED6788" w:rsidP="00AE5D7C">
      <w:pPr>
        <w:rPr>
          <w:highlight w:val="yellow"/>
        </w:rPr>
      </w:pPr>
      <w:r w:rsidRPr="00217120">
        <w:rPr>
          <w:i/>
        </w:rPr>
        <w:t>Note D:</w:t>
      </w:r>
      <w:r>
        <w:t xml:space="preserve"> Under the </w:t>
      </w:r>
      <w:r w:rsidRPr="00712024">
        <w:t>Alcohol Brief Intervention &amp; Screening</w:t>
      </w:r>
      <w:r>
        <w:t>, 38 percent</w:t>
      </w:r>
      <w:r w:rsidRPr="00712024">
        <w:t xml:space="preserve"> of people older than 12</w:t>
      </w:r>
      <w:r w:rsidR="00AE5D7C">
        <w:t> </w:t>
      </w:r>
      <w:r w:rsidRPr="00712024">
        <w:t>years of age who receive</w:t>
      </w:r>
      <w:r>
        <w:t>d</w:t>
      </w:r>
      <w:r w:rsidRPr="00712024">
        <w:t xml:space="preserve"> Primary Mental Health (PMHI)</w:t>
      </w:r>
      <w:r>
        <w:t xml:space="preserve"> wer</w:t>
      </w:r>
      <w:r w:rsidRPr="00712024">
        <w:t>e screened</w:t>
      </w:r>
      <w:r>
        <w:t>, against a target of 50 percent.</w:t>
      </w:r>
    </w:p>
    <w:p w:rsidR="00ED6788" w:rsidRDefault="00ED6788" w:rsidP="00DB1E11"/>
    <w:p w:rsidR="00ED6788" w:rsidRPr="00712024" w:rsidRDefault="00ED6788" w:rsidP="00DB1E11">
      <w:pPr>
        <w:pStyle w:val="Heading4"/>
      </w:pPr>
      <w:r w:rsidRPr="00712024">
        <w:t>The Prime Minister</w:t>
      </w:r>
      <w:r w:rsidR="000845D9">
        <w:t>’</w:t>
      </w:r>
      <w:r w:rsidRPr="00712024">
        <w:t>s Youth Mental Health Project</w:t>
      </w:r>
    </w:p>
    <w:p w:rsidR="00ED6788" w:rsidRDefault="00ED6788" w:rsidP="00DB1E11">
      <w:r>
        <w:t>The Ministry of Health has been the lead agency for the implementation of the Prime Minister</w:t>
      </w:r>
      <w:r w:rsidR="000845D9">
        <w:t>’</w:t>
      </w:r>
      <w:r>
        <w:t>s Youth Mental Health Project since July 2012. The project comprises a suite of 26 initiatives designed to improve the mental health and wellbeing of young people aged 12 to 19 years. The key agencies involved with implementing the initiatives are the Ministry of Health, Ministry of Social Development and Te Puni Kōkiri.</w:t>
      </w:r>
    </w:p>
    <w:p w:rsidR="00ED6788" w:rsidRDefault="00ED6788" w:rsidP="00DB1E11"/>
    <w:p w:rsidR="00ED6788" w:rsidRDefault="00ED6788" w:rsidP="00DB1E11">
      <w:r>
        <w:t>The Ministry of Health is specifically responsible for eight of the 26 initiatives including:</w:t>
      </w:r>
    </w:p>
    <w:p w:rsidR="00ED6788" w:rsidRDefault="00ED6788" w:rsidP="00DB1E11">
      <w:pPr>
        <w:pStyle w:val="Bullet"/>
      </w:pPr>
      <w:r>
        <w:t>extending school-based health services to decile 3 secondary schools</w:t>
      </w:r>
    </w:p>
    <w:p w:rsidR="00ED6788" w:rsidRDefault="00ED6788" w:rsidP="00DB1E11">
      <w:pPr>
        <w:pStyle w:val="Bullet"/>
      </w:pPr>
      <w:r>
        <w:t>expanding the use of HEEADSSS</w:t>
      </w:r>
      <w:r w:rsidRPr="00DB1E11">
        <w:rPr>
          <w:rStyle w:val="FootnoteReference"/>
        </w:rPr>
        <w:footnoteReference w:id="4"/>
      </w:r>
      <w:r>
        <w:t xml:space="preserve"> wellness checks in schools and primary care settings</w:t>
      </w:r>
    </w:p>
    <w:p w:rsidR="00ED6788" w:rsidRDefault="00ED6788" w:rsidP="00DB1E11">
      <w:pPr>
        <w:pStyle w:val="Bullet"/>
      </w:pPr>
      <w:r>
        <w:t>expanding primary mental health services to young people aged 12 to 19 years</w:t>
      </w:r>
    </w:p>
    <w:p w:rsidR="00ED6788" w:rsidRDefault="00ED6788" w:rsidP="00DB1E11">
      <w:pPr>
        <w:pStyle w:val="Bullet"/>
      </w:pPr>
      <w:r>
        <w:t>introducing an e-therapy tool for young people</w:t>
      </w:r>
    </w:p>
    <w:p w:rsidR="00ED6788" w:rsidRDefault="00ED6788" w:rsidP="00DB1E11">
      <w:pPr>
        <w:pStyle w:val="Bullet"/>
      </w:pPr>
      <w:r>
        <w:t>improving the responsiveness of primary care to youth</w:t>
      </w:r>
    </w:p>
    <w:p w:rsidR="00ED6788" w:rsidRDefault="00ED6788" w:rsidP="00DB1E11">
      <w:pPr>
        <w:pStyle w:val="Bullet"/>
      </w:pPr>
      <w:r>
        <w:t xml:space="preserve">improving follow-up care for those discharged from </w:t>
      </w:r>
      <w:r w:rsidRPr="003B1453">
        <w:t xml:space="preserve">Child and Adolescent Mental Health Service </w:t>
      </w:r>
      <w:r>
        <w:t>(CAMHS) and from youth alcohol and other drug services</w:t>
      </w:r>
    </w:p>
    <w:p w:rsidR="00ED6788" w:rsidRDefault="00ED6788" w:rsidP="00DB1E11">
      <w:pPr>
        <w:pStyle w:val="Bullet"/>
      </w:pPr>
      <w:r>
        <w:t>improving access to CAMHS and to youth alcohol and other drug services.</w:t>
      </w:r>
    </w:p>
    <w:p w:rsidR="00DB1E11" w:rsidRDefault="00DB1E11" w:rsidP="00DB1E11"/>
    <w:p w:rsidR="00ED6788" w:rsidRDefault="00ED6788" w:rsidP="00DB1E11">
      <w:r>
        <w:t>Good progress has been made across all initiatives, with changes evident on the ground including:</w:t>
      </w:r>
    </w:p>
    <w:p w:rsidR="00ED6788" w:rsidRDefault="00ED6788" w:rsidP="00DB1E11">
      <w:pPr>
        <w:pStyle w:val="Bullet"/>
      </w:pPr>
      <w:r>
        <w:t>the HEEADSSS Wellness Checks initiative has been completed</w:t>
      </w:r>
      <w:r w:rsidR="007F5F42">
        <w:t>;</w:t>
      </w:r>
      <w:r>
        <w:t xml:space="preserve"> 1295 users have accessed the online training, which remains available</w:t>
      </w:r>
    </w:p>
    <w:p w:rsidR="00ED6788" w:rsidRDefault="007F5F42" w:rsidP="00DB1E11">
      <w:pPr>
        <w:pStyle w:val="Bullet"/>
      </w:pPr>
      <w:r>
        <w:t>o</w:t>
      </w:r>
      <w:r w:rsidR="00ED6788">
        <w:t>ver 8000 12</w:t>
      </w:r>
      <w:r>
        <w:t>–</w:t>
      </w:r>
      <w:r w:rsidR="00ED6788">
        <w:t>19 year olds have accessed primary mental health services this financial year</w:t>
      </w:r>
    </w:p>
    <w:p w:rsidR="00ED6788" w:rsidRDefault="007F5F42" w:rsidP="00DB1E11">
      <w:pPr>
        <w:pStyle w:val="Bullet"/>
      </w:pPr>
      <w:r>
        <w:t>f</w:t>
      </w:r>
      <w:r w:rsidR="00ED6788" w:rsidRPr="0062142D">
        <w:t>or the period 1 July 2014 to 30 June 2015 there were 29</w:t>
      </w:r>
      <w:r w:rsidR="00ED6788">
        <w:t>,</w:t>
      </w:r>
      <w:r w:rsidR="00ED6788" w:rsidRPr="0062142D">
        <w:t>851 website visitors, 23</w:t>
      </w:r>
      <w:r w:rsidR="00DB1E11">
        <w:t>,</w:t>
      </w:r>
      <w:r w:rsidR="00ED6788" w:rsidRPr="0062142D">
        <w:t>040 unique visitors, 17</w:t>
      </w:r>
      <w:r>
        <w:t>,</w:t>
      </w:r>
      <w:r w:rsidR="00ED6788" w:rsidRPr="0062142D">
        <w:t>834 SPARX e-therapy page views, 2477 registered to use the tool and a total of 2026 who identified as young people aged 12</w:t>
      </w:r>
      <w:r w:rsidR="000845D9">
        <w:t>–</w:t>
      </w:r>
      <w:r w:rsidR="00ED6788" w:rsidRPr="0062142D">
        <w:t>19 year</w:t>
      </w:r>
      <w:r>
        <w:t>s</w:t>
      </w:r>
      <w:r w:rsidR="00ED6788" w:rsidRPr="0062142D">
        <w:t xml:space="preserve"> old</w:t>
      </w:r>
    </w:p>
    <w:p w:rsidR="00ED6788" w:rsidRDefault="00ED6788" w:rsidP="00DB1E11">
      <w:pPr>
        <w:pStyle w:val="Bullet"/>
      </w:pPr>
      <w:r>
        <w:t>nationally 85 percent of young people have been seen by youth AOD services within three weeks. This exceeds the waiting time target of 80 percent</w:t>
      </w:r>
      <w:r w:rsidR="007F5F42">
        <w:t>.</w:t>
      </w:r>
    </w:p>
    <w:p w:rsidR="00ED6788" w:rsidRDefault="00ED6788" w:rsidP="00DB1E11"/>
    <w:p w:rsidR="000845D9" w:rsidRPr="00DB1E11" w:rsidRDefault="00ED6788" w:rsidP="00DB1E11">
      <w:pPr>
        <w:pStyle w:val="Heading4"/>
        <w:rPr>
          <w:rStyle w:val="Heading4Char"/>
          <w:rFonts w:ascii="Arial" w:hAnsi="Arial"/>
          <w:b/>
        </w:rPr>
      </w:pPr>
      <w:r w:rsidRPr="00DB1E11">
        <w:rPr>
          <w:rStyle w:val="Heading4Char"/>
          <w:rFonts w:ascii="Arial" w:hAnsi="Arial"/>
          <w:b/>
        </w:rPr>
        <w:t>The Suicide Prevention Action Plan</w:t>
      </w:r>
    </w:p>
    <w:p w:rsidR="00ED6788" w:rsidRDefault="00ED6788" w:rsidP="00DB1E11">
      <w:r>
        <w:t>The Suicide Prevention Action Plan (2013–2016) aims to further existing suicide prevention work and address gaps that were identified in the first action plan (2008–2012). It comprises 30</w:t>
      </w:r>
      <w:r w:rsidR="00DB1E11">
        <w:t> </w:t>
      </w:r>
      <w:r>
        <w:t>actions under five objectives with a particular emphasis on assisting communities and frontline workers to identify and respond to suicidal behaviour and reducing the impact of suicide on communities.</w:t>
      </w:r>
    </w:p>
    <w:p w:rsidR="00ED6788" w:rsidRDefault="00ED6788" w:rsidP="00DB1E11"/>
    <w:p w:rsidR="00ED6788" w:rsidRDefault="00ED6788" w:rsidP="00DB1E11">
      <w:r>
        <w:t>Implementation of the Action Plan is progressing well with all 30 initiatives in place or well under</w:t>
      </w:r>
      <w:r w:rsidR="007F5F42">
        <w:t xml:space="preserve"> </w:t>
      </w:r>
      <w:r>
        <w:t>way. The level of engagement by communities, DHBs and government agencies is particularly encouraging. Highlights in the 2014/15 year include:</w:t>
      </w:r>
    </w:p>
    <w:p w:rsidR="000845D9" w:rsidRDefault="00ED6788" w:rsidP="00DB1E11">
      <w:pPr>
        <w:pStyle w:val="Bullet"/>
      </w:pPr>
      <w:r>
        <w:t>all DHBs have developed local suicide prevention and postvention plans for their regions</w:t>
      </w:r>
    </w:p>
    <w:p w:rsidR="00ED6788" w:rsidRDefault="00ED6788" w:rsidP="00DB1E11">
      <w:pPr>
        <w:pStyle w:val="Bullet"/>
      </w:pPr>
      <w:r>
        <w:t>tailored training programmes on mental health and suicide prevention are now in place or about to commence for staff in key government agencies</w:t>
      </w:r>
    </w:p>
    <w:p w:rsidR="00ED6788" w:rsidRDefault="00ED6788" w:rsidP="00DB1E11">
      <w:pPr>
        <w:pStyle w:val="Bullet"/>
      </w:pPr>
      <w:r>
        <w:t>full establishment of an information-sharing system that provides DHBs with timely coronial information about suspected suicides in their region.</w:t>
      </w:r>
    </w:p>
    <w:p w:rsidR="00ED6788" w:rsidRDefault="00ED6788" w:rsidP="00DB1E11"/>
    <w:p w:rsidR="00ED6788" w:rsidRDefault="00ED6788" w:rsidP="00DB1E11">
      <w:r>
        <w:t>Māori and Pasifika suicide prevention approaches are being strengthened through Waka Hourua (Action 1.1 of the Action Plan), the combined Māori and Pasifika suicide prevention programme which was established in 2013. A one-off contestable community fund has now supported 63 community</w:t>
      </w:r>
      <w:r w:rsidR="00CC71A7">
        <w:t>-</w:t>
      </w:r>
      <w:r>
        <w:t xml:space="preserve">based suicide prevention initiatives and an evaluation framework has been completed. Approximately 15 of the initiatives have been evaluated </w:t>
      </w:r>
      <w:r w:rsidR="00CC71A7">
        <w:t xml:space="preserve">to date </w:t>
      </w:r>
      <w:r>
        <w:t>and show positive results for building the knowledge of Māori whānau about suicide risk, and increasing understanding about how to access services available to them.</w:t>
      </w:r>
    </w:p>
    <w:p w:rsidR="00ED6788" w:rsidRDefault="00ED6788" w:rsidP="00DB1E11"/>
    <w:p w:rsidR="00ED6788" w:rsidRPr="00712024" w:rsidRDefault="00ED6788" w:rsidP="00DB1E11">
      <w:pPr>
        <w:pStyle w:val="Heading3"/>
      </w:pPr>
      <w:r>
        <w:t xml:space="preserve">Other </w:t>
      </w:r>
      <w:r w:rsidR="00DB1E11">
        <w:t>m</w:t>
      </w:r>
      <w:r>
        <w:t xml:space="preserve">ental </w:t>
      </w:r>
      <w:r w:rsidR="00DB1E11">
        <w:t>h</w:t>
      </w:r>
      <w:r>
        <w:t xml:space="preserve">ealth </w:t>
      </w:r>
      <w:r w:rsidR="00DB1E11">
        <w:t>s</w:t>
      </w:r>
      <w:r>
        <w:t>ervices</w:t>
      </w:r>
    </w:p>
    <w:p w:rsidR="00ED6788" w:rsidRPr="00712024" w:rsidRDefault="00ED6788" w:rsidP="00DB1E11">
      <w:pPr>
        <w:pStyle w:val="Heading4"/>
      </w:pPr>
      <w:r w:rsidRPr="00712024">
        <w:t>Adolescent e-therapy tool</w:t>
      </w:r>
    </w:p>
    <w:p w:rsidR="000845D9" w:rsidRDefault="00ED6788" w:rsidP="00DB1E11">
      <w:r w:rsidRPr="00BD2E4D">
        <w:t xml:space="preserve">An online e-therapy tool (SPARX) </w:t>
      </w:r>
      <w:r>
        <w:t xml:space="preserve">has continued to be delivered </w:t>
      </w:r>
      <w:r w:rsidRPr="00BD2E4D">
        <w:t>as part of the Prime Minister</w:t>
      </w:r>
      <w:r w:rsidR="000845D9">
        <w:t>’</w:t>
      </w:r>
      <w:r w:rsidRPr="00BD2E4D">
        <w:t xml:space="preserve">s Youth Mental Health Project. </w:t>
      </w:r>
      <w:r>
        <w:t>Smart, Positive, Active, Realistic, X-factor thoughts (SPARX) is an online e-therapy tool that teaches young people the key skills needed to help combat depression and anxiety.</w:t>
      </w:r>
      <w:r w:rsidR="000845D9">
        <w:t xml:space="preserve"> </w:t>
      </w:r>
      <w:r>
        <w:t>Young people can access, register and start using SPARX independently, anonymously and in their own time, making help available to more people around New Zealand. SPARX uses proven cognitive behavioural therapy techniques in a youth friendly game format to teach young people how to cope with negative thoughts and feelings and think in a more balanced way. S</w:t>
      </w:r>
      <w:r w:rsidRPr="005D6439">
        <w:t>PARX is fully implemented and is currently being evaluated.</w:t>
      </w:r>
    </w:p>
    <w:p w:rsidR="00ED6788" w:rsidRDefault="00ED6788" w:rsidP="00DB1E11"/>
    <w:p w:rsidR="00ED6788" w:rsidRDefault="00ED6788" w:rsidP="00DB1E11">
      <w:r>
        <w:t>For the period 1 July 2014 to 30 June 2015 there were 29,851 website visitors, 23,040 unique visitors, 17,834 SPARX e-therapy page views, 2477 registered to use the tool, and a total of 2026 who identified as young people aged 12</w:t>
      </w:r>
      <w:r>
        <w:noBreakHyphen/>
        <w:t>19 year olds.</w:t>
      </w:r>
    </w:p>
    <w:p w:rsidR="00DB1E11" w:rsidRDefault="00DB1E11" w:rsidP="00DB1E11"/>
    <w:p w:rsidR="000845D9" w:rsidRDefault="00ED6788" w:rsidP="00DB1E11">
      <w:pPr>
        <w:pStyle w:val="Heading4"/>
      </w:pPr>
      <w:r w:rsidRPr="00743B57">
        <w:t>Services for women who are pregnant</w:t>
      </w:r>
    </w:p>
    <w:p w:rsidR="00ED6788" w:rsidRDefault="00ED6788" w:rsidP="00DB1E11">
      <w:r w:rsidRPr="00743B57">
        <w:t xml:space="preserve">The full range of new and enhanced acute services for mothers, babies and their whānau </w:t>
      </w:r>
      <w:r w:rsidR="00CC71A7">
        <w:t xml:space="preserve">is </w:t>
      </w:r>
      <w:r w:rsidRPr="00743B57">
        <w:t>now in place. While recruitment continues for some permanent clinical positions, these vacancies are being covered to ensure full service provision. New and enhanced services include a three</w:t>
      </w:r>
      <w:r w:rsidR="00CC71A7">
        <w:t>-</w:t>
      </w:r>
      <w:r w:rsidRPr="00743B57">
        <w:t>bed acute inpatient service at Starship in Auckland, enhanced clinical services and increased community-based respite and support services delivering packages of care.</w:t>
      </w:r>
    </w:p>
    <w:p w:rsidR="00DB1E11" w:rsidRDefault="00DB1E11" w:rsidP="00DB1E11"/>
    <w:p w:rsidR="00ED6788" w:rsidRPr="00712024" w:rsidRDefault="00ED6788" w:rsidP="00DB1E11">
      <w:pPr>
        <w:pStyle w:val="Heading4"/>
      </w:pPr>
      <w:r w:rsidRPr="00712024">
        <w:lastRenderedPageBreak/>
        <w:t>Key performance indicator framework for mental health and addictions services</w:t>
      </w:r>
    </w:p>
    <w:p w:rsidR="00ED6788" w:rsidRDefault="00ED6788" w:rsidP="00DB1E11">
      <w:r w:rsidRPr="00743B57">
        <w:t xml:space="preserve">A </w:t>
      </w:r>
      <w:r>
        <w:t>k</w:t>
      </w:r>
      <w:r w:rsidRPr="00743B57">
        <w:t xml:space="preserve">ey </w:t>
      </w:r>
      <w:r>
        <w:t>p</w:t>
      </w:r>
      <w:r w:rsidRPr="00743B57">
        <w:t xml:space="preserve">erformance </w:t>
      </w:r>
      <w:r>
        <w:t>i</w:t>
      </w:r>
      <w:r w:rsidRPr="00743B57">
        <w:t xml:space="preserve">ndicator </w:t>
      </w:r>
      <w:r>
        <w:t>f</w:t>
      </w:r>
      <w:r w:rsidRPr="00743B57">
        <w:t xml:space="preserve">ramework for </w:t>
      </w:r>
      <w:r>
        <w:t>m</w:t>
      </w:r>
      <w:r w:rsidRPr="00743B57">
        <w:t xml:space="preserve">ental </w:t>
      </w:r>
      <w:r>
        <w:t>h</w:t>
      </w:r>
      <w:r w:rsidRPr="00743B57">
        <w:t xml:space="preserve">ealth and </w:t>
      </w:r>
      <w:r>
        <w:t>a</w:t>
      </w:r>
      <w:r w:rsidRPr="00743B57">
        <w:t xml:space="preserve">ddictions </w:t>
      </w:r>
      <w:r>
        <w:t>s</w:t>
      </w:r>
      <w:r w:rsidRPr="00743B57">
        <w:t xml:space="preserve">ervices is being used by DHBs and NGOs in all DHB areas. This has led to improved quality in data collection and service delivery. Work is occurring in the areas of </w:t>
      </w:r>
      <w:r>
        <w:t>a</w:t>
      </w:r>
      <w:r w:rsidRPr="00743B57">
        <w:t xml:space="preserve">dults, </w:t>
      </w:r>
      <w:r>
        <w:t>c</w:t>
      </w:r>
      <w:r w:rsidRPr="00743B57">
        <w:t xml:space="preserve">hild and </w:t>
      </w:r>
      <w:r>
        <w:t>y</w:t>
      </w:r>
      <w:r w:rsidRPr="00743B57">
        <w:t>outh</w:t>
      </w:r>
      <w:r w:rsidR="00CC71A7">
        <w:t>,</w:t>
      </w:r>
      <w:r w:rsidRPr="00743B57">
        <w:t xml:space="preserve"> and </w:t>
      </w:r>
      <w:r>
        <w:t>f</w:t>
      </w:r>
      <w:r w:rsidRPr="00743B57">
        <w:t xml:space="preserve">orensic </w:t>
      </w:r>
      <w:r>
        <w:t>s</w:t>
      </w:r>
      <w:r w:rsidRPr="00743B57">
        <w:t>ervices.</w:t>
      </w:r>
    </w:p>
    <w:p w:rsidR="00ED6788" w:rsidRDefault="00ED6788" w:rsidP="00DB1E11"/>
    <w:p w:rsidR="000845D9" w:rsidRDefault="00ED6788" w:rsidP="00DB1E11">
      <w:r w:rsidRPr="00BD2E4D">
        <w:t>Key performance indicators (KPIs) are tools that help define and measure progress towards organisational goals to support benchmarking and guide service and quality improvement. KPIs can be used at regional and national provider levels to provide a picture of system performance.</w:t>
      </w:r>
    </w:p>
    <w:p w:rsidR="00CC71A7" w:rsidRDefault="00CC71A7" w:rsidP="00CC71A7"/>
    <w:p w:rsidR="00ED6788" w:rsidRPr="00BD2E4D" w:rsidRDefault="00ED6788" w:rsidP="00CC71A7">
      <w:r w:rsidRPr="00BD2E4D">
        <w:t>The goals to support benchmarking include:</w:t>
      </w:r>
    </w:p>
    <w:p w:rsidR="00ED6788" w:rsidRPr="00BD2E4D" w:rsidRDefault="00ED6788" w:rsidP="00DB1E11">
      <w:pPr>
        <w:pStyle w:val="Bullet"/>
      </w:pPr>
      <w:r w:rsidRPr="00BD2E4D">
        <w:t>improve mental health and information intelligence</w:t>
      </w:r>
    </w:p>
    <w:p w:rsidR="00ED6788" w:rsidRPr="00BD2E4D" w:rsidRDefault="00ED6788" w:rsidP="00DB1E11">
      <w:pPr>
        <w:pStyle w:val="Bullet"/>
      </w:pPr>
      <w:r w:rsidRPr="00BD2E4D">
        <w:t>improve the availability of information and information systems to underpin service development which supports decision</w:t>
      </w:r>
      <w:r w:rsidR="00CC71A7">
        <w:t>-</w:t>
      </w:r>
      <w:r w:rsidRPr="00BD2E4D">
        <w:t>making and improves services for people</w:t>
      </w:r>
    </w:p>
    <w:p w:rsidR="00ED6788" w:rsidRPr="00BD2E4D" w:rsidRDefault="00ED6788" w:rsidP="00DB1E11">
      <w:pPr>
        <w:pStyle w:val="Bullet"/>
      </w:pPr>
      <w:r w:rsidRPr="00BD2E4D">
        <w:t>provide the sector and the public with important signals about the progress the mental health and addiction sector is making towards achieving intended outcomes (people receive better health and disability services).</w:t>
      </w:r>
    </w:p>
    <w:p w:rsidR="00ED6788" w:rsidRPr="009A265D" w:rsidRDefault="00ED6788" w:rsidP="00DB1E11"/>
    <w:p w:rsidR="00ED6788" w:rsidRDefault="00ED6788" w:rsidP="00DB1E11">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C25CC8">
            <w:pPr>
              <w:pStyle w:val="TableText"/>
              <w:keepNext/>
              <w:ind w:right="284"/>
              <w:jc w:val="right"/>
            </w:pPr>
            <w:r>
              <w:t>14,863</w:t>
            </w:r>
          </w:p>
        </w:tc>
        <w:tc>
          <w:tcPr>
            <w:tcW w:w="3968" w:type="dxa"/>
            <w:tcBorders>
              <w:top w:val="single" w:sz="4" w:space="0" w:color="auto"/>
              <w:left w:val="nil"/>
            </w:tcBorders>
            <w:shd w:val="solid" w:color="FFFFFF" w:fill="auto"/>
          </w:tcPr>
          <w:p w:rsidR="00ED6788" w:rsidRPr="002C0E8B" w:rsidRDefault="00ED6788" w:rsidP="00C25CC8">
            <w:pPr>
              <w:pStyle w:val="TableText"/>
              <w:keepNext/>
            </w:pPr>
            <w:r>
              <w:rPr>
                <w:rFonts w:cs="Arial"/>
                <w:szCs w:val="18"/>
              </w:rPr>
              <w:t>DHBs</w:t>
            </w:r>
          </w:p>
        </w:tc>
        <w:tc>
          <w:tcPr>
            <w:tcW w:w="1276" w:type="dxa"/>
            <w:tcBorders>
              <w:top w:val="single" w:sz="4" w:space="0" w:color="auto"/>
            </w:tcBorders>
            <w:shd w:val="clear" w:color="E3E3E3" w:fill="D9D9D9"/>
          </w:tcPr>
          <w:p w:rsidR="00ED6788" w:rsidRPr="002C0E8B" w:rsidRDefault="00ED6788" w:rsidP="00C25CC8">
            <w:pPr>
              <w:pStyle w:val="TableText"/>
              <w:keepNext/>
              <w:ind w:right="142"/>
              <w:jc w:val="right"/>
            </w:pPr>
            <w:r>
              <w:t>12,722</w:t>
            </w:r>
          </w:p>
        </w:tc>
        <w:tc>
          <w:tcPr>
            <w:tcW w:w="1488" w:type="dxa"/>
            <w:tcBorders>
              <w:top w:val="single" w:sz="4" w:space="0" w:color="auto"/>
            </w:tcBorders>
          </w:tcPr>
          <w:p w:rsidR="00ED6788" w:rsidRPr="00AF317E" w:rsidRDefault="00ED6788" w:rsidP="00C25CC8">
            <w:pPr>
              <w:pStyle w:val="TableText"/>
              <w:keepNext/>
              <w:ind w:right="142"/>
              <w:jc w:val="right"/>
            </w:pPr>
            <w:r>
              <w:t>14,230</w:t>
            </w:r>
          </w:p>
        </w:tc>
        <w:tc>
          <w:tcPr>
            <w:tcW w:w="1347" w:type="dxa"/>
            <w:tcBorders>
              <w:top w:val="single" w:sz="4" w:space="0" w:color="auto"/>
            </w:tcBorders>
          </w:tcPr>
          <w:p w:rsidR="00ED6788" w:rsidRPr="002C0E8B" w:rsidRDefault="00ED6788" w:rsidP="00C25CC8">
            <w:pPr>
              <w:pStyle w:val="TableText"/>
              <w:keepNext/>
              <w:jc w:val="right"/>
            </w:pPr>
            <w:r>
              <w:t>14,834</w:t>
            </w:r>
          </w:p>
        </w:tc>
      </w:tr>
      <w:tr w:rsidR="00ED6788" w:rsidRPr="002C0E8B" w:rsidTr="00C25CC8">
        <w:trPr>
          <w:cantSplit/>
        </w:trPr>
        <w:tc>
          <w:tcPr>
            <w:tcW w:w="1277" w:type="dxa"/>
            <w:tcBorders>
              <w:right w:val="nil"/>
            </w:tcBorders>
            <w:shd w:val="solid" w:color="FFFFFF" w:fill="auto"/>
          </w:tcPr>
          <w:p w:rsidR="00ED6788" w:rsidRPr="002C0E8B" w:rsidRDefault="00ED6788" w:rsidP="00DB1E11">
            <w:pPr>
              <w:pStyle w:val="TableText"/>
              <w:ind w:right="284"/>
              <w:jc w:val="right"/>
            </w:pPr>
            <w:r>
              <w:t>6018</w:t>
            </w:r>
          </w:p>
        </w:tc>
        <w:tc>
          <w:tcPr>
            <w:tcW w:w="3968" w:type="dxa"/>
            <w:tcBorders>
              <w:left w:val="nil"/>
            </w:tcBorders>
            <w:shd w:val="solid" w:color="FFFFFF" w:fill="auto"/>
          </w:tcPr>
          <w:p w:rsidR="00ED6788" w:rsidRPr="00824257" w:rsidRDefault="00ED6788" w:rsidP="00C25CC8">
            <w:pPr>
              <w:pStyle w:val="TableText"/>
              <w:keepNext/>
              <w:rPr>
                <w:rFonts w:cs="Arial"/>
                <w:szCs w:val="18"/>
              </w:rPr>
            </w:pPr>
            <w:r w:rsidRPr="00123C24">
              <w:rPr>
                <w:rFonts w:cs="Arial"/>
                <w:szCs w:val="18"/>
              </w:rPr>
              <w:t>Health Promotion Agency</w:t>
            </w:r>
          </w:p>
        </w:tc>
        <w:tc>
          <w:tcPr>
            <w:tcW w:w="1276" w:type="dxa"/>
            <w:shd w:val="clear" w:color="E3E3E3" w:fill="D9D9D9"/>
          </w:tcPr>
          <w:p w:rsidR="00ED6788" w:rsidRPr="002C0E8B" w:rsidRDefault="00ED6788" w:rsidP="00DB1E11">
            <w:pPr>
              <w:pStyle w:val="TableText"/>
              <w:ind w:right="142"/>
              <w:jc w:val="right"/>
            </w:pPr>
            <w:r>
              <w:t>5521</w:t>
            </w:r>
          </w:p>
        </w:tc>
        <w:tc>
          <w:tcPr>
            <w:tcW w:w="1488" w:type="dxa"/>
          </w:tcPr>
          <w:p w:rsidR="00ED6788" w:rsidRPr="00AF317E" w:rsidRDefault="00ED6788" w:rsidP="00DB1E11">
            <w:pPr>
              <w:pStyle w:val="TableText"/>
              <w:keepNext/>
              <w:ind w:right="142"/>
              <w:jc w:val="right"/>
            </w:pPr>
            <w:r>
              <w:t>4509</w:t>
            </w:r>
          </w:p>
        </w:tc>
        <w:tc>
          <w:tcPr>
            <w:tcW w:w="1347" w:type="dxa"/>
          </w:tcPr>
          <w:p w:rsidR="00ED6788" w:rsidRPr="002C0E8B" w:rsidRDefault="00ED6788" w:rsidP="00DB1E11">
            <w:pPr>
              <w:pStyle w:val="TableText"/>
              <w:jc w:val="right"/>
            </w:pPr>
            <w:r>
              <w:t>5521</w:t>
            </w:r>
          </w:p>
        </w:tc>
      </w:tr>
      <w:tr w:rsidR="00ED6788" w:rsidRPr="002C0E8B" w:rsidTr="00C25CC8">
        <w:trPr>
          <w:cantSplit/>
        </w:trPr>
        <w:tc>
          <w:tcPr>
            <w:tcW w:w="1277" w:type="dxa"/>
            <w:tcBorders>
              <w:right w:val="nil"/>
            </w:tcBorders>
            <w:shd w:val="solid" w:color="FFFFFF" w:fill="auto"/>
          </w:tcPr>
          <w:p w:rsidR="00ED6788" w:rsidRPr="002C0E8B" w:rsidRDefault="00DB1E11" w:rsidP="00DB1E11">
            <w:pPr>
              <w:pStyle w:val="TableText"/>
              <w:ind w:right="284"/>
              <w:jc w:val="right"/>
            </w:pPr>
            <w:r>
              <w:t>–</w:t>
            </w:r>
          </w:p>
        </w:tc>
        <w:tc>
          <w:tcPr>
            <w:tcW w:w="3968" w:type="dxa"/>
            <w:tcBorders>
              <w:left w:val="nil"/>
            </w:tcBorders>
            <w:shd w:val="solid" w:color="FFFFFF" w:fill="auto"/>
          </w:tcPr>
          <w:p w:rsidR="00ED6788" w:rsidRDefault="00ED6788" w:rsidP="00C25CC8">
            <w:pPr>
              <w:pStyle w:val="TableText"/>
              <w:keepNext/>
              <w:rPr>
                <w:rFonts w:cs="Arial"/>
                <w:szCs w:val="18"/>
              </w:rPr>
            </w:pPr>
            <w:r>
              <w:rPr>
                <w:rFonts w:cs="Arial"/>
                <w:szCs w:val="18"/>
              </w:rPr>
              <w:t>Environmental Science Research (ESR)</w:t>
            </w:r>
          </w:p>
        </w:tc>
        <w:tc>
          <w:tcPr>
            <w:tcW w:w="1276" w:type="dxa"/>
            <w:shd w:val="clear" w:color="E3E3E3" w:fill="D9D9D9"/>
          </w:tcPr>
          <w:p w:rsidR="00ED6788" w:rsidRPr="002C0E8B" w:rsidRDefault="00ED6788" w:rsidP="00DB1E11">
            <w:pPr>
              <w:pStyle w:val="TableText"/>
              <w:ind w:right="142"/>
              <w:jc w:val="right"/>
            </w:pPr>
            <w:r>
              <w:t>1710</w:t>
            </w:r>
          </w:p>
        </w:tc>
        <w:tc>
          <w:tcPr>
            <w:tcW w:w="1488" w:type="dxa"/>
          </w:tcPr>
          <w:p w:rsidR="00ED6788" w:rsidRPr="00AF317E" w:rsidRDefault="00DB1E11" w:rsidP="00DB1E11">
            <w:pPr>
              <w:pStyle w:val="TableText"/>
              <w:keepNext/>
              <w:ind w:right="142"/>
              <w:jc w:val="right"/>
            </w:pPr>
            <w:r>
              <w:t>–</w:t>
            </w:r>
          </w:p>
        </w:tc>
        <w:tc>
          <w:tcPr>
            <w:tcW w:w="1347" w:type="dxa"/>
          </w:tcPr>
          <w:p w:rsidR="00ED6788" w:rsidRPr="002C0E8B" w:rsidRDefault="00DB1E11" w:rsidP="00DB1E11">
            <w:pPr>
              <w:pStyle w:val="TableText"/>
              <w:jc w:val="right"/>
            </w:pPr>
            <w:r>
              <w:t>–</w:t>
            </w:r>
          </w:p>
        </w:tc>
      </w:tr>
      <w:tr w:rsidR="00ED6788" w:rsidRPr="002C0E8B" w:rsidTr="00C25CC8">
        <w:trPr>
          <w:cantSplit/>
        </w:trPr>
        <w:tc>
          <w:tcPr>
            <w:tcW w:w="1277" w:type="dxa"/>
            <w:tcBorders>
              <w:right w:val="nil"/>
            </w:tcBorders>
            <w:shd w:val="solid" w:color="FFFFFF" w:fill="auto"/>
          </w:tcPr>
          <w:p w:rsidR="00ED6788" w:rsidRPr="002C0E8B" w:rsidRDefault="00ED6788" w:rsidP="00DB1E11">
            <w:pPr>
              <w:pStyle w:val="TableText"/>
              <w:ind w:right="284"/>
              <w:jc w:val="right"/>
            </w:pPr>
            <w:r>
              <w:t>1110</w:t>
            </w:r>
          </w:p>
        </w:tc>
        <w:tc>
          <w:tcPr>
            <w:tcW w:w="3968" w:type="dxa"/>
            <w:tcBorders>
              <w:left w:val="nil"/>
            </w:tcBorders>
            <w:shd w:val="solid" w:color="FFFFFF" w:fill="auto"/>
          </w:tcPr>
          <w:p w:rsidR="00ED6788" w:rsidRPr="00123C24" w:rsidRDefault="00ED6788" w:rsidP="00DB1E11">
            <w:pPr>
              <w:pStyle w:val="TableText"/>
              <w:keepNext/>
              <w:rPr>
                <w:rFonts w:cs="Arial"/>
                <w:szCs w:val="18"/>
              </w:rPr>
            </w:pPr>
            <w:r>
              <w:rPr>
                <w:rFonts w:cs="Arial"/>
                <w:szCs w:val="18"/>
              </w:rPr>
              <w:t xml:space="preserve">Other Crown </w:t>
            </w:r>
            <w:r w:rsidR="00DB1E11">
              <w:rPr>
                <w:rFonts w:cs="Arial"/>
                <w:szCs w:val="18"/>
              </w:rPr>
              <w:t>entities</w:t>
            </w:r>
          </w:p>
        </w:tc>
        <w:tc>
          <w:tcPr>
            <w:tcW w:w="1276" w:type="dxa"/>
            <w:shd w:val="clear" w:color="E3E3E3" w:fill="D9D9D9"/>
          </w:tcPr>
          <w:p w:rsidR="00ED6788" w:rsidRPr="002C0E8B" w:rsidRDefault="00ED6788" w:rsidP="00C25CC8">
            <w:pPr>
              <w:pStyle w:val="TableText"/>
              <w:ind w:right="142"/>
              <w:jc w:val="right"/>
            </w:pPr>
            <w:r>
              <w:t>601</w:t>
            </w:r>
          </w:p>
        </w:tc>
        <w:tc>
          <w:tcPr>
            <w:tcW w:w="1488" w:type="dxa"/>
          </w:tcPr>
          <w:p w:rsidR="00ED6788" w:rsidRPr="00AF317E" w:rsidRDefault="00DB1E11" w:rsidP="00C25CC8">
            <w:pPr>
              <w:pStyle w:val="TableText"/>
              <w:keepNext/>
              <w:ind w:right="142"/>
              <w:jc w:val="right"/>
            </w:pPr>
            <w:r>
              <w:t>–</w:t>
            </w:r>
          </w:p>
        </w:tc>
        <w:tc>
          <w:tcPr>
            <w:tcW w:w="1347" w:type="dxa"/>
          </w:tcPr>
          <w:p w:rsidR="00ED6788" w:rsidRPr="002C0E8B" w:rsidRDefault="00DB1E11" w:rsidP="00DB1E11">
            <w:pPr>
              <w:pStyle w:val="TableText"/>
              <w:jc w:val="right"/>
            </w:pPr>
            <w:r>
              <w:t>–</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pPr>
            <w:r>
              <w:t>25,599</w:t>
            </w:r>
          </w:p>
        </w:tc>
        <w:tc>
          <w:tcPr>
            <w:tcW w:w="3968" w:type="dxa"/>
            <w:tcBorders>
              <w:left w:val="nil"/>
            </w:tcBorders>
            <w:shd w:val="solid" w:color="FFFFFF" w:fill="auto"/>
          </w:tcPr>
          <w:p w:rsidR="00ED6788" w:rsidRPr="002C0E8B" w:rsidRDefault="00ED6788" w:rsidP="00DB1E11">
            <w:pPr>
              <w:pStyle w:val="TableText"/>
              <w:keepNext/>
            </w:pPr>
            <w:r w:rsidRPr="00123C24">
              <w:rPr>
                <w:rFonts w:cs="Arial"/>
                <w:szCs w:val="18"/>
              </w:rPr>
              <w:t>Non-</w:t>
            </w:r>
            <w:r w:rsidR="00DB1E11">
              <w:rPr>
                <w:rFonts w:cs="Arial"/>
                <w:szCs w:val="18"/>
              </w:rPr>
              <w:t>g</w:t>
            </w:r>
            <w:r w:rsidRPr="00123C24">
              <w:rPr>
                <w:rFonts w:cs="Arial"/>
                <w:szCs w:val="18"/>
              </w:rPr>
              <w:t xml:space="preserve">overnment </w:t>
            </w:r>
            <w:r w:rsidR="00DB1E11">
              <w:rPr>
                <w:rFonts w:cs="Arial"/>
                <w:szCs w:val="18"/>
              </w:rPr>
              <w:t>o</w:t>
            </w:r>
            <w:r w:rsidRPr="00123C24">
              <w:rPr>
                <w:rFonts w:cs="Arial"/>
                <w:szCs w:val="18"/>
              </w:rPr>
              <w:t>rganisations</w:t>
            </w:r>
          </w:p>
        </w:tc>
        <w:tc>
          <w:tcPr>
            <w:tcW w:w="1276" w:type="dxa"/>
            <w:shd w:val="clear" w:color="E3E3E3" w:fill="D9D9D9"/>
          </w:tcPr>
          <w:p w:rsidR="00ED6788" w:rsidRPr="002C0E8B" w:rsidRDefault="00ED6788" w:rsidP="00C25CC8">
            <w:pPr>
              <w:pStyle w:val="TableText"/>
              <w:ind w:right="142"/>
              <w:jc w:val="right"/>
            </w:pPr>
            <w:r>
              <w:t>25,069</w:t>
            </w:r>
          </w:p>
        </w:tc>
        <w:tc>
          <w:tcPr>
            <w:tcW w:w="1488" w:type="dxa"/>
          </w:tcPr>
          <w:p w:rsidR="00ED6788" w:rsidRPr="00AF317E" w:rsidRDefault="00ED6788" w:rsidP="00C25CC8">
            <w:pPr>
              <w:pStyle w:val="TableText"/>
              <w:keepNext/>
              <w:ind w:right="142"/>
              <w:jc w:val="right"/>
            </w:pPr>
            <w:r>
              <w:t>37,137</w:t>
            </w:r>
          </w:p>
        </w:tc>
        <w:tc>
          <w:tcPr>
            <w:tcW w:w="1347" w:type="dxa"/>
          </w:tcPr>
          <w:p w:rsidR="00ED6788" w:rsidRPr="002C0E8B" w:rsidRDefault="00ED6788" w:rsidP="00C25CC8">
            <w:pPr>
              <w:pStyle w:val="TableText"/>
              <w:jc w:val="right"/>
            </w:pPr>
            <w:r>
              <w:t>25,784</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47,590</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003E5" w:rsidRDefault="00ED6788" w:rsidP="00C25CC8">
            <w:pPr>
              <w:pStyle w:val="TableText"/>
              <w:ind w:right="142"/>
              <w:jc w:val="right"/>
              <w:rPr>
                <w:b/>
              </w:rPr>
            </w:pPr>
            <w:r w:rsidRPr="002003E5">
              <w:rPr>
                <w:b/>
              </w:rPr>
              <w:t>45,623</w:t>
            </w:r>
          </w:p>
        </w:tc>
        <w:tc>
          <w:tcPr>
            <w:tcW w:w="1488" w:type="dxa"/>
          </w:tcPr>
          <w:p w:rsidR="00ED6788" w:rsidRPr="00E614E5" w:rsidRDefault="00ED6788" w:rsidP="00C25CC8">
            <w:pPr>
              <w:pStyle w:val="TableText"/>
              <w:keepNext/>
              <w:ind w:right="142"/>
              <w:jc w:val="right"/>
              <w:rPr>
                <w:b/>
              </w:rPr>
            </w:pPr>
            <w:r w:rsidRPr="00E614E5">
              <w:rPr>
                <w:b/>
              </w:rPr>
              <w:t>55,876</w:t>
            </w:r>
          </w:p>
        </w:tc>
        <w:tc>
          <w:tcPr>
            <w:tcW w:w="1347" w:type="dxa"/>
          </w:tcPr>
          <w:p w:rsidR="00ED6788" w:rsidRPr="002C0E8B" w:rsidRDefault="00ED6788" w:rsidP="00C25CC8">
            <w:pPr>
              <w:pStyle w:val="TableText"/>
              <w:jc w:val="right"/>
              <w:rPr>
                <w:b/>
              </w:rPr>
            </w:pPr>
            <w:r>
              <w:rPr>
                <w:b/>
              </w:rPr>
              <w:t>46,139</w:t>
            </w:r>
          </w:p>
        </w:tc>
      </w:tr>
    </w:tbl>
    <w:p w:rsidR="00ED6788" w:rsidRDefault="00ED6788" w:rsidP="00DB1E11">
      <w:pPr>
        <w:rPr>
          <w:highlight w:val="yellow"/>
        </w:rPr>
      </w:pPr>
    </w:p>
    <w:p w:rsidR="00ED6788" w:rsidRDefault="00ED6788" w:rsidP="00DB1E11">
      <w:pPr>
        <w:pStyle w:val="Heading3"/>
      </w:pPr>
      <w:r w:rsidRPr="007A1F5B">
        <w:t>Comments</w:t>
      </w:r>
    </w:p>
    <w:p w:rsidR="000845D9" w:rsidRDefault="00ED6788" w:rsidP="00DB1E11">
      <w:r w:rsidRPr="003F0E34">
        <w:t>The underspend of $10</w:t>
      </w:r>
      <w:r>
        <w:t>.253 million against</w:t>
      </w:r>
      <w:r w:rsidRPr="003F0E34">
        <w:t xml:space="preserve"> the</w:t>
      </w:r>
      <w:r>
        <w:t xml:space="preserve"> Main Estimates</w:t>
      </w:r>
      <w:r w:rsidRPr="003F0E34">
        <w:t xml:space="preserve"> </w:t>
      </w:r>
      <w:r>
        <w:t>(18 percent of appropriation) mainly relates</w:t>
      </w:r>
      <w:r w:rsidRPr="003F0E34">
        <w:t xml:space="preserve"> to funding transferred to other Votes and</w:t>
      </w:r>
      <w:r>
        <w:t>/</w:t>
      </w:r>
      <w:r w:rsidRPr="003F0E34">
        <w:t xml:space="preserve">or years: $6.8 million for the Specialist Sexual Violence Sector and Youth One Stop Shops </w:t>
      </w:r>
      <w:r>
        <w:t xml:space="preserve">was transferred </w:t>
      </w:r>
      <w:r w:rsidRPr="003F0E34">
        <w:t>to Vote Social Development and $3 million for Youth Forensic Services was transferred to 2015/16.</w:t>
      </w:r>
    </w:p>
    <w:p w:rsidR="00ED6788" w:rsidRDefault="00ED6788" w:rsidP="00DB1E11">
      <w:pPr>
        <w:rPr>
          <w:highlight w:val="yellow"/>
        </w:rPr>
      </w:pPr>
    </w:p>
    <w:p w:rsidR="00054C4F" w:rsidRDefault="00054C4F">
      <w:pPr>
        <w:spacing w:line="240" w:lineRule="auto"/>
        <w:rPr>
          <w:b/>
          <w:sz w:val="40"/>
        </w:rPr>
      </w:pPr>
      <w:bookmarkStart w:id="37" w:name="_Toc432765754"/>
      <w:r>
        <w:br w:type="page"/>
      </w:r>
    </w:p>
    <w:p w:rsidR="000845D9" w:rsidRDefault="00ED6788" w:rsidP="00DB1E11">
      <w:pPr>
        <w:pStyle w:val="Heading2"/>
      </w:pPr>
      <w:bookmarkStart w:id="38" w:name="_Toc433713787"/>
      <w:r w:rsidRPr="000C7904">
        <w:lastRenderedPageBreak/>
        <w:t xml:space="preserve">National </w:t>
      </w:r>
      <w:r w:rsidR="00CC71A7">
        <w:t>p</w:t>
      </w:r>
      <w:r w:rsidRPr="000C7904">
        <w:t xml:space="preserve">ersonal </w:t>
      </w:r>
      <w:r w:rsidR="00CC71A7">
        <w:t>h</w:t>
      </w:r>
      <w:r w:rsidRPr="000C7904">
        <w:t xml:space="preserve">ealth </w:t>
      </w:r>
      <w:r w:rsidR="00CC71A7">
        <w:t>s</w:t>
      </w:r>
      <w:r w:rsidRPr="000C7904">
        <w:t>ervices</w:t>
      </w:r>
      <w:bookmarkEnd w:id="37"/>
      <w:bookmarkEnd w:id="38"/>
    </w:p>
    <w:p w:rsidR="00ED6788" w:rsidRDefault="00ED6788" w:rsidP="00DB1E11">
      <w:r w:rsidRPr="00926CC4">
        <w:t>This appropriation is limited to personal health</w:t>
      </w:r>
      <w:r w:rsidR="00CC71A7">
        <w:t xml:space="preserve"> </w:t>
      </w:r>
      <w:r w:rsidRPr="00926CC4">
        <w:t>care and support services purchased directly by the Crown, including mobile surgical services, telephone and online advice services, hospice services, sexual and reproductive health services, and services associated with the implementation of the Oral Health and Cancer Strategies</w:t>
      </w:r>
      <w:r>
        <w:t>.</w:t>
      </w:r>
      <w:r w:rsidRPr="00926CC4">
        <w:t xml:space="preserve"> </w:t>
      </w:r>
      <w:r>
        <w:t>It</w:t>
      </w:r>
      <w:r w:rsidRPr="00926CC4">
        <w:t xml:space="preserve"> is intended to </w:t>
      </w:r>
      <w:r>
        <w:t>ensure</w:t>
      </w:r>
      <w:r w:rsidRPr="00926CC4">
        <w:t xml:space="preserve"> people are supported with the identification, management, and treatment of personal health conditions (for example, treatment for cancer, and hospice services).</w:t>
      </w:r>
    </w:p>
    <w:p w:rsidR="00ED6788" w:rsidRDefault="00ED6788" w:rsidP="00DB1E11"/>
    <w:p w:rsidR="00ED6788" w:rsidRDefault="00ED6788" w:rsidP="00DB1E11">
      <w:r>
        <w:t>The</w:t>
      </w:r>
      <w:r w:rsidRPr="00B43562">
        <w:t xml:space="preserve"> National Personal Health Services</w:t>
      </w:r>
      <w:r w:rsidR="000845D9">
        <w:t xml:space="preserve"> </w:t>
      </w:r>
      <w:r>
        <w:t>appropriation is intended to achieve a number of outcomes for personal health services:</w:t>
      </w:r>
    </w:p>
    <w:p w:rsidR="000845D9" w:rsidRDefault="00ED6788" w:rsidP="00DB1E11">
      <w:pPr>
        <w:pStyle w:val="Bullet"/>
      </w:pPr>
      <w:r>
        <w:t>health information and recommendations of appropriate care for telephone callers with symptoms</w:t>
      </w:r>
    </w:p>
    <w:p w:rsidR="00ED6788" w:rsidRDefault="00ED6788" w:rsidP="00DB1E11">
      <w:pPr>
        <w:pStyle w:val="Bullet"/>
      </w:pPr>
      <w:r>
        <w:t>comprehensive, quality services for people living in rural areas</w:t>
      </w:r>
    </w:p>
    <w:p w:rsidR="00ED6788" w:rsidRDefault="00ED6788" w:rsidP="00DB1E11">
      <w:pPr>
        <w:pStyle w:val="Bullet"/>
      </w:pPr>
      <w:r>
        <w:t>an improvement across the cancer pathway which will contribute to better overall cancer outcomes</w:t>
      </w:r>
    </w:p>
    <w:p w:rsidR="00ED6788" w:rsidRDefault="00ED6788" w:rsidP="00DB1E11">
      <w:pPr>
        <w:pStyle w:val="Bullet"/>
      </w:pPr>
      <w:r>
        <w:t>a systematic approach to comprehensive geriatric assessment in New Zealand</w:t>
      </w:r>
    </w:p>
    <w:p w:rsidR="00ED6788" w:rsidRDefault="00ED6788" w:rsidP="00DB1E11">
      <w:pPr>
        <w:pStyle w:val="Bullet"/>
      </w:pPr>
      <w:r>
        <w:t>one-off treatments not otherwise funded by the public health system</w:t>
      </w:r>
    </w:p>
    <w:p w:rsidR="00ED6788" w:rsidRDefault="00ED6788" w:rsidP="00DB1E11">
      <w:pPr>
        <w:pStyle w:val="Bullet"/>
      </w:pPr>
      <w:r>
        <w:t>identifying and continuing to improve cardiac</w:t>
      </w:r>
      <w:r w:rsidR="00CC71A7">
        <w:t>-</w:t>
      </w:r>
      <w:r>
        <w:t>related services in New Zealand</w:t>
      </w:r>
    </w:p>
    <w:p w:rsidR="00ED6788" w:rsidRDefault="00ED6788" w:rsidP="00DB1E11">
      <w:pPr>
        <w:pStyle w:val="Bullet"/>
      </w:pPr>
      <w:r>
        <w:t>sustainable growth in transplants.</w:t>
      </w:r>
    </w:p>
    <w:p w:rsidR="00ED6788" w:rsidRPr="003756B9" w:rsidRDefault="00ED6788" w:rsidP="00DB1E11"/>
    <w:p w:rsidR="00ED6788" w:rsidRPr="003756B9" w:rsidRDefault="00ED6788" w:rsidP="00DB1E11">
      <w:pPr>
        <w:pStyle w:val="Heading3"/>
      </w:pPr>
      <w:r>
        <w:t>Summary of output performance</w:t>
      </w:r>
    </w:p>
    <w:tbl>
      <w:tblPr>
        <w:tblW w:w="494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3"/>
        <w:gridCol w:w="5997"/>
        <w:gridCol w:w="1035"/>
        <w:gridCol w:w="1118"/>
      </w:tblGrid>
      <w:tr w:rsidR="00ED6788" w:rsidRPr="00E16661" w:rsidTr="00C25CC8">
        <w:trPr>
          <w:cantSplit/>
          <w:tblHeader/>
        </w:trPr>
        <w:tc>
          <w:tcPr>
            <w:tcW w:w="591" w:type="pct"/>
            <w:tcBorders>
              <w:top w:val="single" w:sz="4" w:space="0" w:color="auto"/>
              <w:bottom w:val="single" w:sz="4" w:space="0" w:color="auto"/>
            </w:tcBorders>
          </w:tcPr>
          <w:p w:rsidR="00ED6788" w:rsidRPr="00E16661" w:rsidRDefault="00ED6788" w:rsidP="00C25CC8">
            <w:pPr>
              <w:pStyle w:val="TableText"/>
              <w:ind w:right="284"/>
              <w:jc w:val="right"/>
              <w:rPr>
                <w:b/>
              </w:rPr>
            </w:pPr>
            <w:r w:rsidRPr="00E16661">
              <w:rPr>
                <w:b/>
              </w:rPr>
              <w:t>Actual 201</w:t>
            </w:r>
            <w:r>
              <w:rPr>
                <w:b/>
              </w:rPr>
              <w:t>3/14</w:t>
            </w:r>
          </w:p>
        </w:tc>
        <w:tc>
          <w:tcPr>
            <w:tcW w:w="3244" w:type="pct"/>
            <w:tcBorders>
              <w:top w:val="single" w:sz="4" w:space="0" w:color="auto"/>
              <w:bottom w:val="single" w:sz="4" w:space="0" w:color="auto"/>
            </w:tcBorders>
          </w:tcPr>
          <w:p w:rsidR="00ED6788" w:rsidRPr="00E16661" w:rsidRDefault="00ED6788" w:rsidP="00C25CC8">
            <w:pPr>
              <w:pStyle w:val="TableText"/>
              <w:rPr>
                <w:b/>
              </w:rPr>
            </w:pPr>
            <w:r w:rsidRPr="00E16661">
              <w:rPr>
                <w:b/>
              </w:rPr>
              <w:t>Performance measure</w:t>
            </w:r>
          </w:p>
        </w:tc>
        <w:tc>
          <w:tcPr>
            <w:tcW w:w="560" w:type="pct"/>
            <w:tcBorders>
              <w:top w:val="single" w:sz="4" w:space="0" w:color="auto"/>
              <w:bottom w:val="single" w:sz="4" w:space="0" w:color="auto"/>
            </w:tcBorders>
          </w:tcPr>
          <w:p w:rsidR="00ED6788" w:rsidRPr="00E16661" w:rsidRDefault="00ED6788" w:rsidP="00C25CC8">
            <w:pPr>
              <w:pStyle w:val="TableT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605" w:type="pct"/>
            <w:tcBorders>
              <w:top w:val="single" w:sz="4" w:space="0" w:color="auto"/>
              <w:bottom w:val="single" w:sz="4" w:space="0" w:color="auto"/>
            </w:tcBorders>
            <w:shd w:val="clear" w:color="auto" w:fill="D9D9D9"/>
          </w:tcPr>
          <w:p w:rsidR="00ED6788" w:rsidRPr="00E16661" w:rsidRDefault="00ED6788" w:rsidP="00C25CC8">
            <w:pPr>
              <w:pStyle w:val="TableT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C25CC8">
        <w:trPr>
          <w:cantSplit/>
        </w:trPr>
        <w:tc>
          <w:tcPr>
            <w:tcW w:w="591" w:type="pct"/>
            <w:tcBorders>
              <w:top w:val="single" w:sz="4" w:space="0" w:color="auto"/>
            </w:tcBorders>
          </w:tcPr>
          <w:p w:rsidR="00ED6788" w:rsidRPr="002C0E8B" w:rsidRDefault="00ED6788" w:rsidP="00C25CC8">
            <w:pPr>
              <w:pStyle w:val="TableText"/>
              <w:ind w:right="284"/>
              <w:jc w:val="right"/>
              <w:rPr>
                <w:bCs/>
                <w:lang w:eastAsia="en-NZ"/>
              </w:rPr>
            </w:pPr>
          </w:p>
        </w:tc>
        <w:tc>
          <w:tcPr>
            <w:tcW w:w="3244" w:type="pct"/>
            <w:tcBorders>
              <w:top w:val="single" w:sz="4" w:space="0" w:color="auto"/>
            </w:tcBorders>
          </w:tcPr>
          <w:p w:rsidR="00ED6788" w:rsidRPr="00676705" w:rsidRDefault="00ED6788" w:rsidP="00DB1E11">
            <w:pPr>
              <w:pStyle w:val="TableText"/>
              <w:rPr>
                <w:b/>
                <w:bCs/>
                <w:lang w:eastAsia="en-NZ"/>
              </w:rPr>
            </w:pPr>
            <w:r w:rsidRPr="00676705">
              <w:rPr>
                <w:b/>
                <w:bCs/>
                <w:lang w:eastAsia="en-NZ"/>
              </w:rPr>
              <w:t xml:space="preserve">Nationally </w:t>
            </w:r>
            <w:r w:rsidR="00DB1E11">
              <w:rPr>
                <w:b/>
                <w:bCs/>
                <w:lang w:eastAsia="en-NZ"/>
              </w:rPr>
              <w:t>p</w:t>
            </w:r>
            <w:r w:rsidRPr="00676705">
              <w:rPr>
                <w:b/>
                <w:bCs/>
                <w:lang w:eastAsia="en-NZ"/>
              </w:rPr>
              <w:t xml:space="preserve">urchased </w:t>
            </w:r>
            <w:r w:rsidR="00DB1E11">
              <w:rPr>
                <w:b/>
                <w:bCs/>
                <w:lang w:eastAsia="en-NZ"/>
              </w:rPr>
              <w:t>p</w:t>
            </w:r>
            <w:r w:rsidRPr="00676705">
              <w:rPr>
                <w:b/>
                <w:bCs/>
                <w:lang w:eastAsia="en-NZ"/>
              </w:rPr>
              <w:t xml:space="preserve">ersonal </w:t>
            </w:r>
            <w:r w:rsidR="00DB1E11">
              <w:rPr>
                <w:b/>
                <w:bCs/>
                <w:lang w:eastAsia="en-NZ"/>
              </w:rPr>
              <w:t>h</w:t>
            </w:r>
            <w:r w:rsidRPr="00676705">
              <w:rPr>
                <w:b/>
                <w:bCs/>
                <w:lang w:eastAsia="en-NZ"/>
              </w:rPr>
              <w:t>ealth</w:t>
            </w:r>
          </w:p>
        </w:tc>
        <w:tc>
          <w:tcPr>
            <w:tcW w:w="560" w:type="pct"/>
            <w:tcBorders>
              <w:top w:val="single" w:sz="4" w:space="0" w:color="auto"/>
            </w:tcBorders>
          </w:tcPr>
          <w:p w:rsidR="00ED6788" w:rsidRPr="002C0E8B" w:rsidRDefault="00ED6788" w:rsidP="00C25CC8">
            <w:pPr>
              <w:pStyle w:val="TableText"/>
              <w:ind w:right="142"/>
              <w:jc w:val="right"/>
            </w:pPr>
          </w:p>
        </w:tc>
        <w:tc>
          <w:tcPr>
            <w:tcW w:w="605" w:type="pct"/>
            <w:tcBorders>
              <w:top w:val="single" w:sz="4" w:space="0" w:color="auto"/>
            </w:tcBorders>
            <w:shd w:val="clear" w:color="auto" w:fill="D9D9D9"/>
          </w:tcPr>
          <w:p w:rsidR="00ED6788" w:rsidRPr="002C0E8B" w:rsidRDefault="00ED6788" w:rsidP="00C25CC8">
            <w:pPr>
              <w:pStyle w:val="TableText"/>
              <w:ind w:right="142"/>
              <w:jc w:val="right"/>
            </w:pPr>
          </w:p>
        </w:tc>
      </w:tr>
      <w:tr w:rsidR="00ED6788" w:rsidRPr="002C0E8B" w:rsidTr="00C25CC8">
        <w:trPr>
          <w:cantSplit/>
        </w:trPr>
        <w:tc>
          <w:tcPr>
            <w:tcW w:w="591" w:type="pct"/>
          </w:tcPr>
          <w:p w:rsidR="00ED6788" w:rsidRPr="002C0E8B" w:rsidRDefault="00ED6788" w:rsidP="00DB1E11">
            <w:pPr>
              <w:pStyle w:val="TableText"/>
              <w:spacing w:before="0"/>
              <w:ind w:right="284"/>
              <w:jc w:val="right"/>
            </w:pPr>
          </w:p>
        </w:tc>
        <w:tc>
          <w:tcPr>
            <w:tcW w:w="3244" w:type="pct"/>
          </w:tcPr>
          <w:p w:rsidR="00ED6788" w:rsidRPr="00676705" w:rsidRDefault="00ED6788" w:rsidP="00DB1E11">
            <w:pPr>
              <w:pStyle w:val="TableText"/>
              <w:spacing w:before="0"/>
              <w:rPr>
                <w:b/>
                <w:bCs/>
                <w:i/>
                <w:lang w:eastAsia="en-NZ"/>
              </w:rPr>
            </w:pPr>
            <w:r w:rsidRPr="00676705">
              <w:rPr>
                <w:b/>
                <w:bCs/>
                <w:i/>
                <w:lang w:eastAsia="en-NZ"/>
              </w:rPr>
              <w:t>National telephone triage and health advice services (Healthline)</w:t>
            </w:r>
          </w:p>
        </w:tc>
        <w:tc>
          <w:tcPr>
            <w:tcW w:w="560" w:type="pct"/>
          </w:tcPr>
          <w:p w:rsidR="00ED6788" w:rsidRPr="002C0E8B" w:rsidRDefault="00ED6788" w:rsidP="00DB1E11">
            <w:pPr>
              <w:pStyle w:val="TableText"/>
              <w:spacing w:before="0"/>
              <w:ind w:right="142"/>
              <w:jc w:val="right"/>
            </w:pPr>
          </w:p>
        </w:tc>
        <w:tc>
          <w:tcPr>
            <w:tcW w:w="605" w:type="pct"/>
            <w:shd w:val="clear" w:color="auto" w:fill="D9D9D9"/>
          </w:tcPr>
          <w:p w:rsidR="00ED6788" w:rsidRPr="00D155EF" w:rsidRDefault="00ED6788" w:rsidP="00DB1E11">
            <w:pPr>
              <w:pStyle w:val="TableText"/>
              <w:spacing w:before="0"/>
              <w:ind w:right="142"/>
              <w:jc w:val="right"/>
            </w:pPr>
          </w:p>
        </w:tc>
      </w:tr>
      <w:tr w:rsidR="00ED6788" w:rsidRPr="00652BC7" w:rsidTr="00C25CC8">
        <w:trPr>
          <w:cantSplit/>
        </w:trPr>
        <w:tc>
          <w:tcPr>
            <w:tcW w:w="591" w:type="pct"/>
          </w:tcPr>
          <w:p w:rsidR="00ED6788" w:rsidRPr="002C0E8B" w:rsidRDefault="00ED6788" w:rsidP="00DB1E11">
            <w:pPr>
              <w:pStyle w:val="TableText"/>
              <w:spacing w:before="0"/>
              <w:ind w:right="284"/>
              <w:jc w:val="right"/>
            </w:pPr>
            <w:r>
              <w:t>100%</w:t>
            </w:r>
          </w:p>
        </w:tc>
        <w:tc>
          <w:tcPr>
            <w:tcW w:w="3244" w:type="pct"/>
          </w:tcPr>
          <w:p w:rsidR="00ED6788" w:rsidRPr="000813F2" w:rsidRDefault="00ED6788" w:rsidP="00DB1E11">
            <w:pPr>
              <w:pStyle w:val="TableText"/>
              <w:spacing w:before="0"/>
            </w:pPr>
            <w:r w:rsidRPr="000813F2">
              <w:t>Phone line service is available 24/7</w:t>
            </w:r>
          </w:p>
        </w:tc>
        <w:tc>
          <w:tcPr>
            <w:tcW w:w="560" w:type="pct"/>
          </w:tcPr>
          <w:p w:rsidR="00ED6788" w:rsidRPr="00060957" w:rsidRDefault="00ED6788" w:rsidP="00DB1E11">
            <w:pPr>
              <w:pStyle w:val="TableText"/>
              <w:spacing w:before="0"/>
              <w:ind w:right="142"/>
              <w:jc w:val="right"/>
            </w:pPr>
            <w:r w:rsidRPr="00060957">
              <w:t>99%</w:t>
            </w:r>
          </w:p>
        </w:tc>
        <w:tc>
          <w:tcPr>
            <w:tcW w:w="605" w:type="pct"/>
            <w:shd w:val="clear" w:color="auto" w:fill="D9D9D9"/>
          </w:tcPr>
          <w:p w:rsidR="00ED6788" w:rsidRPr="00652BC7" w:rsidRDefault="00ED6788" w:rsidP="00DB1E11">
            <w:pPr>
              <w:pStyle w:val="TableText"/>
              <w:spacing w:before="0"/>
              <w:ind w:right="142"/>
              <w:jc w:val="right"/>
              <w:rPr>
                <w:highlight w:val="yellow"/>
              </w:rPr>
            </w:pPr>
            <w:r w:rsidRPr="00BD4482">
              <w:t>100%</w:t>
            </w:r>
          </w:p>
        </w:tc>
      </w:tr>
      <w:tr w:rsidR="00ED6788" w:rsidRPr="002C0E8B" w:rsidTr="00C25CC8">
        <w:trPr>
          <w:cantSplit/>
        </w:trPr>
        <w:tc>
          <w:tcPr>
            <w:tcW w:w="591" w:type="pct"/>
          </w:tcPr>
          <w:p w:rsidR="00ED6788" w:rsidRDefault="00ED6788" w:rsidP="00DB1E11">
            <w:pPr>
              <w:pStyle w:val="TableText"/>
              <w:spacing w:before="0"/>
              <w:ind w:right="284"/>
              <w:jc w:val="right"/>
            </w:pPr>
            <w:r>
              <w:t>6.3%</w:t>
            </w:r>
          </w:p>
        </w:tc>
        <w:tc>
          <w:tcPr>
            <w:tcW w:w="3244" w:type="pct"/>
          </w:tcPr>
          <w:p w:rsidR="00ED6788" w:rsidRPr="000813F2" w:rsidRDefault="00ED6788" w:rsidP="00DB1E11">
            <w:pPr>
              <w:pStyle w:val="TableText"/>
              <w:spacing w:before="0"/>
            </w:pPr>
            <w:r w:rsidRPr="000813F2">
              <w:t>Call abandonment rate (percentage of calls offered)</w:t>
            </w:r>
          </w:p>
        </w:tc>
        <w:tc>
          <w:tcPr>
            <w:tcW w:w="560" w:type="pct"/>
          </w:tcPr>
          <w:p w:rsidR="00ED6788" w:rsidRPr="00060957" w:rsidRDefault="00ED6788" w:rsidP="00DB1E11">
            <w:pPr>
              <w:pStyle w:val="TableText"/>
              <w:spacing w:before="0"/>
              <w:ind w:right="142"/>
              <w:jc w:val="right"/>
            </w:pPr>
            <w:r>
              <w:t>&lt;</w:t>
            </w:r>
            <w:r w:rsidRPr="00060957">
              <w:t>10%</w:t>
            </w:r>
          </w:p>
        </w:tc>
        <w:tc>
          <w:tcPr>
            <w:tcW w:w="605" w:type="pct"/>
            <w:shd w:val="clear" w:color="auto" w:fill="D9D9D9"/>
          </w:tcPr>
          <w:p w:rsidR="00ED6788" w:rsidRPr="00BF4E33" w:rsidRDefault="00ED6788" w:rsidP="00DB1E11">
            <w:pPr>
              <w:pStyle w:val="TableText"/>
              <w:spacing w:before="0"/>
              <w:ind w:right="142"/>
              <w:jc w:val="right"/>
            </w:pPr>
            <w:r>
              <w:t>8</w:t>
            </w:r>
            <w:r w:rsidRPr="00BF4E33">
              <w:t>%</w:t>
            </w:r>
          </w:p>
        </w:tc>
      </w:tr>
      <w:tr w:rsidR="00ED6788" w:rsidRPr="002C0E8B" w:rsidTr="00C25CC8">
        <w:trPr>
          <w:cantSplit/>
        </w:trPr>
        <w:tc>
          <w:tcPr>
            <w:tcW w:w="591" w:type="pct"/>
          </w:tcPr>
          <w:p w:rsidR="00ED6788" w:rsidRDefault="00ED6788" w:rsidP="00DB1E11">
            <w:pPr>
              <w:pStyle w:val="TableText"/>
              <w:spacing w:before="0"/>
              <w:ind w:right="284"/>
              <w:jc w:val="right"/>
            </w:pPr>
            <w:r>
              <w:t>81.2%</w:t>
            </w:r>
          </w:p>
        </w:tc>
        <w:tc>
          <w:tcPr>
            <w:tcW w:w="3244" w:type="pct"/>
          </w:tcPr>
          <w:p w:rsidR="00ED6788" w:rsidRPr="000813F2" w:rsidRDefault="00ED6788" w:rsidP="00DB1E11">
            <w:pPr>
              <w:pStyle w:val="TableText"/>
              <w:spacing w:before="0"/>
            </w:pPr>
            <w:r w:rsidRPr="000813F2">
              <w:t>Percentage of calls answered within 20 seconds</w:t>
            </w:r>
          </w:p>
        </w:tc>
        <w:tc>
          <w:tcPr>
            <w:tcW w:w="560" w:type="pct"/>
          </w:tcPr>
          <w:p w:rsidR="00ED6788" w:rsidRPr="00060957" w:rsidRDefault="00ED6788" w:rsidP="00DB1E11">
            <w:pPr>
              <w:pStyle w:val="TableText"/>
              <w:spacing w:before="0"/>
              <w:ind w:right="142"/>
              <w:jc w:val="right"/>
            </w:pPr>
            <w:r w:rsidRPr="00060957">
              <w:t>&gt;80%</w:t>
            </w:r>
          </w:p>
        </w:tc>
        <w:tc>
          <w:tcPr>
            <w:tcW w:w="605" w:type="pct"/>
            <w:shd w:val="clear" w:color="auto" w:fill="D9D9D9"/>
          </w:tcPr>
          <w:p w:rsidR="00ED6788" w:rsidRPr="00BF4E33" w:rsidRDefault="00ED6788" w:rsidP="00DB1E11">
            <w:pPr>
              <w:pStyle w:val="TableText"/>
              <w:spacing w:before="0"/>
              <w:ind w:right="142"/>
              <w:jc w:val="right"/>
            </w:pPr>
            <w:r>
              <w:t>84</w:t>
            </w:r>
            <w:r w:rsidRPr="00BF4E33">
              <w:t>%</w:t>
            </w:r>
          </w:p>
        </w:tc>
      </w:tr>
      <w:tr w:rsidR="00ED6788" w:rsidRPr="002C0E8B" w:rsidTr="00DB1E11">
        <w:trPr>
          <w:cantSplit/>
        </w:trPr>
        <w:tc>
          <w:tcPr>
            <w:tcW w:w="591" w:type="pct"/>
            <w:tcBorders>
              <w:bottom w:val="nil"/>
            </w:tcBorders>
          </w:tcPr>
          <w:p w:rsidR="00ED6788" w:rsidRDefault="00ED6788" w:rsidP="00DB1E11">
            <w:pPr>
              <w:pStyle w:val="TableText"/>
              <w:spacing w:before="0"/>
              <w:ind w:right="284"/>
              <w:jc w:val="right"/>
            </w:pPr>
            <w:r>
              <w:t>99%</w:t>
            </w:r>
          </w:p>
        </w:tc>
        <w:tc>
          <w:tcPr>
            <w:tcW w:w="3244" w:type="pct"/>
            <w:tcBorders>
              <w:bottom w:val="nil"/>
            </w:tcBorders>
          </w:tcPr>
          <w:p w:rsidR="00ED6788" w:rsidRDefault="00ED6788" w:rsidP="00DB1E11">
            <w:pPr>
              <w:pStyle w:val="TableText"/>
              <w:spacing w:before="0"/>
            </w:pPr>
            <w:r w:rsidRPr="000813F2">
              <w:t>Percentage of surveyed callers satisfied or very satisfied with the Healthline service</w:t>
            </w:r>
          </w:p>
        </w:tc>
        <w:tc>
          <w:tcPr>
            <w:tcW w:w="560" w:type="pct"/>
            <w:tcBorders>
              <w:bottom w:val="nil"/>
            </w:tcBorders>
          </w:tcPr>
          <w:p w:rsidR="00ED6788" w:rsidRDefault="00ED6788" w:rsidP="00DB1E11">
            <w:pPr>
              <w:pStyle w:val="TableText"/>
              <w:spacing w:before="0"/>
              <w:ind w:right="142"/>
              <w:jc w:val="right"/>
            </w:pPr>
            <w:r w:rsidRPr="00060957">
              <w:t>&gt;95%</w:t>
            </w:r>
          </w:p>
        </w:tc>
        <w:tc>
          <w:tcPr>
            <w:tcW w:w="605" w:type="pct"/>
            <w:tcBorders>
              <w:bottom w:val="nil"/>
            </w:tcBorders>
            <w:shd w:val="clear" w:color="auto" w:fill="D9D9D9"/>
          </w:tcPr>
          <w:p w:rsidR="00ED6788" w:rsidRDefault="00ED6788" w:rsidP="00DB1E11">
            <w:pPr>
              <w:pStyle w:val="TableText"/>
              <w:spacing w:before="0"/>
              <w:ind w:right="142"/>
              <w:jc w:val="right"/>
            </w:pPr>
            <w:r>
              <w:t>98.5%</w:t>
            </w:r>
          </w:p>
        </w:tc>
      </w:tr>
      <w:tr w:rsidR="00ED6788" w:rsidRPr="002C0E8B" w:rsidTr="00DB1E11">
        <w:trPr>
          <w:cantSplit/>
        </w:trPr>
        <w:tc>
          <w:tcPr>
            <w:tcW w:w="591" w:type="pct"/>
            <w:tcBorders>
              <w:top w:val="nil"/>
              <w:bottom w:val="nil"/>
            </w:tcBorders>
          </w:tcPr>
          <w:p w:rsidR="00ED6788" w:rsidRPr="002C0E8B" w:rsidRDefault="00ED6788" w:rsidP="00C25CC8">
            <w:pPr>
              <w:pStyle w:val="TableText"/>
              <w:ind w:right="284"/>
              <w:jc w:val="right"/>
              <w:rPr>
                <w:bCs/>
                <w:lang w:eastAsia="en-NZ"/>
              </w:rPr>
            </w:pPr>
          </w:p>
        </w:tc>
        <w:tc>
          <w:tcPr>
            <w:tcW w:w="3244" w:type="pct"/>
            <w:tcBorders>
              <w:top w:val="nil"/>
              <w:bottom w:val="nil"/>
            </w:tcBorders>
          </w:tcPr>
          <w:p w:rsidR="00ED6788" w:rsidRPr="00AB69C4" w:rsidRDefault="00ED6788" w:rsidP="00DB1E11">
            <w:pPr>
              <w:pStyle w:val="TableText"/>
              <w:rPr>
                <w:b/>
              </w:rPr>
            </w:pPr>
            <w:r w:rsidRPr="00676705">
              <w:rPr>
                <w:b/>
                <w:bCs/>
                <w:lang w:eastAsia="en-NZ"/>
              </w:rPr>
              <w:t xml:space="preserve">Mobile </w:t>
            </w:r>
            <w:r w:rsidR="00DB1E11">
              <w:rPr>
                <w:b/>
                <w:bCs/>
                <w:lang w:eastAsia="en-NZ"/>
              </w:rPr>
              <w:t>s</w:t>
            </w:r>
            <w:r w:rsidRPr="00676705">
              <w:rPr>
                <w:b/>
                <w:bCs/>
                <w:lang w:eastAsia="en-NZ"/>
              </w:rPr>
              <w:t xml:space="preserve">urgical </w:t>
            </w:r>
            <w:r w:rsidR="00DB1E11">
              <w:rPr>
                <w:b/>
                <w:bCs/>
                <w:lang w:eastAsia="en-NZ"/>
              </w:rPr>
              <w:t>s</w:t>
            </w:r>
            <w:r w:rsidRPr="00676705">
              <w:rPr>
                <w:b/>
                <w:bCs/>
                <w:lang w:eastAsia="en-NZ"/>
              </w:rPr>
              <w:t>ervices</w:t>
            </w:r>
          </w:p>
        </w:tc>
        <w:tc>
          <w:tcPr>
            <w:tcW w:w="560" w:type="pct"/>
            <w:tcBorders>
              <w:top w:val="nil"/>
              <w:bottom w:val="nil"/>
            </w:tcBorders>
          </w:tcPr>
          <w:p w:rsidR="00ED6788" w:rsidRPr="002C0E8B" w:rsidRDefault="00ED6788" w:rsidP="00C25CC8">
            <w:pPr>
              <w:pStyle w:val="TableText"/>
              <w:ind w:right="142"/>
              <w:jc w:val="right"/>
            </w:pPr>
          </w:p>
        </w:tc>
        <w:tc>
          <w:tcPr>
            <w:tcW w:w="605" w:type="pct"/>
            <w:tcBorders>
              <w:top w:val="nil"/>
              <w:bottom w:val="nil"/>
            </w:tcBorders>
            <w:shd w:val="clear" w:color="auto" w:fill="D9D9D9"/>
          </w:tcPr>
          <w:p w:rsidR="00ED6788" w:rsidRPr="002C0E8B" w:rsidRDefault="00ED6788" w:rsidP="00C25CC8">
            <w:pPr>
              <w:pStyle w:val="TableText"/>
              <w:ind w:right="142"/>
              <w:jc w:val="right"/>
            </w:pPr>
          </w:p>
        </w:tc>
      </w:tr>
      <w:tr w:rsidR="00ED6788" w:rsidRPr="002C0E8B" w:rsidTr="00DB1E11">
        <w:trPr>
          <w:cantSplit/>
        </w:trPr>
        <w:tc>
          <w:tcPr>
            <w:tcW w:w="591" w:type="pct"/>
            <w:tcBorders>
              <w:top w:val="nil"/>
              <w:bottom w:val="nil"/>
            </w:tcBorders>
          </w:tcPr>
          <w:p w:rsidR="00ED6788" w:rsidRPr="002C0E8B" w:rsidRDefault="00ED6788" w:rsidP="00DB1E11">
            <w:pPr>
              <w:pStyle w:val="TableText"/>
              <w:spacing w:before="0"/>
              <w:ind w:right="284"/>
              <w:jc w:val="right"/>
            </w:pPr>
            <w:r>
              <w:t>675</w:t>
            </w:r>
          </w:p>
        </w:tc>
        <w:tc>
          <w:tcPr>
            <w:tcW w:w="3244" w:type="pct"/>
            <w:tcBorders>
              <w:top w:val="nil"/>
              <w:bottom w:val="nil"/>
            </w:tcBorders>
          </w:tcPr>
          <w:p w:rsidR="00ED6788" w:rsidRPr="004348F2" w:rsidRDefault="00ED6788" w:rsidP="00DB1E11">
            <w:pPr>
              <w:pStyle w:val="TableText"/>
              <w:spacing w:before="0"/>
            </w:pPr>
            <w:r w:rsidRPr="004348F2">
              <w:t>The elective day surgery target of case-weights</w:t>
            </w:r>
            <w:r>
              <w:br/>
            </w:r>
            <w:r w:rsidRPr="004348F2">
              <w:t>(approximately 1500 operations per annum)</w:t>
            </w:r>
          </w:p>
        </w:tc>
        <w:tc>
          <w:tcPr>
            <w:tcW w:w="560" w:type="pct"/>
            <w:tcBorders>
              <w:top w:val="nil"/>
              <w:bottom w:val="nil"/>
            </w:tcBorders>
          </w:tcPr>
          <w:p w:rsidR="00ED6788" w:rsidRPr="00C52AA5" w:rsidRDefault="00ED6788" w:rsidP="00DB1E11">
            <w:pPr>
              <w:pStyle w:val="TableText"/>
              <w:spacing w:before="0"/>
              <w:ind w:right="142"/>
              <w:jc w:val="right"/>
            </w:pPr>
            <w:r w:rsidRPr="00C52AA5">
              <w:t>650</w:t>
            </w:r>
          </w:p>
        </w:tc>
        <w:tc>
          <w:tcPr>
            <w:tcW w:w="605" w:type="pct"/>
            <w:tcBorders>
              <w:top w:val="nil"/>
              <w:bottom w:val="nil"/>
            </w:tcBorders>
            <w:shd w:val="clear" w:color="auto" w:fill="D9D9D9"/>
          </w:tcPr>
          <w:p w:rsidR="00ED6788" w:rsidRPr="00D155EF" w:rsidRDefault="00ED6788" w:rsidP="00DB1E11">
            <w:pPr>
              <w:pStyle w:val="TableText"/>
              <w:spacing w:before="0"/>
              <w:ind w:right="142"/>
              <w:jc w:val="right"/>
            </w:pPr>
            <w:r>
              <w:t>718</w:t>
            </w:r>
          </w:p>
        </w:tc>
      </w:tr>
      <w:tr w:rsidR="00ED6788" w:rsidRPr="002C0E8B" w:rsidTr="00DB1E11">
        <w:trPr>
          <w:cantSplit/>
        </w:trPr>
        <w:tc>
          <w:tcPr>
            <w:tcW w:w="591" w:type="pct"/>
            <w:tcBorders>
              <w:top w:val="nil"/>
              <w:bottom w:val="nil"/>
            </w:tcBorders>
          </w:tcPr>
          <w:p w:rsidR="00ED6788" w:rsidRPr="002C0E8B" w:rsidRDefault="00ED6788" w:rsidP="00DB1E11">
            <w:pPr>
              <w:pStyle w:val="TableText"/>
              <w:spacing w:before="0"/>
              <w:ind w:right="284"/>
              <w:jc w:val="right"/>
            </w:pPr>
            <w:r>
              <w:t>100%</w:t>
            </w:r>
          </w:p>
        </w:tc>
        <w:tc>
          <w:tcPr>
            <w:tcW w:w="3244" w:type="pct"/>
            <w:tcBorders>
              <w:top w:val="nil"/>
              <w:bottom w:val="nil"/>
            </w:tcBorders>
          </w:tcPr>
          <w:p w:rsidR="00ED6788" w:rsidRDefault="00ED6788" w:rsidP="00DB1E11">
            <w:pPr>
              <w:pStyle w:val="TableText"/>
              <w:spacing w:before="0"/>
            </w:pPr>
            <w:r w:rsidRPr="004348F2">
              <w:t>Rural health professional development and remote collaboration services volume targets met</w:t>
            </w:r>
          </w:p>
        </w:tc>
        <w:tc>
          <w:tcPr>
            <w:tcW w:w="560" w:type="pct"/>
            <w:tcBorders>
              <w:top w:val="nil"/>
              <w:bottom w:val="nil"/>
            </w:tcBorders>
          </w:tcPr>
          <w:p w:rsidR="00ED6788" w:rsidRDefault="00ED6788" w:rsidP="00DB1E11">
            <w:pPr>
              <w:pStyle w:val="TableText"/>
              <w:spacing w:before="0"/>
              <w:ind w:right="142"/>
              <w:jc w:val="right"/>
            </w:pPr>
            <w:r w:rsidRPr="00C52AA5">
              <w:t>100%</w:t>
            </w:r>
          </w:p>
        </w:tc>
        <w:tc>
          <w:tcPr>
            <w:tcW w:w="605" w:type="pct"/>
            <w:tcBorders>
              <w:top w:val="nil"/>
              <w:bottom w:val="nil"/>
            </w:tcBorders>
            <w:shd w:val="clear" w:color="auto" w:fill="D9D9D9"/>
          </w:tcPr>
          <w:p w:rsidR="00ED6788" w:rsidRPr="00D155EF" w:rsidRDefault="00ED6788" w:rsidP="00DB1E11">
            <w:pPr>
              <w:pStyle w:val="TableText"/>
              <w:spacing w:before="0"/>
              <w:ind w:right="142"/>
              <w:jc w:val="right"/>
            </w:pPr>
            <w:r>
              <w:t>100%</w:t>
            </w:r>
          </w:p>
        </w:tc>
      </w:tr>
      <w:tr w:rsidR="00ED6788" w:rsidRPr="002C0E8B" w:rsidTr="00DB1E11">
        <w:trPr>
          <w:cantSplit/>
        </w:trPr>
        <w:tc>
          <w:tcPr>
            <w:tcW w:w="591" w:type="pct"/>
            <w:tcBorders>
              <w:top w:val="nil"/>
            </w:tcBorders>
          </w:tcPr>
          <w:p w:rsidR="00ED6788" w:rsidRPr="002C0E8B" w:rsidRDefault="00ED6788" w:rsidP="00C25CC8">
            <w:pPr>
              <w:pStyle w:val="TableText"/>
              <w:ind w:right="284"/>
              <w:jc w:val="right"/>
              <w:rPr>
                <w:bCs/>
                <w:lang w:eastAsia="en-NZ"/>
              </w:rPr>
            </w:pPr>
          </w:p>
        </w:tc>
        <w:tc>
          <w:tcPr>
            <w:tcW w:w="3244" w:type="pct"/>
            <w:tcBorders>
              <w:top w:val="nil"/>
            </w:tcBorders>
          </w:tcPr>
          <w:p w:rsidR="00ED6788" w:rsidRPr="00AB69C4" w:rsidRDefault="00ED6788" w:rsidP="00DB1E11">
            <w:pPr>
              <w:pStyle w:val="TableText"/>
              <w:rPr>
                <w:b/>
              </w:rPr>
            </w:pPr>
            <w:r w:rsidRPr="00676705">
              <w:rPr>
                <w:b/>
                <w:bCs/>
                <w:lang w:eastAsia="en-NZ"/>
              </w:rPr>
              <w:t xml:space="preserve">Cancer </w:t>
            </w:r>
            <w:r w:rsidR="00DB1E11">
              <w:rPr>
                <w:b/>
                <w:bCs/>
                <w:lang w:eastAsia="en-NZ"/>
              </w:rPr>
              <w:t>s</w:t>
            </w:r>
            <w:r w:rsidRPr="00676705">
              <w:rPr>
                <w:b/>
                <w:bCs/>
                <w:lang w:eastAsia="en-NZ"/>
              </w:rPr>
              <w:t>ervices</w:t>
            </w:r>
          </w:p>
        </w:tc>
        <w:tc>
          <w:tcPr>
            <w:tcW w:w="560" w:type="pct"/>
            <w:tcBorders>
              <w:top w:val="nil"/>
            </w:tcBorders>
          </w:tcPr>
          <w:p w:rsidR="00ED6788" w:rsidRPr="002C0E8B" w:rsidRDefault="00ED6788" w:rsidP="00C25CC8">
            <w:pPr>
              <w:pStyle w:val="TableText"/>
              <w:ind w:right="142"/>
              <w:jc w:val="right"/>
            </w:pPr>
          </w:p>
        </w:tc>
        <w:tc>
          <w:tcPr>
            <w:tcW w:w="605" w:type="pct"/>
            <w:tcBorders>
              <w:top w:val="nil"/>
            </w:tcBorders>
            <w:shd w:val="clear" w:color="auto" w:fill="D9D9D9"/>
          </w:tcPr>
          <w:p w:rsidR="00ED6788" w:rsidRPr="002C0E8B" w:rsidRDefault="00ED6788" w:rsidP="00C25CC8">
            <w:pPr>
              <w:pStyle w:val="TableText"/>
              <w:ind w:right="142"/>
              <w:jc w:val="right"/>
            </w:pPr>
          </w:p>
        </w:tc>
      </w:tr>
      <w:tr w:rsidR="00ED6788" w:rsidRPr="002C0E8B" w:rsidTr="00C25CC8">
        <w:trPr>
          <w:cantSplit/>
        </w:trPr>
        <w:tc>
          <w:tcPr>
            <w:tcW w:w="591" w:type="pct"/>
          </w:tcPr>
          <w:p w:rsidR="00ED6788" w:rsidRPr="002C0E8B" w:rsidRDefault="00ED6788" w:rsidP="00DB1E11">
            <w:pPr>
              <w:pStyle w:val="TableText"/>
              <w:spacing w:before="0"/>
              <w:ind w:right="284"/>
              <w:jc w:val="right"/>
            </w:pPr>
            <w:r w:rsidRPr="005E5812">
              <w:t>New</w:t>
            </w:r>
          </w:p>
        </w:tc>
        <w:tc>
          <w:tcPr>
            <w:tcW w:w="3244" w:type="pct"/>
          </w:tcPr>
          <w:p w:rsidR="00ED6788" w:rsidRPr="003826A7" w:rsidRDefault="00ED6788" w:rsidP="00DB1E11">
            <w:pPr>
              <w:pStyle w:val="TableText"/>
              <w:spacing w:before="0"/>
            </w:pPr>
            <w:r w:rsidRPr="003826A7">
              <w:t>Six-monthly progress reports on regional implementation of national priorities are received from the four Regional Cancer Networks (RCNs)</w:t>
            </w:r>
          </w:p>
        </w:tc>
        <w:tc>
          <w:tcPr>
            <w:tcW w:w="560" w:type="pct"/>
          </w:tcPr>
          <w:p w:rsidR="00ED6788" w:rsidRPr="00660C1B" w:rsidRDefault="00ED6788" w:rsidP="00DB1E11">
            <w:pPr>
              <w:pStyle w:val="TableText"/>
              <w:spacing w:before="0"/>
              <w:ind w:right="142"/>
              <w:jc w:val="right"/>
            </w:pPr>
            <w:r w:rsidRPr="00660C1B">
              <w:t>4 RCNs</w:t>
            </w:r>
          </w:p>
        </w:tc>
        <w:tc>
          <w:tcPr>
            <w:tcW w:w="605" w:type="pct"/>
            <w:shd w:val="clear" w:color="auto" w:fill="D9D9D9"/>
          </w:tcPr>
          <w:p w:rsidR="00ED6788" w:rsidRPr="00A068D2" w:rsidRDefault="00ED6788" w:rsidP="00DB1E11">
            <w:pPr>
              <w:pStyle w:val="TableText"/>
              <w:spacing w:before="0"/>
              <w:ind w:right="142"/>
              <w:jc w:val="right"/>
            </w:pPr>
            <w:r w:rsidRPr="00A068D2">
              <w:t>4 RCNs</w:t>
            </w:r>
          </w:p>
        </w:tc>
      </w:tr>
      <w:tr w:rsidR="00ED6788" w:rsidRPr="002C0E8B" w:rsidTr="00C25CC8">
        <w:trPr>
          <w:cantSplit/>
        </w:trPr>
        <w:tc>
          <w:tcPr>
            <w:tcW w:w="591" w:type="pct"/>
          </w:tcPr>
          <w:p w:rsidR="00ED6788" w:rsidRPr="002C0E8B" w:rsidRDefault="00ED6788" w:rsidP="00DB1E11">
            <w:pPr>
              <w:pStyle w:val="TableText"/>
              <w:spacing w:before="0"/>
              <w:ind w:right="284"/>
              <w:jc w:val="right"/>
            </w:pPr>
            <w:r w:rsidRPr="005E5812">
              <w:t>New</w:t>
            </w:r>
          </w:p>
        </w:tc>
        <w:tc>
          <w:tcPr>
            <w:tcW w:w="3244" w:type="pct"/>
          </w:tcPr>
          <w:p w:rsidR="00ED6788" w:rsidRPr="003826A7" w:rsidRDefault="00ED6788" w:rsidP="00DB1E11">
            <w:pPr>
              <w:pStyle w:val="TableText"/>
              <w:spacing w:before="0"/>
            </w:pPr>
            <w:r w:rsidRPr="003826A7">
              <w:t>Boost Hospice Funding passed on to all hospices</w:t>
            </w:r>
          </w:p>
        </w:tc>
        <w:tc>
          <w:tcPr>
            <w:tcW w:w="560" w:type="pct"/>
          </w:tcPr>
          <w:p w:rsidR="00ED6788" w:rsidRPr="00660C1B" w:rsidRDefault="00ED6788" w:rsidP="00DB1E11">
            <w:pPr>
              <w:pStyle w:val="TableText"/>
              <w:spacing w:before="0"/>
              <w:ind w:right="142"/>
              <w:jc w:val="right"/>
            </w:pPr>
            <w:r w:rsidRPr="00660C1B">
              <w:t>100%</w:t>
            </w:r>
          </w:p>
        </w:tc>
        <w:tc>
          <w:tcPr>
            <w:tcW w:w="605" w:type="pct"/>
            <w:shd w:val="clear" w:color="auto" w:fill="D9D9D9"/>
          </w:tcPr>
          <w:p w:rsidR="00ED6788" w:rsidRPr="00A068D2" w:rsidRDefault="00ED6788" w:rsidP="00DB1E11">
            <w:pPr>
              <w:pStyle w:val="TableText"/>
              <w:spacing w:before="0"/>
              <w:ind w:right="142"/>
              <w:jc w:val="right"/>
            </w:pPr>
            <w:r w:rsidRPr="00A068D2">
              <w:t>100%</w:t>
            </w:r>
          </w:p>
        </w:tc>
      </w:tr>
      <w:tr w:rsidR="00ED6788" w:rsidRPr="002C0E8B" w:rsidTr="00C25CC8">
        <w:trPr>
          <w:cantSplit/>
        </w:trPr>
        <w:tc>
          <w:tcPr>
            <w:tcW w:w="591" w:type="pct"/>
          </w:tcPr>
          <w:p w:rsidR="00ED6788" w:rsidRDefault="00ED6788" w:rsidP="00DB1E11">
            <w:pPr>
              <w:pStyle w:val="TableText"/>
              <w:spacing w:before="0"/>
              <w:ind w:right="284"/>
              <w:jc w:val="right"/>
            </w:pPr>
            <w:r w:rsidRPr="00A64935">
              <w:t>New</w:t>
            </w:r>
          </w:p>
        </w:tc>
        <w:tc>
          <w:tcPr>
            <w:tcW w:w="3244" w:type="pct"/>
          </w:tcPr>
          <w:p w:rsidR="00ED6788" w:rsidRPr="003826A7" w:rsidRDefault="00ED6788" w:rsidP="00DB1E11">
            <w:pPr>
              <w:pStyle w:val="TableText"/>
              <w:spacing w:before="0"/>
            </w:pPr>
            <w:r w:rsidRPr="003826A7">
              <w:t>DHBs who receive funding from the Faster cancer treatment service improvement fund implement service improvements to support achievement of the new health target for cancer and implement the tumour standards</w:t>
            </w:r>
          </w:p>
        </w:tc>
        <w:tc>
          <w:tcPr>
            <w:tcW w:w="560" w:type="pct"/>
          </w:tcPr>
          <w:p w:rsidR="00ED6788" w:rsidRPr="00660C1B" w:rsidRDefault="00ED6788" w:rsidP="00DB1E11">
            <w:pPr>
              <w:pStyle w:val="TableText"/>
              <w:spacing w:before="0"/>
              <w:ind w:right="142"/>
              <w:jc w:val="right"/>
            </w:pPr>
            <w:r w:rsidRPr="00660C1B">
              <w:t>100%</w:t>
            </w:r>
          </w:p>
        </w:tc>
        <w:tc>
          <w:tcPr>
            <w:tcW w:w="605" w:type="pct"/>
            <w:shd w:val="clear" w:color="auto" w:fill="D9D9D9"/>
          </w:tcPr>
          <w:p w:rsidR="00ED6788" w:rsidRPr="00A068D2" w:rsidRDefault="00ED6788" w:rsidP="00DB1E11">
            <w:pPr>
              <w:pStyle w:val="TableText"/>
              <w:spacing w:before="0"/>
              <w:ind w:right="142"/>
              <w:jc w:val="right"/>
            </w:pPr>
            <w:r>
              <w:t>100%</w:t>
            </w:r>
          </w:p>
        </w:tc>
      </w:tr>
      <w:tr w:rsidR="00ED6788" w:rsidRPr="002C0E8B" w:rsidTr="00DB1E11">
        <w:trPr>
          <w:cantSplit/>
        </w:trPr>
        <w:tc>
          <w:tcPr>
            <w:tcW w:w="591" w:type="pct"/>
            <w:tcBorders>
              <w:bottom w:val="nil"/>
            </w:tcBorders>
          </w:tcPr>
          <w:p w:rsidR="00ED6788" w:rsidRDefault="00ED6788" w:rsidP="00DB1E11">
            <w:pPr>
              <w:pStyle w:val="TableText"/>
              <w:spacing w:before="0"/>
              <w:ind w:right="284"/>
              <w:jc w:val="right"/>
            </w:pPr>
            <w:r w:rsidRPr="00A64935">
              <w:t>New</w:t>
            </w:r>
          </w:p>
        </w:tc>
        <w:tc>
          <w:tcPr>
            <w:tcW w:w="3244" w:type="pct"/>
            <w:tcBorders>
              <w:bottom w:val="nil"/>
            </w:tcBorders>
          </w:tcPr>
          <w:p w:rsidR="00ED6788" w:rsidRDefault="00ED6788" w:rsidP="00DB1E11">
            <w:pPr>
              <w:pStyle w:val="TableText"/>
              <w:spacing w:before="0"/>
            </w:pPr>
            <w:r w:rsidRPr="003826A7">
              <w:t>DHBs maintain performance against the Shorter waits for cancer treatment health target</w:t>
            </w:r>
            <w:r w:rsidR="000845D9">
              <w:t xml:space="preserve"> – </w:t>
            </w:r>
            <w:r w:rsidRPr="003826A7">
              <w:t>radiotherapy and chemotherapy</w:t>
            </w:r>
          </w:p>
        </w:tc>
        <w:tc>
          <w:tcPr>
            <w:tcW w:w="560" w:type="pct"/>
            <w:tcBorders>
              <w:bottom w:val="nil"/>
            </w:tcBorders>
          </w:tcPr>
          <w:p w:rsidR="00ED6788" w:rsidRDefault="00ED6788" w:rsidP="00DB1E11">
            <w:pPr>
              <w:pStyle w:val="TableText"/>
              <w:spacing w:before="0"/>
              <w:ind w:right="142"/>
              <w:jc w:val="right"/>
            </w:pPr>
            <w:r w:rsidRPr="00660C1B">
              <w:t>100%</w:t>
            </w:r>
          </w:p>
        </w:tc>
        <w:tc>
          <w:tcPr>
            <w:tcW w:w="605" w:type="pct"/>
            <w:tcBorders>
              <w:bottom w:val="nil"/>
            </w:tcBorders>
            <w:shd w:val="clear" w:color="auto" w:fill="D9D9D9"/>
          </w:tcPr>
          <w:p w:rsidR="00ED6788" w:rsidRDefault="00ED6788" w:rsidP="00DB1E11">
            <w:pPr>
              <w:pStyle w:val="TableText"/>
              <w:spacing w:before="0"/>
              <w:ind w:right="142"/>
              <w:jc w:val="right"/>
            </w:pPr>
            <w:r w:rsidRPr="00A068D2">
              <w:t>100%</w:t>
            </w:r>
          </w:p>
        </w:tc>
      </w:tr>
      <w:tr w:rsidR="00ED6788" w:rsidRPr="002C0E8B" w:rsidTr="00DB1E11">
        <w:trPr>
          <w:cantSplit/>
        </w:trPr>
        <w:tc>
          <w:tcPr>
            <w:tcW w:w="591" w:type="pct"/>
            <w:tcBorders>
              <w:top w:val="nil"/>
              <w:bottom w:val="nil"/>
            </w:tcBorders>
          </w:tcPr>
          <w:p w:rsidR="00ED6788" w:rsidRPr="002C0E8B" w:rsidRDefault="00ED6788" w:rsidP="00C25CC8">
            <w:pPr>
              <w:pStyle w:val="TableText"/>
              <w:ind w:right="284"/>
              <w:jc w:val="right"/>
              <w:rPr>
                <w:bCs/>
                <w:lang w:eastAsia="en-NZ"/>
              </w:rPr>
            </w:pPr>
          </w:p>
        </w:tc>
        <w:tc>
          <w:tcPr>
            <w:tcW w:w="3244" w:type="pct"/>
            <w:tcBorders>
              <w:top w:val="nil"/>
              <w:bottom w:val="nil"/>
            </w:tcBorders>
          </w:tcPr>
          <w:p w:rsidR="00ED6788" w:rsidRPr="005E5812" w:rsidRDefault="00ED6788" w:rsidP="00DB1E11">
            <w:pPr>
              <w:pStyle w:val="TableText"/>
              <w:rPr>
                <w:b/>
                <w:bCs/>
                <w:lang w:eastAsia="en-NZ"/>
              </w:rPr>
            </w:pPr>
            <w:r w:rsidRPr="00676705">
              <w:rPr>
                <w:b/>
                <w:bCs/>
                <w:lang w:eastAsia="en-NZ"/>
              </w:rPr>
              <w:t xml:space="preserve">Bowel </w:t>
            </w:r>
            <w:r w:rsidR="00DB1E11">
              <w:rPr>
                <w:b/>
                <w:bCs/>
                <w:lang w:eastAsia="en-NZ"/>
              </w:rPr>
              <w:t>c</w:t>
            </w:r>
            <w:r w:rsidRPr="00676705">
              <w:rPr>
                <w:b/>
                <w:bCs/>
                <w:lang w:eastAsia="en-NZ"/>
              </w:rPr>
              <w:t>ancer</w:t>
            </w:r>
          </w:p>
        </w:tc>
        <w:tc>
          <w:tcPr>
            <w:tcW w:w="560" w:type="pct"/>
            <w:tcBorders>
              <w:top w:val="nil"/>
              <w:bottom w:val="nil"/>
            </w:tcBorders>
          </w:tcPr>
          <w:p w:rsidR="00ED6788" w:rsidRPr="002C0E8B" w:rsidRDefault="00ED6788" w:rsidP="00C25CC8">
            <w:pPr>
              <w:pStyle w:val="TableText"/>
              <w:ind w:right="142"/>
              <w:jc w:val="right"/>
            </w:pPr>
          </w:p>
        </w:tc>
        <w:tc>
          <w:tcPr>
            <w:tcW w:w="605" w:type="pct"/>
            <w:tcBorders>
              <w:top w:val="nil"/>
              <w:bottom w:val="nil"/>
            </w:tcBorders>
            <w:shd w:val="clear" w:color="auto" w:fill="D9D9D9"/>
          </w:tcPr>
          <w:p w:rsidR="00ED6788" w:rsidRPr="002C0E8B" w:rsidRDefault="00ED6788" w:rsidP="00C25CC8">
            <w:pPr>
              <w:pStyle w:val="TableText"/>
              <w:ind w:right="142"/>
              <w:jc w:val="right"/>
            </w:pPr>
          </w:p>
        </w:tc>
      </w:tr>
      <w:tr w:rsidR="00ED6788" w:rsidRPr="002C0E8B" w:rsidTr="00DB1E11">
        <w:trPr>
          <w:cantSplit/>
        </w:trPr>
        <w:tc>
          <w:tcPr>
            <w:tcW w:w="591" w:type="pct"/>
            <w:tcBorders>
              <w:top w:val="nil"/>
              <w:bottom w:val="nil"/>
            </w:tcBorders>
          </w:tcPr>
          <w:p w:rsidR="00ED6788" w:rsidRPr="002C0E8B" w:rsidRDefault="00ED6788" w:rsidP="00DB1E11">
            <w:pPr>
              <w:pStyle w:val="TableText"/>
              <w:spacing w:before="0"/>
              <w:ind w:right="284"/>
              <w:jc w:val="right"/>
            </w:pPr>
            <w:r>
              <w:t>100%</w:t>
            </w:r>
          </w:p>
        </w:tc>
        <w:tc>
          <w:tcPr>
            <w:tcW w:w="3244" w:type="pct"/>
            <w:tcBorders>
              <w:top w:val="nil"/>
              <w:bottom w:val="nil"/>
            </w:tcBorders>
          </w:tcPr>
          <w:p w:rsidR="00ED6788" w:rsidRPr="009E6958" w:rsidRDefault="00ED6788" w:rsidP="00DB1E11">
            <w:pPr>
              <w:pStyle w:val="TableText"/>
              <w:spacing w:before="0"/>
            </w:pPr>
            <w:r w:rsidRPr="009E6958">
              <w:t>Completed progress reports for evaluation of bowel screening pilot</w:t>
            </w:r>
          </w:p>
        </w:tc>
        <w:tc>
          <w:tcPr>
            <w:tcW w:w="560" w:type="pct"/>
            <w:tcBorders>
              <w:top w:val="nil"/>
              <w:bottom w:val="nil"/>
            </w:tcBorders>
          </w:tcPr>
          <w:p w:rsidR="00ED6788" w:rsidRPr="00B957EC" w:rsidRDefault="00ED6788" w:rsidP="00DB1E11">
            <w:pPr>
              <w:pStyle w:val="TableText"/>
              <w:spacing w:before="0"/>
              <w:ind w:right="142"/>
              <w:jc w:val="right"/>
            </w:pPr>
            <w:r w:rsidRPr="00B957EC">
              <w:t>100%</w:t>
            </w:r>
          </w:p>
        </w:tc>
        <w:tc>
          <w:tcPr>
            <w:tcW w:w="605" w:type="pct"/>
            <w:tcBorders>
              <w:top w:val="nil"/>
              <w:bottom w:val="nil"/>
            </w:tcBorders>
            <w:shd w:val="clear" w:color="auto" w:fill="D9D9D9"/>
          </w:tcPr>
          <w:p w:rsidR="00ED6788" w:rsidRPr="008B5614" w:rsidRDefault="00ED6788" w:rsidP="00DB1E11">
            <w:pPr>
              <w:pStyle w:val="TableText"/>
              <w:spacing w:before="0"/>
              <w:ind w:right="142"/>
              <w:jc w:val="right"/>
            </w:pPr>
            <w:r w:rsidRPr="008B5614">
              <w:t>100%</w:t>
            </w:r>
          </w:p>
        </w:tc>
      </w:tr>
      <w:tr w:rsidR="00ED6788" w:rsidRPr="002C0E8B" w:rsidTr="00DB1E11">
        <w:trPr>
          <w:cantSplit/>
        </w:trPr>
        <w:tc>
          <w:tcPr>
            <w:tcW w:w="591" w:type="pct"/>
            <w:tcBorders>
              <w:top w:val="nil"/>
              <w:bottom w:val="single" w:sz="4" w:space="0" w:color="auto"/>
            </w:tcBorders>
          </w:tcPr>
          <w:p w:rsidR="00ED6788" w:rsidRPr="002C0E8B" w:rsidRDefault="00ED6788" w:rsidP="00DB1E11">
            <w:pPr>
              <w:pStyle w:val="TableText"/>
              <w:spacing w:before="0"/>
              <w:ind w:right="284"/>
              <w:jc w:val="right"/>
            </w:pPr>
            <w:r>
              <w:t>100%</w:t>
            </w:r>
          </w:p>
        </w:tc>
        <w:tc>
          <w:tcPr>
            <w:tcW w:w="3244" w:type="pct"/>
            <w:tcBorders>
              <w:top w:val="nil"/>
              <w:bottom w:val="single" w:sz="4" w:space="0" w:color="auto"/>
            </w:tcBorders>
          </w:tcPr>
          <w:p w:rsidR="00ED6788" w:rsidRDefault="00ED6788" w:rsidP="00DB1E11">
            <w:pPr>
              <w:pStyle w:val="TableText"/>
              <w:spacing w:before="0"/>
            </w:pPr>
            <w:r w:rsidRPr="009E6958">
              <w:t>Fund and monitor the bowel screening pilot by December 2014</w:t>
            </w:r>
          </w:p>
        </w:tc>
        <w:tc>
          <w:tcPr>
            <w:tcW w:w="560" w:type="pct"/>
            <w:tcBorders>
              <w:top w:val="nil"/>
              <w:bottom w:val="single" w:sz="4" w:space="0" w:color="auto"/>
            </w:tcBorders>
          </w:tcPr>
          <w:p w:rsidR="00ED6788" w:rsidRDefault="00ED6788" w:rsidP="00DB1E11">
            <w:pPr>
              <w:pStyle w:val="TableText"/>
              <w:spacing w:before="0"/>
              <w:ind w:right="142"/>
              <w:jc w:val="right"/>
            </w:pPr>
            <w:r w:rsidRPr="00B957EC">
              <w:t>100%</w:t>
            </w:r>
          </w:p>
        </w:tc>
        <w:tc>
          <w:tcPr>
            <w:tcW w:w="605" w:type="pct"/>
            <w:tcBorders>
              <w:top w:val="nil"/>
              <w:bottom w:val="single" w:sz="4" w:space="0" w:color="auto"/>
            </w:tcBorders>
            <w:shd w:val="clear" w:color="auto" w:fill="D9D9D9"/>
          </w:tcPr>
          <w:p w:rsidR="00ED6788" w:rsidRDefault="00ED6788" w:rsidP="00DB1E11">
            <w:pPr>
              <w:pStyle w:val="TableText"/>
              <w:spacing w:before="0"/>
              <w:ind w:right="142"/>
              <w:jc w:val="right"/>
            </w:pPr>
            <w:r w:rsidRPr="008B5614">
              <w:t>100%</w:t>
            </w:r>
          </w:p>
        </w:tc>
      </w:tr>
      <w:tr w:rsidR="00ED6788" w:rsidRPr="002C0E8B" w:rsidTr="00DB1E11">
        <w:trPr>
          <w:cantSplit/>
        </w:trPr>
        <w:tc>
          <w:tcPr>
            <w:tcW w:w="591" w:type="pct"/>
            <w:tcBorders>
              <w:top w:val="single" w:sz="4" w:space="0" w:color="auto"/>
              <w:bottom w:val="nil"/>
            </w:tcBorders>
          </w:tcPr>
          <w:p w:rsidR="00ED6788" w:rsidRPr="002C0E8B" w:rsidRDefault="00ED6788" w:rsidP="00DB1E11">
            <w:pPr>
              <w:pStyle w:val="TableText"/>
              <w:keepNext/>
              <w:ind w:right="284"/>
              <w:jc w:val="right"/>
              <w:rPr>
                <w:bCs/>
                <w:lang w:eastAsia="en-NZ"/>
              </w:rPr>
            </w:pPr>
          </w:p>
        </w:tc>
        <w:tc>
          <w:tcPr>
            <w:tcW w:w="3244" w:type="pct"/>
            <w:tcBorders>
              <w:top w:val="single" w:sz="4" w:space="0" w:color="auto"/>
              <w:bottom w:val="nil"/>
            </w:tcBorders>
          </w:tcPr>
          <w:p w:rsidR="00ED6788" w:rsidRPr="00AB69C4" w:rsidRDefault="00ED6788" w:rsidP="00DB1E11">
            <w:pPr>
              <w:pStyle w:val="TableText"/>
              <w:keepNext/>
              <w:rPr>
                <w:b/>
              </w:rPr>
            </w:pPr>
            <w:r w:rsidRPr="00676705">
              <w:rPr>
                <w:b/>
                <w:bCs/>
                <w:lang w:eastAsia="en-NZ"/>
              </w:rPr>
              <w:t xml:space="preserve">High </w:t>
            </w:r>
            <w:r w:rsidR="00DB1E11">
              <w:rPr>
                <w:b/>
                <w:bCs/>
                <w:lang w:eastAsia="en-NZ"/>
              </w:rPr>
              <w:t>c</w:t>
            </w:r>
            <w:r w:rsidRPr="00676705">
              <w:rPr>
                <w:b/>
                <w:bCs/>
                <w:lang w:eastAsia="en-NZ"/>
              </w:rPr>
              <w:t xml:space="preserve">ost </w:t>
            </w:r>
            <w:r w:rsidR="00DB1E11">
              <w:rPr>
                <w:b/>
                <w:bCs/>
                <w:lang w:eastAsia="en-NZ"/>
              </w:rPr>
              <w:t>t</w:t>
            </w:r>
            <w:r w:rsidRPr="00676705">
              <w:rPr>
                <w:b/>
                <w:bCs/>
                <w:lang w:eastAsia="en-NZ"/>
              </w:rPr>
              <w:t xml:space="preserve">reatment </w:t>
            </w:r>
            <w:r w:rsidR="00DB1E11">
              <w:rPr>
                <w:b/>
                <w:bCs/>
                <w:lang w:eastAsia="en-NZ"/>
              </w:rPr>
              <w:t>p</w:t>
            </w:r>
            <w:r w:rsidRPr="00676705">
              <w:rPr>
                <w:b/>
                <w:bCs/>
                <w:lang w:eastAsia="en-NZ"/>
              </w:rPr>
              <w:t>ool</w:t>
            </w:r>
          </w:p>
        </w:tc>
        <w:tc>
          <w:tcPr>
            <w:tcW w:w="560" w:type="pct"/>
            <w:tcBorders>
              <w:top w:val="single" w:sz="4" w:space="0" w:color="auto"/>
              <w:bottom w:val="nil"/>
            </w:tcBorders>
          </w:tcPr>
          <w:p w:rsidR="00ED6788" w:rsidRPr="002C0E8B" w:rsidRDefault="00ED6788" w:rsidP="00DB1E11">
            <w:pPr>
              <w:pStyle w:val="TableText"/>
              <w:keepNext/>
              <w:ind w:right="142"/>
              <w:jc w:val="right"/>
            </w:pPr>
          </w:p>
        </w:tc>
        <w:tc>
          <w:tcPr>
            <w:tcW w:w="605" w:type="pct"/>
            <w:tcBorders>
              <w:top w:val="single" w:sz="4" w:space="0" w:color="auto"/>
              <w:bottom w:val="nil"/>
            </w:tcBorders>
            <w:shd w:val="clear" w:color="auto" w:fill="D9D9D9"/>
          </w:tcPr>
          <w:p w:rsidR="00ED6788" w:rsidRPr="002C0E8B" w:rsidRDefault="00ED6788" w:rsidP="00DB1E11">
            <w:pPr>
              <w:pStyle w:val="TableText"/>
              <w:keepNext/>
              <w:ind w:right="142"/>
              <w:jc w:val="right"/>
            </w:pPr>
          </w:p>
        </w:tc>
      </w:tr>
      <w:tr w:rsidR="00ED6788" w:rsidRPr="002C0E8B" w:rsidTr="00DB1E11">
        <w:trPr>
          <w:cantSplit/>
        </w:trPr>
        <w:tc>
          <w:tcPr>
            <w:tcW w:w="591" w:type="pct"/>
            <w:tcBorders>
              <w:top w:val="nil"/>
              <w:bottom w:val="nil"/>
            </w:tcBorders>
          </w:tcPr>
          <w:p w:rsidR="00ED6788" w:rsidRPr="002C0E8B" w:rsidRDefault="00ED6788" w:rsidP="00DB1E11">
            <w:pPr>
              <w:pStyle w:val="TableText"/>
              <w:spacing w:before="0"/>
              <w:ind w:right="284"/>
              <w:jc w:val="right"/>
            </w:pPr>
            <w:r>
              <w:t>100%</w:t>
            </w:r>
          </w:p>
        </w:tc>
        <w:tc>
          <w:tcPr>
            <w:tcW w:w="3244" w:type="pct"/>
            <w:tcBorders>
              <w:top w:val="nil"/>
              <w:bottom w:val="nil"/>
            </w:tcBorders>
          </w:tcPr>
          <w:p w:rsidR="00ED6788" w:rsidRPr="002C0E8B" w:rsidRDefault="00ED6788" w:rsidP="00DB1E11">
            <w:pPr>
              <w:pStyle w:val="TableText"/>
              <w:spacing w:before="0"/>
            </w:pPr>
            <w:r w:rsidRPr="00676705">
              <w:t>The percentage of completed applications managed within three weeks</w:t>
            </w:r>
          </w:p>
        </w:tc>
        <w:tc>
          <w:tcPr>
            <w:tcW w:w="560" w:type="pct"/>
            <w:tcBorders>
              <w:top w:val="nil"/>
              <w:bottom w:val="nil"/>
            </w:tcBorders>
          </w:tcPr>
          <w:p w:rsidR="00ED6788" w:rsidRPr="002C0E8B" w:rsidRDefault="00ED6788" w:rsidP="00DB1E11">
            <w:pPr>
              <w:pStyle w:val="TableText"/>
              <w:spacing w:before="0"/>
              <w:ind w:right="142"/>
              <w:jc w:val="right"/>
            </w:pPr>
            <w:r w:rsidRPr="00676705">
              <w:t>100%</w:t>
            </w:r>
          </w:p>
        </w:tc>
        <w:tc>
          <w:tcPr>
            <w:tcW w:w="605" w:type="pct"/>
            <w:tcBorders>
              <w:top w:val="nil"/>
              <w:bottom w:val="nil"/>
            </w:tcBorders>
            <w:shd w:val="clear" w:color="auto" w:fill="D9D9D9"/>
          </w:tcPr>
          <w:p w:rsidR="00ED6788" w:rsidRPr="00D155EF" w:rsidRDefault="00ED6788" w:rsidP="00DB1E11">
            <w:pPr>
              <w:pStyle w:val="TableText"/>
              <w:spacing w:before="0"/>
              <w:ind w:right="142"/>
              <w:jc w:val="right"/>
            </w:pPr>
            <w:r>
              <w:t>100%</w:t>
            </w:r>
          </w:p>
        </w:tc>
      </w:tr>
      <w:tr w:rsidR="00ED6788" w:rsidRPr="002C0E8B" w:rsidTr="00DB1E11">
        <w:trPr>
          <w:cantSplit/>
        </w:trPr>
        <w:tc>
          <w:tcPr>
            <w:tcW w:w="591" w:type="pct"/>
            <w:tcBorders>
              <w:top w:val="nil"/>
              <w:bottom w:val="nil"/>
            </w:tcBorders>
          </w:tcPr>
          <w:p w:rsidR="00ED6788" w:rsidRPr="002C0E8B" w:rsidRDefault="00ED6788" w:rsidP="00C25CC8">
            <w:pPr>
              <w:pStyle w:val="TableText"/>
              <w:ind w:right="284"/>
              <w:jc w:val="right"/>
              <w:rPr>
                <w:bCs/>
                <w:lang w:eastAsia="en-NZ"/>
              </w:rPr>
            </w:pPr>
          </w:p>
        </w:tc>
        <w:tc>
          <w:tcPr>
            <w:tcW w:w="3244" w:type="pct"/>
            <w:tcBorders>
              <w:top w:val="nil"/>
              <w:bottom w:val="nil"/>
            </w:tcBorders>
          </w:tcPr>
          <w:p w:rsidR="00ED6788" w:rsidRPr="00AB69C4" w:rsidRDefault="00ED6788" w:rsidP="00DB1E11">
            <w:pPr>
              <w:pStyle w:val="TableText"/>
              <w:rPr>
                <w:b/>
              </w:rPr>
            </w:pPr>
            <w:r w:rsidRPr="00676705">
              <w:rPr>
                <w:b/>
                <w:bCs/>
                <w:lang w:eastAsia="en-NZ"/>
              </w:rPr>
              <w:t xml:space="preserve">Cardiac </w:t>
            </w:r>
            <w:r w:rsidR="00DB1E11">
              <w:rPr>
                <w:b/>
                <w:bCs/>
                <w:lang w:eastAsia="en-NZ"/>
              </w:rPr>
              <w:t>s</w:t>
            </w:r>
            <w:r w:rsidRPr="00676705">
              <w:rPr>
                <w:b/>
                <w:bCs/>
                <w:lang w:eastAsia="en-NZ"/>
              </w:rPr>
              <w:t>ervices</w:t>
            </w:r>
          </w:p>
        </w:tc>
        <w:tc>
          <w:tcPr>
            <w:tcW w:w="560" w:type="pct"/>
            <w:tcBorders>
              <w:top w:val="nil"/>
              <w:bottom w:val="nil"/>
            </w:tcBorders>
          </w:tcPr>
          <w:p w:rsidR="00ED6788" w:rsidRPr="002C0E8B" w:rsidRDefault="00ED6788" w:rsidP="00C25CC8">
            <w:pPr>
              <w:pStyle w:val="TableText"/>
              <w:ind w:right="142"/>
              <w:jc w:val="right"/>
            </w:pPr>
          </w:p>
        </w:tc>
        <w:tc>
          <w:tcPr>
            <w:tcW w:w="605" w:type="pct"/>
            <w:tcBorders>
              <w:top w:val="nil"/>
              <w:bottom w:val="nil"/>
            </w:tcBorders>
            <w:shd w:val="clear" w:color="auto" w:fill="D9D9D9"/>
          </w:tcPr>
          <w:p w:rsidR="00ED6788" w:rsidRPr="002C0E8B" w:rsidRDefault="00ED6788" w:rsidP="00C25CC8">
            <w:pPr>
              <w:pStyle w:val="TableText"/>
              <w:ind w:right="142"/>
              <w:jc w:val="right"/>
            </w:pPr>
          </w:p>
        </w:tc>
      </w:tr>
      <w:tr w:rsidR="00ED6788" w:rsidRPr="002C0E8B" w:rsidTr="00DB1E11">
        <w:trPr>
          <w:cantSplit/>
        </w:trPr>
        <w:tc>
          <w:tcPr>
            <w:tcW w:w="591" w:type="pct"/>
            <w:tcBorders>
              <w:top w:val="nil"/>
              <w:bottom w:val="nil"/>
            </w:tcBorders>
          </w:tcPr>
          <w:p w:rsidR="00ED6788" w:rsidRPr="002C0E8B" w:rsidRDefault="00ED6788" w:rsidP="00DB1E11">
            <w:pPr>
              <w:pStyle w:val="TableText"/>
              <w:spacing w:before="0"/>
              <w:ind w:right="284"/>
              <w:jc w:val="right"/>
            </w:pPr>
            <w:r>
              <w:t>4 DHBs</w:t>
            </w:r>
          </w:p>
        </w:tc>
        <w:tc>
          <w:tcPr>
            <w:tcW w:w="3244" w:type="pct"/>
            <w:tcBorders>
              <w:top w:val="nil"/>
              <w:bottom w:val="nil"/>
            </w:tcBorders>
          </w:tcPr>
          <w:p w:rsidR="00ED6788" w:rsidRPr="005847A1" w:rsidRDefault="00ED6788" w:rsidP="00DB1E11">
            <w:pPr>
              <w:pStyle w:val="TableText"/>
              <w:spacing w:before="0"/>
            </w:pPr>
            <w:r w:rsidRPr="005847A1">
              <w:t>The number of DHBs with cardiac facilities using the Licensing and Development of Cardiac Surgery Registry</w:t>
            </w:r>
          </w:p>
        </w:tc>
        <w:tc>
          <w:tcPr>
            <w:tcW w:w="560" w:type="pct"/>
            <w:tcBorders>
              <w:top w:val="nil"/>
              <w:bottom w:val="nil"/>
            </w:tcBorders>
          </w:tcPr>
          <w:p w:rsidR="00ED6788" w:rsidRPr="008706EE" w:rsidRDefault="00ED6788" w:rsidP="00DB1E11">
            <w:pPr>
              <w:pStyle w:val="TableText"/>
              <w:spacing w:before="0"/>
              <w:ind w:right="142"/>
              <w:jc w:val="right"/>
            </w:pPr>
            <w:r>
              <w:t>&lt;</w:t>
            </w:r>
            <w:r w:rsidRPr="008706EE">
              <w:t>5 DHBs</w:t>
            </w:r>
          </w:p>
        </w:tc>
        <w:tc>
          <w:tcPr>
            <w:tcW w:w="605" w:type="pct"/>
            <w:tcBorders>
              <w:top w:val="nil"/>
              <w:bottom w:val="nil"/>
            </w:tcBorders>
            <w:shd w:val="clear" w:color="auto" w:fill="D9D9D9"/>
          </w:tcPr>
          <w:p w:rsidR="00ED6788" w:rsidRPr="00D155EF" w:rsidRDefault="00ED6788" w:rsidP="00DB1E11">
            <w:pPr>
              <w:pStyle w:val="TableText"/>
              <w:spacing w:before="0"/>
              <w:ind w:right="142"/>
              <w:jc w:val="right"/>
            </w:pPr>
            <w:r w:rsidRPr="00E845D7">
              <w:t>5 DHBs</w:t>
            </w:r>
          </w:p>
        </w:tc>
      </w:tr>
      <w:tr w:rsidR="00ED6788" w:rsidRPr="002C0E8B" w:rsidTr="00DB1E11">
        <w:trPr>
          <w:cantSplit/>
        </w:trPr>
        <w:tc>
          <w:tcPr>
            <w:tcW w:w="591" w:type="pct"/>
            <w:tcBorders>
              <w:top w:val="nil"/>
              <w:bottom w:val="nil"/>
            </w:tcBorders>
          </w:tcPr>
          <w:p w:rsidR="00ED6788" w:rsidRPr="00A41788" w:rsidRDefault="00ED6788" w:rsidP="00DB1E11">
            <w:pPr>
              <w:pStyle w:val="TableText"/>
              <w:spacing w:before="0"/>
              <w:ind w:right="284"/>
              <w:jc w:val="right"/>
            </w:pPr>
            <w:r w:rsidRPr="00A41788">
              <w:t>19 DHBs</w:t>
            </w:r>
          </w:p>
        </w:tc>
        <w:tc>
          <w:tcPr>
            <w:tcW w:w="3244" w:type="pct"/>
            <w:tcBorders>
              <w:top w:val="nil"/>
              <w:bottom w:val="nil"/>
            </w:tcBorders>
          </w:tcPr>
          <w:p w:rsidR="00ED6788" w:rsidRPr="00A41788" w:rsidRDefault="00ED6788" w:rsidP="00DB1E11">
            <w:pPr>
              <w:pStyle w:val="TableText"/>
              <w:spacing w:before="0"/>
            </w:pPr>
            <w:r w:rsidRPr="00A41788">
              <w:t>The number of DHBs using the Acute Coronary Syndrome Registry</w:t>
            </w:r>
          </w:p>
        </w:tc>
        <w:tc>
          <w:tcPr>
            <w:tcW w:w="560" w:type="pct"/>
            <w:tcBorders>
              <w:top w:val="nil"/>
              <w:bottom w:val="nil"/>
            </w:tcBorders>
          </w:tcPr>
          <w:p w:rsidR="00ED6788" w:rsidRPr="00A41788" w:rsidRDefault="00DB1E11" w:rsidP="00DB1E11">
            <w:pPr>
              <w:pStyle w:val="TableText"/>
              <w:spacing w:before="0"/>
              <w:ind w:right="142"/>
              <w:jc w:val="right"/>
            </w:pPr>
            <w:r>
              <w:t>15–</w:t>
            </w:r>
            <w:r w:rsidR="00ED6788" w:rsidRPr="00A41788">
              <w:t>20</w:t>
            </w:r>
          </w:p>
        </w:tc>
        <w:tc>
          <w:tcPr>
            <w:tcW w:w="605" w:type="pct"/>
            <w:tcBorders>
              <w:top w:val="nil"/>
              <w:bottom w:val="nil"/>
            </w:tcBorders>
            <w:shd w:val="clear" w:color="auto" w:fill="D9D9D9"/>
          </w:tcPr>
          <w:p w:rsidR="00ED6788" w:rsidRPr="00E845D7" w:rsidRDefault="00ED6788" w:rsidP="00DB1E11">
            <w:pPr>
              <w:pStyle w:val="TableText"/>
              <w:spacing w:before="0"/>
              <w:ind w:right="142"/>
              <w:jc w:val="right"/>
            </w:pPr>
            <w:r w:rsidRPr="00A41788">
              <w:t>20</w:t>
            </w:r>
          </w:p>
        </w:tc>
      </w:tr>
      <w:tr w:rsidR="00ED6788" w:rsidRPr="002C0E8B" w:rsidTr="00DB1E11">
        <w:trPr>
          <w:cantSplit/>
        </w:trPr>
        <w:tc>
          <w:tcPr>
            <w:tcW w:w="591" w:type="pct"/>
            <w:tcBorders>
              <w:top w:val="nil"/>
            </w:tcBorders>
          </w:tcPr>
          <w:p w:rsidR="00ED6788" w:rsidRPr="002C0E8B" w:rsidRDefault="00ED6788" w:rsidP="00C25CC8">
            <w:pPr>
              <w:pStyle w:val="TableText"/>
              <w:ind w:right="284"/>
              <w:jc w:val="right"/>
              <w:rPr>
                <w:bCs/>
                <w:lang w:eastAsia="en-NZ"/>
              </w:rPr>
            </w:pPr>
          </w:p>
        </w:tc>
        <w:tc>
          <w:tcPr>
            <w:tcW w:w="3244" w:type="pct"/>
            <w:tcBorders>
              <w:top w:val="nil"/>
            </w:tcBorders>
          </w:tcPr>
          <w:p w:rsidR="00ED6788" w:rsidRPr="005E5812" w:rsidRDefault="00ED6788" w:rsidP="00DB1E11">
            <w:pPr>
              <w:pStyle w:val="TableText"/>
              <w:rPr>
                <w:b/>
                <w:bCs/>
                <w:lang w:eastAsia="en-NZ"/>
              </w:rPr>
            </w:pPr>
            <w:r w:rsidRPr="005E5812">
              <w:rPr>
                <w:b/>
                <w:bCs/>
                <w:lang w:eastAsia="en-NZ"/>
              </w:rPr>
              <w:t xml:space="preserve">Additional </w:t>
            </w:r>
            <w:r w:rsidR="00DB1E11">
              <w:rPr>
                <w:b/>
                <w:bCs/>
                <w:lang w:eastAsia="en-NZ"/>
              </w:rPr>
              <w:t>o</w:t>
            </w:r>
            <w:r w:rsidRPr="005E5812">
              <w:rPr>
                <w:b/>
                <w:bCs/>
                <w:lang w:eastAsia="en-NZ"/>
              </w:rPr>
              <w:t xml:space="preserve">rgan </w:t>
            </w:r>
            <w:r w:rsidR="00DB1E11">
              <w:rPr>
                <w:b/>
                <w:bCs/>
                <w:lang w:eastAsia="en-NZ"/>
              </w:rPr>
              <w:t>d</w:t>
            </w:r>
            <w:r w:rsidRPr="005E5812">
              <w:rPr>
                <w:b/>
                <w:bCs/>
                <w:lang w:eastAsia="en-NZ"/>
              </w:rPr>
              <w:t>onations</w:t>
            </w:r>
          </w:p>
        </w:tc>
        <w:tc>
          <w:tcPr>
            <w:tcW w:w="560" w:type="pct"/>
            <w:tcBorders>
              <w:top w:val="nil"/>
            </w:tcBorders>
          </w:tcPr>
          <w:p w:rsidR="00ED6788" w:rsidRPr="002C0E8B" w:rsidRDefault="00ED6788" w:rsidP="00C25CC8">
            <w:pPr>
              <w:pStyle w:val="TableText"/>
              <w:ind w:right="142"/>
              <w:jc w:val="right"/>
            </w:pPr>
          </w:p>
        </w:tc>
        <w:tc>
          <w:tcPr>
            <w:tcW w:w="605" w:type="pct"/>
            <w:tcBorders>
              <w:top w:val="nil"/>
            </w:tcBorders>
            <w:shd w:val="clear" w:color="auto" w:fill="D9D9D9"/>
          </w:tcPr>
          <w:p w:rsidR="00ED6788" w:rsidRPr="002C0E8B" w:rsidRDefault="00ED6788" w:rsidP="00C25CC8">
            <w:pPr>
              <w:pStyle w:val="TableText"/>
              <w:ind w:right="142"/>
              <w:jc w:val="right"/>
            </w:pPr>
          </w:p>
        </w:tc>
      </w:tr>
      <w:tr w:rsidR="00ED6788" w:rsidRPr="002C0E8B" w:rsidTr="00C25CC8">
        <w:trPr>
          <w:cantSplit/>
        </w:trPr>
        <w:tc>
          <w:tcPr>
            <w:tcW w:w="591" w:type="pct"/>
          </w:tcPr>
          <w:p w:rsidR="00ED6788" w:rsidRPr="002C0E8B" w:rsidRDefault="00ED6788" w:rsidP="00DB1E11">
            <w:pPr>
              <w:pStyle w:val="TableText"/>
              <w:spacing w:before="0"/>
              <w:ind w:right="284"/>
              <w:jc w:val="right"/>
            </w:pPr>
          </w:p>
        </w:tc>
        <w:tc>
          <w:tcPr>
            <w:tcW w:w="3244" w:type="pct"/>
          </w:tcPr>
          <w:p w:rsidR="00ED6788" w:rsidRPr="005E5812" w:rsidRDefault="00ED6788" w:rsidP="00DB1E11">
            <w:pPr>
              <w:pStyle w:val="TableText"/>
              <w:spacing w:before="0"/>
              <w:rPr>
                <w:b/>
                <w:bCs/>
                <w:i/>
                <w:lang w:eastAsia="en-NZ"/>
              </w:rPr>
            </w:pPr>
            <w:r w:rsidRPr="005E5812">
              <w:rPr>
                <w:b/>
                <w:bCs/>
                <w:i/>
                <w:lang w:eastAsia="en-NZ"/>
              </w:rPr>
              <w:t xml:space="preserve">Deceased </w:t>
            </w:r>
            <w:r w:rsidR="00DB1E11">
              <w:rPr>
                <w:b/>
                <w:bCs/>
                <w:i/>
                <w:lang w:eastAsia="en-NZ"/>
              </w:rPr>
              <w:t>o</w:t>
            </w:r>
            <w:r w:rsidRPr="005E5812">
              <w:rPr>
                <w:b/>
                <w:bCs/>
                <w:i/>
                <w:lang w:eastAsia="en-NZ"/>
              </w:rPr>
              <w:t xml:space="preserve">rgan </w:t>
            </w:r>
            <w:r w:rsidR="00DB1E11">
              <w:rPr>
                <w:b/>
                <w:bCs/>
                <w:i/>
                <w:lang w:eastAsia="en-NZ"/>
              </w:rPr>
              <w:t>d</w:t>
            </w:r>
            <w:r w:rsidRPr="005E5812">
              <w:rPr>
                <w:b/>
                <w:bCs/>
                <w:i/>
                <w:lang w:eastAsia="en-NZ"/>
              </w:rPr>
              <w:t>onors</w:t>
            </w:r>
          </w:p>
        </w:tc>
        <w:tc>
          <w:tcPr>
            <w:tcW w:w="560" w:type="pct"/>
          </w:tcPr>
          <w:p w:rsidR="00ED6788" w:rsidRPr="002C0E8B" w:rsidRDefault="00ED6788" w:rsidP="00DB1E11">
            <w:pPr>
              <w:pStyle w:val="TableText"/>
              <w:spacing w:before="0"/>
              <w:ind w:right="142"/>
              <w:jc w:val="right"/>
            </w:pPr>
          </w:p>
        </w:tc>
        <w:tc>
          <w:tcPr>
            <w:tcW w:w="605" w:type="pct"/>
            <w:shd w:val="clear" w:color="auto" w:fill="D9D9D9"/>
          </w:tcPr>
          <w:p w:rsidR="00ED6788" w:rsidRPr="00D155EF" w:rsidRDefault="00ED6788" w:rsidP="00DB1E11">
            <w:pPr>
              <w:pStyle w:val="TableText"/>
              <w:spacing w:before="0"/>
              <w:ind w:right="142"/>
              <w:jc w:val="right"/>
            </w:pPr>
          </w:p>
        </w:tc>
      </w:tr>
      <w:tr w:rsidR="00ED6788" w:rsidRPr="002C0E8B" w:rsidTr="00DB1E11">
        <w:trPr>
          <w:cantSplit/>
        </w:trPr>
        <w:tc>
          <w:tcPr>
            <w:tcW w:w="591" w:type="pct"/>
            <w:tcBorders>
              <w:bottom w:val="nil"/>
            </w:tcBorders>
          </w:tcPr>
          <w:p w:rsidR="00ED6788" w:rsidRPr="002C0E8B" w:rsidRDefault="00ED6788" w:rsidP="00DB1E11">
            <w:pPr>
              <w:pStyle w:val="TableText"/>
              <w:spacing w:before="0"/>
              <w:ind w:right="284"/>
              <w:jc w:val="right"/>
            </w:pPr>
            <w:r>
              <w:t>4 Reports</w:t>
            </w:r>
          </w:p>
        </w:tc>
        <w:tc>
          <w:tcPr>
            <w:tcW w:w="3244" w:type="pct"/>
            <w:tcBorders>
              <w:bottom w:val="nil"/>
            </w:tcBorders>
          </w:tcPr>
          <w:p w:rsidR="00ED6788" w:rsidRPr="002C0E8B" w:rsidRDefault="00ED6788" w:rsidP="00DB1E11">
            <w:pPr>
              <w:pStyle w:val="TableText"/>
              <w:spacing w:before="0"/>
            </w:pPr>
            <w:r w:rsidRPr="002E4444">
              <w:rPr>
                <w:rFonts w:cs="Arial"/>
                <w:szCs w:val="18"/>
              </w:rPr>
              <w:t>Quarterly and annual reports about deceased organ donors</w:t>
            </w:r>
          </w:p>
        </w:tc>
        <w:tc>
          <w:tcPr>
            <w:tcW w:w="560" w:type="pct"/>
            <w:tcBorders>
              <w:bottom w:val="nil"/>
            </w:tcBorders>
          </w:tcPr>
          <w:p w:rsidR="00ED6788" w:rsidRPr="002C0E8B" w:rsidRDefault="00ED6788" w:rsidP="00DB1E11">
            <w:pPr>
              <w:pStyle w:val="TableText"/>
              <w:spacing w:before="0"/>
              <w:ind w:right="142"/>
              <w:jc w:val="right"/>
            </w:pPr>
            <w:r w:rsidRPr="002E4444">
              <w:t>Reports received</w:t>
            </w:r>
          </w:p>
        </w:tc>
        <w:tc>
          <w:tcPr>
            <w:tcW w:w="605" w:type="pct"/>
            <w:tcBorders>
              <w:bottom w:val="nil"/>
            </w:tcBorders>
            <w:shd w:val="clear" w:color="auto" w:fill="D9D9D9"/>
          </w:tcPr>
          <w:p w:rsidR="00ED6788" w:rsidRPr="00D155EF" w:rsidRDefault="00ED6788" w:rsidP="00DB1E11">
            <w:pPr>
              <w:pStyle w:val="TableText"/>
              <w:spacing w:before="0"/>
              <w:ind w:right="142"/>
              <w:jc w:val="right"/>
            </w:pPr>
            <w:r w:rsidRPr="00E845D7">
              <w:t>Reports received</w:t>
            </w:r>
          </w:p>
        </w:tc>
      </w:tr>
      <w:tr w:rsidR="00ED6788" w:rsidRPr="002C0E8B" w:rsidTr="00DB1E11">
        <w:trPr>
          <w:cantSplit/>
        </w:trPr>
        <w:tc>
          <w:tcPr>
            <w:tcW w:w="591" w:type="pct"/>
            <w:tcBorders>
              <w:top w:val="nil"/>
              <w:bottom w:val="nil"/>
            </w:tcBorders>
          </w:tcPr>
          <w:p w:rsidR="00ED6788" w:rsidRPr="002C0E8B" w:rsidRDefault="00ED6788" w:rsidP="00C25CC8">
            <w:pPr>
              <w:pStyle w:val="TableText"/>
              <w:ind w:right="284"/>
              <w:jc w:val="right"/>
              <w:rPr>
                <w:bCs/>
                <w:lang w:eastAsia="en-NZ"/>
              </w:rPr>
            </w:pPr>
          </w:p>
        </w:tc>
        <w:tc>
          <w:tcPr>
            <w:tcW w:w="3244" w:type="pct"/>
            <w:tcBorders>
              <w:top w:val="nil"/>
              <w:bottom w:val="nil"/>
            </w:tcBorders>
          </w:tcPr>
          <w:p w:rsidR="00ED6788" w:rsidRPr="00AB69C4" w:rsidRDefault="00ED6788" w:rsidP="00DB1E11">
            <w:pPr>
              <w:pStyle w:val="TableText"/>
              <w:rPr>
                <w:b/>
              </w:rPr>
            </w:pPr>
            <w:r w:rsidRPr="002E4444">
              <w:rPr>
                <w:b/>
                <w:bCs/>
                <w:lang w:eastAsia="en-NZ"/>
              </w:rPr>
              <w:t xml:space="preserve">Long </w:t>
            </w:r>
            <w:r w:rsidR="00DB1E11">
              <w:rPr>
                <w:b/>
                <w:bCs/>
                <w:lang w:eastAsia="en-NZ"/>
              </w:rPr>
              <w:t>t</w:t>
            </w:r>
            <w:r w:rsidRPr="002E4444">
              <w:rPr>
                <w:b/>
                <w:bCs/>
                <w:lang w:eastAsia="en-NZ"/>
              </w:rPr>
              <w:t xml:space="preserve">erm </w:t>
            </w:r>
            <w:r w:rsidR="00DB1E11">
              <w:rPr>
                <w:b/>
                <w:bCs/>
                <w:lang w:eastAsia="en-NZ"/>
              </w:rPr>
              <w:t>c</w:t>
            </w:r>
            <w:r w:rsidRPr="002E4444">
              <w:rPr>
                <w:b/>
                <w:bCs/>
                <w:lang w:eastAsia="en-NZ"/>
              </w:rPr>
              <w:t>onditions</w:t>
            </w:r>
          </w:p>
        </w:tc>
        <w:tc>
          <w:tcPr>
            <w:tcW w:w="560" w:type="pct"/>
            <w:tcBorders>
              <w:top w:val="nil"/>
              <w:bottom w:val="nil"/>
            </w:tcBorders>
          </w:tcPr>
          <w:p w:rsidR="00ED6788" w:rsidRPr="002C0E8B" w:rsidRDefault="00ED6788" w:rsidP="00C25CC8">
            <w:pPr>
              <w:pStyle w:val="TableText"/>
              <w:ind w:right="142"/>
              <w:jc w:val="right"/>
            </w:pPr>
          </w:p>
        </w:tc>
        <w:tc>
          <w:tcPr>
            <w:tcW w:w="605" w:type="pct"/>
            <w:tcBorders>
              <w:top w:val="nil"/>
              <w:bottom w:val="nil"/>
            </w:tcBorders>
            <w:shd w:val="clear" w:color="auto" w:fill="D9D9D9"/>
          </w:tcPr>
          <w:p w:rsidR="00ED6788" w:rsidRPr="002C0E8B" w:rsidRDefault="00ED6788" w:rsidP="00C25CC8">
            <w:pPr>
              <w:pStyle w:val="TableText"/>
              <w:ind w:right="142"/>
              <w:jc w:val="right"/>
            </w:pPr>
          </w:p>
        </w:tc>
      </w:tr>
      <w:tr w:rsidR="00ED6788" w:rsidRPr="002C0E8B" w:rsidTr="00DB1E11">
        <w:trPr>
          <w:cantSplit/>
        </w:trPr>
        <w:tc>
          <w:tcPr>
            <w:tcW w:w="591" w:type="pct"/>
            <w:tcBorders>
              <w:top w:val="nil"/>
            </w:tcBorders>
          </w:tcPr>
          <w:p w:rsidR="00ED6788" w:rsidRPr="002C0E8B" w:rsidRDefault="00ED6788" w:rsidP="00DB1E11">
            <w:pPr>
              <w:pStyle w:val="TableText"/>
              <w:spacing w:before="0"/>
              <w:ind w:right="284"/>
              <w:jc w:val="right"/>
            </w:pPr>
            <w:r w:rsidRPr="005E5812">
              <w:t>New</w:t>
            </w:r>
          </w:p>
        </w:tc>
        <w:tc>
          <w:tcPr>
            <w:tcW w:w="3244" w:type="pct"/>
            <w:tcBorders>
              <w:top w:val="nil"/>
            </w:tcBorders>
          </w:tcPr>
          <w:p w:rsidR="00ED6788" w:rsidRPr="002C0E8B" w:rsidRDefault="00ED6788" w:rsidP="00DB1E11">
            <w:pPr>
              <w:pStyle w:val="TableText"/>
              <w:spacing w:before="0"/>
            </w:pPr>
            <w:r w:rsidRPr="002E4444">
              <w:t>DHBs report quarterly on implementation of Diabetes care improvement packages</w:t>
            </w:r>
          </w:p>
        </w:tc>
        <w:tc>
          <w:tcPr>
            <w:tcW w:w="560" w:type="pct"/>
            <w:tcBorders>
              <w:top w:val="nil"/>
            </w:tcBorders>
          </w:tcPr>
          <w:p w:rsidR="00ED6788" w:rsidRPr="002C0E8B" w:rsidRDefault="00ED6788" w:rsidP="00DB1E11">
            <w:pPr>
              <w:pStyle w:val="TableText"/>
              <w:spacing w:before="0"/>
              <w:ind w:right="142"/>
              <w:jc w:val="right"/>
            </w:pPr>
            <w:r w:rsidRPr="00A64935">
              <w:t>100%</w:t>
            </w:r>
          </w:p>
        </w:tc>
        <w:tc>
          <w:tcPr>
            <w:tcW w:w="605" w:type="pct"/>
            <w:tcBorders>
              <w:top w:val="nil"/>
            </w:tcBorders>
            <w:shd w:val="clear" w:color="auto" w:fill="D9D9D9"/>
          </w:tcPr>
          <w:p w:rsidR="00ED6788" w:rsidRPr="00D155EF" w:rsidRDefault="00ED6788" w:rsidP="00DB1E11">
            <w:pPr>
              <w:pStyle w:val="TableText"/>
              <w:spacing w:before="0"/>
              <w:ind w:right="142"/>
              <w:jc w:val="right"/>
            </w:pPr>
            <w:r>
              <w:t>100%</w:t>
            </w:r>
          </w:p>
        </w:tc>
      </w:tr>
    </w:tbl>
    <w:p w:rsidR="00ED6788" w:rsidRPr="00802126" w:rsidRDefault="00ED6788" w:rsidP="00DB1E11">
      <w:pPr>
        <w:rPr>
          <w:highlight w:val="yellow"/>
        </w:rPr>
      </w:pPr>
    </w:p>
    <w:p w:rsidR="00ED6788" w:rsidRDefault="00ED6788" w:rsidP="00DB1E11">
      <w:pPr>
        <w:pStyle w:val="Heading4"/>
      </w:pPr>
      <w:r>
        <w:t>Nationally purchased personal health</w:t>
      </w:r>
    </w:p>
    <w:p w:rsidR="00ED6788" w:rsidRDefault="00ED6788" w:rsidP="00DB1E11">
      <w:r>
        <w:t>National telephone triage and health advice services (Healthline) is staffed by experienced registered nurses who provide health information and recommend appropriate care for callers with symptoms. Healthline provides advice about a child of any age who is unwell or hurt, or has any symptoms of sickness. Healthline also provides a full range of telephone triage and health advice for children over five and adults.</w:t>
      </w:r>
    </w:p>
    <w:p w:rsidR="00ED6788" w:rsidRDefault="00ED6788" w:rsidP="00DB1E11"/>
    <w:p w:rsidR="000845D9" w:rsidRDefault="00ED6788" w:rsidP="00DB1E11">
      <w:r>
        <w:t>Healthline answered 401,410 calls in the year to 30 June 2015 (</w:t>
      </w:r>
      <w:r w:rsidRPr="00EA3FD3">
        <w:t>392,204 in 2014</w:t>
      </w:r>
      <w:r>
        <w:t>; 390,470 in 2012; 374,444 in 2011; 353,941</w:t>
      </w:r>
      <w:r w:rsidR="000845D9">
        <w:t xml:space="preserve"> </w:t>
      </w:r>
      <w:r>
        <w:t xml:space="preserve">in 2010). Healthline was available 24 hours a day, seven days a week during 2014/15 (at no time was this service unavailable). The call abandonment rate was notably low at </w:t>
      </w:r>
      <w:r w:rsidR="00DB1E11">
        <w:t>8 </w:t>
      </w:r>
      <w:r>
        <w:t>percent (</w:t>
      </w:r>
      <w:r w:rsidR="00DB1E11">
        <w:t>6 </w:t>
      </w:r>
      <w:r>
        <w:t>percent 2013/14).</w:t>
      </w:r>
    </w:p>
    <w:p w:rsidR="00ED6788" w:rsidRDefault="00ED6788" w:rsidP="00DB1E11"/>
    <w:p w:rsidR="00ED6788" w:rsidRDefault="00ED6788" w:rsidP="00DB1E11">
      <w:pPr>
        <w:pStyle w:val="Heading4"/>
      </w:pPr>
      <w:r>
        <w:t>Mobile surgical services</w:t>
      </w:r>
    </w:p>
    <w:p w:rsidR="000845D9" w:rsidRDefault="00ED6788" w:rsidP="00DB1E11">
      <w:r w:rsidRPr="00EA3FD3">
        <w:t>Mobile surgical services</w:t>
      </w:r>
      <w:r>
        <w:t xml:space="preserve"> provide elective day surgeries to many rural communities throughout New Zealand.</w:t>
      </w:r>
    </w:p>
    <w:p w:rsidR="00ED6788" w:rsidRDefault="00ED6788" w:rsidP="00DB1E11"/>
    <w:p w:rsidR="00ED6788" w:rsidRDefault="00ED6788" w:rsidP="00DB1E11">
      <w:r>
        <w:t xml:space="preserve">A review of mobile surgical services and related services </w:t>
      </w:r>
      <w:r w:rsidRPr="00603322">
        <w:t>in 2013/14 enabled the Ministry to determine the scope and role of rural/mobile surgical services, rural health professional development services and remote collaboration (telepresence) services beyond the current contract term. The review results have ensured that services purchased are completely aligned with</w:t>
      </w:r>
      <w:r w:rsidR="00CC71A7">
        <w:t>,</w:t>
      </w:r>
      <w:r w:rsidRPr="00603322">
        <w:t xml:space="preserve"> and contribute to</w:t>
      </w:r>
      <w:r w:rsidR="00CC71A7">
        <w:t>,</w:t>
      </w:r>
      <w:r w:rsidRPr="00603322">
        <w:t xml:space="preserve"> achieving the objectives and outcomes set out</w:t>
      </w:r>
      <w:r>
        <w:t xml:space="preserve"> for</w:t>
      </w:r>
      <w:r w:rsidRPr="00603322">
        <w:t xml:space="preserve"> </w:t>
      </w:r>
      <w:r w:rsidRPr="003B1453">
        <w:t>mobile surgical services</w:t>
      </w:r>
      <w:r w:rsidRPr="00603322">
        <w:t>.</w:t>
      </w:r>
    </w:p>
    <w:p w:rsidR="00DB1E11" w:rsidRDefault="00DB1E11" w:rsidP="00DB1E11"/>
    <w:p w:rsidR="00ED6788" w:rsidRDefault="00ED6788" w:rsidP="00DB1E11">
      <w:pPr>
        <w:pStyle w:val="Heading4"/>
      </w:pPr>
      <w:r>
        <w:t>Cancer s</w:t>
      </w:r>
      <w:r w:rsidRPr="00F25870">
        <w:t>ervices</w:t>
      </w:r>
    </w:p>
    <w:p w:rsidR="00ED6788" w:rsidRDefault="00ED6788" w:rsidP="00DB1E11">
      <w:r>
        <w:t>This work is intended to support implementation of the New Zealand Cancer Plan 2015</w:t>
      </w:r>
      <w:r w:rsidR="00DB1E11">
        <w:t>–</w:t>
      </w:r>
      <w:r>
        <w:t xml:space="preserve">2018 and the National Cancer Programme 2014/15 work plan to achieve the vision of all people easily accessing the best services in a timely way to improve overall cancer outcomes. This includes implementing the new faster cancer treatment health target, implementing tumour standards for </w:t>
      </w:r>
      <w:r w:rsidR="00CC71A7">
        <w:t>11 </w:t>
      </w:r>
      <w:r>
        <w:t>tumour types, and activity to improve the sustainability of medical oncology and radiation oncology services. The Ministry continues to monitor shorter waits for cancer treatment, which transitioned from a health target to a policy priority measure from 1</w:t>
      </w:r>
      <w:r w:rsidR="00CC71A7">
        <w:t> </w:t>
      </w:r>
      <w:r>
        <w:t>October 2014. All patients who were ready</w:t>
      </w:r>
      <w:r w:rsidR="00CC71A7">
        <w:t xml:space="preserve"> </w:t>
      </w:r>
      <w:r>
        <w:t>for</w:t>
      </w:r>
      <w:r w:rsidR="00CC71A7">
        <w:t xml:space="preserve"> </w:t>
      </w:r>
      <w:r>
        <w:t xml:space="preserve">treatment received their radiotherapy and chemotherapy within four weeks of </w:t>
      </w:r>
      <w:r w:rsidR="00CC71A7">
        <w:t xml:space="preserve">the </w:t>
      </w:r>
      <w:r>
        <w:t>decision to treat in quarter four 2014/15.</w:t>
      </w:r>
    </w:p>
    <w:p w:rsidR="00ED6788" w:rsidRDefault="00ED6788" w:rsidP="00DB1E11"/>
    <w:p w:rsidR="000845D9" w:rsidRDefault="00ED6788" w:rsidP="00DB1E11">
      <w:r>
        <w:lastRenderedPageBreak/>
        <w:t>The bowel screening pilot continues to be on track to inform and provide good information in preparation for a possible national rollout of a bowel screening programme. As part of Budget 2015 $12.4 million has been allocated for a two</w:t>
      </w:r>
      <w:r w:rsidR="00CC71A7">
        <w:t>-</w:t>
      </w:r>
      <w:r>
        <w:t>year extension of the bowel screening pilot.</w:t>
      </w:r>
    </w:p>
    <w:p w:rsidR="00ED6788" w:rsidRDefault="00ED6788" w:rsidP="00DB1E11"/>
    <w:p w:rsidR="00ED6788" w:rsidRDefault="00ED6788" w:rsidP="00DB1E11">
      <w:r>
        <w:t>The Interim Evaluation Report of the Bowel Screening Pilot: Screening Round One was published in June 2</w:t>
      </w:r>
      <w:r w:rsidR="00DB1E11">
        <w:t>0</w:t>
      </w:r>
      <w:r>
        <w:t>15. The key findings from the report are that:</w:t>
      </w:r>
    </w:p>
    <w:p w:rsidR="00ED6788" w:rsidRDefault="00ED6788" w:rsidP="00DB1E11">
      <w:pPr>
        <w:pStyle w:val="Bullet"/>
      </w:pPr>
      <w:r>
        <w:t>the participation rate in round one was higher than the internationally accepted minimum</w:t>
      </w:r>
    </w:p>
    <w:p w:rsidR="00ED6788" w:rsidRDefault="00ED6788" w:rsidP="00DB1E11">
      <w:pPr>
        <w:pStyle w:val="Bullet"/>
      </w:pPr>
      <w:r>
        <w:t>the bowel cancer detection rate was within the range reported by other international population-based screening programmes that use the same type of test</w:t>
      </w:r>
    </w:p>
    <w:p w:rsidR="00ED6788" w:rsidRDefault="00ED6788" w:rsidP="00DB1E11">
      <w:pPr>
        <w:pStyle w:val="Bullet"/>
      </w:pPr>
      <w:r>
        <w:t>participants and stakeholders were positive about their experiences with the pilot</w:t>
      </w:r>
      <w:r w:rsidR="00DB1E11">
        <w:t>.</w:t>
      </w:r>
    </w:p>
    <w:p w:rsidR="00DB1E11" w:rsidRDefault="00DB1E11" w:rsidP="00DB1E11"/>
    <w:p w:rsidR="00ED6788" w:rsidRDefault="00ED6788" w:rsidP="00DB1E11">
      <w:pPr>
        <w:pStyle w:val="Heading4"/>
      </w:pPr>
      <w:r>
        <w:t>Special High Cost Treatment Pool</w:t>
      </w:r>
    </w:p>
    <w:p w:rsidR="00ED6788" w:rsidRDefault="00ED6788" w:rsidP="00DB1E11">
      <w:r>
        <w:t xml:space="preserve">The </w:t>
      </w:r>
      <w:r w:rsidRPr="006330D9">
        <w:t>Special High Cost Treatment Pool</w:t>
      </w:r>
      <w:r>
        <w:t xml:space="preserve"> is used for funding for one-off treatments, not otherwise funded by the public health system. Special high cost treatments include medical treatments that are only available outside New Zealand or treatments that are only currently available outside the public health system. For 2014/15 the budget was $</w:t>
      </w:r>
      <w:r w:rsidRPr="001A6E1D">
        <w:t>2,015,780</w:t>
      </w:r>
      <w:r>
        <w:t xml:space="preserve"> ($2,458,000 in 2013/14). There were a total of 36 applications received and of those 24 were approved.</w:t>
      </w:r>
    </w:p>
    <w:p w:rsidR="00ED6788" w:rsidRDefault="00ED6788" w:rsidP="00DB1E11"/>
    <w:p w:rsidR="00ED6788" w:rsidRDefault="00ED6788" w:rsidP="00DB1E11">
      <w:pPr>
        <w:spacing w:after="120"/>
      </w:pPr>
      <w:r>
        <w:t>The following table shows which DHBs have made applications to the Special High Cost Treatment Pool.</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119"/>
        <w:gridCol w:w="1050"/>
        <w:gridCol w:w="1051"/>
        <w:gridCol w:w="1051"/>
      </w:tblGrid>
      <w:tr w:rsidR="00DB1E11" w:rsidRPr="00DB1E11" w:rsidTr="00DB1E11">
        <w:trPr>
          <w:cantSplit/>
        </w:trPr>
        <w:tc>
          <w:tcPr>
            <w:tcW w:w="2119" w:type="dxa"/>
            <w:tcBorders>
              <w:top w:val="single" w:sz="4" w:space="0" w:color="auto"/>
              <w:bottom w:val="single" w:sz="4" w:space="0" w:color="auto"/>
            </w:tcBorders>
            <w:shd w:val="clear" w:color="auto" w:fill="auto"/>
          </w:tcPr>
          <w:p w:rsidR="00DB1E11" w:rsidRPr="00DB1E11" w:rsidRDefault="00DB1E11" w:rsidP="00DB1E11">
            <w:pPr>
              <w:pStyle w:val="TableText"/>
              <w:rPr>
                <w:b/>
              </w:rPr>
            </w:pPr>
          </w:p>
        </w:tc>
        <w:tc>
          <w:tcPr>
            <w:tcW w:w="1050" w:type="dxa"/>
            <w:tcBorders>
              <w:top w:val="single" w:sz="4" w:space="0" w:color="auto"/>
              <w:bottom w:val="single" w:sz="4" w:space="0" w:color="auto"/>
            </w:tcBorders>
            <w:shd w:val="clear" w:color="auto" w:fill="auto"/>
          </w:tcPr>
          <w:p w:rsidR="00DB1E11" w:rsidRPr="00DB1E11" w:rsidRDefault="00DB1E11" w:rsidP="00DB1E11">
            <w:pPr>
              <w:pStyle w:val="TableText"/>
              <w:jc w:val="center"/>
              <w:rPr>
                <w:b/>
              </w:rPr>
            </w:pPr>
            <w:r w:rsidRPr="00DB1E11">
              <w:rPr>
                <w:b/>
              </w:rPr>
              <w:t>2012/13</w:t>
            </w:r>
          </w:p>
        </w:tc>
        <w:tc>
          <w:tcPr>
            <w:tcW w:w="1051" w:type="dxa"/>
            <w:tcBorders>
              <w:top w:val="single" w:sz="4" w:space="0" w:color="auto"/>
              <w:bottom w:val="single" w:sz="4" w:space="0" w:color="auto"/>
            </w:tcBorders>
            <w:shd w:val="clear" w:color="auto" w:fill="auto"/>
          </w:tcPr>
          <w:p w:rsidR="00DB1E11" w:rsidRPr="00DB1E11" w:rsidRDefault="00DB1E11" w:rsidP="00DB1E11">
            <w:pPr>
              <w:pStyle w:val="TableText"/>
              <w:jc w:val="center"/>
              <w:rPr>
                <w:b/>
              </w:rPr>
            </w:pPr>
            <w:r w:rsidRPr="00DB1E11">
              <w:rPr>
                <w:b/>
              </w:rPr>
              <w:t>2013/14</w:t>
            </w:r>
          </w:p>
        </w:tc>
        <w:tc>
          <w:tcPr>
            <w:tcW w:w="1051" w:type="dxa"/>
            <w:tcBorders>
              <w:top w:val="single" w:sz="4" w:space="0" w:color="auto"/>
              <w:bottom w:val="single" w:sz="4" w:space="0" w:color="auto"/>
            </w:tcBorders>
            <w:shd w:val="clear" w:color="auto" w:fill="auto"/>
          </w:tcPr>
          <w:p w:rsidR="00DB1E11" w:rsidRPr="00DB1E11" w:rsidRDefault="00DB1E11" w:rsidP="00DB1E11">
            <w:pPr>
              <w:pStyle w:val="TableText"/>
              <w:jc w:val="center"/>
              <w:rPr>
                <w:b/>
              </w:rPr>
            </w:pPr>
            <w:r w:rsidRPr="00DB1E11">
              <w:rPr>
                <w:b/>
              </w:rPr>
              <w:t>2014/15</w:t>
            </w:r>
          </w:p>
        </w:tc>
      </w:tr>
      <w:tr w:rsidR="00DB1E11" w:rsidTr="00DB1E11">
        <w:trPr>
          <w:cantSplit/>
        </w:trPr>
        <w:tc>
          <w:tcPr>
            <w:tcW w:w="2119" w:type="dxa"/>
            <w:tcBorders>
              <w:top w:val="single" w:sz="4" w:space="0" w:color="auto"/>
            </w:tcBorders>
            <w:shd w:val="clear" w:color="auto" w:fill="auto"/>
          </w:tcPr>
          <w:p w:rsidR="00DB1E11" w:rsidRPr="008A3A48" w:rsidRDefault="00DB1E11" w:rsidP="00DB1E11">
            <w:pPr>
              <w:pStyle w:val="TableText"/>
            </w:pPr>
            <w:r w:rsidRPr="008A3A48">
              <w:t>Northland</w:t>
            </w:r>
          </w:p>
        </w:tc>
        <w:tc>
          <w:tcPr>
            <w:tcW w:w="1050" w:type="dxa"/>
            <w:tcBorders>
              <w:top w:val="single" w:sz="4" w:space="0" w:color="auto"/>
            </w:tcBorders>
            <w:shd w:val="clear" w:color="auto" w:fill="auto"/>
          </w:tcPr>
          <w:p w:rsidR="00DB1E11" w:rsidRPr="00A9141A" w:rsidRDefault="00DB1E11" w:rsidP="00DB1E11">
            <w:pPr>
              <w:pStyle w:val="TableText"/>
              <w:tabs>
                <w:tab w:val="decimal" w:pos="659"/>
              </w:tabs>
            </w:pPr>
            <w:r w:rsidRPr="00A9141A">
              <w:t>3</w:t>
            </w:r>
          </w:p>
        </w:tc>
        <w:tc>
          <w:tcPr>
            <w:tcW w:w="1051" w:type="dxa"/>
            <w:tcBorders>
              <w:top w:val="single" w:sz="4" w:space="0" w:color="auto"/>
            </w:tcBorders>
            <w:shd w:val="clear" w:color="auto" w:fill="auto"/>
          </w:tcPr>
          <w:p w:rsidR="00DB1E11" w:rsidRPr="00A9141A" w:rsidRDefault="00DB1E11" w:rsidP="00DB1E11">
            <w:pPr>
              <w:pStyle w:val="TableText"/>
              <w:tabs>
                <w:tab w:val="decimal" w:pos="659"/>
              </w:tabs>
            </w:pPr>
          </w:p>
        </w:tc>
        <w:tc>
          <w:tcPr>
            <w:tcW w:w="1051" w:type="dxa"/>
            <w:tcBorders>
              <w:top w:val="single" w:sz="4" w:space="0" w:color="auto"/>
            </w:tcBorders>
            <w:shd w:val="clear" w:color="auto" w:fill="auto"/>
          </w:tcPr>
          <w:p w:rsidR="00DB1E11" w:rsidRPr="00A9141A" w:rsidRDefault="00DB1E11" w:rsidP="00DB1E11">
            <w:pPr>
              <w:pStyle w:val="TableText"/>
              <w:tabs>
                <w:tab w:val="decimal" w:pos="659"/>
              </w:tabs>
            </w:pPr>
          </w:p>
        </w:tc>
      </w:tr>
      <w:tr w:rsidR="00DB1E11" w:rsidTr="00DB1E11">
        <w:trPr>
          <w:cantSplit/>
        </w:trPr>
        <w:tc>
          <w:tcPr>
            <w:tcW w:w="2119" w:type="dxa"/>
            <w:shd w:val="clear" w:color="auto" w:fill="auto"/>
          </w:tcPr>
          <w:p w:rsidR="00DB1E11" w:rsidRPr="008A3A48" w:rsidRDefault="00DB1E11" w:rsidP="00DB1E11">
            <w:pPr>
              <w:pStyle w:val="TableText"/>
            </w:pPr>
            <w:r w:rsidRPr="008A3A48">
              <w:t>Waitemata</w:t>
            </w:r>
          </w:p>
        </w:tc>
        <w:tc>
          <w:tcPr>
            <w:tcW w:w="1050" w:type="dxa"/>
            <w:shd w:val="clear" w:color="auto" w:fill="auto"/>
          </w:tcPr>
          <w:p w:rsidR="00DB1E11" w:rsidRPr="00A9141A" w:rsidRDefault="00DB1E11" w:rsidP="00DB1E11">
            <w:pPr>
              <w:pStyle w:val="TableText"/>
              <w:tabs>
                <w:tab w:val="decimal" w:pos="659"/>
              </w:tabs>
            </w:pPr>
            <w:r w:rsidRPr="00A9141A">
              <w:t>1</w:t>
            </w:r>
          </w:p>
        </w:tc>
        <w:tc>
          <w:tcPr>
            <w:tcW w:w="1051" w:type="dxa"/>
            <w:shd w:val="clear" w:color="auto" w:fill="auto"/>
          </w:tcPr>
          <w:p w:rsidR="00DB1E11" w:rsidRPr="00A9141A" w:rsidRDefault="00DB1E11" w:rsidP="00DB1E11">
            <w:pPr>
              <w:pStyle w:val="TableText"/>
              <w:tabs>
                <w:tab w:val="decimal" w:pos="659"/>
              </w:tabs>
            </w:pPr>
            <w:r>
              <w:t>2</w:t>
            </w:r>
          </w:p>
        </w:tc>
        <w:tc>
          <w:tcPr>
            <w:tcW w:w="1051" w:type="dxa"/>
            <w:shd w:val="clear" w:color="auto" w:fill="auto"/>
          </w:tcPr>
          <w:p w:rsidR="00DB1E11" w:rsidRDefault="00DB1E11" w:rsidP="00DB1E11">
            <w:pPr>
              <w:pStyle w:val="TableText"/>
              <w:tabs>
                <w:tab w:val="decimal" w:pos="659"/>
              </w:tabs>
            </w:pPr>
          </w:p>
        </w:tc>
      </w:tr>
      <w:tr w:rsidR="00DB1E11" w:rsidTr="00DB1E11">
        <w:trPr>
          <w:cantSplit/>
        </w:trPr>
        <w:tc>
          <w:tcPr>
            <w:tcW w:w="2119" w:type="dxa"/>
            <w:shd w:val="clear" w:color="auto" w:fill="auto"/>
          </w:tcPr>
          <w:p w:rsidR="00DB1E11" w:rsidRPr="008A3A48" w:rsidRDefault="00DB1E11" w:rsidP="00DB1E11">
            <w:pPr>
              <w:pStyle w:val="TableText"/>
            </w:pPr>
            <w:r w:rsidRPr="008A3A48">
              <w:t>Auckland</w:t>
            </w:r>
          </w:p>
        </w:tc>
        <w:tc>
          <w:tcPr>
            <w:tcW w:w="1050" w:type="dxa"/>
            <w:shd w:val="clear" w:color="auto" w:fill="auto"/>
          </w:tcPr>
          <w:p w:rsidR="00DB1E11" w:rsidRPr="00A9141A" w:rsidRDefault="00DB1E11" w:rsidP="00DB1E11">
            <w:pPr>
              <w:pStyle w:val="TableText"/>
              <w:tabs>
                <w:tab w:val="decimal" w:pos="659"/>
              </w:tabs>
            </w:pPr>
            <w:r w:rsidRPr="00A9141A">
              <w:t>10</w:t>
            </w:r>
          </w:p>
        </w:tc>
        <w:tc>
          <w:tcPr>
            <w:tcW w:w="1051" w:type="dxa"/>
            <w:shd w:val="clear" w:color="auto" w:fill="auto"/>
          </w:tcPr>
          <w:p w:rsidR="00DB1E11" w:rsidRPr="00A9141A" w:rsidRDefault="00DB1E11" w:rsidP="00DB1E11">
            <w:pPr>
              <w:pStyle w:val="TableText"/>
              <w:tabs>
                <w:tab w:val="decimal" w:pos="659"/>
              </w:tabs>
            </w:pPr>
            <w:r>
              <w:t>6</w:t>
            </w:r>
          </w:p>
        </w:tc>
        <w:tc>
          <w:tcPr>
            <w:tcW w:w="1051" w:type="dxa"/>
            <w:shd w:val="clear" w:color="auto" w:fill="auto"/>
          </w:tcPr>
          <w:p w:rsidR="00DB1E11" w:rsidRDefault="00DB1E11" w:rsidP="00DB1E11">
            <w:pPr>
              <w:pStyle w:val="TableText"/>
              <w:tabs>
                <w:tab w:val="decimal" w:pos="659"/>
              </w:tabs>
            </w:pPr>
            <w:r>
              <w:t>15</w:t>
            </w:r>
          </w:p>
        </w:tc>
      </w:tr>
      <w:tr w:rsidR="00DB1E11" w:rsidTr="00DB1E11">
        <w:trPr>
          <w:cantSplit/>
        </w:trPr>
        <w:tc>
          <w:tcPr>
            <w:tcW w:w="2119" w:type="dxa"/>
            <w:shd w:val="clear" w:color="auto" w:fill="auto"/>
          </w:tcPr>
          <w:p w:rsidR="00DB1E11" w:rsidRPr="008A3A48" w:rsidRDefault="00DB1E11" w:rsidP="00DB1E11">
            <w:pPr>
              <w:pStyle w:val="TableText"/>
            </w:pPr>
            <w:r w:rsidRPr="008A3A48">
              <w:t>Counties Manukau</w:t>
            </w:r>
          </w:p>
        </w:tc>
        <w:tc>
          <w:tcPr>
            <w:tcW w:w="1050" w:type="dxa"/>
            <w:shd w:val="clear" w:color="auto" w:fill="auto"/>
          </w:tcPr>
          <w:p w:rsidR="00DB1E11" w:rsidRPr="00A9141A" w:rsidRDefault="00DB1E11" w:rsidP="00DB1E11">
            <w:pPr>
              <w:pStyle w:val="TableText"/>
              <w:tabs>
                <w:tab w:val="decimal" w:pos="659"/>
              </w:tabs>
            </w:pPr>
            <w:r w:rsidRPr="00A9141A">
              <w:t>1</w:t>
            </w:r>
          </w:p>
        </w:tc>
        <w:tc>
          <w:tcPr>
            <w:tcW w:w="1051" w:type="dxa"/>
            <w:shd w:val="clear" w:color="auto" w:fill="auto"/>
          </w:tcPr>
          <w:p w:rsidR="00DB1E11" w:rsidRPr="00A9141A" w:rsidRDefault="00DB1E11" w:rsidP="00DB1E11">
            <w:pPr>
              <w:pStyle w:val="TableText"/>
              <w:tabs>
                <w:tab w:val="decimal" w:pos="659"/>
              </w:tabs>
            </w:pPr>
          </w:p>
        </w:tc>
        <w:tc>
          <w:tcPr>
            <w:tcW w:w="1051" w:type="dxa"/>
            <w:shd w:val="clear" w:color="auto" w:fill="auto"/>
          </w:tcPr>
          <w:p w:rsidR="00DB1E11" w:rsidRPr="00A9141A" w:rsidRDefault="00DB1E11" w:rsidP="00DB1E11">
            <w:pPr>
              <w:pStyle w:val="TableText"/>
              <w:tabs>
                <w:tab w:val="decimal" w:pos="659"/>
              </w:tabs>
            </w:pPr>
          </w:p>
        </w:tc>
      </w:tr>
      <w:tr w:rsidR="00DB1E11" w:rsidTr="00DB1E11">
        <w:trPr>
          <w:cantSplit/>
        </w:trPr>
        <w:tc>
          <w:tcPr>
            <w:tcW w:w="2119" w:type="dxa"/>
            <w:shd w:val="clear" w:color="auto" w:fill="auto"/>
          </w:tcPr>
          <w:p w:rsidR="00DB1E11" w:rsidRPr="008A3A48" w:rsidRDefault="00DB1E11" w:rsidP="00DB1E11">
            <w:pPr>
              <w:pStyle w:val="TableText"/>
            </w:pPr>
            <w:r w:rsidRPr="008A3A48">
              <w:t>Bay of Plenty</w:t>
            </w:r>
          </w:p>
        </w:tc>
        <w:tc>
          <w:tcPr>
            <w:tcW w:w="1050" w:type="dxa"/>
            <w:shd w:val="clear" w:color="auto" w:fill="auto"/>
          </w:tcPr>
          <w:p w:rsidR="00DB1E11" w:rsidRPr="00A9141A" w:rsidRDefault="00DB1E11" w:rsidP="00DB1E11">
            <w:pPr>
              <w:pStyle w:val="TableText"/>
              <w:tabs>
                <w:tab w:val="decimal" w:pos="659"/>
              </w:tabs>
            </w:pPr>
            <w:r w:rsidRPr="00A9141A">
              <w:t>1</w:t>
            </w:r>
          </w:p>
        </w:tc>
        <w:tc>
          <w:tcPr>
            <w:tcW w:w="1051" w:type="dxa"/>
            <w:shd w:val="clear" w:color="auto" w:fill="auto"/>
          </w:tcPr>
          <w:p w:rsidR="00DB1E11" w:rsidRPr="00A9141A" w:rsidRDefault="00DB1E11" w:rsidP="00DB1E11">
            <w:pPr>
              <w:pStyle w:val="TableText"/>
              <w:tabs>
                <w:tab w:val="decimal" w:pos="659"/>
              </w:tabs>
            </w:pPr>
          </w:p>
        </w:tc>
        <w:tc>
          <w:tcPr>
            <w:tcW w:w="1051" w:type="dxa"/>
            <w:shd w:val="clear" w:color="auto" w:fill="auto"/>
          </w:tcPr>
          <w:p w:rsidR="00DB1E11" w:rsidRPr="00A9141A" w:rsidRDefault="00DB1E11" w:rsidP="00DB1E11">
            <w:pPr>
              <w:pStyle w:val="TableText"/>
              <w:tabs>
                <w:tab w:val="decimal" w:pos="659"/>
              </w:tabs>
            </w:pPr>
            <w:r>
              <w:t>1</w:t>
            </w:r>
          </w:p>
        </w:tc>
      </w:tr>
      <w:tr w:rsidR="00DB1E11" w:rsidTr="00DB1E11">
        <w:trPr>
          <w:cantSplit/>
        </w:trPr>
        <w:tc>
          <w:tcPr>
            <w:tcW w:w="2119" w:type="dxa"/>
            <w:shd w:val="clear" w:color="auto" w:fill="auto"/>
          </w:tcPr>
          <w:p w:rsidR="00DB1E11" w:rsidRPr="008A3A48" w:rsidRDefault="00DB1E11" w:rsidP="00DB1E11">
            <w:pPr>
              <w:pStyle w:val="TableText"/>
            </w:pPr>
            <w:r w:rsidRPr="008A3A48">
              <w:t>Hawke</w:t>
            </w:r>
            <w:r>
              <w:t>’</w:t>
            </w:r>
            <w:r w:rsidRPr="008A3A48">
              <w:t>s Bay</w:t>
            </w:r>
          </w:p>
        </w:tc>
        <w:tc>
          <w:tcPr>
            <w:tcW w:w="1050" w:type="dxa"/>
            <w:shd w:val="clear" w:color="auto" w:fill="auto"/>
          </w:tcPr>
          <w:p w:rsidR="00DB1E11" w:rsidRPr="00A9141A" w:rsidRDefault="00DB1E11" w:rsidP="00DB1E11">
            <w:pPr>
              <w:pStyle w:val="TableText"/>
              <w:tabs>
                <w:tab w:val="decimal" w:pos="659"/>
              </w:tabs>
            </w:pPr>
            <w:r w:rsidRPr="00A9141A">
              <w:t>2</w:t>
            </w:r>
          </w:p>
        </w:tc>
        <w:tc>
          <w:tcPr>
            <w:tcW w:w="1051" w:type="dxa"/>
            <w:shd w:val="clear" w:color="auto" w:fill="auto"/>
          </w:tcPr>
          <w:p w:rsidR="00DB1E11" w:rsidRPr="00A9141A" w:rsidRDefault="00DB1E11" w:rsidP="00DB1E11">
            <w:pPr>
              <w:pStyle w:val="TableText"/>
              <w:tabs>
                <w:tab w:val="decimal" w:pos="659"/>
              </w:tabs>
            </w:pPr>
            <w:r>
              <w:t>1</w:t>
            </w:r>
          </w:p>
        </w:tc>
        <w:tc>
          <w:tcPr>
            <w:tcW w:w="1051" w:type="dxa"/>
            <w:shd w:val="clear" w:color="auto" w:fill="auto"/>
          </w:tcPr>
          <w:p w:rsidR="00DB1E11" w:rsidRDefault="00DB1E11" w:rsidP="00DB1E11">
            <w:pPr>
              <w:pStyle w:val="TableText"/>
              <w:tabs>
                <w:tab w:val="decimal" w:pos="659"/>
              </w:tabs>
            </w:pPr>
          </w:p>
        </w:tc>
      </w:tr>
      <w:tr w:rsidR="00DB1E11" w:rsidTr="00DB1E11">
        <w:trPr>
          <w:cantSplit/>
        </w:trPr>
        <w:tc>
          <w:tcPr>
            <w:tcW w:w="2119" w:type="dxa"/>
            <w:shd w:val="clear" w:color="auto" w:fill="auto"/>
          </w:tcPr>
          <w:p w:rsidR="00DB1E11" w:rsidRPr="008A3A48" w:rsidRDefault="00DB1E11" w:rsidP="00DB1E11">
            <w:pPr>
              <w:pStyle w:val="TableText"/>
            </w:pPr>
            <w:r w:rsidRPr="000A1E27">
              <w:t>MidCentral</w:t>
            </w:r>
          </w:p>
        </w:tc>
        <w:tc>
          <w:tcPr>
            <w:tcW w:w="1050" w:type="dxa"/>
            <w:shd w:val="clear" w:color="auto" w:fill="auto"/>
          </w:tcPr>
          <w:p w:rsidR="00DB1E11" w:rsidRPr="00A9141A" w:rsidRDefault="00DB1E11" w:rsidP="00DB1E11">
            <w:pPr>
              <w:pStyle w:val="TableText"/>
              <w:tabs>
                <w:tab w:val="decimal" w:pos="659"/>
              </w:tabs>
            </w:pPr>
          </w:p>
        </w:tc>
        <w:tc>
          <w:tcPr>
            <w:tcW w:w="1051" w:type="dxa"/>
            <w:shd w:val="clear" w:color="auto" w:fill="auto"/>
          </w:tcPr>
          <w:p w:rsidR="00DB1E11" w:rsidRPr="00A9141A" w:rsidRDefault="00DB1E11" w:rsidP="00DB1E11">
            <w:pPr>
              <w:pStyle w:val="TableText"/>
              <w:tabs>
                <w:tab w:val="decimal" w:pos="659"/>
              </w:tabs>
            </w:pPr>
            <w:r>
              <w:t>1</w:t>
            </w:r>
          </w:p>
        </w:tc>
        <w:tc>
          <w:tcPr>
            <w:tcW w:w="1051" w:type="dxa"/>
            <w:shd w:val="clear" w:color="auto" w:fill="auto"/>
          </w:tcPr>
          <w:p w:rsidR="00DB1E11" w:rsidRDefault="00DB1E11" w:rsidP="00DB1E11">
            <w:pPr>
              <w:pStyle w:val="TableText"/>
              <w:tabs>
                <w:tab w:val="decimal" w:pos="659"/>
              </w:tabs>
            </w:pPr>
            <w:r>
              <w:t>1</w:t>
            </w:r>
          </w:p>
        </w:tc>
      </w:tr>
      <w:tr w:rsidR="00DB1E11" w:rsidTr="00DB1E11">
        <w:trPr>
          <w:cantSplit/>
        </w:trPr>
        <w:tc>
          <w:tcPr>
            <w:tcW w:w="2119" w:type="dxa"/>
            <w:shd w:val="clear" w:color="auto" w:fill="auto"/>
          </w:tcPr>
          <w:p w:rsidR="00DB1E11" w:rsidRPr="008A3A48" w:rsidRDefault="00DB1E11" w:rsidP="00DB1E11">
            <w:pPr>
              <w:pStyle w:val="TableText"/>
            </w:pPr>
            <w:r w:rsidRPr="008A3A48">
              <w:t xml:space="preserve">Capital </w:t>
            </w:r>
            <w:r>
              <w:t>&amp;</w:t>
            </w:r>
            <w:r w:rsidRPr="008A3A48">
              <w:t xml:space="preserve"> Coast</w:t>
            </w:r>
          </w:p>
        </w:tc>
        <w:tc>
          <w:tcPr>
            <w:tcW w:w="1050" w:type="dxa"/>
            <w:shd w:val="clear" w:color="auto" w:fill="auto"/>
          </w:tcPr>
          <w:p w:rsidR="00DB1E11" w:rsidRPr="00A9141A" w:rsidRDefault="00DB1E11" w:rsidP="00DB1E11">
            <w:pPr>
              <w:pStyle w:val="TableText"/>
              <w:tabs>
                <w:tab w:val="decimal" w:pos="659"/>
              </w:tabs>
            </w:pPr>
            <w:r w:rsidRPr="00A9141A">
              <w:t>9</w:t>
            </w:r>
          </w:p>
        </w:tc>
        <w:tc>
          <w:tcPr>
            <w:tcW w:w="1051" w:type="dxa"/>
            <w:shd w:val="clear" w:color="auto" w:fill="auto"/>
          </w:tcPr>
          <w:p w:rsidR="00DB1E11" w:rsidRPr="00A9141A" w:rsidRDefault="00DB1E11" w:rsidP="00DB1E11">
            <w:pPr>
              <w:pStyle w:val="TableText"/>
              <w:tabs>
                <w:tab w:val="decimal" w:pos="659"/>
              </w:tabs>
            </w:pPr>
            <w:r>
              <w:t>2</w:t>
            </w:r>
          </w:p>
        </w:tc>
        <w:tc>
          <w:tcPr>
            <w:tcW w:w="1051" w:type="dxa"/>
            <w:shd w:val="clear" w:color="auto" w:fill="auto"/>
          </w:tcPr>
          <w:p w:rsidR="00DB1E11" w:rsidRDefault="00DB1E11" w:rsidP="00DB1E11">
            <w:pPr>
              <w:pStyle w:val="TableText"/>
              <w:tabs>
                <w:tab w:val="decimal" w:pos="659"/>
              </w:tabs>
            </w:pPr>
            <w:r>
              <w:t>9</w:t>
            </w:r>
          </w:p>
        </w:tc>
      </w:tr>
      <w:tr w:rsidR="00DB1E11" w:rsidTr="00DB1E11">
        <w:trPr>
          <w:cantSplit/>
        </w:trPr>
        <w:tc>
          <w:tcPr>
            <w:tcW w:w="2119" w:type="dxa"/>
            <w:shd w:val="clear" w:color="auto" w:fill="auto"/>
          </w:tcPr>
          <w:p w:rsidR="00DB1E11" w:rsidRPr="008A3A48" w:rsidRDefault="00DB1E11" w:rsidP="00DB1E11">
            <w:pPr>
              <w:pStyle w:val="TableText"/>
            </w:pPr>
            <w:r w:rsidRPr="008A3A48">
              <w:t>Hutt Valley</w:t>
            </w:r>
          </w:p>
        </w:tc>
        <w:tc>
          <w:tcPr>
            <w:tcW w:w="1050" w:type="dxa"/>
            <w:shd w:val="clear" w:color="auto" w:fill="auto"/>
          </w:tcPr>
          <w:p w:rsidR="00DB1E11" w:rsidRPr="00A9141A" w:rsidRDefault="00DB1E11" w:rsidP="00DB1E11">
            <w:pPr>
              <w:pStyle w:val="TableText"/>
              <w:tabs>
                <w:tab w:val="decimal" w:pos="659"/>
              </w:tabs>
            </w:pPr>
            <w:r w:rsidRPr="00A9141A">
              <w:t>1</w:t>
            </w:r>
          </w:p>
        </w:tc>
        <w:tc>
          <w:tcPr>
            <w:tcW w:w="1051" w:type="dxa"/>
            <w:shd w:val="clear" w:color="auto" w:fill="auto"/>
          </w:tcPr>
          <w:p w:rsidR="00DB1E11" w:rsidRPr="00A9141A" w:rsidRDefault="00DB1E11" w:rsidP="00DB1E11">
            <w:pPr>
              <w:pStyle w:val="TableText"/>
              <w:tabs>
                <w:tab w:val="decimal" w:pos="659"/>
              </w:tabs>
            </w:pPr>
          </w:p>
        </w:tc>
        <w:tc>
          <w:tcPr>
            <w:tcW w:w="1051" w:type="dxa"/>
            <w:shd w:val="clear" w:color="auto" w:fill="auto"/>
          </w:tcPr>
          <w:p w:rsidR="00DB1E11" w:rsidRPr="00A9141A" w:rsidRDefault="00DB1E11" w:rsidP="00DB1E11">
            <w:pPr>
              <w:pStyle w:val="TableText"/>
              <w:tabs>
                <w:tab w:val="decimal" w:pos="659"/>
              </w:tabs>
            </w:pPr>
          </w:p>
        </w:tc>
      </w:tr>
      <w:tr w:rsidR="00DB1E11" w:rsidTr="00DB1E11">
        <w:trPr>
          <w:cantSplit/>
        </w:trPr>
        <w:tc>
          <w:tcPr>
            <w:tcW w:w="2119" w:type="dxa"/>
            <w:shd w:val="clear" w:color="auto" w:fill="auto"/>
          </w:tcPr>
          <w:p w:rsidR="00DB1E11" w:rsidRPr="008A3A48" w:rsidRDefault="00DB1E11" w:rsidP="00DB1E11">
            <w:pPr>
              <w:pStyle w:val="TableText"/>
            </w:pPr>
            <w:r w:rsidRPr="000A1E27">
              <w:t>Wairarapa</w:t>
            </w:r>
          </w:p>
        </w:tc>
        <w:tc>
          <w:tcPr>
            <w:tcW w:w="1050" w:type="dxa"/>
            <w:shd w:val="clear" w:color="auto" w:fill="auto"/>
          </w:tcPr>
          <w:p w:rsidR="00DB1E11" w:rsidRPr="00A9141A" w:rsidRDefault="00DB1E11" w:rsidP="00DB1E11">
            <w:pPr>
              <w:pStyle w:val="TableText"/>
              <w:tabs>
                <w:tab w:val="decimal" w:pos="659"/>
              </w:tabs>
            </w:pPr>
          </w:p>
        </w:tc>
        <w:tc>
          <w:tcPr>
            <w:tcW w:w="1051" w:type="dxa"/>
            <w:shd w:val="clear" w:color="auto" w:fill="auto"/>
          </w:tcPr>
          <w:p w:rsidR="00DB1E11" w:rsidRPr="00A9141A" w:rsidRDefault="00DB1E11" w:rsidP="00DB1E11">
            <w:pPr>
              <w:pStyle w:val="TableText"/>
              <w:tabs>
                <w:tab w:val="decimal" w:pos="659"/>
              </w:tabs>
            </w:pPr>
            <w:r>
              <w:t>1</w:t>
            </w:r>
          </w:p>
        </w:tc>
        <w:tc>
          <w:tcPr>
            <w:tcW w:w="1051" w:type="dxa"/>
            <w:shd w:val="clear" w:color="auto" w:fill="auto"/>
          </w:tcPr>
          <w:p w:rsidR="00DB1E11" w:rsidRDefault="00DB1E11" w:rsidP="00DB1E11">
            <w:pPr>
              <w:pStyle w:val="TableText"/>
              <w:tabs>
                <w:tab w:val="decimal" w:pos="659"/>
              </w:tabs>
            </w:pPr>
          </w:p>
        </w:tc>
      </w:tr>
      <w:tr w:rsidR="00DB1E11" w:rsidTr="00DB1E11">
        <w:trPr>
          <w:cantSplit/>
        </w:trPr>
        <w:tc>
          <w:tcPr>
            <w:tcW w:w="2119" w:type="dxa"/>
            <w:shd w:val="clear" w:color="auto" w:fill="auto"/>
          </w:tcPr>
          <w:p w:rsidR="00DB1E11" w:rsidRPr="008A3A48" w:rsidRDefault="00DB1E11" w:rsidP="00DB1E11">
            <w:pPr>
              <w:pStyle w:val="TableText"/>
            </w:pPr>
            <w:r w:rsidRPr="008A3A48">
              <w:t>Canterbury</w:t>
            </w:r>
          </w:p>
        </w:tc>
        <w:tc>
          <w:tcPr>
            <w:tcW w:w="1050" w:type="dxa"/>
            <w:shd w:val="clear" w:color="auto" w:fill="auto"/>
          </w:tcPr>
          <w:p w:rsidR="00DB1E11" w:rsidRPr="00A9141A" w:rsidRDefault="00DB1E11" w:rsidP="00DB1E11">
            <w:pPr>
              <w:pStyle w:val="TableText"/>
              <w:tabs>
                <w:tab w:val="decimal" w:pos="659"/>
              </w:tabs>
            </w:pPr>
            <w:r w:rsidRPr="00A9141A">
              <w:t>15</w:t>
            </w:r>
          </w:p>
        </w:tc>
        <w:tc>
          <w:tcPr>
            <w:tcW w:w="1051" w:type="dxa"/>
            <w:shd w:val="clear" w:color="auto" w:fill="auto"/>
          </w:tcPr>
          <w:p w:rsidR="00DB1E11" w:rsidRPr="00A9141A" w:rsidRDefault="00DB1E11" w:rsidP="00DB1E11">
            <w:pPr>
              <w:pStyle w:val="TableText"/>
              <w:tabs>
                <w:tab w:val="decimal" w:pos="659"/>
              </w:tabs>
            </w:pPr>
            <w:r>
              <w:t>1</w:t>
            </w:r>
          </w:p>
        </w:tc>
        <w:tc>
          <w:tcPr>
            <w:tcW w:w="1051" w:type="dxa"/>
            <w:shd w:val="clear" w:color="auto" w:fill="auto"/>
          </w:tcPr>
          <w:p w:rsidR="00DB1E11" w:rsidRDefault="00DB1E11" w:rsidP="00DB1E11">
            <w:pPr>
              <w:pStyle w:val="TableText"/>
              <w:tabs>
                <w:tab w:val="decimal" w:pos="659"/>
              </w:tabs>
            </w:pPr>
            <w:r>
              <w:t>5</w:t>
            </w:r>
          </w:p>
        </w:tc>
      </w:tr>
      <w:tr w:rsidR="00DB1E11" w:rsidTr="00DB1E11">
        <w:trPr>
          <w:cantSplit/>
        </w:trPr>
        <w:tc>
          <w:tcPr>
            <w:tcW w:w="2119" w:type="dxa"/>
            <w:shd w:val="clear" w:color="auto" w:fill="auto"/>
          </w:tcPr>
          <w:p w:rsidR="00DB1E11" w:rsidRPr="008A3A48" w:rsidRDefault="00DB1E11" w:rsidP="00DB1E11">
            <w:pPr>
              <w:pStyle w:val="TableText"/>
            </w:pPr>
            <w:r w:rsidRPr="000A1E27">
              <w:t>South Canterbury</w:t>
            </w:r>
          </w:p>
        </w:tc>
        <w:tc>
          <w:tcPr>
            <w:tcW w:w="1050" w:type="dxa"/>
            <w:shd w:val="clear" w:color="auto" w:fill="auto"/>
          </w:tcPr>
          <w:p w:rsidR="00DB1E11" w:rsidRPr="00A9141A" w:rsidRDefault="00DB1E11" w:rsidP="00DB1E11">
            <w:pPr>
              <w:pStyle w:val="TableText"/>
              <w:tabs>
                <w:tab w:val="decimal" w:pos="659"/>
              </w:tabs>
            </w:pPr>
          </w:p>
        </w:tc>
        <w:tc>
          <w:tcPr>
            <w:tcW w:w="1051" w:type="dxa"/>
            <w:shd w:val="clear" w:color="auto" w:fill="auto"/>
          </w:tcPr>
          <w:p w:rsidR="00DB1E11" w:rsidRPr="00A9141A" w:rsidRDefault="00DB1E11" w:rsidP="00DB1E11">
            <w:pPr>
              <w:pStyle w:val="TableText"/>
              <w:tabs>
                <w:tab w:val="decimal" w:pos="659"/>
              </w:tabs>
            </w:pPr>
            <w:r>
              <w:t>1</w:t>
            </w:r>
          </w:p>
        </w:tc>
        <w:tc>
          <w:tcPr>
            <w:tcW w:w="1051" w:type="dxa"/>
            <w:shd w:val="clear" w:color="auto" w:fill="auto"/>
          </w:tcPr>
          <w:p w:rsidR="00DB1E11" w:rsidRDefault="00DB1E11" w:rsidP="00DB1E11">
            <w:pPr>
              <w:pStyle w:val="TableText"/>
              <w:tabs>
                <w:tab w:val="decimal" w:pos="659"/>
              </w:tabs>
            </w:pPr>
          </w:p>
        </w:tc>
      </w:tr>
      <w:tr w:rsidR="00DB1E11" w:rsidTr="00DB1E11">
        <w:trPr>
          <w:cantSplit/>
        </w:trPr>
        <w:tc>
          <w:tcPr>
            <w:tcW w:w="2119" w:type="dxa"/>
            <w:shd w:val="clear" w:color="auto" w:fill="auto"/>
          </w:tcPr>
          <w:p w:rsidR="00DB1E11" w:rsidRPr="008A3A48" w:rsidRDefault="00DB1E11" w:rsidP="00DB1E11">
            <w:pPr>
              <w:pStyle w:val="TableText"/>
            </w:pPr>
            <w:r w:rsidRPr="008A3A48">
              <w:t>Southern</w:t>
            </w:r>
          </w:p>
        </w:tc>
        <w:tc>
          <w:tcPr>
            <w:tcW w:w="1050" w:type="dxa"/>
            <w:shd w:val="clear" w:color="auto" w:fill="auto"/>
          </w:tcPr>
          <w:p w:rsidR="00DB1E11" w:rsidRPr="00A9141A" w:rsidRDefault="00DB1E11" w:rsidP="00DB1E11">
            <w:pPr>
              <w:pStyle w:val="TableText"/>
              <w:tabs>
                <w:tab w:val="decimal" w:pos="659"/>
              </w:tabs>
            </w:pPr>
            <w:r w:rsidRPr="00A9141A">
              <w:t>2</w:t>
            </w:r>
          </w:p>
        </w:tc>
        <w:tc>
          <w:tcPr>
            <w:tcW w:w="1051" w:type="dxa"/>
            <w:shd w:val="clear" w:color="auto" w:fill="auto"/>
          </w:tcPr>
          <w:p w:rsidR="00DB1E11" w:rsidRPr="00A9141A" w:rsidRDefault="00DB1E11" w:rsidP="00DB1E11">
            <w:pPr>
              <w:pStyle w:val="TableText"/>
              <w:tabs>
                <w:tab w:val="decimal" w:pos="659"/>
              </w:tabs>
            </w:pPr>
          </w:p>
        </w:tc>
        <w:tc>
          <w:tcPr>
            <w:tcW w:w="1051" w:type="dxa"/>
            <w:shd w:val="clear" w:color="auto" w:fill="auto"/>
          </w:tcPr>
          <w:p w:rsidR="00DB1E11" w:rsidRPr="00A9141A" w:rsidRDefault="00DB1E11" w:rsidP="00DB1E11">
            <w:pPr>
              <w:pStyle w:val="TableText"/>
              <w:tabs>
                <w:tab w:val="decimal" w:pos="659"/>
              </w:tabs>
            </w:pPr>
            <w:r>
              <w:t>3</w:t>
            </w:r>
          </w:p>
        </w:tc>
      </w:tr>
      <w:tr w:rsidR="00DB1E11" w:rsidTr="00DB1E11">
        <w:trPr>
          <w:cantSplit/>
        </w:trPr>
        <w:tc>
          <w:tcPr>
            <w:tcW w:w="2119" w:type="dxa"/>
            <w:shd w:val="clear" w:color="auto" w:fill="auto"/>
          </w:tcPr>
          <w:p w:rsidR="00DB1E11" w:rsidRDefault="00DB1E11" w:rsidP="00DB1E11">
            <w:pPr>
              <w:pStyle w:val="TableText"/>
            </w:pPr>
            <w:r>
              <w:t>DHB not identified</w:t>
            </w:r>
          </w:p>
        </w:tc>
        <w:tc>
          <w:tcPr>
            <w:tcW w:w="1050" w:type="dxa"/>
            <w:shd w:val="clear" w:color="auto" w:fill="auto"/>
          </w:tcPr>
          <w:p w:rsidR="00DB1E11" w:rsidRDefault="00DB1E11" w:rsidP="00DB1E11">
            <w:pPr>
              <w:pStyle w:val="TableText"/>
              <w:tabs>
                <w:tab w:val="decimal" w:pos="659"/>
              </w:tabs>
            </w:pPr>
          </w:p>
        </w:tc>
        <w:tc>
          <w:tcPr>
            <w:tcW w:w="1051" w:type="dxa"/>
            <w:shd w:val="clear" w:color="auto" w:fill="auto"/>
          </w:tcPr>
          <w:p w:rsidR="00DB1E11" w:rsidRDefault="00DB1E11" w:rsidP="00DB1E11">
            <w:pPr>
              <w:pStyle w:val="TableText"/>
              <w:tabs>
                <w:tab w:val="decimal" w:pos="659"/>
              </w:tabs>
            </w:pPr>
            <w:r>
              <w:t>6</w:t>
            </w:r>
          </w:p>
        </w:tc>
        <w:tc>
          <w:tcPr>
            <w:tcW w:w="1051" w:type="dxa"/>
            <w:shd w:val="clear" w:color="auto" w:fill="auto"/>
          </w:tcPr>
          <w:p w:rsidR="00DB1E11" w:rsidRDefault="00DB1E11" w:rsidP="00DB1E11">
            <w:pPr>
              <w:pStyle w:val="TableText"/>
              <w:tabs>
                <w:tab w:val="decimal" w:pos="659"/>
              </w:tabs>
            </w:pPr>
          </w:p>
        </w:tc>
      </w:tr>
      <w:tr w:rsidR="00DB1E11" w:rsidTr="00DB1E11">
        <w:trPr>
          <w:cantSplit/>
        </w:trPr>
        <w:tc>
          <w:tcPr>
            <w:tcW w:w="2119" w:type="dxa"/>
            <w:shd w:val="clear" w:color="auto" w:fill="auto"/>
          </w:tcPr>
          <w:p w:rsidR="00DB1E11" w:rsidRDefault="00DB1E11" w:rsidP="00DB1E11">
            <w:pPr>
              <w:pStyle w:val="TableText"/>
            </w:pPr>
            <w:r w:rsidRPr="007845A6">
              <w:t>Tairawhiti</w:t>
            </w:r>
          </w:p>
        </w:tc>
        <w:tc>
          <w:tcPr>
            <w:tcW w:w="1050" w:type="dxa"/>
            <w:shd w:val="clear" w:color="auto" w:fill="auto"/>
          </w:tcPr>
          <w:p w:rsidR="00DB1E11" w:rsidRDefault="00DB1E11" w:rsidP="00DB1E11">
            <w:pPr>
              <w:pStyle w:val="TableText"/>
              <w:tabs>
                <w:tab w:val="decimal" w:pos="659"/>
              </w:tabs>
            </w:pPr>
          </w:p>
        </w:tc>
        <w:tc>
          <w:tcPr>
            <w:tcW w:w="1051" w:type="dxa"/>
            <w:shd w:val="clear" w:color="auto" w:fill="auto"/>
          </w:tcPr>
          <w:p w:rsidR="00DB1E11" w:rsidRDefault="00DB1E11" w:rsidP="00DB1E11">
            <w:pPr>
              <w:pStyle w:val="TableText"/>
              <w:tabs>
                <w:tab w:val="decimal" w:pos="659"/>
              </w:tabs>
            </w:pPr>
          </w:p>
        </w:tc>
        <w:tc>
          <w:tcPr>
            <w:tcW w:w="1051" w:type="dxa"/>
            <w:shd w:val="clear" w:color="auto" w:fill="auto"/>
          </w:tcPr>
          <w:p w:rsidR="00DB1E11" w:rsidRDefault="00DB1E11" w:rsidP="00DB1E11">
            <w:pPr>
              <w:pStyle w:val="TableText"/>
              <w:tabs>
                <w:tab w:val="decimal" w:pos="659"/>
              </w:tabs>
            </w:pPr>
            <w:r w:rsidRPr="007845A6">
              <w:t>1</w:t>
            </w:r>
          </w:p>
        </w:tc>
      </w:tr>
      <w:tr w:rsidR="00DB1E11" w:rsidRPr="00DB1E11" w:rsidTr="00DB1E11">
        <w:trPr>
          <w:cantSplit/>
        </w:trPr>
        <w:tc>
          <w:tcPr>
            <w:tcW w:w="2119" w:type="dxa"/>
            <w:shd w:val="clear" w:color="auto" w:fill="auto"/>
          </w:tcPr>
          <w:p w:rsidR="00DB1E11" w:rsidRPr="00DB1E11" w:rsidRDefault="00DB1E11" w:rsidP="00DB1E11">
            <w:pPr>
              <w:pStyle w:val="TableText"/>
              <w:rPr>
                <w:b/>
              </w:rPr>
            </w:pPr>
            <w:r w:rsidRPr="00DB1E11">
              <w:rPr>
                <w:b/>
              </w:rPr>
              <w:t>Total</w:t>
            </w:r>
          </w:p>
        </w:tc>
        <w:tc>
          <w:tcPr>
            <w:tcW w:w="1050" w:type="dxa"/>
            <w:shd w:val="clear" w:color="auto" w:fill="auto"/>
          </w:tcPr>
          <w:p w:rsidR="00DB1E11" w:rsidRPr="00DB1E11" w:rsidRDefault="00DB1E11" w:rsidP="00DB1E11">
            <w:pPr>
              <w:pStyle w:val="TableText"/>
              <w:tabs>
                <w:tab w:val="decimal" w:pos="659"/>
              </w:tabs>
              <w:rPr>
                <w:b/>
              </w:rPr>
            </w:pPr>
            <w:r w:rsidRPr="00DB1E11">
              <w:rPr>
                <w:b/>
              </w:rPr>
              <w:t>45</w:t>
            </w:r>
          </w:p>
        </w:tc>
        <w:tc>
          <w:tcPr>
            <w:tcW w:w="1051" w:type="dxa"/>
            <w:shd w:val="clear" w:color="auto" w:fill="auto"/>
          </w:tcPr>
          <w:p w:rsidR="00DB1E11" w:rsidRPr="00DB1E11" w:rsidRDefault="00DB1E11" w:rsidP="00DB1E11">
            <w:pPr>
              <w:pStyle w:val="TableText"/>
              <w:tabs>
                <w:tab w:val="decimal" w:pos="659"/>
              </w:tabs>
              <w:rPr>
                <w:b/>
              </w:rPr>
            </w:pPr>
            <w:r w:rsidRPr="00DB1E11">
              <w:rPr>
                <w:b/>
              </w:rPr>
              <w:t>21</w:t>
            </w:r>
          </w:p>
        </w:tc>
        <w:tc>
          <w:tcPr>
            <w:tcW w:w="1051" w:type="dxa"/>
            <w:shd w:val="clear" w:color="auto" w:fill="auto"/>
          </w:tcPr>
          <w:p w:rsidR="00DB1E11" w:rsidRPr="00DB1E11" w:rsidRDefault="00DB1E11" w:rsidP="00DB1E11">
            <w:pPr>
              <w:pStyle w:val="TableText"/>
              <w:tabs>
                <w:tab w:val="decimal" w:pos="659"/>
              </w:tabs>
              <w:rPr>
                <w:b/>
              </w:rPr>
            </w:pPr>
            <w:r w:rsidRPr="00DB1E11">
              <w:rPr>
                <w:b/>
              </w:rPr>
              <w:t>36</w:t>
            </w:r>
          </w:p>
        </w:tc>
      </w:tr>
    </w:tbl>
    <w:p w:rsidR="00ED6788" w:rsidRDefault="00ED6788" w:rsidP="00DB1E11"/>
    <w:p w:rsidR="000845D9" w:rsidRDefault="00ED6788" w:rsidP="00DB1E11">
      <w:pPr>
        <w:pStyle w:val="Heading4"/>
      </w:pPr>
      <w:r>
        <w:t xml:space="preserve">Cardiovascular </w:t>
      </w:r>
      <w:r w:rsidR="00DB1E11">
        <w:t>d</w:t>
      </w:r>
      <w:r>
        <w:t xml:space="preserve">isease and </w:t>
      </w:r>
      <w:r w:rsidR="00DB1E11">
        <w:t>d</w:t>
      </w:r>
      <w:r>
        <w:t xml:space="preserve">iabetes </w:t>
      </w:r>
      <w:r w:rsidR="00DB1E11">
        <w:t>h</w:t>
      </w:r>
      <w:r>
        <w:t>ealth</w:t>
      </w:r>
    </w:p>
    <w:p w:rsidR="000845D9" w:rsidRDefault="00ED6788" w:rsidP="00DB1E11">
      <w:r>
        <w:t>It is important to have a national audit system for identifying and continuing to improve cardiac</w:t>
      </w:r>
      <w:r w:rsidR="00892A9F">
        <w:t>-</w:t>
      </w:r>
      <w:r>
        <w:t xml:space="preserve">related services in New Zealand. The interventional cardiology and cardiac surgery registries have been developed </w:t>
      </w:r>
      <w:r w:rsidRPr="00DA5BFF">
        <w:t>and are now in use.</w:t>
      </w:r>
    </w:p>
    <w:p w:rsidR="00ED6788" w:rsidRDefault="00ED6788" w:rsidP="00DB1E11"/>
    <w:p w:rsidR="00ED6788" w:rsidRDefault="00ED6788" w:rsidP="00DB1E11">
      <w:pPr>
        <w:keepNext/>
      </w:pPr>
      <w:r>
        <w:lastRenderedPageBreak/>
        <w:t xml:space="preserve">Dendrite Clinical Systems Ltd </w:t>
      </w:r>
      <w:r w:rsidRPr="00DA5BFF">
        <w:t xml:space="preserve">has implemented the Cardiac Surgery Registry. The Registry was successfully deployed nationally at the end of 2013/14 and </w:t>
      </w:r>
      <w:r w:rsidR="00892A9F">
        <w:t xml:space="preserve">the </w:t>
      </w:r>
      <w:r w:rsidRPr="00DA5BFF">
        <w:t xml:space="preserve">first uploads of national data occurred in quarter </w:t>
      </w:r>
      <w:r>
        <w:t>two of</w:t>
      </w:r>
      <w:r w:rsidRPr="00DA5BFF">
        <w:t xml:space="preserve"> 2014/15.</w:t>
      </w:r>
    </w:p>
    <w:p w:rsidR="00ED6788" w:rsidRDefault="00ED6788" w:rsidP="00DB1E11"/>
    <w:p w:rsidR="00ED6788" w:rsidRDefault="00ED6788" w:rsidP="00DB1E11">
      <w:r>
        <w:t>Enigma Solutions Ltd with Auckland Uniservices undertake</w:t>
      </w:r>
      <w:r w:rsidRPr="00DA5BFF">
        <w:t xml:space="preserve"> training</w:t>
      </w:r>
      <w:r>
        <w:t>, audit and data analysis of the Coronary Syndrome Registry. The registry is in use by all DHBs nationally and data derived from it is being used in the sector.</w:t>
      </w:r>
    </w:p>
    <w:p w:rsidR="00ED6788" w:rsidRDefault="00ED6788" w:rsidP="00DB1E11"/>
    <w:p w:rsidR="000845D9" w:rsidRDefault="00ED6788" w:rsidP="00DB1E11">
      <w:pPr>
        <w:pStyle w:val="Heading4"/>
      </w:pPr>
      <w:r>
        <w:t xml:space="preserve">Additional </w:t>
      </w:r>
      <w:r w:rsidR="00DB1E11">
        <w:t>o</w:t>
      </w:r>
      <w:r>
        <w:t xml:space="preserve">rgan </w:t>
      </w:r>
      <w:r w:rsidR="00DB1E11">
        <w:t>d</w:t>
      </w:r>
      <w:r>
        <w:t>onations</w:t>
      </w:r>
    </w:p>
    <w:p w:rsidR="000845D9" w:rsidRDefault="00ED6788" w:rsidP="00DB1E11">
      <w:r>
        <w:t>The demand for organs significantly surpasses the number of donors everywhere in the world. The current New Zealand deceased donor rate is relatively static. There are more potential recipients on organ donation waiting lists than organ donors. In particular, due to significant advances in dialysis techniques, patients suffering from end-stage renal disease (ESRD) can survive longer than ever before so the need</w:t>
      </w:r>
      <w:r w:rsidR="00892A9F">
        <w:t>,</w:t>
      </w:r>
      <w:r>
        <w:t xml:space="preserve"> especially for kidneys</w:t>
      </w:r>
      <w:r w:rsidR="00892A9F">
        <w:t>,</w:t>
      </w:r>
      <w:r>
        <w:t xml:space="preserve"> rises every year.</w:t>
      </w:r>
    </w:p>
    <w:p w:rsidR="00ED6788" w:rsidRDefault="00ED6788" w:rsidP="00DB1E11"/>
    <w:p w:rsidR="000845D9" w:rsidRDefault="00ED6788" w:rsidP="00ED6788">
      <w:r>
        <w:t>Prog</w:t>
      </w:r>
      <w:r w:rsidRPr="00DB1E11">
        <w:t>r</w:t>
      </w:r>
      <w:r>
        <w:t>ess has been made to establish operational and strategic leadership for the new National Renal Transplant Service. This builds on additional investment of $4</w:t>
      </w:r>
      <w:r w:rsidR="00892A9F">
        <w:t> </w:t>
      </w:r>
      <w:r>
        <w:t>million in Budget 2013 and $4</w:t>
      </w:r>
      <w:r w:rsidR="00892A9F">
        <w:t> </w:t>
      </w:r>
      <w:r>
        <w:t>million in Budget 2014 to accelerate the number of renal transplants. A clinical lead was identified, and commenced on 1</w:t>
      </w:r>
      <w:r w:rsidR="00892A9F">
        <w:t> </w:t>
      </w:r>
      <w:r>
        <w:t xml:space="preserve">September 2014. The clinical leader will work with the national renal transplant leadership team to provide expert clinical advice and leadership to the improving renal transplantation processes and increase in renal transplantation volumes. Work will be undertaken with each renal service to review their processes and advise on improvements to ensure consistent best practice across all renal departments, as well as engaging with sector stakeholders to support successful implementation </w:t>
      </w:r>
      <w:r w:rsidR="0033675A">
        <w:t xml:space="preserve">of </w:t>
      </w:r>
      <w:r w:rsidR="00892A9F">
        <w:t xml:space="preserve">the </w:t>
      </w:r>
      <w:r>
        <w:t>National Renal Transplant Service. Supporting this programme will be the continuation of the Paired Kidney Exchange Programme piloted by Auckland DHB, and the appointment of donor liaison coordinators in the renal service provider DHBs. These initiatives are intended to produce sustainable growth in transplants by increasing the number of deceased organ and live donors that are identified and worked</w:t>
      </w:r>
      <w:r w:rsidR="00892A9F">
        <w:t xml:space="preserve"> </w:t>
      </w:r>
      <w:r>
        <w:t>up to completed transplant operations.</w:t>
      </w:r>
    </w:p>
    <w:p w:rsidR="00ED6788" w:rsidRPr="003756B9" w:rsidRDefault="00ED6788" w:rsidP="00DB1E11"/>
    <w:p w:rsidR="00ED6788" w:rsidRDefault="00ED6788" w:rsidP="00DB1E11">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C25CC8">
            <w:pPr>
              <w:pStyle w:val="TableText"/>
              <w:keepNext/>
              <w:ind w:right="284"/>
              <w:jc w:val="right"/>
            </w:pPr>
            <w:r>
              <w:t>38,282</w:t>
            </w:r>
          </w:p>
        </w:tc>
        <w:tc>
          <w:tcPr>
            <w:tcW w:w="3968" w:type="dxa"/>
            <w:tcBorders>
              <w:top w:val="single" w:sz="4" w:space="0" w:color="auto"/>
              <w:left w:val="nil"/>
            </w:tcBorders>
            <w:shd w:val="solid" w:color="FFFFFF" w:fill="auto"/>
          </w:tcPr>
          <w:p w:rsidR="00ED6788" w:rsidRPr="008B3BA2" w:rsidRDefault="00ED6788" w:rsidP="00C25CC8">
            <w:pPr>
              <w:pStyle w:val="TableText"/>
              <w:keepNext/>
              <w:rPr>
                <w:rFonts w:cs="Arial"/>
                <w:szCs w:val="18"/>
              </w:rPr>
            </w:pPr>
            <w:r w:rsidRPr="008B3BA2">
              <w:rPr>
                <w:rFonts w:cs="Arial"/>
                <w:szCs w:val="18"/>
              </w:rPr>
              <w:t>DHBs</w:t>
            </w:r>
          </w:p>
        </w:tc>
        <w:tc>
          <w:tcPr>
            <w:tcW w:w="1276" w:type="dxa"/>
            <w:tcBorders>
              <w:top w:val="single" w:sz="4" w:space="0" w:color="auto"/>
            </w:tcBorders>
            <w:shd w:val="clear" w:color="E3E3E3" w:fill="D9D9D9"/>
          </w:tcPr>
          <w:p w:rsidR="00ED6788" w:rsidRPr="002C0E8B" w:rsidRDefault="00ED6788" w:rsidP="00C25CC8">
            <w:pPr>
              <w:pStyle w:val="TableText"/>
              <w:keepNext/>
              <w:ind w:right="142"/>
              <w:jc w:val="right"/>
            </w:pPr>
            <w:r>
              <w:t>45,051</w:t>
            </w:r>
          </w:p>
        </w:tc>
        <w:tc>
          <w:tcPr>
            <w:tcW w:w="1488" w:type="dxa"/>
            <w:tcBorders>
              <w:top w:val="single" w:sz="4" w:space="0" w:color="auto"/>
            </w:tcBorders>
          </w:tcPr>
          <w:p w:rsidR="00ED6788" w:rsidRPr="002C0E8B" w:rsidRDefault="00ED6788" w:rsidP="00C25CC8">
            <w:pPr>
              <w:pStyle w:val="TableText"/>
              <w:keepNext/>
              <w:jc w:val="right"/>
            </w:pPr>
            <w:r>
              <w:t>25,760</w:t>
            </w:r>
          </w:p>
        </w:tc>
        <w:tc>
          <w:tcPr>
            <w:tcW w:w="1347" w:type="dxa"/>
            <w:tcBorders>
              <w:top w:val="single" w:sz="4" w:space="0" w:color="auto"/>
            </w:tcBorders>
          </w:tcPr>
          <w:p w:rsidR="00ED6788" w:rsidRPr="002C0E8B" w:rsidRDefault="00ED6788" w:rsidP="00C25CC8">
            <w:pPr>
              <w:pStyle w:val="TableText"/>
              <w:keepNext/>
              <w:jc w:val="right"/>
            </w:pPr>
            <w:r>
              <w:t>42,968</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pPr>
            <w:r>
              <w:t>46,951</w:t>
            </w:r>
          </w:p>
        </w:tc>
        <w:tc>
          <w:tcPr>
            <w:tcW w:w="3968" w:type="dxa"/>
            <w:tcBorders>
              <w:left w:val="nil"/>
            </w:tcBorders>
            <w:shd w:val="solid" w:color="FFFFFF" w:fill="auto"/>
          </w:tcPr>
          <w:p w:rsidR="00ED6788" w:rsidRPr="008B3BA2" w:rsidRDefault="00ED6788" w:rsidP="00DB1E11">
            <w:pPr>
              <w:pStyle w:val="TableText"/>
              <w:keepNext/>
              <w:ind w:right="284"/>
            </w:pPr>
            <w:r w:rsidRPr="008B3BA2">
              <w:t>Non-</w:t>
            </w:r>
            <w:r w:rsidR="00DB1E11">
              <w:t>g</w:t>
            </w:r>
            <w:r w:rsidRPr="008B3BA2">
              <w:t xml:space="preserve">overnment </w:t>
            </w:r>
            <w:r w:rsidR="00DB1E11">
              <w:t>o</w:t>
            </w:r>
            <w:r w:rsidRPr="008B3BA2">
              <w:t>rganisations</w:t>
            </w:r>
          </w:p>
        </w:tc>
        <w:tc>
          <w:tcPr>
            <w:tcW w:w="1276" w:type="dxa"/>
            <w:shd w:val="clear" w:color="E3E3E3" w:fill="D9D9D9"/>
          </w:tcPr>
          <w:p w:rsidR="00ED6788" w:rsidRPr="002C0E8B" w:rsidRDefault="00ED6788" w:rsidP="00C25CC8">
            <w:pPr>
              <w:pStyle w:val="TableText"/>
              <w:ind w:right="142"/>
              <w:jc w:val="right"/>
            </w:pPr>
            <w:r>
              <w:t>39,697</w:t>
            </w:r>
          </w:p>
        </w:tc>
        <w:tc>
          <w:tcPr>
            <w:tcW w:w="1488" w:type="dxa"/>
          </w:tcPr>
          <w:p w:rsidR="00ED6788" w:rsidRPr="002C0E8B" w:rsidRDefault="00ED6788" w:rsidP="00C25CC8">
            <w:pPr>
              <w:pStyle w:val="TableText"/>
              <w:jc w:val="right"/>
            </w:pPr>
            <w:r>
              <w:t>59,302</w:t>
            </w:r>
          </w:p>
        </w:tc>
        <w:tc>
          <w:tcPr>
            <w:tcW w:w="1347" w:type="dxa"/>
          </w:tcPr>
          <w:p w:rsidR="00ED6788" w:rsidRPr="002C0E8B" w:rsidRDefault="00ED6788" w:rsidP="00C25CC8">
            <w:pPr>
              <w:pStyle w:val="TableText"/>
              <w:jc w:val="right"/>
            </w:pPr>
            <w:r>
              <w:t>43,177</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85,233</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C0E8B" w:rsidRDefault="00ED6788" w:rsidP="00C25CC8">
            <w:pPr>
              <w:pStyle w:val="TableText"/>
              <w:ind w:right="142"/>
              <w:jc w:val="right"/>
              <w:rPr>
                <w:b/>
              </w:rPr>
            </w:pPr>
            <w:r>
              <w:rPr>
                <w:b/>
                <w:bCs/>
              </w:rPr>
              <w:t>84,748</w:t>
            </w:r>
          </w:p>
        </w:tc>
        <w:tc>
          <w:tcPr>
            <w:tcW w:w="1488" w:type="dxa"/>
          </w:tcPr>
          <w:p w:rsidR="00ED6788" w:rsidRPr="002C0E8B" w:rsidRDefault="00ED6788" w:rsidP="00C25CC8">
            <w:pPr>
              <w:pStyle w:val="TableText"/>
              <w:jc w:val="right"/>
              <w:rPr>
                <w:b/>
              </w:rPr>
            </w:pPr>
            <w:r>
              <w:rPr>
                <w:b/>
                <w:bCs/>
              </w:rPr>
              <w:t>85,062</w:t>
            </w:r>
          </w:p>
        </w:tc>
        <w:tc>
          <w:tcPr>
            <w:tcW w:w="1347" w:type="dxa"/>
          </w:tcPr>
          <w:p w:rsidR="00ED6788" w:rsidRPr="002C0E8B" w:rsidRDefault="00ED6788" w:rsidP="00C25CC8">
            <w:pPr>
              <w:pStyle w:val="TableText"/>
              <w:jc w:val="right"/>
              <w:rPr>
                <w:b/>
              </w:rPr>
            </w:pPr>
            <w:r>
              <w:rPr>
                <w:b/>
                <w:bCs/>
              </w:rPr>
              <w:t>86,145</w:t>
            </w:r>
          </w:p>
        </w:tc>
      </w:tr>
    </w:tbl>
    <w:p w:rsidR="00ED6788" w:rsidRDefault="00ED6788" w:rsidP="00DB1E11">
      <w:pPr>
        <w:rPr>
          <w:highlight w:val="yellow"/>
        </w:rPr>
      </w:pPr>
    </w:p>
    <w:p w:rsidR="00ED6788" w:rsidRDefault="00ED6788" w:rsidP="00DB1E11">
      <w:pPr>
        <w:pStyle w:val="Heading3"/>
      </w:pPr>
      <w:r w:rsidRPr="007A1F5B">
        <w:t>Comments</w:t>
      </w:r>
    </w:p>
    <w:p w:rsidR="00ED6788" w:rsidRDefault="00ED6788" w:rsidP="00DB1E11">
      <w:r>
        <w:t>The underspend of $0.314 million against</w:t>
      </w:r>
      <w:r w:rsidRPr="003F0E34">
        <w:t xml:space="preserve"> the</w:t>
      </w:r>
      <w:r>
        <w:t xml:space="preserve"> Main Estimates</w:t>
      </w:r>
      <w:r w:rsidRPr="003F0E34">
        <w:t xml:space="preserve"> </w:t>
      </w:r>
      <w:r>
        <w:t>(0.4 percent of appropriation) is not significant.</w:t>
      </w:r>
    </w:p>
    <w:p w:rsidR="00ED6788" w:rsidRDefault="00ED6788" w:rsidP="00DB1E11">
      <w:pPr>
        <w:rPr>
          <w:highlight w:val="yellow"/>
        </w:rPr>
      </w:pPr>
    </w:p>
    <w:p w:rsidR="00ED6788" w:rsidRDefault="00ED6788" w:rsidP="00DB1E11">
      <w:pPr>
        <w:pStyle w:val="Heading2"/>
      </w:pPr>
      <w:bookmarkStart w:id="39" w:name="_Toc432765755"/>
      <w:bookmarkStart w:id="40" w:name="_Toc433713788"/>
      <w:r w:rsidRPr="000C7904">
        <w:lastRenderedPageBreak/>
        <w:t>Primary Health Care Strategy</w:t>
      </w:r>
      <w:bookmarkEnd w:id="39"/>
      <w:bookmarkEnd w:id="40"/>
    </w:p>
    <w:p w:rsidR="00ED6788" w:rsidRDefault="00ED6788" w:rsidP="00DB1E11">
      <w:pPr>
        <w:keepNext/>
      </w:pPr>
      <w:r w:rsidRPr="00926CC4">
        <w:t>This appropriation is limited to services to implement and deliver the Primary Health Care Strategy</w:t>
      </w:r>
      <w:r>
        <w:t>.</w:t>
      </w:r>
      <w:r w:rsidRPr="00926CC4">
        <w:t xml:space="preserve"> This appropriation is intended to </w:t>
      </w:r>
      <w:r>
        <w:t xml:space="preserve">ensure </w:t>
      </w:r>
      <w:r w:rsidRPr="00926CC4">
        <w:t>accessible primary care services are provided in New Zealand communities, enabling people to live healthier, more independent lives</w:t>
      </w:r>
      <w:r>
        <w:t>.</w:t>
      </w:r>
    </w:p>
    <w:p w:rsidR="00ED6788" w:rsidRDefault="00ED6788" w:rsidP="00DB1E11">
      <w:pPr>
        <w:keepNext/>
      </w:pPr>
    </w:p>
    <w:p w:rsidR="00ED6788" w:rsidRDefault="00ED6788" w:rsidP="00E62447">
      <w:r>
        <w:t>This appropriation is intended to achieve services and models of care that provide services closer to home; high needs patients accessing primary health care services; free under sixes general practice services nationally for enrolled children; pharmacists being part of primary health care teams; provision of advice and support for shifting services from secondary to primary care settings; and the development of Integrated Family Health Centres, new models of care and other integration initiatives.</w:t>
      </w:r>
    </w:p>
    <w:p w:rsidR="00ED6788" w:rsidRDefault="00ED6788" w:rsidP="00E62447"/>
    <w:p w:rsidR="00ED6788" w:rsidRDefault="00ED6788" w:rsidP="00E62447">
      <w:r>
        <w:t>Funding is provided for primary health care services to further develop the primary health care sector. The majority of the appropriation is managed by DHBs and reported in their annual reports.</w:t>
      </w:r>
    </w:p>
    <w:p w:rsidR="00ED6788" w:rsidRDefault="00ED6788" w:rsidP="00E62447"/>
    <w:p w:rsidR="00ED6788" w:rsidRDefault="00ED6788" w:rsidP="00E62447">
      <w:r>
        <w:t xml:space="preserve">All people enrolled through </w:t>
      </w:r>
      <w:r w:rsidR="00892A9F">
        <w:t xml:space="preserve">their </w:t>
      </w:r>
      <w:r>
        <w:t>general practices in a primary health organisation (PHO) have access to subsidised primary health care services. Primary health care has seven key funding streams to improve access: First Contact; Very Low Cost Access; Zero Fees for Under Sixes; Services to Improve Access; Health Promotion; Care Plus; and Management Fees.</w:t>
      </w:r>
    </w:p>
    <w:p w:rsidR="00ED6788" w:rsidRDefault="00ED6788" w:rsidP="00E62447"/>
    <w:p w:rsidR="00ED6788" w:rsidRDefault="00ED6788" w:rsidP="00E62447">
      <w:r>
        <w:t>All PHOs receive funding for primary mental health services from DHBs. A key aim of these services is to increase patients</w:t>
      </w:r>
      <w:r w:rsidR="000845D9">
        <w:t>’</w:t>
      </w:r>
      <w:r>
        <w:t xml:space="preserve"> access to talking therapies and other psychosocial interventions. Some elements of primary care, such as immunisation and access to cardiovascular disease (CVD) services, are represented by health targets and are reported fully in the annual report of the Ministry of Health and the annual reports of individual DHBs. Additional performance measures are contained in DHBs</w:t>
      </w:r>
      <w:r w:rsidR="000845D9">
        <w:t>’</w:t>
      </w:r>
      <w:r>
        <w:t xml:space="preserve"> Statements of Intent.</w:t>
      </w:r>
    </w:p>
    <w:p w:rsidR="00E62447" w:rsidRPr="003756B9" w:rsidRDefault="00E62447" w:rsidP="00E62447"/>
    <w:p w:rsidR="00ED6788" w:rsidRPr="003756B9" w:rsidRDefault="00ED6788" w:rsidP="00E62447">
      <w:pPr>
        <w:pStyle w:val="Heading3"/>
      </w:pPr>
      <w:r>
        <w:t>Summary of output performance</w:t>
      </w:r>
    </w:p>
    <w:tbl>
      <w:tblPr>
        <w:tblW w:w="494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3"/>
        <w:gridCol w:w="5997"/>
        <w:gridCol w:w="1035"/>
        <w:gridCol w:w="1118"/>
      </w:tblGrid>
      <w:tr w:rsidR="00ED6788" w:rsidRPr="00E16661" w:rsidTr="00C25CC8">
        <w:trPr>
          <w:cantSplit/>
          <w:tblHeader/>
        </w:trPr>
        <w:tc>
          <w:tcPr>
            <w:tcW w:w="591" w:type="pct"/>
            <w:tcBorders>
              <w:top w:val="single" w:sz="4" w:space="0" w:color="auto"/>
              <w:bottom w:val="single" w:sz="4" w:space="0" w:color="auto"/>
            </w:tcBorders>
          </w:tcPr>
          <w:p w:rsidR="00ED6788" w:rsidRPr="00E16661" w:rsidRDefault="00ED6788" w:rsidP="00C25CC8">
            <w:pPr>
              <w:pStyle w:val="TableText"/>
              <w:ind w:right="284"/>
              <w:jc w:val="right"/>
              <w:rPr>
                <w:b/>
              </w:rPr>
            </w:pPr>
            <w:r w:rsidRPr="00E16661">
              <w:rPr>
                <w:b/>
              </w:rPr>
              <w:t>Actual 201</w:t>
            </w:r>
            <w:r>
              <w:rPr>
                <w:b/>
              </w:rPr>
              <w:t>3/14</w:t>
            </w:r>
          </w:p>
        </w:tc>
        <w:tc>
          <w:tcPr>
            <w:tcW w:w="3244" w:type="pct"/>
            <w:tcBorders>
              <w:top w:val="single" w:sz="4" w:space="0" w:color="auto"/>
              <w:bottom w:val="single" w:sz="4" w:space="0" w:color="auto"/>
            </w:tcBorders>
          </w:tcPr>
          <w:p w:rsidR="00ED6788" w:rsidRPr="00E16661" w:rsidRDefault="00ED6788" w:rsidP="00E62447">
            <w:pPr>
              <w:pStyle w:val="TableText"/>
              <w:ind w:right="142"/>
              <w:rPr>
                <w:b/>
              </w:rPr>
            </w:pPr>
            <w:r w:rsidRPr="00E16661">
              <w:rPr>
                <w:b/>
              </w:rPr>
              <w:t>Performance measure</w:t>
            </w:r>
          </w:p>
        </w:tc>
        <w:tc>
          <w:tcPr>
            <w:tcW w:w="560" w:type="pct"/>
            <w:tcBorders>
              <w:top w:val="single" w:sz="4" w:space="0" w:color="auto"/>
              <w:bottom w:val="single" w:sz="4" w:space="0" w:color="auto"/>
            </w:tcBorders>
          </w:tcPr>
          <w:p w:rsidR="00ED6788" w:rsidRPr="00E16661" w:rsidRDefault="00ED6788" w:rsidP="00C25CC8">
            <w:pPr>
              <w:pStyle w:val="TableT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605" w:type="pct"/>
            <w:tcBorders>
              <w:top w:val="single" w:sz="4" w:space="0" w:color="auto"/>
              <w:bottom w:val="single" w:sz="4" w:space="0" w:color="auto"/>
            </w:tcBorders>
            <w:shd w:val="clear" w:color="auto" w:fill="D9D9D9"/>
          </w:tcPr>
          <w:p w:rsidR="00ED6788" w:rsidRPr="00E16661" w:rsidRDefault="00ED6788" w:rsidP="00C25CC8">
            <w:pPr>
              <w:pStyle w:val="TableT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C25CC8">
        <w:trPr>
          <w:cantSplit/>
        </w:trPr>
        <w:tc>
          <w:tcPr>
            <w:tcW w:w="591" w:type="pct"/>
            <w:tcBorders>
              <w:top w:val="single" w:sz="4" w:space="0" w:color="auto"/>
            </w:tcBorders>
          </w:tcPr>
          <w:p w:rsidR="00ED6788" w:rsidRPr="002C0E8B" w:rsidRDefault="00ED6788" w:rsidP="00C25CC8">
            <w:pPr>
              <w:pStyle w:val="TableText"/>
              <w:ind w:right="284"/>
              <w:jc w:val="right"/>
              <w:rPr>
                <w:bCs/>
                <w:lang w:eastAsia="en-NZ"/>
              </w:rPr>
            </w:pPr>
          </w:p>
        </w:tc>
        <w:tc>
          <w:tcPr>
            <w:tcW w:w="3244" w:type="pct"/>
            <w:tcBorders>
              <w:top w:val="single" w:sz="4" w:space="0" w:color="auto"/>
            </w:tcBorders>
          </w:tcPr>
          <w:p w:rsidR="00ED6788" w:rsidRPr="00AB69C4" w:rsidRDefault="00ED6788" w:rsidP="00E62447">
            <w:pPr>
              <w:pStyle w:val="TableText"/>
              <w:ind w:right="142"/>
              <w:rPr>
                <w:b/>
              </w:rPr>
            </w:pPr>
            <w:r w:rsidRPr="00F67DC8">
              <w:rPr>
                <w:b/>
                <w:bCs/>
                <w:lang w:eastAsia="en-NZ"/>
              </w:rPr>
              <w:t xml:space="preserve">Care </w:t>
            </w:r>
            <w:r w:rsidR="00E62447">
              <w:rPr>
                <w:b/>
                <w:bCs/>
                <w:lang w:eastAsia="en-NZ"/>
              </w:rPr>
              <w:t>c</w:t>
            </w:r>
            <w:r w:rsidRPr="00F67DC8">
              <w:rPr>
                <w:b/>
                <w:bCs/>
                <w:lang w:eastAsia="en-NZ"/>
              </w:rPr>
              <w:t xml:space="preserve">loser to </w:t>
            </w:r>
            <w:r w:rsidR="00E62447">
              <w:rPr>
                <w:b/>
                <w:bCs/>
                <w:lang w:eastAsia="en-NZ"/>
              </w:rPr>
              <w:t>h</w:t>
            </w:r>
            <w:r w:rsidRPr="00F67DC8">
              <w:rPr>
                <w:b/>
                <w:bCs/>
                <w:lang w:eastAsia="en-NZ"/>
              </w:rPr>
              <w:t>ome</w:t>
            </w:r>
          </w:p>
        </w:tc>
        <w:tc>
          <w:tcPr>
            <w:tcW w:w="560" w:type="pct"/>
            <w:tcBorders>
              <w:top w:val="single" w:sz="4" w:space="0" w:color="auto"/>
            </w:tcBorders>
          </w:tcPr>
          <w:p w:rsidR="00ED6788" w:rsidRPr="002C0E8B" w:rsidRDefault="00ED6788" w:rsidP="00C25CC8">
            <w:pPr>
              <w:pStyle w:val="TableText"/>
              <w:ind w:right="142"/>
              <w:jc w:val="right"/>
            </w:pPr>
          </w:p>
        </w:tc>
        <w:tc>
          <w:tcPr>
            <w:tcW w:w="605" w:type="pct"/>
            <w:tcBorders>
              <w:top w:val="single" w:sz="4" w:space="0" w:color="auto"/>
            </w:tcBorders>
            <w:shd w:val="clear" w:color="auto" w:fill="D9D9D9"/>
          </w:tcPr>
          <w:p w:rsidR="00ED6788" w:rsidRPr="002C0E8B" w:rsidRDefault="00ED6788" w:rsidP="00C25CC8">
            <w:pPr>
              <w:pStyle w:val="TableText"/>
              <w:ind w:right="142"/>
              <w:jc w:val="right"/>
            </w:pPr>
          </w:p>
        </w:tc>
      </w:tr>
      <w:tr w:rsidR="00ED6788" w:rsidRPr="002C0E8B" w:rsidTr="00C25CC8">
        <w:trPr>
          <w:cantSplit/>
        </w:trPr>
        <w:tc>
          <w:tcPr>
            <w:tcW w:w="591" w:type="pct"/>
          </w:tcPr>
          <w:p w:rsidR="00ED6788" w:rsidRPr="002C0E8B" w:rsidRDefault="00ED6788" w:rsidP="00C25CC8">
            <w:pPr>
              <w:pStyle w:val="TableText"/>
              <w:ind w:right="284"/>
              <w:jc w:val="right"/>
            </w:pPr>
            <w:r>
              <w:t>96%</w:t>
            </w:r>
          </w:p>
        </w:tc>
        <w:tc>
          <w:tcPr>
            <w:tcW w:w="3244" w:type="pct"/>
          </w:tcPr>
          <w:p w:rsidR="00ED6788" w:rsidRPr="00E82C8E" w:rsidRDefault="00ED6788" w:rsidP="00E62447">
            <w:pPr>
              <w:pStyle w:val="TableText"/>
              <w:ind w:right="142"/>
            </w:pPr>
            <w:r w:rsidRPr="00E82C8E">
              <w:t>DHB progress against clinical integration activities agreed in 2014/15 Annual Plans, including but not limited to: shifting services to primary care; and Integrated Family Health Centre development</w:t>
            </w:r>
            <w:r>
              <w:t>.</w:t>
            </w:r>
            <w:r>
              <w:br/>
            </w:r>
            <w:r w:rsidRPr="00E82C8E">
              <w:t>The percentage of DHBs achieving Annual Plan expectations</w:t>
            </w:r>
          </w:p>
        </w:tc>
        <w:tc>
          <w:tcPr>
            <w:tcW w:w="560" w:type="pct"/>
          </w:tcPr>
          <w:p w:rsidR="00ED6788" w:rsidRPr="00545904" w:rsidRDefault="00ED6788" w:rsidP="00C25CC8">
            <w:pPr>
              <w:pStyle w:val="TableText"/>
              <w:ind w:right="142"/>
              <w:jc w:val="right"/>
            </w:pPr>
            <w:r w:rsidRPr="00545904">
              <w:t>85%</w:t>
            </w:r>
          </w:p>
        </w:tc>
        <w:tc>
          <w:tcPr>
            <w:tcW w:w="605" w:type="pct"/>
            <w:shd w:val="clear" w:color="auto" w:fill="D9D9D9"/>
          </w:tcPr>
          <w:p w:rsidR="00ED6788" w:rsidRPr="009413E5" w:rsidRDefault="00ED6788" w:rsidP="00C25CC8">
            <w:pPr>
              <w:pStyle w:val="TableText"/>
              <w:ind w:right="142"/>
              <w:jc w:val="right"/>
            </w:pPr>
            <w:r w:rsidRPr="009413E5">
              <w:t>100%</w:t>
            </w:r>
          </w:p>
        </w:tc>
      </w:tr>
      <w:tr w:rsidR="00ED6788" w:rsidRPr="002C0E8B" w:rsidTr="00C25CC8">
        <w:trPr>
          <w:cantSplit/>
        </w:trPr>
        <w:tc>
          <w:tcPr>
            <w:tcW w:w="591" w:type="pct"/>
          </w:tcPr>
          <w:p w:rsidR="00ED6788" w:rsidRPr="002C0E8B" w:rsidRDefault="00ED6788" w:rsidP="00C25CC8">
            <w:pPr>
              <w:pStyle w:val="TableText"/>
              <w:ind w:right="284"/>
              <w:jc w:val="right"/>
            </w:pPr>
            <w:r w:rsidRPr="00253398">
              <w:t>3,800,000</w:t>
            </w:r>
          </w:p>
        </w:tc>
        <w:tc>
          <w:tcPr>
            <w:tcW w:w="3244" w:type="pct"/>
          </w:tcPr>
          <w:p w:rsidR="00ED6788" w:rsidRPr="00E82C8E" w:rsidRDefault="00ED6788" w:rsidP="00892A9F">
            <w:pPr>
              <w:pStyle w:val="TableText"/>
              <w:ind w:right="142"/>
            </w:pPr>
            <w:r w:rsidRPr="00E82C8E">
              <w:t xml:space="preserve">GP consultations for </w:t>
            </w:r>
            <w:r w:rsidR="00892A9F">
              <w:t>h</w:t>
            </w:r>
            <w:r w:rsidRPr="00E82C8E">
              <w:t xml:space="preserve">igh </w:t>
            </w:r>
            <w:r w:rsidR="00892A9F">
              <w:t>n</w:t>
            </w:r>
            <w:r w:rsidRPr="00E82C8E">
              <w:t>eed groups</w:t>
            </w:r>
          </w:p>
        </w:tc>
        <w:tc>
          <w:tcPr>
            <w:tcW w:w="560" w:type="pct"/>
          </w:tcPr>
          <w:p w:rsidR="00ED6788" w:rsidRPr="00545904" w:rsidRDefault="00ED6788" w:rsidP="00C25CC8">
            <w:pPr>
              <w:pStyle w:val="TableText"/>
              <w:ind w:right="142"/>
              <w:jc w:val="right"/>
            </w:pPr>
            <w:r w:rsidRPr="00545904">
              <w:t>3,800,000</w:t>
            </w:r>
          </w:p>
        </w:tc>
        <w:tc>
          <w:tcPr>
            <w:tcW w:w="605" w:type="pct"/>
            <w:shd w:val="clear" w:color="auto" w:fill="D9D9D9"/>
          </w:tcPr>
          <w:p w:rsidR="00ED6788" w:rsidRPr="009413E5" w:rsidRDefault="00ED6788" w:rsidP="00C25CC8">
            <w:pPr>
              <w:pStyle w:val="TableText"/>
              <w:ind w:right="142"/>
              <w:jc w:val="right"/>
            </w:pPr>
            <w:r w:rsidRPr="009413E5">
              <w:t>3,792,377</w:t>
            </w:r>
            <w:r>
              <w:rPr>
                <w:rStyle w:val="FootnoteReference"/>
              </w:rPr>
              <w:footnoteReference w:id="5"/>
            </w:r>
          </w:p>
        </w:tc>
      </w:tr>
      <w:tr w:rsidR="00ED6788" w:rsidRPr="002C0E8B" w:rsidTr="00C25CC8">
        <w:trPr>
          <w:cantSplit/>
        </w:trPr>
        <w:tc>
          <w:tcPr>
            <w:tcW w:w="591" w:type="pct"/>
          </w:tcPr>
          <w:p w:rsidR="00ED6788" w:rsidRDefault="00ED6788" w:rsidP="00C25CC8">
            <w:pPr>
              <w:pStyle w:val="TableText"/>
              <w:ind w:right="284"/>
              <w:jc w:val="right"/>
            </w:pPr>
            <w:r w:rsidRPr="00253398">
              <w:t>900,000</w:t>
            </w:r>
          </w:p>
        </w:tc>
        <w:tc>
          <w:tcPr>
            <w:tcW w:w="3244" w:type="pct"/>
          </w:tcPr>
          <w:p w:rsidR="00ED6788" w:rsidRDefault="00ED6788" w:rsidP="00892A9F">
            <w:pPr>
              <w:pStyle w:val="TableText"/>
              <w:ind w:right="142"/>
            </w:pPr>
            <w:r w:rsidRPr="00E82C8E">
              <w:t xml:space="preserve">Practice </w:t>
            </w:r>
            <w:r w:rsidR="00892A9F">
              <w:t>n</w:t>
            </w:r>
            <w:r w:rsidRPr="00E82C8E">
              <w:t xml:space="preserve">urse consultations for </w:t>
            </w:r>
            <w:r w:rsidR="00892A9F">
              <w:t>h</w:t>
            </w:r>
            <w:r w:rsidRPr="00E82C8E">
              <w:t xml:space="preserve">igh </w:t>
            </w:r>
            <w:r w:rsidR="00892A9F">
              <w:t>n</w:t>
            </w:r>
            <w:r w:rsidRPr="00E82C8E">
              <w:t>eed groups</w:t>
            </w:r>
          </w:p>
        </w:tc>
        <w:tc>
          <w:tcPr>
            <w:tcW w:w="560" w:type="pct"/>
          </w:tcPr>
          <w:p w:rsidR="00ED6788" w:rsidRDefault="00ED6788" w:rsidP="00C25CC8">
            <w:pPr>
              <w:pStyle w:val="TableText"/>
              <w:ind w:right="142"/>
              <w:jc w:val="right"/>
            </w:pPr>
            <w:r w:rsidRPr="00545904">
              <w:t>900,000</w:t>
            </w:r>
          </w:p>
        </w:tc>
        <w:tc>
          <w:tcPr>
            <w:tcW w:w="605" w:type="pct"/>
            <w:shd w:val="clear" w:color="auto" w:fill="D9D9D9"/>
          </w:tcPr>
          <w:p w:rsidR="00ED6788" w:rsidRDefault="00ED6788" w:rsidP="00E62447">
            <w:pPr>
              <w:pStyle w:val="TableText"/>
              <w:ind w:right="142"/>
              <w:jc w:val="right"/>
            </w:pPr>
            <w:r w:rsidRPr="009413E5">
              <w:t>1,100,000</w:t>
            </w:r>
            <w:r w:rsidR="00E62447">
              <w:br/>
            </w:r>
            <w:r w:rsidRPr="00175060">
              <w:t xml:space="preserve">see Note </w:t>
            </w:r>
            <w:r>
              <w:t>A</w:t>
            </w:r>
          </w:p>
        </w:tc>
      </w:tr>
      <w:tr w:rsidR="00ED6788" w:rsidRPr="002C0E8B" w:rsidTr="00C25CC8">
        <w:trPr>
          <w:cantSplit/>
        </w:trPr>
        <w:tc>
          <w:tcPr>
            <w:tcW w:w="591" w:type="pct"/>
            <w:tcBorders>
              <w:top w:val="single" w:sz="4" w:space="0" w:color="auto"/>
            </w:tcBorders>
          </w:tcPr>
          <w:p w:rsidR="00ED6788" w:rsidRPr="002C0E8B" w:rsidRDefault="00ED6788" w:rsidP="00C25CC8">
            <w:pPr>
              <w:pStyle w:val="TableText"/>
              <w:ind w:right="284"/>
              <w:jc w:val="right"/>
              <w:rPr>
                <w:bCs/>
                <w:lang w:eastAsia="en-NZ"/>
              </w:rPr>
            </w:pPr>
          </w:p>
        </w:tc>
        <w:tc>
          <w:tcPr>
            <w:tcW w:w="3244" w:type="pct"/>
            <w:tcBorders>
              <w:top w:val="single" w:sz="4" w:space="0" w:color="auto"/>
            </w:tcBorders>
          </w:tcPr>
          <w:p w:rsidR="00ED6788" w:rsidRPr="00AB69C4" w:rsidRDefault="00ED6788" w:rsidP="00E62447">
            <w:pPr>
              <w:pStyle w:val="TableText"/>
              <w:ind w:right="142"/>
              <w:rPr>
                <w:b/>
              </w:rPr>
            </w:pPr>
            <w:r w:rsidRPr="00F67DC8">
              <w:rPr>
                <w:b/>
                <w:bCs/>
                <w:lang w:eastAsia="en-NZ"/>
              </w:rPr>
              <w:t>Access to affordable primary health care services</w:t>
            </w:r>
          </w:p>
        </w:tc>
        <w:tc>
          <w:tcPr>
            <w:tcW w:w="560" w:type="pct"/>
            <w:tcBorders>
              <w:top w:val="single" w:sz="4" w:space="0" w:color="auto"/>
            </w:tcBorders>
          </w:tcPr>
          <w:p w:rsidR="00ED6788" w:rsidRPr="002C0E8B" w:rsidRDefault="00ED6788" w:rsidP="00C25CC8">
            <w:pPr>
              <w:pStyle w:val="TableText"/>
              <w:ind w:right="142"/>
              <w:jc w:val="right"/>
            </w:pPr>
          </w:p>
        </w:tc>
        <w:tc>
          <w:tcPr>
            <w:tcW w:w="605" w:type="pct"/>
            <w:tcBorders>
              <w:top w:val="single" w:sz="4" w:space="0" w:color="auto"/>
            </w:tcBorders>
            <w:shd w:val="clear" w:color="auto" w:fill="D9D9D9"/>
          </w:tcPr>
          <w:p w:rsidR="00ED6788" w:rsidRPr="002C0E8B" w:rsidRDefault="00ED6788" w:rsidP="00C25CC8">
            <w:pPr>
              <w:pStyle w:val="TableText"/>
              <w:ind w:right="142"/>
              <w:jc w:val="right"/>
            </w:pPr>
          </w:p>
        </w:tc>
      </w:tr>
      <w:tr w:rsidR="00ED6788" w:rsidRPr="002C0E8B" w:rsidTr="00C25CC8">
        <w:trPr>
          <w:cantSplit/>
        </w:trPr>
        <w:tc>
          <w:tcPr>
            <w:tcW w:w="591" w:type="pct"/>
          </w:tcPr>
          <w:p w:rsidR="00ED6788" w:rsidRPr="002C0E8B" w:rsidRDefault="00ED6788" w:rsidP="00C25CC8">
            <w:pPr>
              <w:pStyle w:val="TableText"/>
              <w:ind w:right="284"/>
              <w:jc w:val="right"/>
            </w:pPr>
            <w:r>
              <w:t>98.4%</w:t>
            </w:r>
          </w:p>
        </w:tc>
        <w:tc>
          <w:tcPr>
            <w:tcW w:w="3244" w:type="pct"/>
          </w:tcPr>
          <w:p w:rsidR="00ED6788" w:rsidRPr="00E47F2A" w:rsidRDefault="00ED6788" w:rsidP="00E62447">
            <w:pPr>
              <w:pStyle w:val="TableText"/>
              <w:ind w:right="142"/>
            </w:pPr>
            <w:r w:rsidRPr="00E47F2A">
              <w:t>New Zealand children who receive free access to Under 6 services during day time and after hours</w:t>
            </w:r>
          </w:p>
        </w:tc>
        <w:tc>
          <w:tcPr>
            <w:tcW w:w="560" w:type="pct"/>
          </w:tcPr>
          <w:p w:rsidR="00ED6788" w:rsidRPr="00062B73" w:rsidRDefault="00ED6788" w:rsidP="00C25CC8">
            <w:pPr>
              <w:pStyle w:val="TableText"/>
              <w:ind w:right="142"/>
              <w:jc w:val="right"/>
            </w:pPr>
            <w:r w:rsidRPr="00062B73">
              <w:t>97%</w:t>
            </w:r>
          </w:p>
        </w:tc>
        <w:tc>
          <w:tcPr>
            <w:tcW w:w="605" w:type="pct"/>
            <w:shd w:val="clear" w:color="auto" w:fill="D9D9D9"/>
          </w:tcPr>
          <w:p w:rsidR="00ED6788" w:rsidRPr="00D155EF" w:rsidRDefault="00ED6788" w:rsidP="00C25CC8">
            <w:pPr>
              <w:pStyle w:val="TableText"/>
              <w:ind w:right="142"/>
              <w:jc w:val="right"/>
            </w:pPr>
            <w:r w:rsidRPr="00E845D7">
              <w:t>99%</w:t>
            </w:r>
          </w:p>
        </w:tc>
      </w:tr>
      <w:tr w:rsidR="00ED6788" w:rsidRPr="002C0E8B" w:rsidTr="00C25CC8">
        <w:trPr>
          <w:cantSplit/>
        </w:trPr>
        <w:tc>
          <w:tcPr>
            <w:tcW w:w="591" w:type="pct"/>
          </w:tcPr>
          <w:p w:rsidR="00ED6788" w:rsidRPr="002C0E8B" w:rsidRDefault="00ED6788" w:rsidP="00C25CC8">
            <w:pPr>
              <w:pStyle w:val="TableText"/>
              <w:ind w:right="284"/>
              <w:jc w:val="right"/>
            </w:pPr>
            <w:r w:rsidRPr="00F67DC8">
              <w:t>New</w:t>
            </w:r>
          </w:p>
        </w:tc>
        <w:tc>
          <w:tcPr>
            <w:tcW w:w="3244" w:type="pct"/>
          </w:tcPr>
          <w:p w:rsidR="00ED6788" w:rsidRPr="00E47F2A" w:rsidRDefault="00ED6788" w:rsidP="0087519E">
            <w:pPr>
              <w:pStyle w:val="TableText"/>
              <w:ind w:right="142"/>
            </w:pPr>
            <w:r w:rsidRPr="00E47F2A">
              <w:t xml:space="preserve">The number of high needs patients in </w:t>
            </w:r>
            <w:r w:rsidR="0087519E">
              <w:t>v</w:t>
            </w:r>
            <w:r w:rsidRPr="00E47F2A">
              <w:t xml:space="preserve">ery </w:t>
            </w:r>
            <w:r w:rsidR="0087519E">
              <w:t>l</w:t>
            </w:r>
            <w:r w:rsidRPr="00E47F2A">
              <w:t xml:space="preserve">ow </w:t>
            </w:r>
            <w:r w:rsidR="0087519E">
              <w:t>c</w:t>
            </w:r>
            <w:r w:rsidRPr="00E47F2A">
              <w:t xml:space="preserve">ost </w:t>
            </w:r>
            <w:r w:rsidR="0087519E">
              <w:t>a</w:t>
            </w:r>
            <w:r w:rsidRPr="00E47F2A">
              <w:t>ccess (VLCA) practices</w:t>
            </w:r>
          </w:p>
        </w:tc>
        <w:tc>
          <w:tcPr>
            <w:tcW w:w="560" w:type="pct"/>
          </w:tcPr>
          <w:p w:rsidR="00ED6788" w:rsidRPr="00062B73" w:rsidRDefault="00ED6788" w:rsidP="00C25CC8">
            <w:pPr>
              <w:pStyle w:val="TableText"/>
              <w:ind w:right="142"/>
              <w:jc w:val="right"/>
            </w:pPr>
            <w:r w:rsidRPr="00062B73">
              <w:t>1,300,000</w:t>
            </w:r>
          </w:p>
        </w:tc>
        <w:tc>
          <w:tcPr>
            <w:tcW w:w="605" w:type="pct"/>
            <w:shd w:val="clear" w:color="auto" w:fill="D9D9D9"/>
          </w:tcPr>
          <w:p w:rsidR="00ED6788" w:rsidRPr="00740D15" w:rsidRDefault="00ED6788" w:rsidP="00C25CC8">
            <w:pPr>
              <w:pStyle w:val="TableText"/>
              <w:ind w:right="142"/>
              <w:jc w:val="right"/>
            </w:pPr>
            <w:r w:rsidRPr="00740D15">
              <w:t>1,</w:t>
            </w:r>
            <w:r w:rsidRPr="00AB6305">
              <w:t>335,486</w:t>
            </w:r>
          </w:p>
        </w:tc>
      </w:tr>
      <w:tr w:rsidR="00ED6788" w:rsidRPr="002C0E8B" w:rsidTr="00C25CC8">
        <w:trPr>
          <w:cantSplit/>
        </w:trPr>
        <w:tc>
          <w:tcPr>
            <w:tcW w:w="591" w:type="pct"/>
          </w:tcPr>
          <w:p w:rsidR="00ED6788" w:rsidRDefault="00ED6788" w:rsidP="00C25CC8">
            <w:pPr>
              <w:pStyle w:val="TableText"/>
              <w:ind w:right="284"/>
              <w:jc w:val="right"/>
            </w:pPr>
            <w:r w:rsidRPr="00F67DC8">
              <w:t>New</w:t>
            </w:r>
          </w:p>
        </w:tc>
        <w:tc>
          <w:tcPr>
            <w:tcW w:w="3244" w:type="pct"/>
          </w:tcPr>
          <w:p w:rsidR="00ED6788" w:rsidRDefault="00ED6788" w:rsidP="00892A9F">
            <w:pPr>
              <w:pStyle w:val="TableText"/>
              <w:ind w:right="142"/>
            </w:pPr>
            <w:r w:rsidRPr="00E47F2A">
              <w:t>The number of patients receiving a long</w:t>
            </w:r>
            <w:r w:rsidR="00892A9F">
              <w:t>-</w:t>
            </w:r>
            <w:r w:rsidRPr="00E47F2A">
              <w:t>term conditions (LTC) service in pharmacies nationally</w:t>
            </w:r>
          </w:p>
        </w:tc>
        <w:tc>
          <w:tcPr>
            <w:tcW w:w="560" w:type="pct"/>
          </w:tcPr>
          <w:p w:rsidR="00ED6788" w:rsidRDefault="00ED6788" w:rsidP="00C25CC8">
            <w:pPr>
              <w:pStyle w:val="TableText"/>
              <w:ind w:right="142"/>
              <w:jc w:val="right"/>
            </w:pPr>
            <w:r w:rsidRPr="00062B73">
              <w:t>140,000</w:t>
            </w:r>
          </w:p>
        </w:tc>
        <w:tc>
          <w:tcPr>
            <w:tcW w:w="605" w:type="pct"/>
            <w:shd w:val="clear" w:color="auto" w:fill="D9D9D9"/>
          </w:tcPr>
          <w:p w:rsidR="00ED6788" w:rsidRDefault="00ED6788" w:rsidP="00C25CC8">
            <w:pPr>
              <w:pStyle w:val="TableText"/>
              <w:ind w:right="142"/>
              <w:jc w:val="right"/>
            </w:pPr>
            <w:r w:rsidRPr="00AB6305">
              <w:t>127,700</w:t>
            </w:r>
          </w:p>
        </w:tc>
      </w:tr>
    </w:tbl>
    <w:p w:rsidR="00ED6788" w:rsidRPr="00802126" w:rsidRDefault="00ED6788" w:rsidP="00E62447">
      <w:pPr>
        <w:rPr>
          <w:highlight w:val="yellow"/>
        </w:rPr>
      </w:pPr>
    </w:p>
    <w:p w:rsidR="00ED6788" w:rsidRPr="00C8298A" w:rsidRDefault="00ED6788" w:rsidP="00E62447">
      <w:pPr>
        <w:pStyle w:val="Heading4"/>
      </w:pPr>
      <w:r w:rsidRPr="00C8298A">
        <w:lastRenderedPageBreak/>
        <w:t xml:space="preserve">Care </w:t>
      </w:r>
      <w:r w:rsidR="00E62447">
        <w:t>c</w:t>
      </w:r>
      <w:r w:rsidRPr="00C8298A">
        <w:t xml:space="preserve">loser to </w:t>
      </w:r>
      <w:r w:rsidR="00E62447">
        <w:t>h</w:t>
      </w:r>
      <w:r w:rsidRPr="00C8298A">
        <w:t>ome</w:t>
      </w:r>
    </w:p>
    <w:p w:rsidR="00ED6788" w:rsidRDefault="00ED6788" w:rsidP="00E62447">
      <w:r>
        <w:t xml:space="preserve">Integration is a key component of placing patients at the centre of the system, increasing the focus on prevention avoidance of unplanned acute care and redesigning services closer to home. </w:t>
      </w:r>
      <w:r w:rsidRPr="00550DEB">
        <w:t>Integration includes both clinical and service integration to bring organisations and clinical professions together, in order to improve outcomes for patients and service users through the delivery of integrated care.</w:t>
      </w:r>
    </w:p>
    <w:p w:rsidR="00ED6788" w:rsidRDefault="00ED6788" w:rsidP="00E62447"/>
    <w:p w:rsidR="00ED6788" w:rsidRDefault="00ED6788" w:rsidP="00E62447">
      <w:r w:rsidRPr="00550DEB">
        <w:t>As part of the DHB annual plans for 2014/15, DHBs are asked to report on their integration activities. This is a qualitative measure that requires DHBs to supply a progress report against the integration activities that were agreed in their annual plans.</w:t>
      </w:r>
    </w:p>
    <w:p w:rsidR="00ED6788" w:rsidRDefault="00ED6788" w:rsidP="00E62447"/>
    <w:p w:rsidR="00ED6788" w:rsidRDefault="00ED6788" w:rsidP="00E62447">
      <w:r>
        <w:t>As part of the Primary Health</w:t>
      </w:r>
      <w:r w:rsidR="00892A9F">
        <w:t xml:space="preserve"> C</w:t>
      </w:r>
      <w:r>
        <w:t>are Strategy, DHBs provide a general primary care response to the needs of people of any age with mild to moderate mental illness. In addition to this, access to primary mental health interventions are funded for the following specific population groups:</w:t>
      </w:r>
    </w:p>
    <w:p w:rsidR="00ED6788" w:rsidRDefault="00ED6788" w:rsidP="00E62447">
      <w:pPr>
        <w:pStyle w:val="Bullet"/>
      </w:pPr>
      <w:r>
        <w:t>The enrolled adult population focused on Māori, Pacific and/or low income. The expected outcome is increased access to psychological and psychosocial interventions for these at</w:t>
      </w:r>
      <w:r w:rsidR="00892A9F">
        <w:noBreakHyphen/>
      </w:r>
      <w:r>
        <w:t>risk groups.</w:t>
      </w:r>
    </w:p>
    <w:p w:rsidR="00ED6788" w:rsidRDefault="00ED6788" w:rsidP="00E62447">
      <w:pPr>
        <w:pStyle w:val="Bullet"/>
      </w:pPr>
      <w:r>
        <w:t>Youth primary mental health services, available to all youth in the 12 to 19 year age group (regardless of PHO enrolment) who require such a service. The expected outcomes are to enable early identification of developing mental health and/or addiction issues and better access to timely and appropriate treatment and follow up.</w:t>
      </w:r>
    </w:p>
    <w:p w:rsidR="00ED6788" w:rsidRDefault="00ED6788" w:rsidP="00E62447"/>
    <w:p w:rsidR="00ED6788" w:rsidRDefault="00ED6788" w:rsidP="00E62447">
      <w:r w:rsidRPr="00550DEB">
        <w:t>Primary mental health services are in place in all districts and the population groups noted above have free access. Primary mental health interventions are based on a stepped care model with interventions matched to service user needs in terms of level of intensity.</w:t>
      </w:r>
    </w:p>
    <w:p w:rsidR="00ED6788" w:rsidRDefault="00ED6788" w:rsidP="00E62447"/>
    <w:p w:rsidR="000845D9" w:rsidRDefault="00ED6788" w:rsidP="00E62447">
      <w:r w:rsidRPr="00AB6305">
        <w:t xml:space="preserve">Additional primary care funding is provided to some general practices to increase access for people in high needs groups. This is measured by the total number of GP consultations and the number of patients in </w:t>
      </w:r>
      <w:r>
        <w:t>very low cost a</w:t>
      </w:r>
      <w:r w:rsidRPr="00550DEB">
        <w:t xml:space="preserve">ccess (VLCA) </w:t>
      </w:r>
      <w:r w:rsidRPr="00AB6305">
        <w:t>practices.</w:t>
      </w:r>
      <w:r w:rsidR="000845D9">
        <w:t xml:space="preserve"> </w:t>
      </w:r>
      <w:r w:rsidRPr="00AB6305">
        <w:t>Funding is also provided for access to free visits and prescriptions for under 6s.</w:t>
      </w:r>
    </w:p>
    <w:p w:rsidR="00ED6788" w:rsidRDefault="00ED6788" w:rsidP="00E62447"/>
    <w:p w:rsidR="00ED6788" w:rsidRDefault="00ED6788" w:rsidP="00E62447">
      <w:r w:rsidRPr="00217120">
        <w:rPr>
          <w:i/>
        </w:rPr>
        <w:t>Note A:</w:t>
      </w:r>
      <w:r w:rsidRPr="004A32A7">
        <w:t xml:space="preserve"> </w:t>
      </w:r>
      <w:r w:rsidRPr="00AB6305">
        <w:t>Changes have also been made to contracting arrangements to encourage people to use practice nurs</w:t>
      </w:r>
      <w:r>
        <w:t>es more for their care. This is</w:t>
      </w:r>
      <w:r w:rsidRPr="00AB6305">
        <w:t xml:space="preserve"> measured by the number of people with high needs accessing practice nurse services.</w:t>
      </w:r>
    </w:p>
    <w:p w:rsidR="00ED6788" w:rsidRDefault="00ED6788" w:rsidP="00E62447"/>
    <w:p w:rsidR="000845D9" w:rsidRDefault="00ED6788" w:rsidP="00E62447">
      <w:pPr>
        <w:pStyle w:val="Heading4"/>
      </w:pPr>
      <w:r w:rsidRPr="00C8298A">
        <w:t xml:space="preserve">Pharmacy </w:t>
      </w:r>
      <w:r w:rsidR="00E62447">
        <w:t>l</w:t>
      </w:r>
      <w:r w:rsidRPr="00C8298A">
        <w:t>ong</w:t>
      </w:r>
      <w:r w:rsidR="0087519E">
        <w:t>-</w:t>
      </w:r>
      <w:r w:rsidR="00E62447">
        <w:t>t</w:t>
      </w:r>
      <w:r w:rsidRPr="00C8298A">
        <w:t xml:space="preserve">erm </w:t>
      </w:r>
      <w:r w:rsidR="00E62447">
        <w:t>c</w:t>
      </w:r>
      <w:r w:rsidRPr="00C8298A">
        <w:t xml:space="preserve">onditions </w:t>
      </w:r>
      <w:r w:rsidR="00E62447">
        <w:t>a</w:t>
      </w:r>
      <w:r w:rsidRPr="00C8298A">
        <w:t xml:space="preserve">dherence </w:t>
      </w:r>
      <w:r w:rsidR="00E62447">
        <w:t>s</w:t>
      </w:r>
      <w:r w:rsidRPr="00C8298A">
        <w:t>ervice</w:t>
      </w:r>
    </w:p>
    <w:p w:rsidR="00ED6788" w:rsidRDefault="00ED6788" w:rsidP="00E62447">
      <w:r>
        <w:t>The pharmacy long</w:t>
      </w:r>
      <w:r w:rsidR="0087519E">
        <w:t>-</w:t>
      </w:r>
      <w:r>
        <w:t>term conditions adherence (LTC) service is a medicines adherence service for community</w:t>
      </w:r>
      <w:r w:rsidR="0087519E">
        <w:t>-</w:t>
      </w:r>
      <w:r>
        <w:t>based patients who have long</w:t>
      </w:r>
      <w:r w:rsidR="0087519E">
        <w:t>-</w:t>
      </w:r>
      <w:r>
        <w:t>term medical conditions, who take regular medicines and who require additional help to be able to adhere to their medicines. As at 30</w:t>
      </w:r>
      <w:r w:rsidR="00E62447">
        <w:t> </w:t>
      </w:r>
      <w:r>
        <w:t>June 2015 there were approximately 127,700 patients enrolled in this service.</w:t>
      </w:r>
    </w:p>
    <w:p w:rsidR="00E62447" w:rsidRPr="003756B9" w:rsidRDefault="00E62447" w:rsidP="00E62447"/>
    <w:p w:rsidR="00ED6788" w:rsidRDefault="00ED6788" w:rsidP="00E62447">
      <w:pPr>
        <w:pStyle w:val="Heading3"/>
      </w:pPr>
      <w:r w:rsidRPr="00E170A6">
        <w:lastRenderedPageBreak/>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B80F72">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B80F72">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B80F72">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B80F72">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B80F72">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B80F72">
            <w:pPr>
              <w:pStyle w:val="TableText"/>
              <w:keepNext/>
              <w:ind w:right="284"/>
              <w:jc w:val="right"/>
            </w:pPr>
            <w:r>
              <w:t>156,421</w:t>
            </w:r>
          </w:p>
        </w:tc>
        <w:tc>
          <w:tcPr>
            <w:tcW w:w="3968" w:type="dxa"/>
            <w:tcBorders>
              <w:top w:val="single" w:sz="4" w:space="0" w:color="auto"/>
              <w:left w:val="nil"/>
            </w:tcBorders>
            <w:shd w:val="solid" w:color="FFFFFF" w:fill="auto"/>
          </w:tcPr>
          <w:p w:rsidR="00ED6788" w:rsidRPr="002C0E8B" w:rsidRDefault="00ED6788" w:rsidP="00B80F72">
            <w:pPr>
              <w:pStyle w:val="TableText"/>
              <w:keepNext/>
            </w:pPr>
            <w:r w:rsidRPr="00F67DC8">
              <w:rPr>
                <w:rFonts w:cs="Arial"/>
                <w:szCs w:val="18"/>
              </w:rPr>
              <w:t>DHBs</w:t>
            </w:r>
          </w:p>
        </w:tc>
        <w:tc>
          <w:tcPr>
            <w:tcW w:w="1276" w:type="dxa"/>
            <w:tcBorders>
              <w:top w:val="single" w:sz="4" w:space="0" w:color="auto"/>
            </w:tcBorders>
            <w:shd w:val="clear" w:color="E3E3E3" w:fill="D9D9D9"/>
          </w:tcPr>
          <w:p w:rsidR="00ED6788" w:rsidRPr="002C0E8B" w:rsidRDefault="00ED6788" w:rsidP="00B80F72">
            <w:pPr>
              <w:pStyle w:val="TableText"/>
              <w:keepNext/>
              <w:ind w:right="142"/>
              <w:jc w:val="right"/>
            </w:pPr>
            <w:r>
              <w:t>149,596</w:t>
            </w:r>
          </w:p>
        </w:tc>
        <w:tc>
          <w:tcPr>
            <w:tcW w:w="1488" w:type="dxa"/>
            <w:tcBorders>
              <w:top w:val="single" w:sz="4" w:space="0" w:color="auto"/>
            </w:tcBorders>
          </w:tcPr>
          <w:p w:rsidR="00ED6788" w:rsidRPr="002C0E8B" w:rsidRDefault="00ED6788" w:rsidP="00B80F72">
            <w:pPr>
              <w:pStyle w:val="TableText"/>
              <w:keepNext/>
              <w:jc w:val="right"/>
            </w:pPr>
            <w:r>
              <w:t>139,937</w:t>
            </w:r>
          </w:p>
        </w:tc>
        <w:tc>
          <w:tcPr>
            <w:tcW w:w="1347" w:type="dxa"/>
            <w:tcBorders>
              <w:top w:val="single" w:sz="4" w:space="0" w:color="auto"/>
            </w:tcBorders>
          </w:tcPr>
          <w:p w:rsidR="00ED6788" w:rsidRPr="002C0E8B" w:rsidRDefault="00ED6788" w:rsidP="00B80F72">
            <w:pPr>
              <w:pStyle w:val="TableText"/>
              <w:keepNext/>
              <w:jc w:val="right"/>
            </w:pPr>
            <w:r>
              <w:t>139,937</w:t>
            </w:r>
          </w:p>
        </w:tc>
      </w:tr>
      <w:tr w:rsidR="00ED6788" w:rsidRPr="002C0E8B" w:rsidTr="00C25CC8">
        <w:trPr>
          <w:cantSplit/>
        </w:trPr>
        <w:tc>
          <w:tcPr>
            <w:tcW w:w="1277" w:type="dxa"/>
            <w:tcBorders>
              <w:right w:val="nil"/>
            </w:tcBorders>
            <w:shd w:val="solid" w:color="FFFFFF" w:fill="auto"/>
          </w:tcPr>
          <w:p w:rsidR="00ED6788" w:rsidRPr="002C0E8B" w:rsidRDefault="00ED6788" w:rsidP="00B80F72">
            <w:pPr>
              <w:pStyle w:val="TableText"/>
              <w:keepNext/>
              <w:ind w:right="284"/>
              <w:jc w:val="right"/>
            </w:pPr>
            <w:r>
              <w:t>4869</w:t>
            </w:r>
          </w:p>
        </w:tc>
        <w:tc>
          <w:tcPr>
            <w:tcW w:w="3968" w:type="dxa"/>
            <w:tcBorders>
              <w:left w:val="nil"/>
            </w:tcBorders>
            <w:shd w:val="solid" w:color="FFFFFF" w:fill="auto"/>
          </w:tcPr>
          <w:p w:rsidR="00ED6788" w:rsidRPr="002C0E8B" w:rsidRDefault="00ED6788" w:rsidP="00B80F72">
            <w:pPr>
              <w:pStyle w:val="TableText"/>
              <w:keepNext/>
            </w:pPr>
            <w:r w:rsidRPr="00F67DC8">
              <w:rPr>
                <w:rFonts w:cs="Arial"/>
                <w:szCs w:val="18"/>
              </w:rPr>
              <w:t>Non-</w:t>
            </w:r>
            <w:r w:rsidR="00E62447">
              <w:rPr>
                <w:rFonts w:cs="Arial"/>
                <w:szCs w:val="18"/>
              </w:rPr>
              <w:t>g</w:t>
            </w:r>
            <w:r w:rsidRPr="00F67DC8">
              <w:rPr>
                <w:rFonts w:cs="Arial"/>
                <w:szCs w:val="18"/>
              </w:rPr>
              <w:t xml:space="preserve">overnment </w:t>
            </w:r>
            <w:r w:rsidR="00E62447">
              <w:rPr>
                <w:rFonts w:cs="Arial"/>
                <w:szCs w:val="18"/>
              </w:rPr>
              <w:t>o</w:t>
            </w:r>
            <w:r w:rsidRPr="00F67DC8">
              <w:rPr>
                <w:rFonts w:cs="Arial"/>
                <w:szCs w:val="18"/>
              </w:rPr>
              <w:t>rganisations</w:t>
            </w:r>
          </w:p>
        </w:tc>
        <w:tc>
          <w:tcPr>
            <w:tcW w:w="1276" w:type="dxa"/>
            <w:shd w:val="clear" w:color="E3E3E3" w:fill="D9D9D9"/>
          </w:tcPr>
          <w:p w:rsidR="00ED6788" w:rsidRPr="002C0E8B" w:rsidRDefault="00ED6788" w:rsidP="00B80F72">
            <w:pPr>
              <w:pStyle w:val="TableText"/>
              <w:keepNext/>
              <w:ind w:right="142"/>
              <w:jc w:val="right"/>
            </w:pPr>
            <w:r>
              <w:t>5340</w:t>
            </w:r>
          </w:p>
        </w:tc>
        <w:tc>
          <w:tcPr>
            <w:tcW w:w="1488" w:type="dxa"/>
          </w:tcPr>
          <w:p w:rsidR="00ED6788" w:rsidRPr="002C0E8B" w:rsidRDefault="00ED6788" w:rsidP="00B80F72">
            <w:pPr>
              <w:pStyle w:val="TableText"/>
              <w:keepNext/>
              <w:jc w:val="right"/>
            </w:pPr>
            <w:r>
              <w:t>29,804</w:t>
            </w:r>
          </w:p>
        </w:tc>
        <w:tc>
          <w:tcPr>
            <w:tcW w:w="1347" w:type="dxa"/>
          </w:tcPr>
          <w:p w:rsidR="00ED6788" w:rsidRPr="002C0E8B" w:rsidRDefault="00ED6788" w:rsidP="00B80F72">
            <w:pPr>
              <w:pStyle w:val="TableText"/>
              <w:keepNext/>
              <w:jc w:val="right"/>
            </w:pPr>
            <w:r>
              <w:t>15,353</w:t>
            </w:r>
          </w:p>
        </w:tc>
      </w:tr>
      <w:tr w:rsidR="00ED6788" w:rsidRPr="002C0E8B" w:rsidTr="00C25CC8">
        <w:trPr>
          <w:cantSplit/>
        </w:trPr>
        <w:tc>
          <w:tcPr>
            <w:tcW w:w="1277" w:type="dxa"/>
            <w:tcBorders>
              <w:right w:val="nil"/>
            </w:tcBorders>
            <w:shd w:val="solid" w:color="FFFFFF" w:fill="auto"/>
          </w:tcPr>
          <w:p w:rsidR="00ED6788" w:rsidRPr="002C0E8B" w:rsidRDefault="00ED6788" w:rsidP="00B80F72">
            <w:pPr>
              <w:pStyle w:val="TableText"/>
              <w:keepNext/>
              <w:ind w:right="284"/>
              <w:jc w:val="right"/>
              <w:rPr>
                <w:b/>
                <w:bCs/>
              </w:rPr>
            </w:pPr>
            <w:r>
              <w:rPr>
                <w:b/>
                <w:bCs/>
              </w:rPr>
              <w:t>161,290</w:t>
            </w:r>
          </w:p>
        </w:tc>
        <w:tc>
          <w:tcPr>
            <w:tcW w:w="3968" w:type="dxa"/>
            <w:tcBorders>
              <w:left w:val="nil"/>
            </w:tcBorders>
            <w:shd w:val="solid" w:color="FFFFFF" w:fill="auto"/>
          </w:tcPr>
          <w:p w:rsidR="00ED6788" w:rsidRPr="002C0E8B" w:rsidRDefault="00ED6788" w:rsidP="00B80F72">
            <w:pPr>
              <w:pStyle w:val="TableText"/>
              <w:keepNext/>
              <w:rPr>
                <w:b/>
              </w:rPr>
            </w:pPr>
            <w:r>
              <w:rPr>
                <w:rFonts w:cs="Arial"/>
                <w:b/>
                <w:szCs w:val="18"/>
              </w:rPr>
              <w:t>Total appropriation</w:t>
            </w:r>
          </w:p>
        </w:tc>
        <w:tc>
          <w:tcPr>
            <w:tcW w:w="1276" w:type="dxa"/>
            <w:shd w:val="clear" w:color="E3E3E3" w:fill="D9D9D9"/>
          </w:tcPr>
          <w:p w:rsidR="00ED6788" w:rsidRPr="002C0E8B" w:rsidRDefault="00ED6788" w:rsidP="00B80F72">
            <w:pPr>
              <w:pStyle w:val="TableText"/>
              <w:keepNext/>
              <w:ind w:right="142"/>
              <w:jc w:val="right"/>
              <w:rPr>
                <w:b/>
              </w:rPr>
            </w:pPr>
            <w:r>
              <w:rPr>
                <w:b/>
                <w:bCs/>
              </w:rPr>
              <w:t>154,935</w:t>
            </w:r>
          </w:p>
        </w:tc>
        <w:tc>
          <w:tcPr>
            <w:tcW w:w="1488" w:type="dxa"/>
          </w:tcPr>
          <w:p w:rsidR="00ED6788" w:rsidRPr="002C0E8B" w:rsidRDefault="00ED6788" w:rsidP="00B80F72">
            <w:pPr>
              <w:pStyle w:val="TableText"/>
              <w:keepNext/>
              <w:jc w:val="right"/>
              <w:rPr>
                <w:b/>
              </w:rPr>
            </w:pPr>
            <w:r>
              <w:rPr>
                <w:b/>
                <w:bCs/>
              </w:rPr>
              <w:t>169,741</w:t>
            </w:r>
          </w:p>
        </w:tc>
        <w:tc>
          <w:tcPr>
            <w:tcW w:w="1347" w:type="dxa"/>
          </w:tcPr>
          <w:p w:rsidR="00ED6788" w:rsidRPr="002C0E8B" w:rsidRDefault="00ED6788" w:rsidP="00B80F72">
            <w:pPr>
              <w:pStyle w:val="TableText"/>
              <w:keepNext/>
              <w:jc w:val="right"/>
              <w:rPr>
                <w:b/>
              </w:rPr>
            </w:pPr>
            <w:r>
              <w:rPr>
                <w:b/>
                <w:bCs/>
              </w:rPr>
              <w:t>155,290</w:t>
            </w:r>
          </w:p>
        </w:tc>
      </w:tr>
    </w:tbl>
    <w:p w:rsidR="00ED6788" w:rsidRDefault="00ED6788" w:rsidP="00B80F72">
      <w:pPr>
        <w:keepNext/>
      </w:pPr>
    </w:p>
    <w:p w:rsidR="00ED6788" w:rsidRPr="00074D5A" w:rsidRDefault="00ED6788" w:rsidP="00E62447">
      <w:pPr>
        <w:pStyle w:val="Heading3"/>
      </w:pPr>
      <w:r w:rsidRPr="00074D5A">
        <w:t>Comments</w:t>
      </w:r>
    </w:p>
    <w:p w:rsidR="00ED6788" w:rsidRPr="002B32F2" w:rsidRDefault="00ED6788" w:rsidP="00B80F72">
      <w:r w:rsidRPr="00C577F4">
        <w:t xml:space="preserve">The </w:t>
      </w:r>
      <w:r>
        <w:t>underspend of $14.806 million against</w:t>
      </w:r>
      <w:r w:rsidRPr="00C577F4">
        <w:t xml:space="preserve"> the Main Estimates </w:t>
      </w:r>
      <w:r>
        <w:t xml:space="preserve">(9 percent of appropriation) </w:t>
      </w:r>
      <w:r w:rsidRPr="00C577F4">
        <w:t>mainly relat</w:t>
      </w:r>
      <w:r>
        <w:t>es to the post-budget transfer</w:t>
      </w:r>
      <w:r w:rsidRPr="00C577F4">
        <w:t xml:space="preserve"> of $15 milli</w:t>
      </w:r>
      <w:r>
        <w:t>on of after</w:t>
      </w:r>
      <w:r w:rsidR="0087519E">
        <w:t>-</w:t>
      </w:r>
      <w:r>
        <w:t>hours funding to DHB appropriations</w:t>
      </w:r>
      <w:r w:rsidRPr="00C577F4">
        <w:t>.</w:t>
      </w:r>
    </w:p>
    <w:p w:rsidR="00ED6788" w:rsidRDefault="00ED6788" w:rsidP="00E62447"/>
    <w:p w:rsidR="00734595" w:rsidRDefault="00734595">
      <w:pPr>
        <w:spacing w:line="240" w:lineRule="auto"/>
        <w:rPr>
          <w:b/>
          <w:sz w:val="40"/>
        </w:rPr>
      </w:pPr>
      <w:bookmarkStart w:id="41" w:name="_Toc432765756"/>
      <w:r>
        <w:br w:type="page"/>
      </w:r>
    </w:p>
    <w:p w:rsidR="000845D9" w:rsidRDefault="00ED6788" w:rsidP="00E62447">
      <w:pPr>
        <w:pStyle w:val="Heading2"/>
      </w:pPr>
      <w:bookmarkStart w:id="42" w:name="_Toc433713789"/>
      <w:r w:rsidRPr="000C7904">
        <w:lastRenderedPageBreak/>
        <w:t xml:space="preserve">Problem </w:t>
      </w:r>
      <w:r w:rsidR="0087519E">
        <w:t>g</w:t>
      </w:r>
      <w:r w:rsidRPr="000C7904">
        <w:t xml:space="preserve">ambling </w:t>
      </w:r>
      <w:r w:rsidR="0087519E">
        <w:t>s</w:t>
      </w:r>
      <w:r w:rsidRPr="000C7904">
        <w:t>ervices</w:t>
      </w:r>
      <w:bookmarkEnd w:id="41"/>
      <w:bookmarkEnd w:id="42"/>
    </w:p>
    <w:p w:rsidR="00ED6788" w:rsidRDefault="00ED6788" w:rsidP="00B80F72">
      <w:r>
        <w:t>The scope of a</w:t>
      </w:r>
      <w:r w:rsidRPr="007F473C">
        <w:t>ppropriation</w:t>
      </w:r>
      <w:r>
        <w:t xml:space="preserve"> is f</w:t>
      </w:r>
      <w:r w:rsidRPr="00926CC4">
        <w:t>unding to support the research and implementation of strategies to prevent and minimise the harm from gambling, the provision of treatment services to problem gamblers and assistance to their families and wh</w:t>
      </w:r>
      <w:r w:rsidR="0087519E">
        <w:t>ā</w:t>
      </w:r>
      <w:r w:rsidRPr="00926CC4">
        <w:t xml:space="preserve">nau in accordance with the Gambling Act 2003. This appropriation is intended to </w:t>
      </w:r>
      <w:r>
        <w:t>ensure</w:t>
      </w:r>
      <w:r w:rsidRPr="00926CC4">
        <w:t xml:space="preserve"> the harm caused by problem gambling is reduced</w:t>
      </w:r>
      <w:r>
        <w:t>.</w:t>
      </w:r>
    </w:p>
    <w:p w:rsidR="00ED6788" w:rsidRDefault="00ED6788" w:rsidP="00B80F72"/>
    <w:p w:rsidR="00ED6788" w:rsidRDefault="00ED6788" w:rsidP="00B80F72">
      <w:r>
        <w:t xml:space="preserve">This appropriation is for implementation of the Preventing and Minimising Gambling Harm (PMGH) Strategic Plan 2010/11–2015/16. The Ministry has implemented an outcomes monitoring framework to measure outcome progress for each of the objectives identified in the PMGH Strategy. The overall goal of the PMGH Strategy is for the Government, the gambling industry, communities and families/whānau </w:t>
      </w:r>
      <w:r w:rsidRPr="00550DEB">
        <w:t xml:space="preserve">to </w:t>
      </w:r>
      <w:r>
        <w:t>work together</w:t>
      </w:r>
      <w:r w:rsidRPr="00550DEB">
        <w:t xml:space="preserve"> </w:t>
      </w:r>
      <w:r>
        <w:t xml:space="preserve">to prevent the harm </w:t>
      </w:r>
      <w:r w:rsidR="0087519E">
        <w:t xml:space="preserve">caused </w:t>
      </w:r>
      <w:r>
        <w:t>by problem gambling, and to reduce health inequalities associated with problem gambling.</w:t>
      </w:r>
    </w:p>
    <w:p w:rsidR="00ED6788" w:rsidRDefault="00ED6788" w:rsidP="00B80F72"/>
    <w:p w:rsidR="00ED6788" w:rsidRPr="003756B9" w:rsidRDefault="00ED6788" w:rsidP="00B80F72">
      <w:pPr>
        <w:pStyle w:val="Heading3"/>
      </w:pPr>
      <w:r>
        <w:t>Summary of output performance</w:t>
      </w:r>
    </w:p>
    <w:tbl>
      <w:tblPr>
        <w:tblW w:w="494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3"/>
        <w:gridCol w:w="5997"/>
        <w:gridCol w:w="1035"/>
        <w:gridCol w:w="1118"/>
      </w:tblGrid>
      <w:tr w:rsidR="00ED6788" w:rsidRPr="00E16661" w:rsidTr="00C25CC8">
        <w:trPr>
          <w:cantSplit/>
          <w:tblHeader/>
        </w:trPr>
        <w:tc>
          <w:tcPr>
            <w:tcW w:w="591" w:type="pct"/>
            <w:tcBorders>
              <w:top w:val="single" w:sz="4" w:space="0" w:color="auto"/>
              <w:bottom w:val="single" w:sz="4" w:space="0" w:color="auto"/>
            </w:tcBorders>
          </w:tcPr>
          <w:p w:rsidR="00ED6788" w:rsidRPr="00E16661" w:rsidRDefault="00ED6788" w:rsidP="00C25CC8">
            <w:pPr>
              <w:pStyle w:val="TableText"/>
              <w:ind w:right="284"/>
              <w:jc w:val="right"/>
              <w:rPr>
                <w:b/>
              </w:rPr>
            </w:pPr>
            <w:r w:rsidRPr="00E16661">
              <w:rPr>
                <w:b/>
              </w:rPr>
              <w:t>Actual 201</w:t>
            </w:r>
            <w:r>
              <w:rPr>
                <w:b/>
              </w:rPr>
              <w:t>3/14</w:t>
            </w:r>
          </w:p>
        </w:tc>
        <w:tc>
          <w:tcPr>
            <w:tcW w:w="3244" w:type="pct"/>
            <w:tcBorders>
              <w:top w:val="single" w:sz="4" w:space="0" w:color="auto"/>
              <w:bottom w:val="single" w:sz="4" w:space="0" w:color="auto"/>
            </w:tcBorders>
          </w:tcPr>
          <w:p w:rsidR="00ED6788" w:rsidRPr="00E16661" w:rsidRDefault="00ED6788" w:rsidP="00B80F72">
            <w:pPr>
              <w:pStyle w:val="TableText"/>
              <w:ind w:right="142"/>
              <w:rPr>
                <w:b/>
              </w:rPr>
            </w:pPr>
            <w:r w:rsidRPr="00E16661">
              <w:rPr>
                <w:b/>
              </w:rPr>
              <w:t>Performance measure</w:t>
            </w:r>
          </w:p>
        </w:tc>
        <w:tc>
          <w:tcPr>
            <w:tcW w:w="560" w:type="pct"/>
            <w:tcBorders>
              <w:top w:val="single" w:sz="4" w:space="0" w:color="auto"/>
              <w:bottom w:val="single" w:sz="4" w:space="0" w:color="auto"/>
            </w:tcBorders>
          </w:tcPr>
          <w:p w:rsidR="00ED6788" w:rsidRPr="00E16661" w:rsidRDefault="00ED6788" w:rsidP="00C25CC8">
            <w:pPr>
              <w:pStyle w:val="TableT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605" w:type="pct"/>
            <w:tcBorders>
              <w:top w:val="single" w:sz="4" w:space="0" w:color="auto"/>
              <w:bottom w:val="single" w:sz="4" w:space="0" w:color="auto"/>
            </w:tcBorders>
            <w:shd w:val="clear" w:color="auto" w:fill="D9D9D9"/>
          </w:tcPr>
          <w:p w:rsidR="00ED6788" w:rsidRPr="00E16661" w:rsidRDefault="00ED6788" w:rsidP="00C25CC8">
            <w:pPr>
              <w:pStyle w:val="TableT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C25CC8">
        <w:trPr>
          <w:cantSplit/>
        </w:trPr>
        <w:tc>
          <w:tcPr>
            <w:tcW w:w="591" w:type="pct"/>
          </w:tcPr>
          <w:p w:rsidR="00ED6788" w:rsidRPr="002C0E8B" w:rsidRDefault="00ED6788" w:rsidP="00C25CC8">
            <w:pPr>
              <w:pStyle w:val="TableText"/>
              <w:ind w:right="284"/>
              <w:jc w:val="right"/>
            </w:pPr>
            <w:r>
              <w:t>100%</w:t>
            </w:r>
          </w:p>
        </w:tc>
        <w:tc>
          <w:tcPr>
            <w:tcW w:w="3244" w:type="pct"/>
          </w:tcPr>
          <w:p w:rsidR="00ED6788" w:rsidRPr="008C53C1" w:rsidRDefault="00ED6788" w:rsidP="00B80F72">
            <w:pPr>
              <w:pStyle w:val="TableText"/>
              <w:ind w:right="142"/>
            </w:pPr>
            <w:r w:rsidRPr="008C53C1">
              <w:t>The percentage of problem gambling service providers who provide services in accordance with their provider contracts with the Ministry of Health</w:t>
            </w:r>
          </w:p>
        </w:tc>
        <w:tc>
          <w:tcPr>
            <w:tcW w:w="560" w:type="pct"/>
          </w:tcPr>
          <w:p w:rsidR="00ED6788" w:rsidRPr="00F16938" w:rsidRDefault="00ED6788" w:rsidP="00C25CC8">
            <w:pPr>
              <w:pStyle w:val="TableText"/>
              <w:ind w:right="284"/>
              <w:jc w:val="right"/>
            </w:pPr>
            <w:r w:rsidRPr="00F16938">
              <w:t>100%</w:t>
            </w:r>
          </w:p>
        </w:tc>
        <w:tc>
          <w:tcPr>
            <w:tcW w:w="605" w:type="pct"/>
            <w:shd w:val="clear" w:color="auto" w:fill="D9D9D9"/>
          </w:tcPr>
          <w:p w:rsidR="00ED6788" w:rsidRPr="00D155EF" w:rsidRDefault="00ED6788" w:rsidP="00C25CC8">
            <w:pPr>
              <w:pStyle w:val="TableText"/>
              <w:ind w:right="142"/>
              <w:jc w:val="right"/>
            </w:pPr>
            <w:r>
              <w:t>100%</w:t>
            </w:r>
          </w:p>
        </w:tc>
      </w:tr>
      <w:tr w:rsidR="00ED6788" w:rsidRPr="002C0E8B" w:rsidTr="00C25CC8">
        <w:trPr>
          <w:cantSplit/>
        </w:trPr>
        <w:tc>
          <w:tcPr>
            <w:tcW w:w="591" w:type="pct"/>
          </w:tcPr>
          <w:p w:rsidR="00ED6788" w:rsidRPr="002C0E8B" w:rsidRDefault="00ED6788" w:rsidP="00B80F72">
            <w:pPr>
              <w:pStyle w:val="TableText"/>
              <w:ind w:right="284"/>
              <w:jc w:val="right"/>
            </w:pPr>
            <w:r>
              <w:t>7164</w:t>
            </w:r>
          </w:p>
        </w:tc>
        <w:tc>
          <w:tcPr>
            <w:tcW w:w="3244" w:type="pct"/>
          </w:tcPr>
          <w:p w:rsidR="00ED6788" w:rsidRPr="008C53C1" w:rsidRDefault="00ED6788" w:rsidP="00B80F72">
            <w:pPr>
              <w:pStyle w:val="TableText"/>
              <w:ind w:right="142"/>
            </w:pPr>
            <w:r w:rsidRPr="008C53C1">
              <w:t>The number of people seeking support from problem gambling services</w:t>
            </w:r>
          </w:p>
        </w:tc>
        <w:tc>
          <w:tcPr>
            <w:tcW w:w="560" w:type="pct"/>
          </w:tcPr>
          <w:p w:rsidR="00ED6788" w:rsidRPr="00F16938" w:rsidRDefault="00ED6788" w:rsidP="00B80F72">
            <w:pPr>
              <w:pStyle w:val="TableText"/>
              <w:ind w:right="284"/>
              <w:jc w:val="right"/>
            </w:pPr>
            <w:r w:rsidRPr="00F16938">
              <w:t>6300</w:t>
            </w:r>
          </w:p>
        </w:tc>
        <w:tc>
          <w:tcPr>
            <w:tcW w:w="605" w:type="pct"/>
            <w:shd w:val="clear" w:color="auto" w:fill="D9D9D9"/>
          </w:tcPr>
          <w:p w:rsidR="00ED6788" w:rsidRPr="009941EC" w:rsidRDefault="00ED6788" w:rsidP="00B80F72">
            <w:pPr>
              <w:pStyle w:val="TableText"/>
              <w:ind w:right="142"/>
              <w:jc w:val="right"/>
            </w:pPr>
            <w:r w:rsidRPr="009941EC">
              <w:t>6300</w:t>
            </w:r>
          </w:p>
        </w:tc>
      </w:tr>
      <w:tr w:rsidR="00ED6788" w:rsidRPr="002C0E8B" w:rsidTr="00C25CC8">
        <w:trPr>
          <w:cantSplit/>
        </w:trPr>
        <w:tc>
          <w:tcPr>
            <w:tcW w:w="591" w:type="pct"/>
          </w:tcPr>
          <w:p w:rsidR="00ED6788" w:rsidRDefault="00ED6788" w:rsidP="00C25CC8">
            <w:pPr>
              <w:pStyle w:val="TableText"/>
              <w:ind w:right="284"/>
              <w:jc w:val="right"/>
            </w:pPr>
            <w:r>
              <w:t>New</w:t>
            </w:r>
          </w:p>
        </w:tc>
        <w:tc>
          <w:tcPr>
            <w:tcW w:w="3244" w:type="pct"/>
          </w:tcPr>
          <w:p w:rsidR="00ED6788" w:rsidRDefault="00ED6788" w:rsidP="00B80F72">
            <w:pPr>
              <w:pStyle w:val="TableText"/>
              <w:ind w:right="142"/>
            </w:pPr>
            <w:r w:rsidRPr="008C53C1">
              <w:t>Percentage of treatment service users experience an improvement in their condition</w:t>
            </w:r>
          </w:p>
        </w:tc>
        <w:tc>
          <w:tcPr>
            <w:tcW w:w="560" w:type="pct"/>
          </w:tcPr>
          <w:p w:rsidR="00ED6788" w:rsidRDefault="00ED6788" w:rsidP="00C25CC8">
            <w:pPr>
              <w:pStyle w:val="TableText"/>
              <w:ind w:right="284"/>
              <w:jc w:val="right"/>
            </w:pPr>
            <w:r w:rsidRPr="00F16938">
              <w:t>90%</w:t>
            </w:r>
          </w:p>
        </w:tc>
        <w:tc>
          <w:tcPr>
            <w:tcW w:w="605" w:type="pct"/>
            <w:shd w:val="clear" w:color="auto" w:fill="D9D9D9"/>
          </w:tcPr>
          <w:p w:rsidR="00ED6788" w:rsidRDefault="00ED6788" w:rsidP="00C25CC8">
            <w:pPr>
              <w:pStyle w:val="TableText"/>
              <w:ind w:right="142"/>
              <w:jc w:val="right"/>
            </w:pPr>
            <w:r w:rsidRPr="009941EC">
              <w:t>90%</w:t>
            </w:r>
          </w:p>
        </w:tc>
      </w:tr>
    </w:tbl>
    <w:p w:rsidR="00ED6788" w:rsidRPr="00802126" w:rsidRDefault="00ED6788" w:rsidP="00B80F72">
      <w:pPr>
        <w:rPr>
          <w:highlight w:val="yellow"/>
        </w:rPr>
      </w:pPr>
    </w:p>
    <w:p w:rsidR="00ED6788" w:rsidRDefault="00ED6788" w:rsidP="00B80F72">
      <w:pPr>
        <w:pStyle w:val="Heading3"/>
      </w:pPr>
      <w:r>
        <w:t>Comments</w:t>
      </w:r>
    </w:p>
    <w:p w:rsidR="00ED6788" w:rsidRDefault="00ED6788" w:rsidP="00B80F72">
      <w:pPr>
        <w:keepNext/>
      </w:pPr>
      <w:r>
        <w:t>Services purchased under the Gambling Act 2003 included:</w:t>
      </w:r>
    </w:p>
    <w:p w:rsidR="00ED6788" w:rsidRDefault="00ED6788" w:rsidP="00B80F72">
      <w:pPr>
        <w:pStyle w:val="Bullet"/>
        <w:keepNext/>
      </w:pPr>
      <w:r>
        <w:t>intervention services for those experiencing gambling harm and for their families/whānau, including screening and brief intervention services, counselling, and help to access allied health and social services and follow-up services</w:t>
      </w:r>
    </w:p>
    <w:p w:rsidR="00ED6788" w:rsidRDefault="00ED6788" w:rsidP="00B80F72">
      <w:pPr>
        <w:pStyle w:val="Bullet"/>
        <w:keepLines/>
      </w:pPr>
      <w:r>
        <w:t>primary prevention services to protect people from health threats and promote better health for all New Zealanders (primary prevention services are population-focused, and include targeted programmes for specific groups of people disproportionately affected by gambling harm)</w:t>
      </w:r>
    </w:p>
    <w:p w:rsidR="00ED6788" w:rsidRPr="003756B9" w:rsidRDefault="00ED6788" w:rsidP="00B80F72">
      <w:pPr>
        <w:pStyle w:val="Bullet"/>
      </w:pPr>
      <w:r>
        <w:t>a research programme to inform further policy and service development to prevent and minimise gambling-related harm.</w:t>
      </w:r>
    </w:p>
    <w:p w:rsidR="00ED6788" w:rsidRDefault="00ED6788" w:rsidP="00B80F72"/>
    <w:p w:rsidR="00ED6788" w:rsidRDefault="00ED6788" w:rsidP="00B80F72">
      <w:r>
        <w:t>Contract monitoring and verification visits confirm 100 percent compliance with contract requirements.</w:t>
      </w:r>
      <w:r w:rsidR="000845D9">
        <w:t xml:space="preserve"> </w:t>
      </w:r>
      <w:r>
        <w:t>There were 7211 people seeking support from Problem Gambling Services as at 30</w:t>
      </w:r>
      <w:r w:rsidR="00B80F72">
        <w:t> </w:t>
      </w:r>
      <w:r>
        <w:t>June 2015 (7164 in 2013/14).</w:t>
      </w:r>
    </w:p>
    <w:p w:rsidR="00ED6788" w:rsidRDefault="00ED6788" w:rsidP="00B80F72"/>
    <w:p w:rsidR="00ED6788" w:rsidRDefault="00ED6788" w:rsidP="00B80F72">
      <w:r>
        <w:t>Support includes people seeking help through treatment services due to their own or someone else</w:t>
      </w:r>
      <w:r w:rsidR="000845D9">
        <w:t>’</w:t>
      </w:r>
      <w:r>
        <w:t>s gambling. Most of the people who make contact with treatment services are in crisis. Face-to-face services assisted over 12,741 people in the 2014/15 year. In addition the Gambling Helpline received an average of 150 calls per month from new clients.</w:t>
      </w:r>
    </w:p>
    <w:p w:rsidR="00ED6788" w:rsidRDefault="00ED6788" w:rsidP="00B80F72"/>
    <w:p w:rsidR="00ED6788" w:rsidRDefault="00ED6788" w:rsidP="00B80F72">
      <w:r>
        <w:t>2014/15 was the second year of implementing the Preventing and Minimising Gambling Harm Service Plan, which covers a</w:t>
      </w:r>
      <w:r w:rsidR="000845D9">
        <w:t xml:space="preserve"> </w:t>
      </w:r>
      <w:r>
        <w:t>three-year period.</w:t>
      </w:r>
    </w:p>
    <w:p w:rsidR="00B80F72" w:rsidRPr="003756B9" w:rsidRDefault="00B80F72" w:rsidP="00B80F72"/>
    <w:p w:rsidR="00ED6788" w:rsidRDefault="00ED6788" w:rsidP="00B80F72">
      <w:pPr>
        <w:pStyle w:val="Heading3"/>
      </w:pPr>
      <w:r w:rsidRPr="00E170A6">
        <w:lastRenderedPageBreak/>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bottom w:val="nil"/>
              <w:right w:val="nil"/>
            </w:tcBorders>
            <w:shd w:val="solid" w:color="FFFFFF" w:fill="auto"/>
          </w:tcPr>
          <w:p w:rsidR="00ED6788" w:rsidRPr="002C0E8B" w:rsidRDefault="00ED6788" w:rsidP="00C25CC8">
            <w:pPr>
              <w:pStyle w:val="TableText"/>
              <w:keepNext/>
              <w:ind w:right="284"/>
              <w:jc w:val="right"/>
            </w:pPr>
            <w:r>
              <w:t>154</w:t>
            </w:r>
          </w:p>
        </w:tc>
        <w:tc>
          <w:tcPr>
            <w:tcW w:w="3968" w:type="dxa"/>
            <w:tcBorders>
              <w:top w:val="single" w:sz="4" w:space="0" w:color="auto"/>
              <w:left w:val="nil"/>
              <w:bottom w:val="nil"/>
            </w:tcBorders>
            <w:shd w:val="solid" w:color="FFFFFF" w:fill="auto"/>
          </w:tcPr>
          <w:p w:rsidR="00ED6788" w:rsidRPr="006D560A" w:rsidRDefault="00B80F72" w:rsidP="00C25CC8">
            <w:pPr>
              <w:pStyle w:val="TableText"/>
              <w:keepNext/>
              <w:rPr>
                <w:rFonts w:cs="Arial"/>
                <w:szCs w:val="18"/>
              </w:rPr>
            </w:pPr>
            <w:r>
              <w:rPr>
                <w:rFonts w:cs="Arial"/>
                <w:szCs w:val="18"/>
              </w:rPr>
              <w:t>Health Sponsorship Council</w:t>
            </w:r>
          </w:p>
        </w:tc>
        <w:tc>
          <w:tcPr>
            <w:tcW w:w="1276" w:type="dxa"/>
            <w:tcBorders>
              <w:top w:val="single" w:sz="4" w:space="0" w:color="auto"/>
              <w:bottom w:val="nil"/>
            </w:tcBorders>
            <w:shd w:val="clear" w:color="E3E3E3" w:fill="D9D9D9"/>
          </w:tcPr>
          <w:p w:rsidR="00ED6788" w:rsidRPr="002C0E8B" w:rsidRDefault="00ED6788" w:rsidP="00C25CC8">
            <w:pPr>
              <w:pStyle w:val="TableText"/>
              <w:keepNext/>
              <w:ind w:right="142"/>
              <w:jc w:val="right"/>
            </w:pPr>
            <w:r>
              <w:t>109</w:t>
            </w:r>
          </w:p>
        </w:tc>
        <w:tc>
          <w:tcPr>
            <w:tcW w:w="1488" w:type="dxa"/>
            <w:tcBorders>
              <w:top w:val="single" w:sz="4" w:space="0" w:color="auto"/>
              <w:bottom w:val="nil"/>
            </w:tcBorders>
          </w:tcPr>
          <w:p w:rsidR="00ED6788" w:rsidRPr="006D560A" w:rsidRDefault="00B80F72" w:rsidP="00B80F72">
            <w:pPr>
              <w:pStyle w:val="TableText"/>
              <w:keepNext/>
              <w:jc w:val="right"/>
            </w:pPr>
            <w:r>
              <w:t>–</w:t>
            </w:r>
          </w:p>
        </w:tc>
        <w:tc>
          <w:tcPr>
            <w:tcW w:w="1347" w:type="dxa"/>
            <w:tcBorders>
              <w:top w:val="single" w:sz="4" w:space="0" w:color="auto"/>
              <w:bottom w:val="nil"/>
            </w:tcBorders>
          </w:tcPr>
          <w:p w:rsidR="00ED6788" w:rsidRPr="002C0E8B" w:rsidRDefault="00B80F72" w:rsidP="00B80F72">
            <w:pPr>
              <w:pStyle w:val="TableText"/>
              <w:keepNext/>
              <w:jc w:val="right"/>
            </w:pPr>
            <w:r>
              <w:t>–</w:t>
            </w:r>
          </w:p>
        </w:tc>
      </w:tr>
      <w:tr w:rsidR="00ED6788" w:rsidRPr="002C0E8B" w:rsidTr="00C25CC8">
        <w:trPr>
          <w:cantSplit/>
        </w:trPr>
        <w:tc>
          <w:tcPr>
            <w:tcW w:w="1277" w:type="dxa"/>
            <w:tcBorders>
              <w:top w:val="nil"/>
              <w:right w:val="nil"/>
            </w:tcBorders>
            <w:shd w:val="solid" w:color="FFFFFF" w:fill="auto"/>
          </w:tcPr>
          <w:p w:rsidR="00ED6788" w:rsidRPr="002C0E8B" w:rsidRDefault="00ED6788" w:rsidP="00B80F72">
            <w:pPr>
              <w:pStyle w:val="TableText"/>
              <w:keepNext/>
              <w:ind w:right="284"/>
              <w:jc w:val="right"/>
            </w:pPr>
            <w:r>
              <w:t>1621</w:t>
            </w:r>
          </w:p>
        </w:tc>
        <w:tc>
          <w:tcPr>
            <w:tcW w:w="3968" w:type="dxa"/>
            <w:tcBorders>
              <w:top w:val="nil"/>
              <w:left w:val="nil"/>
            </w:tcBorders>
            <w:shd w:val="solid" w:color="FFFFFF" w:fill="auto"/>
          </w:tcPr>
          <w:p w:rsidR="00ED6788" w:rsidRPr="002C0E8B" w:rsidRDefault="00ED6788" w:rsidP="00C25CC8">
            <w:pPr>
              <w:pStyle w:val="TableText"/>
              <w:keepNext/>
            </w:pPr>
            <w:r w:rsidRPr="006D560A">
              <w:rPr>
                <w:rFonts w:cs="Arial"/>
                <w:szCs w:val="18"/>
              </w:rPr>
              <w:t>Health Promotion Agency</w:t>
            </w:r>
          </w:p>
        </w:tc>
        <w:tc>
          <w:tcPr>
            <w:tcW w:w="1276" w:type="dxa"/>
            <w:tcBorders>
              <w:top w:val="nil"/>
            </w:tcBorders>
            <w:shd w:val="clear" w:color="E3E3E3" w:fill="D9D9D9"/>
          </w:tcPr>
          <w:p w:rsidR="00ED6788" w:rsidRPr="002C0E8B" w:rsidRDefault="00ED6788" w:rsidP="00B80F72">
            <w:pPr>
              <w:pStyle w:val="TableText"/>
              <w:keepNext/>
              <w:ind w:right="142"/>
              <w:jc w:val="right"/>
            </w:pPr>
            <w:r>
              <w:t>1680</w:t>
            </w:r>
          </w:p>
        </w:tc>
        <w:tc>
          <w:tcPr>
            <w:tcW w:w="1488" w:type="dxa"/>
            <w:tcBorders>
              <w:top w:val="nil"/>
            </w:tcBorders>
          </w:tcPr>
          <w:p w:rsidR="00ED6788" w:rsidRPr="002C0E8B" w:rsidRDefault="00ED6788" w:rsidP="00B80F72">
            <w:pPr>
              <w:pStyle w:val="TableText"/>
              <w:keepNext/>
              <w:jc w:val="right"/>
            </w:pPr>
            <w:r>
              <w:t>1680</w:t>
            </w:r>
          </w:p>
        </w:tc>
        <w:tc>
          <w:tcPr>
            <w:tcW w:w="1347" w:type="dxa"/>
            <w:tcBorders>
              <w:top w:val="nil"/>
            </w:tcBorders>
          </w:tcPr>
          <w:p w:rsidR="00ED6788" w:rsidRPr="002C0E8B" w:rsidRDefault="00ED6788" w:rsidP="00B80F72">
            <w:pPr>
              <w:pStyle w:val="TableText"/>
              <w:keepNext/>
              <w:jc w:val="right"/>
            </w:pPr>
            <w:r>
              <w:t>1680</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pPr>
            <w:r>
              <w:t>15,895</w:t>
            </w:r>
          </w:p>
        </w:tc>
        <w:tc>
          <w:tcPr>
            <w:tcW w:w="3968" w:type="dxa"/>
            <w:tcBorders>
              <w:left w:val="nil"/>
            </w:tcBorders>
            <w:shd w:val="solid" w:color="FFFFFF" w:fill="auto"/>
          </w:tcPr>
          <w:p w:rsidR="00ED6788" w:rsidRPr="002C0E8B" w:rsidRDefault="00ED6788" w:rsidP="00B80F72">
            <w:pPr>
              <w:pStyle w:val="TableText"/>
              <w:keepNext/>
            </w:pPr>
            <w:r w:rsidRPr="006D560A">
              <w:rPr>
                <w:rFonts w:cs="Arial"/>
                <w:szCs w:val="18"/>
              </w:rPr>
              <w:t>Non-</w:t>
            </w:r>
            <w:r w:rsidR="00B80F72">
              <w:rPr>
                <w:rFonts w:cs="Arial"/>
                <w:szCs w:val="18"/>
              </w:rPr>
              <w:t>g</w:t>
            </w:r>
            <w:r w:rsidRPr="006D560A">
              <w:rPr>
                <w:rFonts w:cs="Arial"/>
                <w:szCs w:val="18"/>
              </w:rPr>
              <w:t xml:space="preserve">overnment </w:t>
            </w:r>
            <w:r w:rsidR="00B80F72">
              <w:rPr>
                <w:rFonts w:cs="Arial"/>
                <w:szCs w:val="18"/>
              </w:rPr>
              <w:t>o</w:t>
            </w:r>
            <w:r w:rsidRPr="006D560A">
              <w:rPr>
                <w:rFonts w:cs="Arial"/>
                <w:szCs w:val="18"/>
              </w:rPr>
              <w:t>rganisations</w:t>
            </w:r>
          </w:p>
        </w:tc>
        <w:tc>
          <w:tcPr>
            <w:tcW w:w="1276" w:type="dxa"/>
            <w:shd w:val="clear" w:color="E3E3E3" w:fill="D9D9D9"/>
          </w:tcPr>
          <w:p w:rsidR="00ED6788" w:rsidRPr="002C0E8B" w:rsidRDefault="00ED6788" w:rsidP="00C25CC8">
            <w:pPr>
              <w:pStyle w:val="TableText"/>
              <w:ind w:right="142"/>
              <w:jc w:val="right"/>
            </w:pPr>
            <w:r>
              <w:t>13,946</w:t>
            </w:r>
          </w:p>
        </w:tc>
        <w:tc>
          <w:tcPr>
            <w:tcW w:w="1488" w:type="dxa"/>
          </w:tcPr>
          <w:p w:rsidR="00ED6788" w:rsidRPr="002C0E8B" w:rsidRDefault="00ED6788" w:rsidP="00C25CC8">
            <w:pPr>
              <w:pStyle w:val="TableText"/>
              <w:jc w:val="right"/>
            </w:pPr>
            <w:r>
              <w:t>15,853</w:t>
            </w:r>
          </w:p>
        </w:tc>
        <w:tc>
          <w:tcPr>
            <w:tcW w:w="1347" w:type="dxa"/>
          </w:tcPr>
          <w:p w:rsidR="00ED6788" w:rsidRPr="002C0E8B" w:rsidRDefault="00ED6788" w:rsidP="00C25CC8">
            <w:pPr>
              <w:pStyle w:val="TableText"/>
              <w:jc w:val="right"/>
            </w:pPr>
            <w:r>
              <w:t>17,653</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17,670</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C0E8B" w:rsidRDefault="00ED6788" w:rsidP="00C25CC8">
            <w:pPr>
              <w:pStyle w:val="TableText"/>
              <w:ind w:right="142"/>
              <w:jc w:val="right"/>
              <w:rPr>
                <w:b/>
              </w:rPr>
            </w:pPr>
            <w:r>
              <w:rPr>
                <w:b/>
                <w:bCs/>
              </w:rPr>
              <w:t>15,735</w:t>
            </w:r>
          </w:p>
        </w:tc>
        <w:tc>
          <w:tcPr>
            <w:tcW w:w="1488" w:type="dxa"/>
          </w:tcPr>
          <w:p w:rsidR="00ED6788" w:rsidRPr="002C0E8B" w:rsidRDefault="00ED6788" w:rsidP="00C25CC8">
            <w:pPr>
              <w:pStyle w:val="TableText"/>
              <w:tabs>
                <w:tab w:val="left" w:pos="1328"/>
              </w:tabs>
              <w:jc w:val="right"/>
              <w:rPr>
                <w:b/>
              </w:rPr>
            </w:pPr>
            <w:r>
              <w:rPr>
                <w:b/>
                <w:bCs/>
              </w:rPr>
              <w:t>17,533</w:t>
            </w:r>
          </w:p>
        </w:tc>
        <w:tc>
          <w:tcPr>
            <w:tcW w:w="1347" w:type="dxa"/>
          </w:tcPr>
          <w:p w:rsidR="00ED6788" w:rsidRPr="002C0E8B" w:rsidRDefault="00ED6788" w:rsidP="00C25CC8">
            <w:pPr>
              <w:pStyle w:val="TableText"/>
              <w:jc w:val="right"/>
              <w:rPr>
                <w:b/>
              </w:rPr>
            </w:pPr>
            <w:r>
              <w:rPr>
                <w:b/>
                <w:bCs/>
              </w:rPr>
              <w:t>19,333</w:t>
            </w:r>
          </w:p>
        </w:tc>
      </w:tr>
    </w:tbl>
    <w:p w:rsidR="00ED6788" w:rsidRDefault="00ED6788" w:rsidP="00B80F72">
      <w:pPr>
        <w:rPr>
          <w:highlight w:val="yellow"/>
        </w:rPr>
      </w:pPr>
    </w:p>
    <w:p w:rsidR="00ED6788" w:rsidRPr="00074D5A" w:rsidRDefault="00ED6788" w:rsidP="00B80F72">
      <w:pPr>
        <w:pStyle w:val="Heading3"/>
      </w:pPr>
      <w:r w:rsidRPr="00074D5A">
        <w:t>Comments</w:t>
      </w:r>
    </w:p>
    <w:p w:rsidR="00ED6788" w:rsidRPr="002B32F2" w:rsidRDefault="00ED6788" w:rsidP="00B80F72">
      <w:r w:rsidRPr="00C577F4">
        <w:t xml:space="preserve">The </w:t>
      </w:r>
      <w:r>
        <w:t>appropriation was underspent by $1.798 million against</w:t>
      </w:r>
      <w:r w:rsidRPr="00C577F4">
        <w:t xml:space="preserve"> the Main Estimates </w:t>
      </w:r>
      <w:r>
        <w:t>(10 percent of appropriation) and the variance is not significant.</w:t>
      </w:r>
    </w:p>
    <w:p w:rsidR="00ED6788" w:rsidRPr="00074D5A" w:rsidRDefault="00ED6788" w:rsidP="00B80F72">
      <w:pPr>
        <w:rPr>
          <w:highlight w:val="yellow"/>
        </w:rPr>
      </w:pPr>
    </w:p>
    <w:p w:rsidR="00734595" w:rsidRDefault="00734595">
      <w:pPr>
        <w:spacing w:line="240" w:lineRule="auto"/>
        <w:rPr>
          <w:b/>
          <w:sz w:val="40"/>
        </w:rPr>
      </w:pPr>
      <w:bookmarkStart w:id="43" w:name="_Toc432765757"/>
      <w:r>
        <w:br w:type="page"/>
      </w:r>
    </w:p>
    <w:p w:rsidR="000845D9" w:rsidRDefault="00ED6788" w:rsidP="00B80F72">
      <w:pPr>
        <w:pStyle w:val="Heading2"/>
      </w:pPr>
      <w:bookmarkStart w:id="44" w:name="_Toc433713790"/>
      <w:r w:rsidRPr="000C7904">
        <w:lastRenderedPageBreak/>
        <w:t xml:space="preserve">Public </w:t>
      </w:r>
      <w:r w:rsidR="0087519E">
        <w:t>h</w:t>
      </w:r>
      <w:r w:rsidRPr="000C7904">
        <w:t xml:space="preserve">ealth </w:t>
      </w:r>
      <w:r w:rsidR="0087519E">
        <w:t>s</w:t>
      </w:r>
      <w:r w:rsidRPr="000C7904">
        <w:t xml:space="preserve">ervice </w:t>
      </w:r>
      <w:r w:rsidR="0087519E">
        <w:t>p</w:t>
      </w:r>
      <w:r w:rsidRPr="000C7904">
        <w:t>urchasing</w:t>
      </w:r>
      <w:bookmarkEnd w:id="43"/>
      <w:bookmarkEnd w:id="44"/>
    </w:p>
    <w:p w:rsidR="00ED6788" w:rsidRDefault="00ED6788" w:rsidP="00B80F72">
      <w:pPr>
        <w:keepNext/>
      </w:pPr>
      <w:r w:rsidRPr="00834C5C">
        <w:t xml:space="preserve">This appropriation is intended to </w:t>
      </w:r>
      <w:r>
        <w:t>ensure</w:t>
      </w:r>
      <w:r w:rsidRPr="00834C5C">
        <w:t xml:space="preserve"> communities are supported with the identification, management, and treatment of public health issues. This includes, for example, health promotion, screening for cancer and other conditions, investigating environmental or border health issues, and identifying and managing communicable diseases.</w:t>
      </w:r>
    </w:p>
    <w:p w:rsidR="00ED6788" w:rsidRDefault="00ED6788" w:rsidP="00B80F72">
      <w:pPr>
        <w:keepNext/>
      </w:pPr>
    </w:p>
    <w:p w:rsidR="00ED6788" w:rsidRDefault="00ED6788" w:rsidP="00B80F72">
      <w:pPr>
        <w:keepLines/>
      </w:pPr>
      <w:r>
        <w:t>The Minister of Health has funding agreements for the delivery of public health services with around 250 providers, including 12 DHB public health units (PHUs). The scope of public health services is mandated by the New Zealand Health Strategy and the Nationwide Service Framework. Public health services protect people from health threats, promote better health for all New Zealanders, and are targeted at specific groups of people, particularly high risk groups.</w:t>
      </w:r>
    </w:p>
    <w:p w:rsidR="00ED6788" w:rsidRDefault="00ED6788" w:rsidP="00B80F72"/>
    <w:p w:rsidR="00ED6788" w:rsidRDefault="00ED6788" w:rsidP="00B80F72">
      <w:r>
        <w:t>The services include the following core public health functions: health assessment and surveillance; public health capacity development; health promotion; health protection, and preventive interventions. They cover the following issues:</w:t>
      </w:r>
    </w:p>
    <w:p w:rsidR="00ED6788" w:rsidRDefault="00ED6788" w:rsidP="00B80F72">
      <w:pPr>
        <w:pStyle w:val="Bullet"/>
      </w:pPr>
      <w:r>
        <w:t>national screening services</w:t>
      </w:r>
    </w:p>
    <w:p w:rsidR="00ED6788" w:rsidRDefault="00ED6788" w:rsidP="00B80F72">
      <w:pPr>
        <w:pStyle w:val="Bullet"/>
      </w:pPr>
      <w:r>
        <w:t>tobacco control</w:t>
      </w:r>
    </w:p>
    <w:p w:rsidR="00ED6788" w:rsidRDefault="00ED6788" w:rsidP="00B80F72">
      <w:pPr>
        <w:pStyle w:val="Bullet"/>
      </w:pPr>
      <w:r>
        <w:t>communicable diseases and immunisation</w:t>
      </w:r>
    </w:p>
    <w:p w:rsidR="00ED6788" w:rsidRDefault="00ED6788" w:rsidP="00B80F72">
      <w:pPr>
        <w:pStyle w:val="Bullet"/>
      </w:pPr>
      <w:r>
        <w:t>physical and social environments</w:t>
      </w:r>
    </w:p>
    <w:p w:rsidR="00ED6788" w:rsidRDefault="00ED6788" w:rsidP="00B80F72">
      <w:pPr>
        <w:pStyle w:val="Bullet"/>
      </w:pPr>
      <w:r>
        <w:t>emergency preparedness</w:t>
      </w:r>
    </w:p>
    <w:p w:rsidR="00ED6788" w:rsidRDefault="00ED6788" w:rsidP="00B80F72">
      <w:pPr>
        <w:pStyle w:val="Bullet"/>
      </w:pPr>
      <w:r>
        <w:t>suicide prevention</w:t>
      </w:r>
    </w:p>
    <w:p w:rsidR="00ED6788" w:rsidRDefault="00ED6788" w:rsidP="00B80F72">
      <w:pPr>
        <w:pStyle w:val="Bullet"/>
      </w:pPr>
      <w:r>
        <w:t>services for children</w:t>
      </w:r>
    </w:p>
    <w:p w:rsidR="00ED6788" w:rsidRDefault="00ED6788" w:rsidP="00B80F72">
      <w:pPr>
        <w:pStyle w:val="Bullet"/>
      </w:pPr>
      <w:r>
        <w:t>prevention of alcohol and other drug-related harm</w:t>
      </w:r>
    </w:p>
    <w:p w:rsidR="00ED6788" w:rsidRDefault="00ED6788" w:rsidP="00B80F72">
      <w:pPr>
        <w:pStyle w:val="Bullet"/>
      </w:pPr>
      <w:r>
        <w:t>sexual and reproductive health</w:t>
      </w:r>
    </w:p>
    <w:p w:rsidR="00ED6788" w:rsidRDefault="00ED6788" w:rsidP="00B80F72">
      <w:pPr>
        <w:pStyle w:val="Bullet"/>
      </w:pPr>
      <w:r>
        <w:t>rheumatic fever prevention</w:t>
      </w:r>
    </w:p>
    <w:p w:rsidR="00ED6788" w:rsidRDefault="00ED6788" w:rsidP="00B80F72">
      <w:pPr>
        <w:pStyle w:val="Bullet"/>
      </w:pPr>
      <w:r>
        <w:t>injury prevention</w:t>
      </w:r>
    </w:p>
    <w:p w:rsidR="00ED6788" w:rsidRDefault="00ED6788" w:rsidP="00B80F72">
      <w:pPr>
        <w:pStyle w:val="Bullet"/>
      </w:pPr>
      <w:r>
        <w:t>refugee and migrant health promotion.</w:t>
      </w:r>
    </w:p>
    <w:p w:rsidR="00ED6788" w:rsidRDefault="00ED6788" w:rsidP="00B80F72"/>
    <w:p w:rsidR="00ED6788" w:rsidRDefault="00ED6788" w:rsidP="00B80F72">
      <w:r>
        <w:t>This comprehensive range of public health services supports the administration of regulations and provides scientific and technical advice to health officials and DHB public health officers. Public health service providers support the Ministry and public health statutory officers to protect people</w:t>
      </w:r>
      <w:r w:rsidR="000845D9">
        <w:t>’</w:t>
      </w:r>
      <w:r>
        <w:t>s health through encouraging safe and healthy environments, working with other sectors to promote or maintain safe and healthy environments, and reducing the impacts of communicable diseases, non-communicable diseases and environmental hazards on at-risk communities.</w:t>
      </w:r>
    </w:p>
    <w:p w:rsidR="00B80F72" w:rsidRPr="003756B9" w:rsidRDefault="00B80F72" w:rsidP="00B80F72"/>
    <w:p w:rsidR="00ED6788" w:rsidRPr="003756B9" w:rsidRDefault="00B80F72" w:rsidP="00B80F72">
      <w:pPr>
        <w:pStyle w:val="Heading3"/>
      </w:pPr>
      <w:r>
        <w:lastRenderedPageBreak/>
        <w:t>Summary of output performance</w:t>
      </w: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416"/>
        <w:gridCol w:w="5246"/>
        <w:gridCol w:w="1035"/>
        <w:gridCol w:w="1658"/>
      </w:tblGrid>
      <w:tr w:rsidR="00ED6788" w:rsidRPr="00E16661" w:rsidTr="00B80F72">
        <w:trPr>
          <w:cantSplit/>
          <w:tblHeader/>
        </w:trPr>
        <w:tc>
          <w:tcPr>
            <w:tcW w:w="757" w:type="pct"/>
            <w:tcBorders>
              <w:top w:val="single" w:sz="4" w:space="0" w:color="auto"/>
              <w:bottom w:val="single" w:sz="4" w:space="0" w:color="auto"/>
            </w:tcBorders>
          </w:tcPr>
          <w:p w:rsidR="00ED6788" w:rsidRPr="00E16661" w:rsidRDefault="00ED6788" w:rsidP="00B80F72">
            <w:pPr>
              <w:pStyle w:val="TableText"/>
              <w:keepNext/>
              <w:ind w:right="284"/>
              <w:jc w:val="right"/>
              <w:rPr>
                <w:b/>
              </w:rPr>
            </w:pPr>
            <w:r w:rsidRPr="00E16661">
              <w:rPr>
                <w:b/>
              </w:rPr>
              <w:t>Actual 201</w:t>
            </w:r>
            <w:r>
              <w:rPr>
                <w:b/>
              </w:rPr>
              <w:t>3/14</w:t>
            </w:r>
          </w:p>
        </w:tc>
        <w:tc>
          <w:tcPr>
            <w:tcW w:w="2804" w:type="pct"/>
            <w:tcBorders>
              <w:top w:val="single" w:sz="4" w:space="0" w:color="auto"/>
              <w:bottom w:val="single" w:sz="4" w:space="0" w:color="auto"/>
            </w:tcBorders>
          </w:tcPr>
          <w:p w:rsidR="00ED6788" w:rsidRPr="00E16661" w:rsidRDefault="00ED6788" w:rsidP="00B80F72">
            <w:pPr>
              <w:pStyle w:val="TableText"/>
              <w:keepNext/>
              <w:ind w:right="142"/>
              <w:rPr>
                <w:b/>
              </w:rPr>
            </w:pPr>
            <w:r w:rsidRPr="00E16661">
              <w:rPr>
                <w:b/>
              </w:rPr>
              <w:t>Performance measure</w:t>
            </w:r>
          </w:p>
        </w:tc>
        <w:tc>
          <w:tcPr>
            <w:tcW w:w="553" w:type="pct"/>
            <w:tcBorders>
              <w:top w:val="single" w:sz="4" w:space="0" w:color="auto"/>
              <w:bottom w:val="single" w:sz="4" w:space="0" w:color="auto"/>
            </w:tcBorders>
          </w:tcPr>
          <w:p w:rsidR="00ED6788" w:rsidRPr="00E16661" w:rsidRDefault="00ED6788" w:rsidP="00B80F72">
            <w:pPr>
              <w:pStyle w:val="TableText"/>
              <w:keepN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887" w:type="pct"/>
            <w:tcBorders>
              <w:top w:val="single" w:sz="4" w:space="0" w:color="auto"/>
              <w:bottom w:val="single" w:sz="4" w:space="0" w:color="auto"/>
            </w:tcBorders>
            <w:shd w:val="clear" w:color="auto" w:fill="D9D9D9"/>
          </w:tcPr>
          <w:p w:rsidR="00ED6788" w:rsidRPr="00E16661" w:rsidRDefault="00ED6788" w:rsidP="00B80F72">
            <w:pPr>
              <w:pStyle w:val="TableText"/>
              <w:keepN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B80F72">
        <w:trPr>
          <w:cantSplit/>
        </w:trPr>
        <w:tc>
          <w:tcPr>
            <w:tcW w:w="757" w:type="pct"/>
            <w:tcBorders>
              <w:top w:val="single" w:sz="4" w:space="0" w:color="auto"/>
            </w:tcBorders>
          </w:tcPr>
          <w:p w:rsidR="00ED6788" w:rsidRPr="002C0E8B" w:rsidRDefault="00ED6788" w:rsidP="00B80F72">
            <w:pPr>
              <w:pStyle w:val="TableText"/>
              <w:keepNext/>
              <w:ind w:right="284"/>
              <w:jc w:val="right"/>
              <w:rPr>
                <w:bCs/>
                <w:lang w:eastAsia="en-NZ"/>
              </w:rPr>
            </w:pPr>
          </w:p>
        </w:tc>
        <w:tc>
          <w:tcPr>
            <w:tcW w:w="2804" w:type="pct"/>
            <w:tcBorders>
              <w:top w:val="single" w:sz="4" w:space="0" w:color="auto"/>
            </w:tcBorders>
          </w:tcPr>
          <w:p w:rsidR="00ED6788" w:rsidRPr="00590439" w:rsidRDefault="00ED6788" w:rsidP="00B80F72">
            <w:pPr>
              <w:pStyle w:val="TableText"/>
              <w:keepNext/>
              <w:ind w:right="142"/>
              <w:rPr>
                <w:b/>
                <w:bCs/>
                <w:lang w:eastAsia="en-NZ"/>
              </w:rPr>
            </w:pPr>
            <w:r w:rsidRPr="00590439">
              <w:rPr>
                <w:b/>
                <w:bCs/>
                <w:lang w:eastAsia="en-NZ"/>
              </w:rPr>
              <w:t>National Screening Unit</w:t>
            </w:r>
          </w:p>
        </w:tc>
        <w:tc>
          <w:tcPr>
            <w:tcW w:w="553" w:type="pct"/>
            <w:tcBorders>
              <w:top w:val="single" w:sz="4" w:space="0" w:color="auto"/>
            </w:tcBorders>
          </w:tcPr>
          <w:p w:rsidR="00ED6788" w:rsidRPr="002C0E8B" w:rsidRDefault="00ED6788" w:rsidP="00B80F72">
            <w:pPr>
              <w:pStyle w:val="TableText"/>
              <w:keepNext/>
              <w:ind w:right="142"/>
              <w:jc w:val="right"/>
            </w:pPr>
          </w:p>
        </w:tc>
        <w:tc>
          <w:tcPr>
            <w:tcW w:w="887" w:type="pct"/>
            <w:tcBorders>
              <w:top w:val="single" w:sz="4" w:space="0" w:color="auto"/>
            </w:tcBorders>
            <w:shd w:val="clear" w:color="auto" w:fill="D9D9D9"/>
          </w:tcPr>
          <w:p w:rsidR="00ED6788" w:rsidRPr="002C0E8B" w:rsidRDefault="00ED6788" w:rsidP="00B80F72">
            <w:pPr>
              <w:pStyle w:val="TableText"/>
              <w:keepNext/>
              <w:ind w:right="142"/>
              <w:jc w:val="right"/>
            </w:pPr>
          </w:p>
        </w:tc>
      </w:tr>
      <w:tr w:rsidR="00ED6788" w:rsidRPr="002C0E8B" w:rsidTr="00B80F72">
        <w:trPr>
          <w:cantSplit/>
        </w:trPr>
        <w:tc>
          <w:tcPr>
            <w:tcW w:w="757" w:type="pct"/>
          </w:tcPr>
          <w:p w:rsidR="00ED6788" w:rsidRPr="002C0E8B" w:rsidRDefault="00ED6788" w:rsidP="00B80F72">
            <w:pPr>
              <w:pStyle w:val="TableText"/>
              <w:keepNext/>
              <w:spacing w:before="0"/>
              <w:ind w:right="284"/>
              <w:jc w:val="right"/>
            </w:pPr>
          </w:p>
        </w:tc>
        <w:tc>
          <w:tcPr>
            <w:tcW w:w="2804" w:type="pct"/>
          </w:tcPr>
          <w:p w:rsidR="00ED6788" w:rsidRPr="00590439" w:rsidRDefault="00ED6788" w:rsidP="00B80F72">
            <w:pPr>
              <w:pStyle w:val="TableText"/>
              <w:keepNext/>
              <w:spacing w:before="0"/>
              <w:ind w:right="142"/>
              <w:rPr>
                <w:b/>
                <w:bCs/>
                <w:i/>
                <w:lang w:eastAsia="en-NZ"/>
              </w:rPr>
            </w:pPr>
            <w:r w:rsidRPr="00590439">
              <w:rPr>
                <w:b/>
                <w:bCs/>
                <w:i/>
                <w:lang w:eastAsia="en-NZ"/>
              </w:rPr>
              <w:t>National Cervical Screening Programme (NCSP) eligible women to be screened every three years:</w:t>
            </w:r>
          </w:p>
        </w:tc>
        <w:tc>
          <w:tcPr>
            <w:tcW w:w="553" w:type="pct"/>
          </w:tcPr>
          <w:p w:rsidR="00ED6788" w:rsidRPr="002C0E8B" w:rsidRDefault="00ED6788" w:rsidP="00B80F72">
            <w:pPr>
              <w:pStyle w:val="TableText"/>
              <w:keepNext/>
              <w:spacing w:before="0"/>
              <w:ind w:right="142"/>
              <w:jc w:val="right"/>
            </w:pPr>
          </w:p>
        </w:tc>
        <w:tc>
          <w:tcPr>
            <w:tcW w:w="887" w:type="pct"/>
            <w:shd w:val="clear" w:color="auto" w:fill="D9D9D9"/>
          </w:tcPr>
          <w:p w:rsidR="00ED6788" w:rsidRPr="00D155EF" w:rsidRDefault="00ED6788" w:rsidP="00B80F72">
            <w:pPr>
              <w:pStyle w:val="TableText"/>
              <w:keepNext/>
              <w:spacing w:before="0"/>
              <w:ind w:left="-57" w:right="113"/>
              <w:jc w:val="right"/>
            </w:pPr>
          </w:p>
        </w:tc>
      </w:tr>
      <w:tr w:rsidR="00ED6788" w:rsidRPr="002C0E8B" w:rsidTr="00B80F72">
        <w:trPr>
          <w:cantSplit/>
        </w:trPr>
        <w:tc>
          <w:tcPr>
            <w:tcW w:w="757" w:type="pct"/>
          </w:tcPr>
          <w:p w:rsidR="00ED6788" w:rsidRPr="002C0E8B" w:rsidRDefault="00ED6788" w:rsidP="00B80F72">
            <w:pPr>
              <w:pStyle w:val="TableText"/>
              <w:keepNext/>
              <w:spacing w:before="0"/>
              <w:ind w:right="284"/>
              <w:jc w:val="right"/>
            </w:pPr>
            <w:r w:rsidRPr="00253398">
              <w:t>76.6%</w:t>
            </w:r>
          </w:p>
        </w:tc>
        <w:tc>
          <w:tcPr>
            <w:tcW w:w="2804" w:type="pct"/>
          </w:tcPr>
          <w:p w:rsidR="00ED6788" w:rsidRPr="00CB1140" w:rsidRDefault="00ED6788" w:rsidP="00BE4AB3">
            <w:pPr>
              <w:pStyle w:val="TableBullet"/>
              <w:ind w:right="142"/>
            </w:pPr>
            <w:r w:rsidRPr="00CB1140">
              <w:t>The number of women screened within the last three years, as a proportion of the eligible population (women aged</w:t>
            </w:r>
            <w:r w:rsidR="00BE4AB3">
              <w:br/>
            </w:r>
            <w:r w:rsidRPr="00CB1140">
              <w:t>25</w:t>
            </w:r>
            <w:r w:rsidR="00B80F72">
              <w:t>–</w:t>
            </w:r>
            <w:r w:rsidRPr="00CB1140">
              <w:t>69 hysterectomy adjusted) by December 2014</w:t>
            </w:r>
          </w:p>
        </w:tc>
        <w:tc>
          <w:tcPr>
            <w:tcW w:w="553" w:type="pct"/>
          </w:tcPr>
          <w:p w:rsidR="00ED6788" w:rsidRPr="00ED5EE8" w:rsidRDefault="00ED6788" w:rsidP="00B80F72">
            <w:pPr>
              <w:pStyle w:val="TableText"/>
              <w:keepNext/>
              <w:spacing w:before="0"/>
              <w:ind w:right="142"/>
              <w:jc w:val="right"/>
            </w:pPr>
            <w:r w:rsidRPr="00ED5EE8">
              <w:t>80%</w:t>
            </w:r>
          </w:p>
        </w:tc>
        <w:tc>
          <w:tcPr>
            <w:tcW w:w="887" w:type="pct"/>
            <w:shd w:val="clear" w:color="auto" w:fill="D9D9D9"/>
          </w:tcPr>
          <w:p w:rsidR="00ED6788" w:rsidRPr="00D155EF" w:rsidRDefault="00ED6788" w:rsidP="00B80F72">
            <w:pPr>
              <w:pStyle w:val="TableText"/>
              <w:keepNext/>
              <w:spacing w:before="0"/>
              <w:ind w:right="142"/>
              <w:jc w:val="right"/>
            </w:pPr>
            <w:r w:rsidRPr="00E845D7">
              <w:t>76.</w:t>
            </w:r>
            <w:r>
              <w:t>5</w:t>
            </w:r>
            <w:r w:rsidRPr="00E845D7">
              <w:t>%</w:t>
            </w:r>
          </w:p>
        </w:tc>
      </w:tr>
      <w:tr w:rsidR="00ED6788" w:rsidRPr="002C0E8B" w:rsidTr="00B80F72">
        <w:trPr>
          <w:cantSplit/>
        </w:trPr>
        <w:tc>
          <w:tcPr>
            <w:tcW w:w="757" w:type="pct"/>
          </w:tcPr>
          <w:p w:rsidR="00ED6788" w:rsidRDefault="00ED6788" w:rsidP="00B80F72">
            <w:pPr>
              <w:pStyle w:val="TableText"/>
              <w:spacing w:before="0"/>
              <w:ind w:right="284"/>
              <w:jc w:val="right"/>
            </w:pPr>
            <w:r>
              <w:t>-0.1%</w:t>
            </w:r>
          </w:p>
        </w:tc>
        <w:tc>
          <w:tcPr>
            <w:tcW w:w="2804" w:type="pct"/>
          </w:tcPr>
          <w:p w:rsidR="00ED6788" w:rsidRPr="00CB1140" w:rsidRDefault="00ED6788" w:rsidP="00B80F72">
            <w:pPr>
              <w:pStyle w:val="TableBullet"/>
              <w:ind w:right="142"/>
            </w:pPr>
            <w:r w:rsidRPr="00CB1140">
              <w:t>Increase in Māori eligible women screened by June 2015</w:t>
            </w:r>
          </w:p>
        </w:tc>
        <w:tc>
          <w:tcPr>
            <w:tcW w:w="553" w:type="pct"/>
          </w:tcPr>
          <w:p w:rsidR="00ED6788" w:rsidRPr="00D609DD" w:rsidRDefault="00ED6788" w:rsidP="00B80F72">
            <w:pPr>
              <w:pStyle w:val="TableText"/>
              <w:spacing w:before="0"/>
              <w:ind w:right="142"/>
              <w:jc w:val="right"/>
            </w:pPr>
            <w:r w:rsidRPr="00D609DD">
              <w:t>8%</w:t>
            </w:r>
            <w:r w:rsidRPr="00D609DD">
              <w:rPr>
                <w:rStyle w:val="FootnoteReference"/>
              </w:rPr>
              <w:footnoteReference w:id="6"/>
            </w:r>
          </w:p>
        </w:tc>
        <w:tc>
          <w:tcPr>
            <w:tcW w:w="887" w:type="pct"/>
            <w:shd w:val="clear" w:color="auto" w:fill="D9D9D9"/>
          </w:tcPr>
          <w:p w:rsidR="00ED6788" w:rsidRPr="00D609DD" w:rsidRDefault="00ED6788" w:rsidP="00B80F72">
            <w:pPr>
              <w:pStyle w:val="TableText"/>
              <w:spacing w:before="0"/>
              <w:ind w:right="142"/>
              <w:jc w:val="right"/>
            </w:pPr>
            <w:r w:rsidRPr="00D609DD">
              <w:t>-0.1%</w:t>
            </w:r>
          </w:p>
        </w:tc>
      </w:tr>
      <w:tr w:rsidR="00ED6788" w:rsidRPr="002C0E8B" w:rsidTr="00B80F72">
        <w:trPr>
          <w:cantSplit/>
        </w:trPr>
        <w:tc>
          <w:tcPr>
            <w:tcW w:w="757" w:type="pct"/>
          </w:tcPr>
          <w:p w:rsidR="00ED6788" w:rsidRDefault="00ED6788" w:rsidP="00B80F72">
            <w:pPr>
              <w:pStyle w:val="TableText"/>
              <w:spacing w:before="0"/>
              <w:ind w:right="284"/>
              <w:jc w:val="right"/>
            </w:pPr>
            <w:r>
              <w:t>0.3%</w:t>
            </w:r>
          </w:p>
        </w:tc>
        <w:tc>
          <w:tcPr>
            <w:tcW w:w="2804" w:type="pct"/>
          </w:tcPr>
          <w:p w:rsidR="00ED6788" w:rsidRPr="00CB1140" w:rsidRDefault="00ED6788" w:rsidP="00B80F72">
            <w:pPr>
              <w:pStyle w:val="TableBullet"/>
              <w:ind w:right="142"/>
            </w:pPr>
            <w:r w:rsidRPr="00CB1140">
              <w:t>Increase in Pacific eligible women screened by June 2015</w:t>
            </w:r>
          </w:p>
        </w:tc>
        <w:tc>
          <w:tcPr>
            <w:tcW w:w="553" w:type="pct"/>
          </w:tcPr>
          <w:p w:rsidR="00ED6788" w:rsidRPr="00B9702B" w:rsidRDefault="00ED6788" w:rsidP="00B80F72">
            <w:pPr>
              <w:pStyle w:val="TableText"/>
              <w:spacing w:before="0"/>
              <w:ind w:right="142"/>
              <w:jc w:val="right"/>
            </w:pPr>
            <w:r>
              <w:t>8</w:t>
            </w:r>
            <w:r w:rsidRPr="00B9702B">
              <w:t>%</w:t>
            </w:r>
            <w:r w:rsidRPr="00B9702B">
              <w:rPr>
                <w:rStyle w:val="FootnoteReference"/>
              </w:rPr>
              <w:footnoteReference w:id="7"/>
            </w:r>
          </w:p>
        </w:tc>
        <w:tc>
          <w:tcPr>
            <w:tcW w:w="887" w:type="pct"/>
            <w:shd w:val="clear" w:color="auto" w:fill="D9D9D9"/>
          </w:tcPr>
          <w:p w:rsidR="00ED6788" w:rsidRPr="00B9702B" w:rsidRDefault="00ED6788" w:rsidP="00B80F72">
            <w:pPr>
              <w:pStyle w:val="TableText"/>
              <w:spacing w:before="0"/>
              <w:ind w:right="142"/>
              <w:jc w:val="right"/>
            </w:pPr>
            <w:r>
              <w:t>3.9%</w:t>
            </w:r>
          </w:p>
        </w:tc>
      </w:tr>
      <w:tr w:rsidR="00ED6788" w:rsidRPr="002C0E8B" w:rsidTr="00B80F72">
        <w:trPr>
          <w:cantSplit/>
        </w:trPr>
        <w:tc>
          <w:tcPr>
            <w:tcW w:w="757" w:type="pct"/>
            <w:tcBorders>
              <w:bottom w:val="single" w:sz="4" w:space="0" w:color="A6A6A6" w:themeColor="background1" w:themeShade="A6"/>
            </w:tcBorders>
          </w:tcPr>
          <w:p w:rsidR="00ED6788" w:rsidRDefault="00ED6788" w:rsidP="00B80F72">
            <w:pPr>
              <w:pStyle w:val="TableText"/>
              <w:spacing w:before="0"/>
              <w:ind w:right="284"/>
              <w:jc w:val="right"/>
            </w:pPr>
            <w:r w:rsidRPr="00430BC5">
              <w:t>9621</w:t>
            </w:r>
          </w:p>
        </w:tc>
        <w:tc>
          <w:tcPr>
            <w:tcW w:w="2804" w:type="pct"/>
            <w:tcBorders>
              <w:bottom w:val="single" w:sz="4" w:space="0" w:color="A6A6A6" w:themeColor="background1" w:themeShade="A6"/>
            </w:tcBorders>
          </w:tcPr>
          <w:p w:rsidR="00ED6788" w:rsidRDefault="00ED6788" w:rsidP="00B80F72">
            <w:pPr>
              <w:pStyle w:val="TableBullet"/>
              <w:ind w:right="142"/>
            </w:pPr>
            <w:r w:rsidRPr="00CB1140">
              <w:t>The number of additional women aged 25</w:t>
            </w:r>
            <w:r w:rsidR="00B80F72">
              <w:t>–</w:t>
            </w:r>
            <w:r w:rsidRPr="00CB1140">
              <w:t>69 years screened</w:t>
            </w:r>
          </w:p>
        </w:tc>
        <w:tc>
          <w:tcPr>
            <w:tcW w:w="553" w:type="pct"/>
            <w:tcBorders>
              <w:bottom w:val="single" w:sz="4" w:space="0" w:color="A6A6A6" w:themeColor="background1" w:themeShade="A6"/>
            </w:tcBorders>
          </w:tcPr>
          <w:p w:rsidR="00ED6788" w:rsidRDefault="00ED6788" w:rsidP="00B80F72">
            <w:pPr>
              <w:pStyle w:val="TableText"/>
              <w:spacing w:before="0"/>
              <w:ind w:right="142"/>
              <w:jc w:val="right"/>
            </w:pPr>
            <w:r w:rsidRPr="00ED5EE8">
              <w:t>51,475</w:t>
            </w:r>
          </w:p>
        </w:tc>
        <w:tc>
          <w:tcPr>
            <w:tcW w:w="887" w:type="pct"/>
            <w:tcBorders>
              <w:bottom w:val="single" w:sz="4" w:space="0" w:color="A6A6A6" w:themeColor="background1" w:themeShade="A6"/>
            </w:tcBorders>
            <w:shd w:val="clear" w:color="auto" w:fill="D9D9D9"/>
          </w:tcPr>
          <w:p w:rsidR="00ED6788" w:rsidRDefault="00ED6788" w:rsidP="00B80F72">
            <w:pPr>
              <w:pStyle w:val="TableText"/>
              <w:spacing w:before="0"/>
              <w:ind w:right="142"/>
              <w:jc w:val="right"/>
            </w:pPr>
            <w:r w:rsidRPr="009D6AB1">
              <w:t>1</w:t>
            </w:r>
            <w:r>
              <w:t>6,497</w:t>
            </w:r>
            <w:r w:rsidR="00B80F72">
              <w:br/>
            </w:r>
            <w:r>
              <w:t>see Note A</w:t>
            </w:r>
          </w:p>
        </w:tc>
      </w:tr>
      <w:tr w:rsidR="00ED6788" w:rsidRPr="002C0E8B" w:rsidTr="00B80F72">
        <w:trPr>
          <w:cantSplit/>
        </w:trPr>
        <w:tc>
          <w:tcPr>
            <w:tcW w:w="757"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bottom w:val="nil"/>
            </w:tcBorders>
          </w:tcPr>
          <w:p w:rsidR="00ED6788" w:rsidRPr="00590439" w:rsidRDefault="00ED6788" w:rsidP="00B80F72">
            <w:pPr>
              <w:pStyle w:val="TableText"/>
              <w:ind w:right="142"/>
              <w:rPr>
                <w:b/>
                <w:i/>
              </w:rPr>
            </w:pPr>
            <w:r w:rsidRPr="00590439">
              <w:rPr>
                <w:b/>
                <w:bCs/>
                <w:i/>
                <w:lang w:eastAsia="en-NZ"/>
              </w:rPr>
              <w:t>BreastScreen Aotearoa (BSA) eligible women to be screened every two years:</w:t>
            </w:r>
          </w:p>
        </w:tc>
        <w:tc>
          <w:tcPr>
            <w:tcW w:w="553" w:type="pct"/>
            <w:tcBorders>
              <w:top w:val="single" w:sz="4" w:space="0" w:color="A6A6A6" w:themeColor="background1" w:themeShade="A6"/>
              <w:bottom w:val="nil"/>
            </w:tcBorders>
          </w:tcPr>
          <w:p w:rsidR="00ED6788" w:rsidRPr="002C0E8B" w:rsidRDefault="00ED6788" w:rsidP="00C25CC8">
            <w:pPr>
              <w:pStyle w:val="TableT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B80F72">
        <w:trPr>
          <w:cantSplit/>
        </w:trPr>
        <w:tc>
          <w:tcPr>
            <w:tcW w:w="757" w:type="pct"/>
            <w:tcBorders>
              <w:top w:val="nil"/>
              <w:bottom w:val="nil"/>
            </w:tcBorders>
          </w:tcPr>
          <w:p w:rsidR="00ED6788" w:rsidRPr="002C0E8B" w:rsidRDefault="00ED6788" w:rsidP="00B80F72">
            <w:pPr>
              <w:pStyle w:val="TableText"/>
              <w:spacing w:before="0"/>
              <w:ind w:right="284"/>
              <w:jc w:val="right"/>
            </w:pPr>
            <w:r w:rsidRPr="00430BC5">
              <w:t>72.6%</w:t>
            </w:r>
          </w:p>
        </w:tc>
        <w:tc>
          <w:tcPr>
            <w:tcW w:w="2804" w:type="pct"/>
            <w:tcBorders>
              <w:top w:val="nil"/>
              <w:bottom w:val="nil"/>
            </w:tcBorders>
          </w:tcPr>
          <w:p w:rsidR="00ED6788" w:rsidRPr="00835FE3" w:rsidRDefault="00ED6788" w:rsidP="00BE4AB3">
            <w:pPr>
              <w:pStyle w:val="TableBullet"/>
              <w:ind w:right="142"/>
            </w:pPr>
            <w:r w:rsidRPr="00835FE3">
              <w:t>Women screened within the last two years, as a proportion of the eligible population (women aged 45</w:t>
            </w:r>
            <w:r w:rsidR="00BE4AB3">
              <w:t>–</w:t>
            </w:r>
            <w:r w:rsidRPr="00835FE3">
              <w:t>69 years)</w:t>
            </w:r>
          </w:p>
        </w:tc>
        <w:tc>
          <w:tcPr>
            <w:tcW w:w="553" w:type="pct"/>
            <w:tcBorders>
              <w:top w:val="nil"/>
              <w:bottom w:val="nil"/>
            </w:tcBorders>
          </w:tcPr>
          <w:p w:rsidR="00ED6788" w:rsidRPr="00CB7B10" w:rsidRDefault="00ED6788" w:rsidP="00B80F72">
            <w:pPr>
              <w:pStyle w:val="TableText"/>
              <w:spacing w:before="0"/>
              <w:ind w:right="142"/>
              <w:jc w:val="right"/>
            </w:pPr>
            <w:r w:rsidRPr="00CB7B10">
              <w:t>&gt;72%</w:t>
            </w:r>
          </w:p>
        </w:tc>
        <w:tc>
          <w:tcPr>
            <w:tcW w:w="887" w:type="pct"/>
            <w:tcBorders>
              <w:top w:val="nil"/>
              <w:bottom w:val="nil"/>
            </w:tcBorders>
            <w:shd w:val="clear" w:color="auto" w:fill="D9D9D9"/>
          </w:tcPr>
          <w:p w:rsidR="00ED6788" w:rsidRPr="00D155EF" w:rsidRDefault="00ED6788" w:rsidP="00B80F72">
            <w:pPr>
              <w:pStyle w:val="TableText"/>
              <w:spacing w:before="0"/>
              <w:ind w:right="142"/>
              <w:jc w:val="right"/>
            </w:pPr>
            <w:r w:rsidRPr="00E845D7">
              <w:t>72.</w:t>
            </w:r>
            <w:r>
              <w:t>1</w:t>
            </w:r>
            <w:r w:rsidRPr="00E845D7">
              <w:t>%</w:t>
            </w:r>
          </w:p>
        </w:tc>
      </w:tr>
      <w:tr w:rsidR="00ED6788" w:rsidRPr="002C0E8B" w:rsidTr="00B80F72">
        <w:trPr>
          <w:cantSplit/>
        </w:trPr>
        <w:tc>
          <w:tcPr>
            <w:tcW w:w="757" w:type="pct"/>
            <w:tcBorders>
              <w:top w:val="nil"/>
              <w:bottom w:val="nil"/>
            </w:tcBorders>
          </w:tcPr>
          <w:p w:rsidR="00ED6788" w:rsidRPr="002C0E8B" w:rsidRDefault="00ED6788" w:rsidP="00B80F72">
            <w:pPr>
              <w:pStyle w:val="TableText"/>
              <w:spacing w:before="0"/>
              <w:ind w:right="284"/>
              <w:jc w:val="right"/>
            </w:pPr>
            <w:r>
              <w:t>1%</w:t>
            </w:r>
          </w:p>
        </w:tc>
        <w:tc>
          <w:tcPr>
            <w:tcW w:w="2804" w:type="pct"/>
            <w:tcBorders>
              <w:top w:val="nil"/>
              <w:bottom w:val="nil"/>
            </w:tcBorders>
          </w:tcPr>
          <w:p w:rsidR="00ED6788" w:rsidRPr="00835FE3" w:rsidRDefault="00ED6788" w:rsidP="00B80F72">
            <w:pPr>
              <w:pStyle w:val="TableBullet"/>
              <w:ind w:right="142"/>
            </w:pPr>
            <w:r w:rsidRPr="00835FE3">
              <w:t>Increase in Māori eligible women screened by June 2015</w:t>
            </w:r>
          </w:p>
        </w:tc>
        <w:tc>
          <w:tcPr>
            <w:tcW w:w="553" w:type="pct"/>
            <w:tcBorders>
              <w:top w:val="nil"/>
              <w:bottom w:val="nil"/>
            </w:tcBorders>
          </w:tcPr>
          <w:p w:rsidR="00ED6788" w:rsidRPr="00CB7B10" w:rsidRDefault="00ED6788" w:rsidP="00B80F72">
            <w:pPr>
              <w:pStyle w:val="TableText"/>
              <w:spacing w:before="0"/>
              <w:ind w:right="142"/>
              <w:jc w:val="right"/>
            </w:pPr>
            <w:r>
              <w:t>4</w:t>
            </w:r>
            <w:r w:rsidRPr="00CB7B10">
              <w:t>%</w:t>
            </w:r>
            <w:r>
              <w:rPr>
                <w:rStyle w:val="FootnoteReference"/>
              </w:rPr>
              <w:footnoteReference w:id="8"/>
            </w:r>
          </w:p>
        </w:tc>
        <w:tc>
          <w:tcPr>
            <w:tcW w:w="887" w:type="pct"/>
            <w:tcBorders>
              <w:top w:val="nil"/>
              <w:bottom w:val="nil"/>
            </w:tcBorders>
            <w:shd w:val="clear" w:color="auto" w:fill="D9D9D9"/>
          </w:tcPr>
          <w:p w:rsidR="00ED6788" w:rsidRPr="00D155EF" w:rsidRDefault="00ED6788" w:rsidP="00B80F72">
            <w:pPr>
              <w:pStyle w:val="TableText"/>
              <w:spacing w:before="0"/>
              <w:ind w:right="142"/>
              <w:jc w:val="right"/>
            </w:pPr>
            <w:r>
              <w:t>-1.9%</w:t>
            </w:r>
            <w:r w:rsidR="00B80F72">
              <w:br/>
            </w:r>
            <w:r w:rsidRPr="00D92914">
              <w:t>see Note B</w:t>
            </w:r>
          </w:p>
        </w:tc>
      </w:tr>
      <w:tr w:rsidR="00ED6788" w:rsidRPr="002C0E8B" w:rsidTr="00B80F72">
        <w:trPr>
          <w:cantSplit/>
        </w:trPr>
        <w:tc>
          <w:tcPr>
            <w:tcW w:w="757" w:type="pct"/>
            <w:tcBorders>
              <w:top w:val="nil"/>
              <w:bottom w:val="single" w:sz="4" w:space="0" w:color="A6A6A6" w:themeColor="background1" w:themeShade="A6"/>
            </w:tcBorders>
          </w:tcPr>
          <w:p w:rsidR="00ED6788" w:rsidRDefault="00ED6788" w:rsidP="00B80F72">
            <w:pPr>
              <w:pStyle w:val="TableText"/>
              <w:spacing w:before="0"/>
              <w:ind w:right="284"/>
              <w:jc w:val="right"/>
            </w:pPr>
            <w:r w:rsidRPr="00430BC5">
              <w:t>73.4%</w:t>
            </w:r>
          </w:p>
        </w:tc>
        <w:tc>
          <w:tcPr>
            <w:tcW w:w="2804" w:type="pct"/>
            <w:tcBorders>
              <w:top w:val="nil"/>
              <w:bottom w:val="single" w:sz="4" w:space="0" w:color="A6A6A6" w:themeColor="background1" w:themeShade="A6"/>
            </w:tcBorders>
          </w:tcPr>
          <w:p w:rsidR="00ED6788" w:rsidRDefault="00ED6788" w:rsidP="00B80F72">
            <w:pPr>
              <w:pStyle w:val="TableBullet"/>
              <w:ind w:right="142"/>
            </w:pPr>
            <w:r w:rsidRPr="00835FE3">
              <w:t>Maintain coverage of Pacific eligible woman above national target of 70%</w:t>
            </w:r>
          </w:p>
        </w:tc>
        <w:tc>
          <w:tcPr>
            <w:tcW w:w="553" w:type="pct"/>
            <w:tcBorders>
              <w:top w:val="nil"/>
              <w:bottom w:val="single" w:sz="4" w:space="0" w:color="A6A6A6" w:themeColor="background1" w:themeShade="A6"/>
            </w:tcBorders>
          </w:tcPr>
          <w:p w:rsidR="00ED6788" w:rsidRDefault="00ED6788" w:rsidP="00B80F72">
            <w:pPr>
              <w:pStyle w:val="TableText"/>
              <w:spacing w:before="0"/>
              <w:ind w:right="142"/>
              <w:jc w:val="right"/>
            </w:pPr>
            <w:r w:rsidRPr="00CB7B10">
              <w:t>&gt;73%</w:t>
            </w:r>
          </w:p>
        </w:tc>
        <w:tc>
          <w:tcPr>
            <w:tcW w:w="887" w:type="pct"/>
            <w:tcBorders>
              <w:top w:val="nil"/>
              <w:bottom w:val="single" w:sz="4" w:space="0" w:color="A6A6A6" w:themeColor="background1" w:themeShade="A6"/>
            </w:tcBorders>
            <w:shd w:val="clear" w:color="auto" w:fill="D9D9D9"/>
          </w:tcPr>
          <w:p w:rsidR="00ED6788" w:rsidRDefault="00ED6788" w:rsidP="00B80F72">
            <w:pPr>
              <w:pStyle w:val="TableText"/>
              <w:spacing w:before="0"/>
              <w:ind w:right="142"/>
              <w:jc w:val="right"/>
            </w:pPr>
            <w:r>
              <w:t>72.6%</w:t>
            </w:r>
          </w:p>
        </w:tc>
      </w:tr>
      <w:tr w:rsidR="00ED6788" w:rsidRPr="002C0E8B" w:rsidTr="00B80F72">
        <w:trPr>
          <w:cantSplit/>
        </w:trPr>
        <w:tc>
          <w:tcPr>
            <w:tcW w:w="757" w:type="pct"/>
            <w:tcBorders>
              <w:top w:val="single" w:sz="4" w:space="0" w:color="A6A6A6" w:themeColor="background1" w:themeShade="A6"/>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tcBorders>
          </w:tcPr>
          <w:p w:rsidR="00ED6788" w:rsidRPr="00DE3A74" w:rsidRDefault="00ED6788" w:rsidP="0087519E">
            <w:pPr>
              <w:pStyle w:val="TableText"/>
              <w:ind w:right="142"/>
            </w:pPr>
            <w:r w:rsidRPr="00590439">
              <w:rPr>
                <w:b/>
                <w:bCs/>
                <w:i/>
                <w:lang w:eastAsia="en-NZ"/>
              </w:rPr>
              <w:t xml:space="preserve">Newborn </w:t>
            </w:r>
            <w:r w:rsidR="0087519E">
              <w:rPr>
                <w:b/>
                <w:bCs/>
                <w:i/>
                <w:lang w:eastAsia="en-NZ"/>
              </w:rPr>
              <w:t>m</w:t>
            </w:r>
            <w:r w:rsidRPr="00590439">
              <w:rPr>
                <w:b/>
                <w:bCs/>
                <w:i/>
                <w:lang w:eastAsia="en-NZ"/>
              </w:rPr>
              <w:t xml:space="preserve">etabolic </w:t>
            </w:r>
            <w:r w:rsidR="0087519E">
              <w:rPr>
                <w:b/>
                <w:bCs/>
                <w:i/>
                <w:lang w:eastAsia="en-NZ"/>
              </w:rPr>
              <w:t>s</w:t>
            </w:r>
            <w:r w:rsidRPr="00590439">
              <w:rPr>
                <w:b/>
                <w:bCs/>
                <w:i/>
                <w:lang w:eastAsia="en-NZ"/>
              </w:rPr>
              <w:t>creening</w:t>
            </w:r>
          </w:p>
        </w:tc>
        <w:tc>
          <w:tcPr>
            <w:tcW w:w="553" w:type="pct"/>
            <w:tcBorders>
              <w:top w:val="single" w:sz="4" w:space="0" w:color="A6A6A6" w:themeColor="background1" w:themeShade="A6"/>
            </w:tcBorders>
          </w:tcPr>
          <w:p w:rsidR="00ED6788" w:rsidRPr="002C0E8B" w:rsidRDefault="00ED6788" w:rsidP="00C25CC8">
            <w:pPr>
              <w:pStyle w:val="TableText"/>
              <w:ind w:right="142"/>
              <w:jc w:val="right"/>
            </w:pPr>
          </w:p>
        </w:tc>
        <w:tc>
          <w:tcPr>
            <w:tcW w:w="887" w:type="pct"/>
            <w:tcBorders>
              <w:top w:val="single" w:sz="4" w:space="0" w:color="A6A6A6" w:themeColor="background1" w:themeShade="A6"/>
            </w:tcBorders>
            <w:shd w:val="clear" w:color="auto" w:fill="D9D9D9"/>
          </w:tcPr>
          <w:p w:rsidR="00ED6788" w:rsidRPr="002C0E8B" w:rsidRDefault="00ED6788" w:rsidP="00C25CC8">
            <w:pPr>
              <w:pStyle w:val="TableText"/>
              <w:ind w:right="142"/>
              <w:jc w:val="right"/>
            </w:pPr>
          </w:p>
        </w:tc>
      </w:tr>
      <w:tr w:rsidR="00ED6788" w:rsidRPr="002C0E8B" w:rsidTr="00B80F72">
        <w:trPr>
          <w:cantSplit/>
        </w:trPr>
        <w:tc>
          <w:tcPr>
            <w:tcW w:w="757" w:type="pct"/>
          </w:tcPr>
          <w:p w:rsidR="00ED6788" w:rsidRPr="00945B89" w:rsidRDefault="00ED6788" w:rsidP="00B80F72">
            <w:pPr>
              <w:pStyle w:val="TableText"/>
              <w:spacing w:before="0"/>
              <w:ind w:right="284"/>
              <w:jc w:val="right"/>
            </w:pPr>
            <w:r w:rsidRPr="00945B89">
              <w:t>New</w:t>
            </w:r>
          </w:p>
        </w:tc>
        <w:tc>
          <w:tcPr>
            <w:tcW w:w="2804" w:type="pct"/>
          </w:tcPr>
          <w:p w:rsidR="00ED6788" w:rsidRPr="00DE3A74" w:rsidRDefault="00ED6788" w:rsidP="00B80F72">
            <w:pPr>
              <w:pStyle w:val="TableText"/>
              <w:spacing w:before="0"/>
              <w:ind w:right="142"/>
            </w:pPr>
            <w:r w:rsidRPr="00DE3A74">
              <w:t>Newborn babies screened</w:t>
            </w:r>
          </w:p>
        </w:tc>
        <w:tc>
          <w:tcPr>
            <w:tcW w:w="553" w:type="pct"/>
          </w:tcPr>
          <w:p w:rsidR="00ED6788" w:rsidRPr="00696DB7" w:rsidRDefault="00ED6788" w:rsidP="00B80F72">
            <w:pPr>
              <w:pStyle w:val="TableText"/>
              <w:spacing w:before="0"/>
              <w:ind w:right="142"/>
              <w:jc w:val="right"/>
            </w:pPr>
            <w:r w:rsidRPr="00696DB7">
              <w:t>60,000</w:t>
            </w:r>
          </w:p>
        </w:tc>
        <w:tc>
          <w:tcPr>
            <w:tcW w:w="887" w:type="pct"/>
            <w:shd w:val="clear" w:color="auto" w:fill="D9D9D9"/>
          </w:tcPr>
          <w:p w:rsidR="00ED6788" w:rsidRPr="00D155EF" w:rsidRDefault="00ED6788" w:rsidP="00B80F72">
            <w:pPr>
              <w:pStyle w:val="TableText"/>
              <w:spacing w:before="0"/>
              <w:ind w:right="142"/>
              <w:jc w:val="right"/>
            </w:pPr>
            <w:r>
              <w:t>58,364</w:t>
            </w:r>
            <w:r w:rsidR="00B80F72">
              <w:br/>
            </w:r>
            <w:r>
              <w:t>Jan</w:t>
            </w:r>
            <w:r w:rsidR="000845D9">
              <w:t>–</w:t>
            </w:r>
            <w:r>
              <w:t>Dec 2014</w:t>
            </w:r>
          </w:p>
        </w:tc>
      </w:tr>
      <w:tr w:rsidR="00ED6788" w:rsidRPr="002C0E8B" w:rsidTr="00B80F72">
        <w:trPr>
          <w:cantSplit/>
        </w:trPr>
        <w:tc>
          <w:tcPr>
            <w:tcW w:w="757" w:type="pct"/>
          </w:tcPr>
          <w:p w:rsidR="00ED6788" w:rsidRPr="00945B89" w:rsidRDefault="00ED6788" w:rsidP="00C25CC8">
            <w:pPr>
              <w:pStyle w:val="TableText"/>
              <w:ind w:right="284"/>
              <w:jc w:val="right"/>
            </w:pPr>
          </w:p>
        </w:tc>
        <w:tc>
          <w:tcPr>
            <w:tcW w:w="2804" w:type="pct"/>
          </w:tcPr>
          <w:p w:rsidR="00ED6788" w:rsidRPr="00DE3A74" w:rsidRDefault="00ED6788" w:rsidP="0087519E">
            <w:pPr>
              <w:pStyle w:val="TableText"/>
              <w:ind w:right="142"/>
            </w:pPr>
            <w:r w:rsidRPr="00590439">
              <w:rPr>
                <w:b/>
                <w:bCs/>
                <w:i/>
                <w:lang w:eastAsia="en-NZ"/>
              </w:rPr>
              <w:t xml:space="preserve">Universal </w:t>
            </w:r>
            <w:r w:rsidR="0087519E">
              <w:rPr>
                <w:b/>
                <w:bCs/>
                <w:i/>
                <w:lang w:eastAsia="en-NZ"/>
              </w:rPr>
              <w:t>n</w:t>
            </w:r>
            <w:r w:rsidRPr="00590439">
              <w:rPr>
                <w:b/>
                <w:bCs/>
                <w:i/>
                <w:lang w:eastAsia="en-NZ"/>
              </w:rPr>
              <w:t xml:space="preserve">ewborn </w:t>
            </w:r>
            <w:r w:rsidR="0087519E">
              <w:rPr>
                <w:b/>
                <w:bCs/>
                <w:i/>
                <w:lang w:eastAsia="en-NZ"/>
              </w:rPr>
              <w:t>h</w:t>
            </w:r>
            <w:r w:rsidRPr="00590439">
              <w:rPr>
                <w:b/>
                <w:bCs/>
                <w:i/>
                <w:lang w:eastAsia="en-NZ"/>
              </w:rPr>
              <w:t>earing</w:t>
            </w:r>
          </w:p>
        </w:tc>
        <w:tc>
          <w:tcPr>
            <w:tcW w:w="553" w:type="pct"/>
          </w:tcPr>
          <w:p w:rsidR="00ED6788" w:rsidRPr="00696DB7" w:rsidRDefault="00ED6788" w:rsidP="00C25CC8">
            <w:pPr>
              <w:pStyle w:val="TableText"/>
              <w:ind w:right="142"/>
              <w:jc w:val="right"/>
            </w:pPr>
          </w:p>
        </w:tc>
        <w:tc>
          <w:tcPr>
            <w:tcW w:w="887" w:type="pct"/>
            <w:shd w:val="clear" w:color="auto" w:fill="D9D9D9"/>
          </w:tcPr>
          <w:p w:rsidR="00ED6788" w:rsidRPr="00D155EF" w:rsidRDefault="00ED6788" w:rsidP="00C25CC8">
            <w:pPr>
              <w:pStyle w:val="TableText"/>
              <w:ind w:right="142"/>
              <w:jc w:val="right"/>
            </w:pPr>
          </w:p>
        </w:tc>
      </w:tr>
      <w:tr w:rsidR="00ED6788" w:rsidRPr="002C0E8B" w:rsidTr="00B80F72">
        <w:trPr>
          <w:cantSplit/>
        </w:trPr>
        <w:tc>
          <w:tcPr>
            <w:tcW w:w="757" w:type="pct"/>
          </w:tcPr>
          <w:p w:rsidR="00ED6788" w:rsidRPr="00945B89" w:rsidRDefault="00ED6788" w:rsidP="00B80F72">
            <w:pPr>
              <w:pStyle w:val="TableText"/>
              <w:spacing w:before="0"/>
              <w:ind w:right="284"/>
              <w:jc w:val="right"/>
            </w:pPr>
            <w:r w:rsidRPr="009D1C8D">
              <w:t>New</w:t>
            </w:r>
          </w:p>
        </w:tc>
        <w:tc>
          <w:tcPr>
            <w:tcW w:w="2804" w:type="pct"/>
          </w:tcPr>
          <w:p w:rsidR="00ED6788" w:rsidRPr="00DE3A74" w:rsidRDefault="00ED6788" w:rsidP="00B80F72">
            <w:pPr>
              <w:pStyle w:val="TableText"/>
              <w:spacing w:before="0"/>
              <w:ind w:right="142"/>
            </w:pPr>
            <w:r w:rsidRPr="00DE3A74">
              <w:t>Newborn babies screened</w:t>
            </w:r>
          </w:p>
        </w:tc>
        <w:tc>
          <w:tcPr>
            <w:tcW w:w="553" w:type="pct"/>
          </w:tcPr>
          <w:p w:rsidR="00ED6788" w:rsidRPr="00696DB7" w:rsidRDefault="00ED6788" w:rsidP="00B80F72">
            <w:pPr>
              <w:pStyle w:val="TableText"/>
              <w:spacing w:before="0"/>
              <w:ind w:right="142"/>
              <w:jc w:val="right"/>
            </w:pPr>
            <w:r w:rsidRPr="00696DB7">
              <w:t>55,000</w:t>
            </w:r>
          </w:p>
        </w:tc>
        <w:tc>
          <w:tcPr>
            <w:tcW w:w="887" w:type="pct"/>
            <w:shd w:val="clear" w:color="auto" w:fill="D9D9D9"/>
          </w:tcPr>
          <w:p w:rsidR="00ED6788" w:rsidRDefault="00ED6788" w:rsidP="00B80F72">
            <w:pPr>
              <w:pStyle w:val="TableText"/>
              <w:spacing w:before="0"/>
              <w:ind w:right="142"/>
              <w:jc w:val="right"/>
            </w:pPr>
            <w:r w:rsidRPr="009D6AB1">
              <w:t>55,</w:t>
            </w:r>
            <w:r>
              <w:t>474</w:t>
            </w:r>
            <w:r w:rsidR="00B80F72">
              <w:br/>
            </w:r>
            <w:r w:rsidRPr="00D609DD">
              <w:t>Jan</w:t>
            </w:r>
            <w:r w:rsidR="000845D9">
              <w:t>–</w:t>
            </w:r>
            <w:r w:rsidRPr="00D609DD">
              <w:t>Dec 2014</w:t>
            </w:r>
          </w:p>
        </w:tc>
      </w:tr>
      <w:tr w:rsidR="00ED6788" w:rsidRPr="002C0E8B" w:rsidTr="00B80F72">
        <w:trPr>
          <w:cantSplit/>
        </w:trPr>
        <w:tc>
          <w:tcPr>
            <w:tcW w:w="757" w:type="pct"/>
            <w:tcBorders>
              <w:bottom w:val="nil"/>
            </w:tcBorders>
          </w:tcPr>
          <w:p w:rsidR="00ED6788" w:rsidRPr="00945B89" w:rsidRDefault="00ED6788" w:rsidP="00C25CC8">
            <w:pPr>
              <w:pStyle w:val="TableText"/>
              <w:ind w:right="284"/>
              <w:jc w:val="right"/>
            </w:pPr>
            <w:r w:rsidRPr="009D1C8D">
              <w:t>New</w:t>
            </w:r>
          </w:p>
        </w:tc>
        <w:tc>
          <w:tcPr>
            <w:tcW w:w="2804" w:type="pct"/>
            <w:tcBorders>
              <w:bottom w:val="nil"/>
            </w:tcBorders>
          </w:tcPr>
          <w:p w:rsidR="00ED6788" w:rsidRPr="00DE3A74" w:rsidRDefault="00ED6788" w:rsidP="00B80F72">
            <w:pPr>
              <w:pStyle w:val="TableText"/>
              <w:ind w:right="142"/>
            </w:pPr>
            <w:r w:rsidRPr="00590439">
              <w:rPr>
                <w:b/>
                <w:bCs/>
                <w:i/>
                <w:lang w:eastAsia="en-NZ"/>
              </w:rPr>
              <w:t>Antenatal HIV</w:t>
            </w:r>
          </w:p>
        </w:tc>
        <w:tc>
          <w:tcPr>
            <w:tcW w:w="553" w:type="pct"/>
            <w:tcBorders>
              <w:bottom w:val="nil"/>
            </w:tcBorders>
          </w:tcPr>
          <w:p w:rsidR="00ED6788" w:rsidRPr="00696DB7" w:rsidRDefault="00ED6788" w:rsidP="00C25CC8">
            <w:pPr>
              <w:pStyle w:val="TableText"/>
              <w:ind w:right="142"/>
              <w:jc w:val="right"/>
            </w:pPr>
          </w:p>
        </w:tc>
        <w:tc>
          <w:tcPr>
            <w:tcW w:w="887" w:type="pct"/>
            <w:tcBorders>
              <w:bottom w:val="nil"/>
            </w:tcBorders>
            <w:shd w:val="clear" w:color="auto" w:fill="D9D9D9"/>
          </w:tcPr>
          <w:p w:rsidR="00ED6788" w:rsidRDefault="00ED6788" w:rsidP="00C25CC8">
            <w:pPr>
              <w:pStyle w:val="TableText"/>
              <w:ind w:right="142"/>
              <w:jc w:val="right"/>
            </w:pPr>
          </w:p>
        </w:tc>
      </w:tr>
      <w:tr w:rsidR="00ED6788" w:rsidRPr="002C0E8B" w:rsidTr="00B80F72">
        <w:trPr>
          <w:cantSplit/>
        </w:trPr>
        <w:tc>
          <w:tcPr>
            <w:tcW w:w="757" w:type="pct"/>
            <w:tcBorders>
              <w:top w:val="nil"/>
              <w:bottom w:val="nil"/>
            </w:tcBorders>
          </w:tcPr>
          <w:p w:rsidR="00ED6788" w:rsidRPr="00945B89" w:rsidRDefault="00ED6788" w:rsidP="00B80F72">
            <w:pPr>
              <w:pStyle w:val="TableText"/>
              <w:spacing w:before="0"/>
              <w:ind w:right="284"/>
              <w:jc w:val="right"/>
            </w:pPr>
          </w:p>
        </w:tc>
        <w:tc>
          <w:tcPr>
            <w:tcW w:w="2804" w:type="pct"/>
            <w:tcBorders>
              <w:top w:val="nil"/>
              <w:bottom w:val="nil"/>
            </w:tcBorders>
          </w:tcPr>
          <w:p w:rsidR="00ED6788" w:rsidRPr="00DE3A74" w:rsidRDefault="00ED6788" w:rsidP="00B80F72">
            <w:pPr>
              <w:pStyle w:val="TableText"/>
              <w:spacing w:before="0"/>
              <w:ind w:right="142"/>
            </w:pPr>
            <w:r w:rsidRPr="00DE3A74">
              <w:t>Number of women diagnosed with HIV during pregnancy</w:t>
            </w:r>
          </w:p>
        </w:tc>
        <w:tc>
          <w:tcPr>
            <w:tcW w:w="553" w:type="pct"/>
            <w:tcBorders>
              <w:top w:val="nil"/>
              <w:bottom w:val="nil"/>
            </w:tcBorders>
          </w:tcPr>
          <w:p w:rsidR="00ED6788" w:rsidRPr="00696DB7" w:rsidRDefault="00ED6788" w:rsidP="00B80F72">
            <w:pPr>
              <w:pStyle w:val="TableText"/>
              <w:spacing w:before="0"/>
              <w:ind w:right="142"/>
              <w:jc w:val="right"/>
            </w:pPr>
            <w:r w:rsidRPr="00696DB7">
              <w:t>&lt;5</w:t>
            </w:r>
          </w:p>
        </w:tc>
        <w:tc>
          <w:tcPr>
            <w:tcW w:w="887" w:type="pct"/>
            <w:tcBorders>
              <w:top w:val="nil"/>
              <w:bottom w:val="nil"/>
            </w:tcBorders>
            <w:shd w:val="clear" w:color="auto" w:fill="D9D9D9"/>
          </w:tcPr>
          <w:p w:rsidR="00ED6788" w:rsidRDefault="00ED6788" w:rsidP="00B80F72">
            <w:pPr>
              <w:pStyle w:val="TableText"/>
              <w:spacing w:before="0"/>
              <w:ind w:right="142"/>
              <w:jc w:val="right"/>
            </w:pPr>
            <w:r>
              <w:t>1</w:t>
            </w:r>
            <w:r w:rsidR="00B80F72">
              <w:br/>
            </w:r>
            <w:r>
              <w:t>(Jul</w:t>
            </w:r>
            <w:r w:rsidR="000845D9">
              <w:t>–</w:t>
            </w:r>
            <w:r>
              <w:t>Dec 2014)</w:t>
            </w:r>
          </w:p>
        </w:tc>
      </w:tr>
      <w:tr w:rsidR="00ED6788" w:rsidRPr="002C0E8B" w:rsidTr="00B80F72">
        <w:trPr>
          <w:cantSplit/>
        </w:trPr>
        <w:tc>
          <w:tcPr>
            <w:tcW w:w="757" w:type="pct"/>
            <w:tcBorders>
              <w:top w:val="nil"/>
            </w:tcBorders>
          </w:tcPr>
          <w:p w:rsidR="00ED6788" w:rsidRPr="00945B89" w:rsidRDefault="00ED6788" w:rsidP="00B80F72">
            <w:pPr>
              <w:pStyle w:val="TableText"/>
              <w:spacing w:before="0"/>
              <w:ind w:right="284"/>
              <w:jc w:val="right"/>
              <w:rPr>
                <w:bCs/>
                <w:lang w:eastAsia="en-NZ"/>
              </w:rPr>
            </w:pPr>
            <w:r w:rsidRPr="009D1C8D">
              <w:rPr>
                <w:bCs/>
                <w:lang w:eastAsia="en-NZ"/>
              </w:rPr>
              <w:t>New</w:t>
            </w:r>
          </w:p>
        </w:tc>
        <w:tc>
          <w:tcPr>
            <w:tcW w:w="2804" w:type="pct"/>
            <w:tcBorders>
              <w:top w:val="nil"/>
            </w:tcBorders>
          </w:tcPr>
          <w:p w:rsidR="00ED6788" w:rsidRPr="00DE3A74" w:rsidRDefault="00ED6788" w:rsidP="00B80F72">
            <w:pPr>
              <w:pStyle w:val="TableText"/>
              <w:spacing w:before="0"/>
              <w:ind w:right="142"/>
            </w:pPr>
            <w:r w:rsidRPr="00DE3A74">
              <w:t>Mother to child transmission rate following antenatal HIV screening</w:t>
            </w:r>
          </w:p>
        </w:tc>
        <w:tc>
          <w:tcPr>
            <w:tcW w:w="553" w:type="pct"/>
            <w:tcBorders>
              <w:top w:val="nil"/>
            </w:tcBorders>
          </w:tcPr>
          <w:p w:rsidR="00ED6788" w:rsidRPr="00696DB7" w:rsidRDefault="00ED6788" w:rsidP="00B80F72">
            <w:pPr>
              <w:pStyle w:val="TableText"/>
              <w:spacing w:before="0"/>
              <w:ind w:right="142"/>
              <w:jc w:val="right"/>
            </w:pPr>
            <w:r w:rsidRPr="00696DB7">
              <w:t>0.0%</w:t>
            </w:r>
          </w:p>
        </w:tc>
        <w:tc>
          <w:tcPr>
            <w:tcW w:w="887" w:type="pct"/>
            <w:tcBorders>
              <w:top w:val="nil"/>
            </w:tcBorders>
            <w:shd w:val="clear" w:color="auto" w:fill="D9D9D9"/>
          </w:tcPr>
          <w:p w:rsidR="00ED6788" w:rsidRPr="002C0E8B" w:rsidRDefault="00ED6788" w:rsidP="00B80F72">
            <w:pPr>
              <w:pStyle w:val="TableText"/>
              <w:spacing w:before="0"/>
              <w:ind w:right="142"/>
              <w:jc w:val="right"/>
            </w:pPr>
            <w:r w:rsidRPr="00D92914">
              <w:t>Data not available</w:t>
            </w:r>
            <w:r w:rsidR="00B80F72">
              <w:br/>
            </w:r>
            <w:r>
              <w:t>see Note C</w:t>
            </w:r>
          </w:p>
        </w:tc>
      </w:tr>
      <w:tr w:rsidR="00ED6788" w:rsidRPr="002C0E8B" w:rsidTr="00B80F72">
        <w:trPr>
          <w:cantSplit/>
        </w:trPr>
        <w:tc>
          <w:tcPr>
            <w:tcW w:w="757" w:type="pct"/>
          </w:tcPr>
          <w:p w:rsidR="00ED6788" w:rsidRPr="00945B89" w:rsidRDefault="00ED6788" w:rsidP="00C25CC8">
            <w:pPr>
              <w:pStyle w:val="TableText"/>
              <w:ind w:right="284"/>
              <w:jc w:val="right"/>
            </w:pPr>
          </w:p>
        </w:tc>
        <w:tc>
          <w:tcPr>
            <w:tcW w:w="2804" w:type="pct"/>
          </w:tcPr>
          <w:p w:rsidR="00ED6788" w:rsidRPr="00DE3A74" w:rsidRDefault="00ED6788" w:rsidP="0087519E">
            <w:pPr>
              <w:pStyle w:val="TableText"/>
              <w:ind w:right="142"/>
            </w:pPr>
            <w:r w:rsidRPr="00590439">
              <w:rPr>
                <w:b/>
                <w:bCs/>
                <w:i/>
                <w:lang w:eastAsia="en-NZ"/>
              </w:rPr>
              <w:t xml:space="preserve">Antenatal </w:t>
            </w:r>
            <w:r w:rsidR="0087519E">
              <w:rPr>
                <w:b/>
                <w:bCs/>
                <w:i/>
                <w:lang w:eastAsia="en-NZ"/>
              </w:rPr>
              <w:t>s</w:t>
            </w:r>
            <w:r w:rsidRPr="00590439">
              <w:rPr>
                <w:b/>
                <w:bCs/>
                <w:i/>
                <w:lang w:eastAsia="en-NZ"/>
              </w:rPr>
              <w:t xml:space="preserve">creening for Down </w:t>
            </w:r>
            <w:r w:rsidR="0087519E">
              <w:rPr>
                <w:b/>
                <w:bCs/>
                <w:i/>
                <w:lang w:eastAsia="en-NZ"/>
              </w:rPr>
              <w:t>s</w:t>
            </w:r>
            <w:r w:rsidRPr="00590439">
              <w:rPr>
                <w:b/>
                <w:bCs/>
                <w:i/>
                <w:lang w:eastAsia="en-NZ"/>
              </w:rPr>
              <w:t>yndrome and other conditions</w:t>
            </w:r>
          </w:p>
        </w:tc>
        <w:tc>
          <w:tcPr>
            <w:tcW w:w="553" w:type="pct"/>
          </w:tcPr>
          <w:p w:rsidR="00ED6788" w:rsidRPr="00696DB7" w:rsidRDefault="00ED6788" w:rsidP="00C25CC8">
            <w:pPr>
              <w:pStyle w:val="TableText"/>
              <w:ind w:right="142"/>
              <w:jc w:val="right"/>
            </w:pPr>
          </w:p>
        </w:tc>
        <w:tc>
          <w:tcPr>
            <w:tcW w:w="887" w:type="pct"/>
            <w:shd w:val="clear" w:color="auto" w:fill="D9D9D9"/>
          </w:tcPr>
          <w:p w:rsidR="00ED6788" w:rsidRPr="00D155EF" w:rsidRDefault="00ED6788" w:rsidP="00C25CC8">
            <w:pPr>
              <w:pStyle w:val="TableText"/>
              <w:ind w:right="142"/>
              <w:jc w:val="right"/>
            </w:pPr>
          </w:p>
        </w:tc>
      </w:tr>
      <w:tr w:rsidR="00ED6788" w:rsidRPr="002C0E8B" w:rsidTr="00B80F72">
        <w:trPr>
          <w:cantSplit/>
        </w:trPr>
        <w:tc>
          <w:tcPr>
            <w:tcW w:w="757" w:type="pct"/>
            <w:tcBorders>
              <w:bottom w:val="single" w:sz="4" w:space="0" w:color="A6A6A6" w:themeColor="background1" w:themeShade="A6"/>
            </w:tcBorders>
          </w:tcPr>
          <w:p w:rsidR="00ED6788" w:rsidRPr="00945B89" w:rsidRDefault="00ED6788" w:rsidP="00B80F72">
            <w:pPr>
              <w:pStyle w:val="TableText"/>
              <w:spacing w:before="0"/>
              <w:ind w:right="284"/>
              <w:jc w:val="right"/>
            </w:pPr>
            <w:r w:rsidRPr="00945B89">
              <w:t>New</w:t>
            </w:r>
          </w:p>
        </w:tc>
        <w:tc>
          <w:tcPr>
            <w:tcW w:w="2804" w:type="pct"/>
            <w:tcBorders>
              <w:bottom w:val="single" w:sz="4" w:space="0" w:color="A6A6A6" w:themeColor="background1" w:themeShade="A6"/>
            </w:tcBorders>
          </w:tcPr>
          <w:p w:rsidR="00ED6788" w:rsidRDefault="00ED6788" w:rsidP="00B80F72">
            <w:pPr>
              <w:pStyle w:val="TableText"/>
              <w:spacing w:before="0"/>
              <w:ind w:right="142"/>
            </w:pPr>
            <w:r w:rsidRPr="00DE3A74">
              <w:t>Number of pregnant women screened</w:t>
            </w:r>
          </w:p>
        </w:tc>
        <w:tc>
          <w:tcPr>
            <w:tcW w:w="553" w:type="pct"/>
            <w:tcBorders>
              <w:bottom w:val="single" w:sz="4" w:space="0" w:color="A6A6A6" w:themeColor="background1" w:themeShade="A6"/>
            </w:tcBorders>
          </w:tcPr>
          <w:p w:rsidR="00ED6788" w:rsidRDefault="00ED6788" w:rsidP="00B80F72">
            <w:pPr>
              <w:pStyle w:val="TableText"/>
              <w:spacing w:before="0"/>
              <w:ind w:right="142"/>
              <w:jc w:val="right"/>
            </w:pPr>
            <w:r>
              <w:t>47</w:t>
            </w:r>
            <w:r w:rsidRPr="00696DB7">
              <w:t>,000</w:t>
            </w:r>
          </w:p>
        </w:tc>
        <w:tc>
          <w:tcPr>
            <w:tcW w:w="887" w:type="pct"/>
            <w:tcBorders>
              <w:bottom w:val="single" w:sz="4" w:space="0" w:color="A6A6A6" w:themeColor="background1" w:themeShade="A6"/>
            </w:tcBorders>
            <w:shd w:val="clear" w:color="auto" w:fill="D9D9D9"/>
          </w:tcPr>
          <w:p w:rsidR="00ED6788" w:rsidRPr="00D155EF" w:rsidRDefault="00ED6788" w:rsidP="00B80F72">
            <w:pPr>
              <w:pStyle w:val="TableText"/>
              <w:spacing w:before="0"/>
              <w:ind w:right="142"/>
              <w:jc w:val="right"/>
            </w:pPr>
            <w:r>
              <w:t>48,470</w:t>
            </w:r>
            <w:r w:rsidR="00B80F72">
              <w:br/>
            </w:r>
            <w:r w:rsidRPr="00D609DD">
              <w:t>Jan</w:t>
            </w:r>
            <w:r w:rsidR="000845D9">
              <w:t>–</w:t>
            </w:r>
            <w:r w:rsidRPr="00D609DD">
              <w:t>Dec 2014</w:t>
            </w:r>
          </w:p>
        </w:tc>
      </w:tr>
      <w:tr w:rsidR="00ED6788" w:rsidRPr="002C0E8B" w:rsidTr="00B80F72">
        <w:trPr>
          <w:cantSplit/>
        </w:trPr>
        <w:tc>
          <w:tcPr>
            <w:tcW w:w="757"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bottom w:val="nil"/>
            </w:tcBorders>
          </w:tcPr>
          <w:p w:rsidR="00ED6788" w:rsidRPr="00AB69C4" w:rsidRDefault="00ED6788" w:rsidP="0087519E">
            <w:pPr>
              <w:pStyle w:val="TableText"/>
              <w:ind w:right="142"/>
              <w:rPr>
                <w:b/>
              </w:rPr>
            </w:pPr>
            <w:r w:rsidRPr="00FB6A1B">
              <w:rPr>
                <w:b/>
                <w:bCs/>
                <w:lang w:eastAsia="en-NZ"/>
              </w:rPr>
              <w:t>Tobacco</w:t>
            </w:r>
            <w:r w:rsidR="0087519E">
              <w:rPr>
                <w:b/>
                <w:bCs/>
                <w:lang w:eastAsia="en-NZ"/>
              </w:rPr>
              <w:t xml:space="preserve"> c</w:t>
            </w:r>
            <w:r w:rsidRPr="00FB6A1B">
              <w:rPr>
                <w:b/>
                <w:bCs/>
                <w:lang w:eastAsia="en-NZ"/>
              </w:rPr>
              <w:t xml:space="preserve">ontrol </w:t>
            </w:r>
            <w:r w:rsidR="0087519E">
              <w:rPr>
                <w:b/>
                <w:bCs/>
                <w:lang w:eastAsia="en-NZ"/>
              </w:rPr>
              <w:t>p</w:t>
            </w:r>
            <w:r w:rsidRPr="00FB6A1B">
              <w:rPr>
                <w:b/>
                <w:bCs/>
                <w:lang w:eastAsia="en-NZ"/>
              </w:rPr>
              <w:t>rogramme</w:t>
            </w:r>
          </w:p>
        </w:tc>
        <w:tc>
          <w:tcPr>
            <w:tcW w:w="553" w:type="pct"/>
            <w:tcBorders>
              <w:top w:val="single" w:sz="4" w:space="0" w:color="A6A6A6" w:themeColor="background1" w:themeShade="A6"/>
              <w:bottom w:val="nil"/>
            </w:tcBorders>
          </w:tcPr>
          <w:p w:rsidR="00ED6788" w:rsidRPr="002C0E8B" w:rsidRDefault="00ED6788" w:rsidP="00C25CC8">
            <w:pPr>
              <w:pStyle w:val="TableT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B80F72">
        <w:trPr>
          <w:cantSplit/>
        </w:trPr>
        <w:tc>
          <w:tcPr>
            <w:tcW w:w="757" w:type="pct"/>
            <w:tcBorders>
              <w:top w:val="nil"/>
              <w:bottom w:val="nil"/>
            </w:tcBorders>
          </w:tcPr>
          <w:p w:rsidR="00ED6788" w:rsidRPr="002C0E8B" w:rsidRDefault="00ED6788" w:rsidP="00B80F72">
            <w:pPr>
              <w:pStyle w:val="TableText"/>
              <w:spacing w:before="0"/>
              <w:ind w:right="284"/>
              <w:jc w:val="right"/>
            </w:pPr>
            <w:r w:rsidRPr="00430BC5">
              <w:t>75.06%</w:t>
            </w:r>
          </w:p>
        </w:tc>
        <w:tc>
          <w:tcPr>
            <w:tcW w:w="2804" w:type="pct"/>
            <w:tcBorders>
              <w:top w:val="nil"/>
              <w:bottom w:val="nil"/>
            </w:tcBorders>
          </w:tcPr>
          <w:p w:rsidR="00ED6788" w:rsidRPr="003F46D4" w:rsidRDefault="00ED6788" w:rsidP="00B80F72">
            <w:pPr>
              <w:pStyle w:val="TableText"/>
              <w:spacing w:before="0"/>
              <w:ind w:right="142"/>
            </w:pPr>
            <w:r w:rsidRPr="003F46D4">
              <w:t xml:space="preserve">The proportion of Year 10 students identifying as </w:t>
            </w:r>
            <w:r w:rsidR="000845D9">
              <w:t>‘</w:t>
            </w:r>
            <w:r w:rsidRPr="003F46D4">
              <w:t>never smoked</w:t>
            </w:r>
            <w:r w:rsidR="000845D9">
              <w:t>’</w:t>
            </w:r>
          </w:p>
        </w:tc>
        <w:tc>
          <w:tcPr>
            <w:tcW w:w="553" w:type="pct"/>
            <w:tcBorders>
              <w:top w:val="nil"/>
              <w:bottom w:val="nil"/>
            </w:tcBorders>
          </w:tcPr>
          <w:p w:rsidR="00ED6788" w:rsidRPr="003A3B39" w:rsidRDefault="00ED6788" w:rsidP="00B80F72">
            <w:pPr>
              <w:pStyle w:val="TableText"/>
              <w:spacing w:before="0"/>
              <w:ind w:right="142"/>
              <w:jc w:val="right"/>
            </w:pPr>
            <w:r w:rsidRPr="003A3B39">
              <w:t>73%</w:t>
            </w:r>
          </w:p>
        </w:tc>
        <w:tc>
          <w:tcPr>
            <w:tcW w:w="887" w:type="pct"/>
            <w:tcBorders>
              <w:top w:val="nil"/>
              <w:bottom w:val="nil"/>
            </w:tcBorders>
            <w:shd w:val="clear" w:color="auto" w:fill="D9D9D9"/>
          </w:tcPr>
          <w:p w:rsidR="00ED6788" w:rsidRPr="00D155EF" w:rsidRDefault="00ED6788" w:rsidP="00B80F72">
            <w:pPr>
              <w:pStyle w:val="TableText"/>
              <w:spacing w:before="0"/>
              <w:ind w:right="142"/>
              <w:jc w:val="right"/>
            </w:pPr>
            <w:r>
              <w:t>76.93%</w:t>
            </w:r>
          </w:p>
        </w:tc>
      </w:tr>
      <w:tr w:rsidR="00ED6788" w:rsidRPr="002C0E8B" w:rsidTr="00B80F72">
        <w:trPr>
          <w:cantSplit/>
        </w:trPr>
        <w:tc>
          <w:tcPr>
            <w:tcW w:w="757" w:type="pct"/>
            <w:tcBorders>
              <w:top w:val="nil"/>
              <w:bottom w:val="nil"/>
            </w:tcBorders>
          </w:tcPr>
          <w:p w:rsidR="00ED6788" w:rsidRPr="002C0E8B" w:rsidRDefault="00ED6788" w:rsidP="00C25CC8">
            <w:pPr>
              <w:pStyle w:val="TableText"/>
              <w:ind w:right="284"/>
              <w:jc w:val="right"/>
            </w:pPr>
          </w:p>
        </w:tc>
        <w:tc>
          <w:tcPr>
            <w:tcW w:w="2804" w:type="pct"/>
            <w:tcBorders>
              <w:top w:val="nil"/>
              <w:bottom w:val="nil"/>
            </w:tcBorders>
          </w:tcPr>
          <w:p w:rsidR="00ED6788" w:rsidRPr="00FB6A1B" w:rsidRDefault="00ED6788" w:rsidP="00B80F72">
            <w:pPr>
              <w:pStyle w:val="TableText"/>
              <w:ind w:right="142"/>
              <w:rPr>
                <w:i/>
              </w:rPr>
            </w:pPr>
            <w:r w:rsidRPr="00FB6A1B">
              <w:rPr>
                <w:b/>
                <w:bCs/>
                <w:i/>
                <w:lang w:eastAsia="en-NZ"/>
              </w:rPr>
              <w:t>Hospitalised smokers and those presenting to primary care will be provided with advice and help to quit:</w:t>
            </w:r>
          </w:p>
        </w:tc>
        <w:tc>
          <w:tcPr>
            <w:tcW w:w="553" w:type="pct"/>
            <w:tcBorders>
              <w:top w:val="nil"/>
              <w:bottom w:val="nil"/>
            </w:tcBorders>
          </w:tcPr>
          <w:p w:rsidR="00ED6788" w:rsidRPr="003A3B39" w:rsidRDefault="00ED6788" w:rsidP="00C25CC8">
            <w:pPr>
              <w:pStyle w:val="TableText"/>
              <w:ind w:right="142"/>
              <w:jc w:val="right"/>
            </w:pPr>
          </w:p>
        </w:tc>
        <w:tc>
          <w:tcPr>
            <w:tcW w:w="887" w:type="pct"/>
            <w:tcBorders>
              <w:top w:val="nil"/>
              <w:bottom w:val="nil"/>
            </w:tcBorders>
            <w:shd w:val="clear" w:color="auto" w:fill="D9D9D9"/>
          </w:tcPr>
          <w:p w:rsidR="00ED6788" w:rsidRPr="00D155EF" w:rsidRDefault="00ED6788" w:rsidP="00C25CC8">
            <w:pPr>
              <w:pStyle w:val="TableText"/>
              <w:ind w:right="142"/>
              <w:jc w:val="right"/>
            </w:pPr>
          </w:p>
        </w:tc>
      </w:tr>
      <w:tr w:rsidR="00ED6788" w:rsidRPr="002C0E8B" w:rsidTr="00B80F72">
        <w:trPr>
          <w:cantSplit/>
        </w:trPr>
        <w:tc>
          <w:tcPr>
            <w:tcW w:w="757" w:type="pct"/>
            <w:tcBorders>
              <w:top w:val="nil"/>
              <w:bottom w:val="nil"/>
            </w:tcBorders>
          </w:tcPr>
          <w:p w:rsidR="00ED6788" w:rsidRDefault="00ED6788" w:rsidP="00B80F72">
            <w:pPr>
              <w:pStyle w:val="TableText"/>
              <w:spacing w:before="0"/>
              <w:ind w:right="284"/>
              <w:jc w:val="right"/>
            </w:pPr>
            <w:r w:rsidRPr="00430BC5">
              <w:t>95%</w:t>
            </w:r>
          </w:p>
        </w:tc>
        <w:tc>
          <w:tcPr>
            <w:tcW w:w="2804" w:type="pct"/>
            <w:tcBorders>
              <w:top w:val="nil"/>
              <w:bottom w:val="nil"/>
            </w:tcBorders>
          </w:tcPr>
          <w:p w:rsidR="00ED6788" w:rsidRPr="003F46D4" w:rsidRDefault="00ED6788" w:rsidP="00B80F72">
            <w:pPr>
              <w:pStyle w:val="TableBullet"/>
            </w:pPr>
            <w:r w:rsidRPr="003F46D4">
              <w:t>For hospitalised smokers</w:t>
            </w:r>
          </w:p>
        </w:tc>
        <w:tc>
          <w:tcPr>
            <w:tcW w:w="553" w:type="pct"/>
            <w:tcBorders>
              <w:top w:val="nil"/>
              <w:bottom w:val="nil"/>
            </w:tcBorders>
          </w:tcPr>
          <w:p w:rsidR="00ED6788" w:rsidRPr="003A3B39" w:rsidRDefault="00ED6788" w:rsidP="00C25CC8">
            <w:pPr>
              <w:pStyle w:val="TableText"/>
              <w:ind w:right="142"/>
              <w:jc w:val="right"/>
            </w:pPr>
            <w:r w:rsidRPr="003A3B39">
              <w:t>95%</w:t>
            </w:r>
          </w:p>
        </w:tc>
        <w:tc>
          <w:tcPr>
            <w:tcW w:w="887" w:type="pct"/>
            <w:tcBorders>
              <w:top w:val="nil"/>
              <w:bottom w:val="nil"/>
            </w:tcBorders>
            <w:shd w:val="clear" w:color="auto" w:fill="D9D9D9"/>
          </w:tcPr>
          <w:p w:rsidR="00ED6788" w:rsidRPr="00D22729" w:rsidRDefault="00ED6788" w:rsidP="00B80F72">
            <w:pPr>
              <w:pStyle w:val="TableText"/>
              <w:spacing w:before="0"/>
              <w:ind w:right="142"/>
              <w:jc w:val="right"/>
            </w:pPr>
            <w:r w:rsidRPr="00D22729">
              <w:t>9</w:t>
            </w:r>
            <w:r>
              <w:t>5.6</w:t>
            </w:r>
            <w:r w:rsidRPr="00D22729">
              <w:t>%</w:t>
            </w:r>
          </w:p>
        </w:tc>
      </w:tr>
      <w:tr w:rsidR="00ED6788" w:rsidRPr="002C0E8B" w:rsidTr="00B80F72">
        <w:trPr>
          <w:cantSplit/>
        </w:trPr>
        <w:tc>
          <w:tcPr>
            <w:tcW w:w="757" w:type="pct"/>
            <w:tcBorders>
              <w:top w:val="nil"/>
              <w:bottom w:val="nil"/>
            </w:tcBorders>
          </w:tcPr>
          <w:p w:rsidR="00ED6788" w:rsidRDefault="00ED6788" w:rsidP="00B80F72">
            <w:pPr>
              <w:pStyle w:val="TableText"/>
              <w:spacing w:before="0"/>
              <w:ind w:right="284"/>
              <w:jc w:val="right"/>
            </w:pPr>
            <w:r w:rsidRPr="00430BC5">
              <w:t>85.8%</w:t>
            </w:r>
          </w:p>
        </w:tc>
        <w:tc>
          <w:tcPr>
            <w:tcW w:w="2804" w:type="pct"/>
            <w:tcBorders>
              <w:top w:val="nil"/>
              <w:bottom w:val="nil"/>
            </w:tcBorders>
          </w:tcPr>
          <w:p w:rsidR="00ED6788" w:rsidRPr="003F46D4" w:rsidRDefault="00ED6788" w:rsidP="00B80F72">
            <w:pPr>
              <w:pStyle w:val="TableBullet"/>
            </w:pPr>
            <w:r w:rsidRPr="003F46D4">
              <w:t>For primary care smoker presentations</w:t>
            </w:r>
          </w:p>
        </w:tc>
        <w:tc>
          <w:tcPr>
            <w:tcW w:w="553" w:type="pct"/>
            <w:tcBorders>
              <w:top w:val="nil"/>
              <w:bottom w:val="nil"/>
            </w:tcBorders>
          </w:tcPr>
          <w:p w:rsidR="00ED6788" w:rsidRPr="003A3B39" w:rsidRDefault="00ED6788" w:rsidP="00C25CC8">
            <w:pPr>
              <w:pStyle w:val="TableText"/>
              <w:ind w:right="142"/>
              <w:jc w:val="right"/>
            </w:pPr>
            <w:r w:rsidRPr="003A3B39">
              <w:t>90%</w:t>
            </w:r>
          </w:p>
        </w:tc>
        <w:tc>
          <w:tcPr>
            <w:tcW w:w="887" w:type="pct"/>
            <w:tcBorders>
              <w:top w:val="nil"/>
              <w:bottom w:val="nil"/>
            </w:tcBorders>
            <w:shd w:val="clear" w:color="auto" w:fill="D9D9D9"/>
          </w:tcPr>
          <w:p w:rsidR="00ED6788" w:rsidRPr="00D22729" w:rsidRDefault="00ED6788" w:rsidP="00B80F72">
            <w:pPr>
              <w:pStyle w:val="TableText"/>
              <w:spacing w:before="0"/>
              <w:ind w:right="142"/>
              <w:jc w:val="right"/>
            </w:pPr>
            <w:r>
              <w:t>90.5%</w:t>
            </w:r>
          </w:p>
        </w:tc>
      </w:tr>
      <w:tr w:rsidR="00ED6788" w:rsidRPr="002C0E8B" w:rsidTr="00B80F72">
        <w:trPr>
          <w:cantSplit/>
        </w:trPr>
        <w:tc>
          <w:tcPr>
            <w:tcW w:w="757" w:type="pct"/>
            <w:tcBorders>
              <w:top w:val="nil"/>
              <w:bottom w:val="single" w:sz="4" w:space="0" w:color="A6A6A6" w:themeColor="background1" w:themeShade="A6"/>
            </w:tcBorders>
          </w:tcPr>
          <w:p w:rsidR="00ED6788" w:rsidRDefault="00ED6788" w:rsidP="00B80F72">
            <w:pPr>
              <w:pStyle w:val="TableText"/>
              <w:spacing w:before="0"/>
              <w:ind w:right="284"/>
              <w:jc w:val="right"/>
            </w:pPr>
            <w:r w:rsidRPr="00430BC5">
              <w:t>Not available</w:t>
            </w:r>
          </w:p>
        </w:tc>
        <w:tc>
          <w:tcPr>
            <w:tcW w:w="2804" w:type="pct"/>
            <w:tcBorders>
              <w:top w:val="nil"/>
              <w:bottom w:val="single" w:sz="4" w:space="0" w:color="A6A6A6" w:themeColor="background1" w:themeShade="A6"/>
            </w:tcBorders>
          </w:tcPr>
          <w:p w:rsidR="00ED6788" w:rsidRDefault="00ED6788" w:rsidP="00B80F72">
            <w:pPr>
              <w:pStyle w:val="TableBullet"/>
            </w:pPr>
            <w:r w:rsidRPr="003F46D4">
              <w:t>For pregnant women, progress toward</w:t>
            </w:r>
          </w:p>
        </w:tc>
        <w:tc>
          <w:tcPr>
            <w:tcW w:w="553" w:type="pct"/>
            <w:tcBorders>
              <w:top w:val="nil"/>
              <w:bottom w:val="single" w:sz="4" w:space="0" w:color="A6A6A6" w:themeColor="background1" w:themeShade="A6"/>
            </w:tcBorders>
          </w:tcPr>
          <w:p w:rsidR="00ED6788" w:rsidRDefault="00ED6788" w:rsidP="00C25CC8">
            <w:pPr>
              <w:pStyle w:val="TableText"/>
              <w:ind w:right="142"/>
              <w:jc w:val="right"/>
            </w:pPr>
            <w:r w:rsidRPr="003A3B39">
              <w:t>90%</w:t>
            </w:r>
          </w:p>
        </w:tc>
        <w:tc>
          <w:tcPr>
            <w:tcW w:w="887" w:type="pct"/>
            <w:tcBorders>
              <w:top w:val="nil"/>
              <w:bottom w:val="single" w:sz="4" w:space="0" w:color="A6A6A6" w:themeColor="background1" w:themeShade="A6"/>
            </w:tcBorders>
            <w:shd w:val="clear" w:color="auto" w:fill="D9D9D9"/>
          </w:tcPr>
          <w:p w:rsidR="00ED6788" w:rsidRDefault="00ED6788" w:rsidP="00B80F72">
            <w:pPr>
              <w:pStyle w:val="TableText"/>
              <w:spacing w:before="0"/>
              <w:ind w:right="142"/>
              <w:jc w:val="right"/>
            </w:pPr>
            <w:r>
              <w:t>Not available</w:t>
            </w:r>
            <w:r>
              <w:rPr>
                <w:rStyle w:val="FootnoteReference"/>
              </w:rPr>
              <w:footnoteReference w:id="9"/>
            </w:r>
          </w:p>
        </w:tc>
      </w:tr>
      <w:tr w:rsidR="00ED6788" w:rsidRPr="002C0E8B" w:rsidTr="00B80F72">
        <w:trPr>
          <w:cantSplit/>
        </w:trPr>
        <w:tc>
          <w:tcPr>
            <w:tcW w:w="757" w:type="pct"/>
            <w:tcBorders>
              <w:top w:val="single" w:sz="4" w:space="0" w:color="A6A6A6" w:themeColor="background1" w:themeShade="A6"/>
            </w:tcBorders>
          </w:tcPr>
          <w:p w:rsidR="00ED6788" w:rsidRPr="002C0E8B" w:rsidRDefault="00ED6788" w:rsidP="00B80F72">
            <w:pPr>
              <w:pStyle w:val="TableText"/>
              <w:keepNext/>
              <w:ind w:right="284"/>
              <w:jc w:val="right"/>
              <w:rPr>
                <w:bCs/>
                <w:lang w:eastAsia="en-NZ"/>
              </w:rPr>
            </w:pPr>
          </w:p>
        </w:tc>
        <w:tc>
          <w:tcPr>
            <w:tcW w:w="2804" w:type="pct"/>
            <w:tcBorders>
              <w:top w:val="single" w:sz="4" w:space="0" w:color="A6A6A6" w:themeColor="background1" w:themeShade="A6"/>
            </w:tcBorders>
          </w:tcPr>
          <w:p w:rsidR="00ED6788" w:rsidRPr="00AB69C4" w:rsidRDefault="00ED6788" w:rsidP="00B80F72">
            <w:pPr>
              <w:pStyle w:val="TableText"/>
              <w:keepNext/>
              <w:ind w:right="142"/>
              <w:rPr>
                <w:b/>
              </w:rPr>
            </w:pPr>
            <w:r w:rsidRPr="00EC2733">
              <w:rPr>
                <w:b/>
                <w:bCs/>
                <w:lang w:eastAsia="en-NZ"/>
              </w:rPr>
              <w:t>Smokefree New Zealand 2025 Innovation Fund</w:t>
            </w:r>
          </w:p>
        </w:tc>
        <w:tc>
          <w:tcPr>
            <w:tcW w:w="553" w:type="pct"/>
            <w:tcBorders>
              <w:top w:val="single" w:sz="4" w:space="0" w:color="A6A6A6" w:themeColor="background1" w:themeShade="A6"/>
            </w:tcBorders>
          </w:tcPr>
          <w:p w:rsidR="00ED6788" w:rsidRPr="002C0E8B" w:rsidRDefault="00ED6788" w:rsidP="00B80F72">
            <w:pPr>
              <w:pStyle w:val="TableText"/>
              <w:keepNext/>
              <w:ind w:right="142"/>
              <w:jc w:val="right"/>
            </w:pPr>
          </w:p>
        </w:tc>
        <w:tc>
          <w:tcPr>
            <w:tcW w:w="887" w:type="pct"/>
            <w:tcBorders>
              <w:top w:val="single" w:sz="4" w:space="0" w:color="A6A6A6" w:themeColor="background1" w:themeShade="A6"/>
            </w:tcBorders>
            <w:shd w:val="clear" w:color="auto" w:fill="D9D9D9"/>
          </w:tcPr>
          <w:p w:rsidR="00ED6788" w:rsidRPr="002C0E8B" w:rsidRDefault="00ED6788" w:rsidP="00B80F72">
            <w:pPr>
              <w:pStyle w:val="TableText"/>
              <w:keepNext/>
              <w:ind w:right="142"/>
              <w:jc w:val="right"/>
            </w:pPr>
          </w:p>
        </w:tc>
      </w:tr>
      <w:tr w:rsidR="00ED6788" w:rsidRPr="002C0E8B" w:rsidTr="00B80F72">
        <w:trPr>
          <w:cantSplit/>
        </w:trPr>
        <w:tc>
          <w:tcPr>
            <w:tcW w:w="757" w:type="pct"/>
            <w:shd w:val="clear" w:color="auto" w:fill="auto"/>
          </w:tcPr>
          <w:p w:rsidR="00ED6788" w:rsidRPr="009D1C8D" w:rsidRDefault="00ED6788" w:rsidP="00B80F72">
            <w:pPr>
              <w:pStyle w:val="TableText"/>
              <w:keepNext/>
              <w:spacing w:before="0"/>
              <w:ind w:right="284"/>
              <w:jc w:val="right"/>
            </w:pPr>
            <w:r w:rsidRPr="009D1C8D">
              <w:t>New</w:t>
            </w:r>
          </w:p>
        </w:tc>
        <w:tc>
          <w:tcPr>
            <w:tcW w:w="2804" w:type="pct"/>
          </w:tcPr>
          <w:p w:rsidR="00ED6788" w:rsidRPr="00C94CA8" w:rsidRDefault="00ED6788" w:rsidP="00B80F72">
            <w:pPr>
              <w:pStyle w:val="TableText"/>
              <w:keepNext/>
              <w:spacing w:before="0"/>
              <w:ind w:right="142"/>
            </w:pPr>
            <w:r w:rsidRPr="00C94CA8">
              <w:t>The number of projects funded across New Zealand will be between</w:t>
            </w:r>
          </w:p>
        </w:tc>
        <w:tc>
          <w:tcPr>
            <w:tcW w:w="553" w:type="pct"/>
          </w:tcPr>
          <w:p w:rsidR="00ED6788" w:rsidRPr="00991782" w:rsidRDefault="00ED6788" w:rsidP="00B80F72">
            <w:pPr>
              <w:pStyle w:val="TableText"/>
              <w:keepNext/>
              <w:spacing w:before="0"/>
              <w:ind w:right="142"/>
              <w:jc w:val="right"/>
            </w:pPr>
            <w:r w:rsidRPr="00991782">
              <w:t>15</w:t>
            </w:r>
            <w:r w:rsidR="00B80F72">
              <w:t>–</w:t>
            </w:r>
            <w:r w:rsidRPr="00991782">
              <w:t>25</w:t>
            </w:r>
          </w:p>
        </w:tc>
        <w:tc>
          <w:tcPr>
            <w:tcW w:w="887" w:type="pct"/>
            <w:shd w:val="clear" w:color="auto" w:fill="D9D9D9"/>
          </w:tcPr>
          <w:p w:rsidR="00ED6788" w:rsidRPr="00E91D71" w:rsidRDefault="00ED6788" w:rsidP="00B80F72">
            <w:pPr>
              <w:pStyle w:val="TableText"/>
              <w:keepNext/>
              <w:spacing w:before="0"/>
              <w:ind w:right="142"/>
              <w:jc w:val="right"/>
            </w:pPr>
            <w:r>
              <w:t>22</w:t>
            </w:r>
          </w:p>
        </w:tc>
      </w:tr>
      <w:tr w:rsidR="00ED6788" w:rsidRPr="002C0E8B" w:rsidTr="00B80F72">
        <w:trPr>
          <w:cantSplit/>
        </w:trPr>
        <w:tc>
          <w:tcPr>
            <w:tcW w:w="757" w:type="pct"/>
          </w:tcPr>
          <w:p w:rsidR="00ED6788" w:rsidRPr="009D1C8D" w:rsidRDefault="00ED6788" w:rsidP="00B80F72">
            <w:pPr>
              <w:pStyle w:val="TableText"/>
              <w:spacing w:before="0"/>
              <w:ind w:right="284"/>
              <w:jc w:val="right"/>
            </w:pPr>
            <w:r w:rsidRPr="009D1C8D">
              <w:t>Revised</w:t>
            </w:r>
          </w:p>
        </w:tc>
        <w:tc>
          <w:tcPr>
            <w:tcW w:w="2804" w:type="pct"/>
          </w:tcPr>
          <w:p w:rsidR="00ED6788" w:rsidRPr="00C94CA8" w:rsidRDefault="00ED6788" w:rsidP="00B80F72">
            <w:pPr>
              <w:pStyle w:val="TableText"/>
              <w:spacing w:before="0"/>
              <w:ind w:right="142"/>
            </w:pPr>
            <w:r w:rsidRPr="00C94CA8">
              <w:t>The percentage of project reports due that are received for assessment will be no less than</w:t>
            </w:r>
          </w:p>
        </w:tc>
        <w:tc>
          <w:tcPr>
            <w:tcW w:w="553" w:type="pct"/>
          </w:tcPr>
          <w:p w:rsidR="00ED6788" w:rsidRPr="00991782" w:rsidRDefault="00ED6788" w:rsidP="00B80F72">
            <w:pPr>
              <w:pStyle w:val="TableText"/>
              <w:spacing w:before="0"/>
              <w:ind w:right="142"/>
              <w:jc w:val="right"/>
            </w:pPr>
            <w:r w:rsidRPr="00991782">
              <w:t>90%</w:t>
            </w:r>
          </w:p>
        </w:tc>
        <w:tc>
          <w:tcPr>
            <w:tcW w:w="887" w:type="pct"/>
            <w:shd w:val="clear" w:color="auto" w:fill="D9D9D9"/>
          </w:tcPr>
          <w:p w:rsidR="00ED6788" w:rsidRPr="00E91D71" w:rsidRDefault="00ED6788" w:rsidP="00B80F72">
            <w:pPr>
              <w:pStyle w:val="TableText"/>
              <w:spacing w:before="0"/>
              <w:ind w:right="142"/>
              <w:jc w:val="right"/>
            </w:pPr>
            <w:r>
              <w:t>100</w:t>
            </w:r>
            <w:r w:rsidRPr="00E91D71">
              <w:t>%</w:t>
            </w:r>
          </w:p>
        </w:tc>
      </w:tr>
      <w:tr w:rsidR="00ED6788" w:rsidRPr="002C0E8B" w:rsidTr="00B80F72">
        <w:trPr>
          <w:cantSplit/>
        </w:trPr>
        <w:tc>
          <w:tcPr>
            <w:tcW w:w="757" w:type="pct"/>
            <w:tcBorders>
              <w:bottom w:val="single" w:sz="4" w:space="0" w:color="A6A6A6" w:themeColor="background1" w:themeShade="A6"/>
            </w:tcBorders>
          </w:tcPr>
          <w:p w:rsidR="00ED6788" w:rsidRPr="009D1C8D" w:rsidRDefault="00ED6788" w:rsidP="00B80F72">
            <w:pPr>
              <w:pStyle w:val="TableText"/>
              <w:spacing w:before="0"/>
              <w:ind w:right="284"/>
              <w:jc w:val="right"/>
            </w:pPr>
            <w:r w:rsidRPr="009D1C8D">
              <w:t>New</w:t>
            </w:r>
          </w:p>
        </w:tc>
        <w:tc>
          <w:tcPr>
            <w:tcW w:w="2804" w:type="pct"/>
            <w:tcBorders>
              <w:bottom w:val="single" w:sz="4" w:space="0" w:color="A6A6A6" w:themeColor="background1" w:themeShade="A6"/>
            </w:tcBorders>
          </w:tcPr>
          <w:p w:rsidR="00ED6788" w:rsidRDefault="00ED6788" w:rsidP="00B80F72">
            <w:pPr>
              <w:pStyle w:val="TableText"/>
              <w:spacing w:before="0"/>
              <w:ind w:right="142"/>
            </w:pPr>
            <w:r w:rsidRPr="00C94CA8">
              <w:t>The percentage of project reports received that have been reviewed and assessed will be no less than 100%</w:t>
            </w:r>
          </w:p>
        </w:tc>
        <w:tc>
          <w:tcPr>
            <w:tcW w:w="553" w:type="pct"/>
            <w:tcBorders>
              <w:bottom w:val="single" w:sz="4" w:space="0" w:color="A6A6A6" w:themeColor="background1" w:themeShade="A6"/>
            </w:tcBorders>
          </w:tcPr>
          <w:p w:rsidR="00ED6788" w:rsidRDefault="00ED6788" w:rsidP="00B80F72">
            <w:pPr>
              <w:pStyle w:val="TableText"/>
              <w:spacing w:before="0"/>
              <w:ind w:right="142"/>
              <w:jc w:val="right"/>
            </w:pPr>
            <w:r w:rsidRPr="00991782">
              <w:t>100%</w:t>
            </w:r>
          </w:p>
        </w:tc>
        <w:tc>
          <w:tcPr>
            <w:tcW w:w="887" w:type="pct"/>
            <w:tcBorders>
              <w:bottom w:val="single" w:sz="4" w:space="0" w:color="A6A6A6" w:themeColor="background1" w:themeShade="A6"/>
            </w:tcBorders>
            <w:shd w:val="clear" w:color="auto" w:fill="D9D9D9"/>
          </w:tcPr>
          <w:p w:rsidR="00ED6788" w:rsidRDefault="00ED6788" w:rsidP="00B80F72">
            <w:pPr>
              <w:pStyle w:val="TableText"/>
              <w:spacing w:before="0"/>
              <w:ind w:right="142"/>
              <w:jc w:val="right"/>
            </w:pPr>
            <w:r w:rsidRPr="00E91D71">
              <w:t>100%</w:t>
            </w:r>
          </w:p>
        </w:tc>
      </w:tr>
      <w:tr w:rsidR="00ED6788" w:rsidRPr="002C0E8B" w:rsidTr="00B80F72">
        <w:trPr>
          <w:cantSplit/>
        </w:trPr>
        <w:tc>
          <w:tcPr>
            <w:tcW w:w="757"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bottom w:val="nil"/>
            </w:tcBorders>
          </w:tcPr>
          <w:p w:rsidR="00ED6788" w:rsidRPr="00AB69C4" w:rsidRDefault="00ED6788" w:rsidP="00B80F72">
            <w:pPr>
              <w:pStyle w:val="TableText"/>
              <w:ind w:right="142"/>
              <w:rPr>
                <w:b/>
              </w:rPr>
            </w:pPr>
            <w:r w:rsidRPr="00EC2733">
              <w:rPr>
                <w:b/>
                <w:bCs/>
                <w:lang w:eastAsia="en-NZ"/>
              </w:rPr>
              <w:t>Tobacco</w:t>
            </w:r>
          </w:p>
        </w:tc>
        <w:tc>
          <w:tcPr>
            <w:tcW w:w="553" w:type="pct"/>
            <w:tcBorders>
              <w:top w:val="single" w:sz="4" w:space="0" w:color="A6A6A6" w:themeColor="background1" w:themeShade="A6"/>
              <w:bottom w:val="nil"/>
            </w:tcBorders>
          </w:tcPr>
          <w:p w:rsidR="00ED6788" w:rsidRPr="002C0E8B" w:rsidRDefault="00ED6788" w:rsidP="00C25CC8">
            <w:pPr>
              <w:pStyle w:val="TableT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B80F72">
        <w:trPr>
          <w:cantSplit/>
        </w:trPr>
        <w:tc>
          <w:tcPr>
            <w:tcW w:w="757" w:type="pct"/>
            <w:tcBorders>
              <w:top w:val="nil"/>
              <w:bottom w:val="nil"/>
            </w:tcBorders>
          </w:tcPr>
          <w:p w:rsidR="00ED6788" w:rsidRPr="002C0E8B" w:rsidRDefault="00ED6788" w:rsidP="00B80F72">
            <w:pPr>
              <w:pStyle w:val="TableText"/>
              <w:spacing w:before="0"/>
              <w:ind w:right="284"/>
              <w:jc w:val="right"/>
            </w:pPr>
            <w:r>
              <w:t>54%</w:t>
            </w:r>
            <w:r w:rsidR="00B80F72">
              <w:br/>
            </w:r>
            <w:r>
              <w:t>(45,029)</w:t>
            </w:r>
          </w:p>
        </w:tc>
        <w:tc>
          <w:tcPr>
            <w:tcW w:w="2804" w:type="pct"/>
            <w:tcBorders>
              <w:top w:val="nil"/>
              <w:bottom w:val="nil"/>
            </w:tcBorders>
          </w:tcPr>
          <w:p w:rsidR="00ED6788" w:rsidRPr="0064736E" w:rsidRDefault="00ED6788" w:rsidP="00B80F72">
            <w:pPr>
              <w:pStyle w:val="TableText"/>
              <w:spacing w:before="0"/>
              <w:ind w:right="142"/>
            </w:pPr>
            <w:r w:rsidRPr="0064736E">
              <w:t>Quit Group will increase quit attempts from 75,000 to 90,000</w:t>
            </w:r>
          </w:p>
        </w:tc>
        <w:tc>
          <w:tcPr>
            <w:tcW w:w="553" w:type="pct"/>
            <w:tcBorders>
              <w:top w:val="nil"/>
              <w:bottom w:val="nil"/>
            </w:tcBorders>
          </w:tcPr>
          <w:p w:rsidR="00ED6788" w:rsidRPr="00AA3605" w:rsidRDefault="00ED6788" w:rsidP="00B80F72">
            <w:pPr>
              <w:pStyle w:val="TableText"/>
              <w:spacing w:before="0"/>
              <w:ind w:right="142"/>
              <w:jc w:val="right"/>
            </w:pPr>
            <w:r w:rsidRPr="00AA3605">
              <w:t>70%</w:t>
            </w:r>
            <w:r w:rsidR="00B80F72">
              <w:br/>
            </w:r>
            <w:r w:rsidRPr="00AA3605">
              <w:t>(65,000)</w:t>
            </w:r>
          </w:p>
        </w:tc>
        <w:tc>
          <w:tcPr>
            <w:tcW w:w="887" w:type="pct"/>
            <w:tcBorders>
              <w:top w:val="nil"/>
              <w:bottom w:val="nil"/>
            </w:tcBorders>
            <w:shd w:val="clear" w:color="auto" w:fill="D9D9D9"/>
          </w:tcPr>
          <w:p w:rsidR="00ED6788" w:rsidRPr="00D155EF" w:rsidRDefault="00ED6788" w:rsidP="00B80F72">
            <w:pPr>
              <w:pStyle w:val="TableText"/>
              <w:spacing w:before="0"/>
              <w:ind w:right="142"/>
              <w:jc w:val="right"/>
            </w:pPr>
            <w:r>
              <w:t>72% (46,107)</w:t>
            </w:r>
            <w:r w:rsidR="00B80F72">
              <w:br/>
            </w:r>
            <w:r>
              <w:t>See Note D</w:t>
            </w:r>
          </w:p>
        </w:tc>
      </w:tr>
      <w:tr w:rsidR="00ED6788" w:rsidRPr="002C0E8B" w:rsidTr="00B80F72">
        <w:trPr>
          <w:cantSplit/>
        </w:trPr>
        <w:tc>
          <w:tcPr>
            <w:tcW w:w="757" w:type="pct"/>
            <w:tcBorders>
              <w:top w:val="nil"/>
              <w:bottom w:val="single" w:sz="4" w:space="0" w:color="A6A6A6" w:themeColor="background1" w:themeShade="A6"/>
            </w:tcBorders>
          </w:tcPr>
          <w:p w:rsidR="00ED6788" w:rsidRPr="002C0E8B" w:rsidRDefault="00ED6788" w:rsidP="00B80F72">
            <w:pPr>
              <w:pStyle w:val="TableText"/>
              <w:spacing w:before="0"/>
              <w:ind w:right="284"/>
              <w:jc w:val="right"/>
            </w:pPr>
            <w:r>
              <w:t>7%</w:t>
            </w:r>
          </w:p>
        </w:tc>
        <w:tc>
          <w:tcPr>
            <w:tcW w:w="2804" w:type="pct"/>
            <w:tcBorders>
              <w:top w:val="nil"/>
              <w:bottom w:val="single" w:sz="4" w:space="0" w:color="A6A6A6" w:themeColor="background1" w:themeShade="A6"/>
            </w:tcBorders>
          </w:tcPr>
          <w:p w:rsidR="00ED6788" w:rsidRDefault="00ED6788" w:rsidP="00B80F72">
            <w:pPr>
              <w:pStyle w:val="TableText"/>
              <w:spacing w:before="0"/>
              <w:ind w:right="142"/>
            </w:pPr>
            <w:r w:rsidRPr="0064736E">
              <w:t>Quit Group will maintain an annual average abandonment rate of no more than 10%</w:t>
            </w:r>
          </w:p>
        </w:tc>
        <w:tc>
          <w:tcPr>
            <w:tcW w:w="553" w:type="pct"/>
            <w:tcBorders>
              <w:top w:val="nil"/>
              <w:bottom w:val="single" w:sz="4" w:space="0" w:color="A6A6A6" w:themeColor="background1" w:themeShade="A6"/>
            </w:tcBorders>
          </w:tcPr>
          <w:p w:rsidR="00ED6788" w:rsidRDefault="00ED6788" w:rsidP="00B80F72">
            <w:pPr>
              <w:pStyle w:val="TableText"/>
              <w:spacing w:before="0"/>
              <w:ind w:right="142"/>
              <w:jc w:val="right"/>
            </w:pPr>
            <w:r w:rsidRPr="00AA3605">
              <w:t>&lt;10%</w:t>
            </w:r>
          </w:p>
        </w:tc>
        <w:tc>
          <w:tcPr>
            <w:tcW w:w="887" w:type="pct"/>
            <w:tcBorders>
              <w:top w:val="nil"/>
              <w:bottom w:val="single" w:sz="4" w:space="0" w:color="A6A6A6" w:themeColor="background1" w:themeShade="A6"/>
            </w:tcBorders>
            <w:shd w:val="clear" w:color="auto" w:fill="D9D9D9"/>
          </w:tcPr>
          <w:p w:rsidR="00ED6788" w:rsidRPr="00D155EF" w:rsidRDefault="00ED6788" w:rsidP="00B80F72">
            <w:pPr>
              <w:pStyle w:val="TableText"/>
              <w:spacing w:before="0"/>
              <w:ind w:right="142"/>
              <w:jc w:val="right"/>
            </w:pPr>
            <w:r>
              <w:t>4%</w:t>
            </w:r>
          </w:p>
        </w:tc>
      </w:tr>
      <w:tr w:rsidR="00ED6788" w:rsidRPr="002C0E8B" w:rsidTr="00B80F72">
        <w:trPr>
          <w:cantSplit/>
        </w:trPr>
        <w:tc>
          <w:tcPr>
            <w:tcW w:w="757" w:type="pct"/>
            <w:tcBorders>
              <w:top w:val="single" w:sz="4" w:space="0" w:color="A6A6A6" w:themeColor="background1" w:themeShade="A6"/>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tcBorders>
          </w:tcPr>
          <w:p w:rsidR="00ED6788" w:rsidRPr="00AB69C4" w:rsidRDefault="00ED6788" w:rsidP="00B80F72">
            <w:pPr>
              <w:pStyle w:val="TableText"/>
              <w:ind w:right="142"/>
              <w:rPr>
                <w:b/>
              </w:rPr>
            </w:pPr>
            <w:r w:rsidRPr="00EC2733">
              <w:rPr>
                <w:b/>
                <w:bCs/>
                <w:lang w:eastAsia="en-NZ"/>
              </w:rPr>
              <w:t>Enforce Smokefree Environments Act 1990</w:t>
            </w:r>
          </w:p>
        </w:tc>
        <w:tc>
          <w:tcPr>
            <w:tcW w:w="553" w:type="pct"/>
            <w:tcBorders>
              <w:top w:val="single" w:sz="4" w:space="0" w:color="A6A6A6" w:themeColor="background1" w:themeShade="A6"/>
            </w:tcBorders>
          </w:tcPr>
          <w:p w:rsidR="00ED6788" w:rsidRPr="002C0E8B" w:rsidRDefault="00ED6788" w:rsidP="00C25CC8">
            <w:pPr>
              <w:pStyle w:val="TableText"/>
              <w:ind w:right="142"/>
              <w:jc w:val="right"/>
            </w:pPr>
          </w:p>
        </w:tc>
        <w:tc>
          <w:tcPr>
            <w:tcW w:w="887" w:type="pct"/>
            <w:tcBorders>
              <w:top w:val="single" w:sz="4" w:space="0" w:color="A6A6A6" w:themeColor="background1" w:themeShade="A6"/>
            </w:tcBorders>
            <w:shd w:val="clear" w:color="auto" w:fill="D9D9D9"/>
          </w:tcPr>
          <w:p w:rsidR="00ED6788" w:rsidRPr="002C0E8B" w:rsidRDefault="00ED6788" w:rsidP="00C25CC8">
            <w:pPr>
              <w:pStyle w:val="TableText"/>
              <w:ind w:right="142"/>
              <w:jc w:val="right"/>
            </w:pPr>
          </w:p>
        </w:tc>
      </w:tr>
      <w:tr w:rsidR="00ED6788" w:rsidRPr="002C0E8B" w:rsidTr="00B80F72">
        <w:trPr>
          <w:cantSplit/>
        </w:trPr>
        <w:tc>
          <w:tcPr>
            <w:tcW w:w="757" w:type="pct"/>
            <w:tcBorders>
              <w:bottom w:val="single" w:sz="4" w:space="0" w:color="A6A6A6" w:themeColor="background1" w:themeShade="A6"/>
            </w:tcBorders>
          </w:tcPr>
          <w:p w:rsidR="00ED6788" w:rsidRPr="002C0E8B" w:rsidRDefault="00ED6788" w:rsidP="00B80F72">
            <w:pPr>
              <w:pStyle w:val="TableText"/>
              <w:spacing w:before="0"/>
              <w:ind w:right="284"/>
              <w:jc w:val="right"/>
            </w:pPr>
            <w:r>
              <w:t>100%</w:t>
            </w:r>
          </w:p>
        </w:tc>
        <w:tc>
          <w:tcPr>
            <w:tcW w:w="2804" w:type="pct"/>
            <w:tcBorders>
              <w:bottom w:val="single" w:sz="4" w:space="0" w:color="A6A6A6" w:themeColor="background1" w:themeShade="A6"/>
            </w:tcBorders>
          </w:tcPr>
          <w:p w:rsidR="00ED6788" w:rsidRPr="002C0E8B" w:rsidRDefault="00ED6788" w:rsidP="0087519E">
            <w:pPr>
              <w:pStyle w:val="TableText"/>
              <w:spacing w:before="0"/>
              <w:ind w:right="142"/>
            </w:pPr>
            <w:r w:rsidRPr="00EC2733">
              <w:t xml:space="preserve">All DHB-owned </w:t>
            </w:r>
            <w:r w:rsidR="0087519E">
              <w:t>p</w:t>
            </w:r>
            <w:r w:rsidRPr="00EC2733">
              <w:t xml:space="preserve">ublic </w:t>
            </w:r>
            <w:r w:rsidR="0087519E">
              <w:t>h</w:t>
            </w:r>
            <w:r w:rsidRPr="00EC2733">
              <w:t xml:space="preserve">ealth </w:t>
            </w:r>
            <w:r w:rsidR="0087519E">
              <w:t>u</w:t>
            </w:r>
            <w:r w:rsidRPr="00EC2733">
              <w:t>nits report six monthly on number of tobacco retailer education visits, controlled purchase operations</w:t>
            </w:r>
            <w:r w:rsidR="0087519E">
              <w:t xml:space="preserve"> </w:t>
            </w:r>
            <w:r w:rsidRPr="00EC2733">
              <w:t>(CPOs), number of retailers visited during CPOs and number of positive sales</w:t>
            </w:r>
          </w:p>
        </w:tc>
        <w:tc>
          <w:tcPr>
            <w:tcW w:w="553" w:type="pct"/>
            <w:tcBorders>
              <w:bottom w:val="single" w:sz="4" w:space="0" w:color="A6A6A6" w:themeColor="background1" w:themeShade="A6"/>
            </w:tcBorders>
          </w:tcPr>
          <w:p w:rsidR="00ED6788" w:rsidRPr="002C0E8B" w:rsidRDefault="00ED6788" w:rsidP="00B80F72">
            <w:pPr>
              <w:pStyle w:val="TableText"/>
              <w:spacing w:before="0"/>
              <w:ind w:right="142"/>
              <w:jc w:val="right"/>
            </w:pPr>
            <w:r w:rsidRPr="00EC2733">
              <w:t>100%</w:t>
            </w:r>
          </w:p>
        </w:tc>
        <w:tc>
          <w:tcPr>
            <w:tcW w:w="887" w:type="pct"/>
            <w:tcBorders>
              <w:bottom w:val="single" w:sz="4" w:space="0" w:color="A6A6A6" w:themeColor="background1" w:themeShade="A6"/>
            </w:tcBorders>
            <w:shd w:val="clear" w:color="auto" w:fill="D9D9D9"/>
          </w:tcPr>
          <w:p w:rsidR="00ED6788" w:rsidRPr="00D155EF" w:rsidRDefault="00ED6788" w:rsidP="00B80F72">
            <w:pPr>
              <w:pStyle w:val="TableText"/>
              <w:spacing w:before="0"/>
              <w:ind w:right="142"/>
              <w:jc w:val="right"/>
            </w:pPr>
            <w:r>
              <w:t>100%</w:t>
            </w:r>
          </w:p>
        </w:tc>
      </w:tr>
      <w:tr w:rsidR="00ED6788" w:rsidRPr="002C0E8B" w:rsidTr="00B80F72">
        <w:trPr>
          <w:cantSplit/>
        </w:trPr>
        <w:tc>
          <w:tcPr>
            <w:tcW w:w="757"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bottom w:val="nil"/>
            </w:tcBorders>
          </w:tcPr>
          <w:p w:rsidR="00ED6788" w:rsidRPr="00AB69C4" w:rsidRDefault="00ED6788" w:rsidP="00BE4AB3">
            <w:pPr>
              <w:pStyle w:val="TableText"/>
              <w:ind w:right="142"/>
              <w:rPr>
                <w:b/>
              </w:rPr>
            </w:pPr>
            <w:r w:rsidRPr="00EC2733">
              <w:rPr>
                <w:b/>
                <w:bCs/>
                <w:lang w:eastAsia="en-NZ"/>
              </w:rPr>
              <w:t xml:space="preserve">Environmental and </w:t>
            </w:r>
            <w:r w:rsidR="00BE4AB3">
              <w:rPr>
                <w:b/>
                <w:bCs/>
                <w:lang w:eastAsia="en-NZ"/>
              </w:rPr>
              <w:t>b</w:t>
            </w:r>
            <w:r w:rsidRPr="00EC2733">
              <w:rPr>
                <w:b/>
                <w:bCs/>
                <w:lang w:eastAsia="en-NZ"/>
              </w:rPr>
              <w:t xml:space="preserve">order </w:t>
            </w:r>
            <w:r w:rsidR="00BE4AB3">
              <w:rPr>
                <w:b/>
                <w:bCs/>
                <w:lang w:eastAsia="en-NZ"/>
              </w:rPr>
              <w:t>h</w:t>
            </w:r>
            <w:r w:rsidRPr="00EC2733">
              <w:rPr>
                <w:b/>
                <w:bCs/>
                <w:lang w:eastAsia="en-NZ"/>
              </w:rPr>
              <w:t>ealth</w:t>
            </w:r>
          </w:p>
        </w:tc>
        <w:tc>
          <w:tcPr>
            <w:tcW w:w="553" w:type="pct"/>
            <w:tcBorders>
              <w:top w:val="single" w:sz="4" w:space="0" w:color="A6A6A6" w:themeColor="background1" w:themeShade="A6"/>
              <w:bottom w:val="nil"/>
            </w:tcBorders>
          </w:tcPr>
          <w:p w:rsidR="00ED6788" w:rsidRPr="002C0E8B" w:rsidRDefault="00ED6788" w:rsidP="00C25CC8">
            <w:pPr>
              <w:pStyle w:val="TableT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B80F72">
        <w:trPr>
          <w:cantSplit/>
        </w:trPr>
        <w:tc>
          <w:tcPr>
            <w:tcW w:w="757" w:type="pct"/>
            <w:tcBorders>
              <w:top w:val="nil"/>
              <w:bottom w:val="nil"/>
            </w:tcBorders>
          </w:tcPr>
          <w:p w:rsidR="00ED6788" w:rsidRPr="002C0E8B" w:rsidRDefault="00ED6788" w:rsidP="00B80F72">
            <w:pPr>
              <w:pStyle w:val="TableText"/>
              <w:spacing w:before="0"/>
              <w:ind w:right="284"/>
              <w:jc w:val="right"/>
            </w:pPr>
          </w:p>
        </w:tc>
        <w:tc>
          <w:tcPr>
            <w:tcW w:w="2804" w:type="pct"/>
            <w:tcBorders>
              <w:top w:val="nil"/>
              <w:bottom w:val="nil"/>
            </w:tcBorders>
          </w:tcPr>
          <w:p w:rsidR="00ED6788" w:rsidRPr="0013762F" w:rsidRDefault="00ED6788" w:rsidP="0087519E">
            <w:pPr>
              <w:pStyle w:val="TableText"/>
              <w:spacing w:before="0"/>
              <w:ind w:right="142"/>
            </w:pPr>
            <w:r w:rsidRPr="0013762F">
              <w:t xml:space="preserve">All DHB-owned </w:t>
            </w:r>
            <w:r w:rsidR="0087519E">
              <w:t>p</w:t>
            </w:r>
            <w:r w:rsidRPr="0013762F">
              <w:t xml:space="preserve">ublic </w:t>
            </w:r>
            <w:r w:rsidR="0087519E">
              <w:t>h</w:t>
            </w:r>
            <w:r w:rsidRPr="0013762F">
              <w:t xml:space="preserve">ealth </w:t>
            </w:r>
            <w:r w:rsidR="0087519E">
              <w:t>s</w:t>
            </w:r>
            <w:r w:rsidRPr="0013762F">
              <w:t>ervices investigate any public health event or emergency (relating to environmental and border health) with inter-district, national or potentially international implications:</w:t>
            </w:r>
          </w:p>
        </w:tc>
        <w:tc>
          <w:tcPr>
            <w:tcW w:w="553" w:type="pct"/>
            <w:tcBorders>
              <w:top w:val="nil"/>
              <w:bottom w:val="nil"/>
            </w:tcBorders>
          </w:tcPr>
          <w:p w:rsidR="00ED6788" w:rsidRPr="002C0E8B" w:rsidRDefault="00ED6788" w:rsidP="00B80F72">
            <w:pPr>
              <w:pStyle w:val="TableText"/>
              <w:spacing w:before="0"/>
              <w:ind w:right="142"/>
              <w:jc w:val="right"/>
            </w:pPr>
          </w:p>
        </w:tc>
        <w:tc>
          <w:tcPr>
            <w:tcW w:w="887" w:type="pct"/>
            <w:tcBorders>
              <w:top w:val="nil"/>
              <w:bottom w:val="nil"/>
            </w:tcBorders>
            <w:shd w:val="clear" w:color="auto" w:fill="D9D9D9"/>
          </w:tcPr>
          <w:p w:rsidR="00ED6788" w:rsidRPr="00D155EF" w:rsidRDefault="00ED6788" w:rsidP="00B80F72">
            <w:pPr>
              <w:pStyle w:val="TableText"/>
              <w:spacing w:before="0"/>
              <w:ind w:right="142"/>
              <w:jc w:val="right"/>
            </w:pPr>
          </w:p>
        </w:tc>
      </w:tr>
      <w:tr w:rsidR="00ED6788" w:rsidRPr="002C0E8B" w:rsidTr="00B80F72">
        <w:trPr>
          <w:cantSplit/>
        </w:trPr>
        <w:tc>
          <w:tcPr>
            <w:tcW w:w="757" w:type="pct"/>
            <w:tcBorders>
              <w:top w:val="nil"/>
              <w:bottom w:val="nil"/>
            </w:tcBorders>
          </w:tcPr>
          <w:p w:rsidR="00ED6788" w:rsidRPr="002C0E8B" w:rsidRDefault="00ED6788" w:rsidP="00B80F72">
            <w:pPr>
              <w:pStyle w:val="TableText"/>
              <w:spacing w:before="0"/>
              <w:ind w:right="284"/>
              <w:jc w:val="right"/>
            </w:pPr>
            <w:r>
              <w:t>96%</w:t>
            </w:r>
          </w:p>
        </w:tc>
        <w:tc>
          <w:tcPr>
            <w:tcW w:w="2804" w:type="pct"/>
            <w:tcBorders>
              <w:top w:val="nil"/>
              <w:bottom w:val="nil"/>
            </w:tcBorders>
          </w:tcPr>
          <w:p w:rsidR="00ED6788" w:rsidRPr="0013762F" w:rsidRDefault="00ED6788" w:rsidP="00B80F72">
            <w:pPr>
              <w:pStyle w:val="TableBullet"/>
            </w:pPr>
            <w:r w:rsidRPr="0013762F">
              <w:t>notify the Ministry of Health within 24 hours</w:t>
            </w:r>
          </w:p>
        </w:tc>
        <w:tc>
          <w:tcPr>
            <w:tcW w:w="553" w:type="pct"/>
            <w:tcBorders>
              <w:top w:val="nil"/>
              <w:bottom w:val="nil"/>
            </w:tcBorders>
          </w:tcPr>
          <w:p w:rsidR="00ED6788" w:rsidRPr="00451C7D" w:rsidRDefault="00ED6788" w:rsidP="00B80F72">
            <w:pPr>
              <w:pStyle w:val="TableText"/>
              <w:spacing w:before="0"/>
              <w:ind w:right="142"/>
              <w:jc w:val="right"/>
            </w:pPr>
            <w:r w:rsidRPr="00451C7D">
              <w:t>90%</w:t>
            </w:r>
          </w:p>
        </w:tc>
        <w:tc>
          <w:tcPr>
            <w:tcW w:w="887" w:type="pct"/>
            <w:tcBorders>
              <w:top w:val="nil"/>
              <w:bottom w:val="nil"/>
            </w:tcBorders>
            <w:shd w:val="clear" w:color="auto" w:fill="D9D9D9"/>
          </w:tcPr>
          <w:p w:rsidR="00ED6788" w:rsidRPr="00D155EF" w:rsidRDefault="00ED6788" w:rsidP="00B80F72">
            <w:pPr>
              <w:pStyle w:val="TableText"/>
              <w:spacing w:before="0"/>
              <w:ind w:right="142"/>
              <w:jc w:val="right"/>
            </w:pPr>
            <w:r>
              <w:t>100%</w:t>
            </w:r>
          </w:p>
        </w:tc>
      </w:tr>
      <w:tr w:rsidR="00ED6788" w:rsidRPr="002C0E8B" w:rsidTr="00B80F72">
        <w:trPr>
          <w:cantSplit/>
        </w:trPr>
        <w:tc>
          <w:tcPr>
            <w:tcW w:w="757" w:type="pct"/>
            <w:tcBorders>
              <w:top w:val="nil"/>
              <w:bottom w:val="nil"/>
            </w:tcBorders>
          </w:tcPr>
          <w:p w:rsidR="00ED6788" w:rsidRDefault="00ED6788" w:rsidP="00B80F72">
            <w:pPr>
              <w:pStyle w:val="TableText"/>
              <w:spacing w:before="0"/>
              <w:ind w:right="284"/>
              <w:jc w:val="right"/>
            </w:pPr>
            <w:r>
              <w:t>100%</w:t>
            </w:r>
          </w:p>
        </w:tc>
        <w:tc>
          <w:tcPr>
            <w:tcW w:w="2804" w:type="pct"/>
            <w:tcBorders>
              <w:top w:val="nil"/>
              <w:bottom w:val="nil"/>
            </w:tcBorders>
          </w:tcPr>
          <w:p w:rsidR="00ED6788" w:rsidRPr="0013762F" w:rsidRDefault="00ED6788" w:rsidP="00B80F72">
            <w:pPr>
              <w:pStyle w:val="TableBullet"/>
            </w:pPr>
            <w:r w:rsidRPr="0013762F">
              <w:t>submit an investigation report to the Ministry of Health no later than 14 days after the occurrence of the event</w:t>
            </w:r>
          </w:p>
        </w:tc>
        <w:tc>
          <w:tcPr>
            <w:tcW w:w="553" w:type="pct"/>
            <w:tcBorders>
              <w:top w:val="nil"/>
              <w:bottom w:val="nil"/>
            </w:tcBorders>
          </w:tcPr>
          <w:p w:rsidR="00ED6788" w:rsidRPr="00451C7D" w:rsidRDefault="00ED6788" w:rsidP="00B80F72">
            <w:pPr>
              <w:pStyle w:val="TableText"/>
              <w:spacing w:before="0"/>
              <w:ind w:right="142"/>
              <w:jc w:val="right"/>
            </w:pPr>
            <w:r w:rsidRPr="00451C7D">
              <w:t>90%</w:t>
            </w:r>
          </w:p>
        </w:tc>
        <w:tc>
          <w:tcPr>
            <w:tcW w:w="887" w:type="pct"/>
            <w:tcBorders>
              <w:top w:val="nil"/>
              <w:bottom w:val="nil"/>
            </w:tcBorders>
            <w:shd w:val="clear" w:color="auto" w:fill="D9D9D9"/>
          </w:tcPr>
          <w:p w:rsidR="00ED6788" w:rsidRDefault="00ED6788" w:rsidP="00B80F72">
            <w:pPr>
              <w:pStyle w:val="TableText"/>
              <w:spacing w:before="0"/>
              <w:ind w:right="142"/>
              <w:jc w:val="right"/>
            </w:pPr>
            <w:r>
              <w:t>99%</w:t>
            </w:r>
          </w:p>
        </w:tc>
      </w:tr>
      <w:tr w:rsidR="00ED6788" w:rsidRPr="002C0E8B" w:rsidTr="00B80F72">
        <w:trPr>
          <w:cantSplit/>
        </w:trPr>
        <w:tc>
          <w:tcPr>
            <w:tcW w:w="757" w:type="pct"/>
            <w:tcBorders>
              <w:top w:val="nil"/>
              <w:bottom w:val="nil"/>
            </w:tcBorders>
          </w:tcPr>
          <w:p w:rsidR="00ED6788" w:rsidRDefault="00ED6788" w:rsidP="00B80F72">
            <w:pPr>
              <w:pStyle w:val="TableText"/>
              <w:spacing w:before="0"/>
              <w:ind w:right="284"/>
              <w:jc w:val="right"/>
            </w:pPr>
            <w:r>
              <w:t>100%</w:t>
            </w:r>
          </w:p>
        </w:tc>
        <w:tc>
          <w:tcPr>
            <w:tcW w:w="2804" w:type="pct"/>
            <w:tcBorders>
              <w:top w:val="nil"/>
              <w:bottom w:val="nil"/>
            </w:tcBorders>
          </w:tcPr>
          <w:p w:rsidR="00ED6788" w:rsidRPr="0013762F" w:rsidRDefault="00ED6788" w:rsidP="00BE4AB3">
            <w:pPr>
              <w:pStyle w:val="TableBullet"/>
            </w:pPr>
            <w:r w:rsidRPr="0013762F">
              <w:t>Border Health Response Plan maintained and up</w:t>
            </w:r>
            <w:r w:rsidR="00BE4AB3">
              <w:t xml:space="preserve"> </w:t>
            </w:r>
            <w:r w:rsidRPr="0013762F">
              <w:t>to</w:t>
            </w:r>
            <w:r w:rsidR="00BE4AB3">
              <w:t xml:space="preserve"> </w:t>
            </w:r>
            <w:r w:rsidRPr="0013762F">
              <w:t>date</w:t>
            </w:r>
          </w:p>
        </w:tc>
        <w:tc>
          <w:tcPr>
            <w:tcW w:w="553" w:type="pct"/>
            <w:tcBorders>
              <w:top w:val="nil"/>
              <w:bottom w:val="nil"/>
            </w:tcBorders>
          </w:tcPr>
          <w:p w:rsidR="00ED6788" w:rsidRPr="00451C7D" w:rsidRDefault="00ED6788" w:rsidP="00B80F72">
            <w:pPr>
              <w:pStyle w:val="TableText"/>
              <w:spacing w:before="0"/>
              <w:ind w:right="142"/>
              <w:jc w:val="right"/>
            </w:pPr>
            <w:r w:rsidRPr="00451C7D">
              <w:t>100%</w:t>
            </w:r>
          </w:p>
        </w:tc>
        <w:tc>
          <w:tcPr>
            <w:tcW w:w="887" w:type="pct"/>
            <w:tcBorders>
              <w:top w:val="nil"/>
              <w:bottom w:val="nil"/>
            </w:tcBorders>
            <w:shd w:val="clear" w:color="auto" w:fill="D9D9D9"/>
          </w:tcPr>
          <w:p w:rsidR="00ED6788" w:rsidRDefault="00ED6788" w:rsidP="00B80F72">
            <w:pPr>
              <w:pStyle w:val="TableText"/>
              <w:spacing w:before="0"/>
              <w:ind w:right="142"/>
              <w:jc w:val="right"/>
            </w:pPr>
            <w:r>
              <w:t>100%</w:t>
            </w:r>
          </w:p>
        </w:tc>
      </w:tr>
      <w:tr w:rsidR="00ED6788" w:rsidRPr="002C0E8B" w:rsidTr="00B80F72">
        <w:trPr>
          <w:cantSplit/>
        </w:trPr>
        <w:tc>
          <w:tcPr>
            <w:tcW w:w="757" w:type="pct"/>
            <w:tcBorders>
              <w:top w:val="nil"/>
              <w:bottom w:val="nil"/>
            </w:tcBorders>
          </w:tcPr>
          <w:p w:rsidR="00ED6788" w:rsidRPr="009D1C8D" w:rsidRDefault="00ED6788" w:rsidP="00B80F72">
            <w:pPr>
              <w:pStyle w:val="TableText"/>
              <w:spacing w:before="0"/>
              <w:ind w:right="284"/>
              <w:jc w:val="right"/>
            </w:pPr>
            <w:r w:rsidRPr="009D1C8D">
              <w:t>New</w:t>
            </w:r>
          </w:p>
        </w:tc>
        <w:tc>
          <w:tcPr>
            <w:tcW w:w="2804" w:type="pct"/>
            <w:tcBorders>
              <w:top w:val="nil"/>
              <w:bottom w:val="nil"/>
            </w:tcBorders>
          </w:tcPr>
          <w:p w:rsidR="00ED6788" w:rsidRPr="0013762F" w:rsidRDefault="00ED6788" w:rsidP="00B80F72">
            <w:pPr>
              <w:pStyle w:val="TableText"/>
              <w:spacing w:before="0"/>
              <w:ind w:right="142"/>
            </w:pPr>
            <w:r w:rsidRPr="0013762F">
              <w:t>Providers of environmental and border protection scientific, surveillance, analysis, and/or advisory services, with contracts over $500,000 per annum, deliver milestones in accordance with contract requirements</w:t>
            </w:r>
          </w:p>
        </w:tc>
        <w:tc>
          <w:tcPr>
            <w:tcW w:w="553" w:type="pct"/>
            <w:tcBorders>
              <w:top w:val="nil"/>
              <w:bottom w:val="nil"/>
            </w:tcBorders>
          </w:tcPr>
          <w:p w:rsidR="00ED6788" w:rsidRPr="00451C7D" w:rsidRDefault="00ED6788" w:rsidP="00B80F72">
            <w:pPr>
              <w:pStyle w:val="TableText"/>
              <w:spacing w:before="0"/>
              <w:ind w:right="142"/>
              <w:jc w:val="right"/>
            </w:pPr>
            <w:r w:rsidRPr="00451C7D">
              <w:t>95%</w:t>
            </w:r>
          </w:p>
        </w:tc>
        <w:tc>
          <w:tcPr>
            <w:tcW w:w="887" w:type="pct"/>
            <w:tcBorders>
              <w:top w:val="nil"/>
              <w:bottom w:val="nil"/>
            </w:tcBorders>
            <w:shd w:val="clear" w:color="auto" w:fill="D9D9D9"/>
          </w:tcPr>
          <w:p w:rsidR="00ED6788" w:rsidRDefault="00ED6788" w:rsidP="00B80F72">
            <w:pPr>
              <w:pStyle w:val="TableText"/>
              <w:spacing w:before="0"/>
              <w:ind w:right="142"/>
              <w:jc w:val="right"/>
            </w:pPr>
            <w:r>
              <w:t>100%</w:t>
            </w:r>
          </w:p>
        </w:tc>
      </w:tr>
      <w:tr w:rsidR="00ED6788" w:rsidRPr="002C0E8B" w:rsidTr="00B80F72">
        <w:trPr>
          <w:cantSplit/>
        </w:trPr>
        <w:tc>
          <w:tcPr>
            <w:tcW w:w="757" w:type="pct"/>
            <w:tcBorders>
              <w:top w:val="nil"/>
              <w:bottom w:val="single" w:sz="4" w:space="0" w:color="A6A6A6" w:themeColor="background1" w:themeShade="A6"/>
            </w:tcBorders>
          </w:tcPr>
          <w:p w:rsidR="00ED6788" w:rsidRPr="009D1C8D" w:rsidRDefault="00ED6788" w:rsidP="00B80F72">
            <w:pPr>
              <w:pStyle w:val="TableText"/>
              <w:spacing w:before="0"/>
              <w:ind w:right="284"/>
              <w:jc w:val="right"/>
            </w:pPr>
            <w:r w:rsidRPr="009D1C8D">
              <w:t>New</w:t>
            </w:r>
          </w:p>
        </w:tc>
        <w:tc>
          <w:tcPr>
            <w:tcW w:w="2804" w:type="pct"/>
            <w:tcBorders>
              <w:top w:val="nil"/>
              <w:bottom w:val="single" w:sz="4" w:space="0" w:color="A6A6A6" w:themeColor="background1" w:themeShade="A6"/>
            </w:tcBorders>
          </w:tcPr>
          <w:p w:rsidR="00ED6788" w:rsidRPr="0013762F" w:rsidRDefault="00ED6788" w:rsidP="00B80F72">
            <w:pPr>
              <w:pStyle w:val="TableText"/>
              <w:spacing w:before="0"/>
              <w:ind w:right="142"/>
            </w:pPr>
            <w:r w:rsidRPr="00EC2733">
              <w:t>The number of training courses, workshops and forums provided to public health statutory officers from DHB public health units during the year</w:t>
            </w:r>
          </w:p>
        </w:tc>
        <w:tc>
          <w:tcPr>
            <w:tcW w:w="553" w:type="pct"/>
            <w:tcBorders>
              <w:top w:val="nil"/>
              <w:bottom w:val="single" w:sz="4" w:space="0" w:color="A6A6A6" w:themeColor="background1" w:themeShade="A6"/>
            </w:tcBorders>
          </w:tcPr>
          <w:p w:rsidR="00ED6788" w:rsidRDefault="00ED6788" w:rsidP="00B80F72">
            <w:pPr>
              <w:pStyle w:val="TableText"/>
              <w:spacing w:before="0"/>
              <w:ind w:right="142"/>
              <w:jc w:val="right"/>
            </w:pPr>
            <w:r w:rsidRPr="00451C7D">
              <w:t>15</w:t>
            </w:r>
          </w:p>
        </w:tc>
        <w:tc>
          <w:tcPr>
            <w:tcW w:w="887" w:type="pct"/>
            <w:tcBorders>
              <w:top w:val="nil"/>
              <w:bottom w:val="single" w:sz="4" w:space="0" w:color="A6A6A6" w:themeColor="background1" w:themeShade="A6"/>
            </w:tcBorders>
            <w:shd w:val="clear" w:color="auto" w:fill="D9D9D9"/>
          </w:tcPr>
          <w:p w:rsidR="00ED6788" w:rsidRDefault="00ED6788" w:rsidP="00B80F72">
            <w:pPr>
              <w:pStyle w:val="TableText"/>
              <w:spacing w:before="0"/>
              <w:ind w:right="142"/>
              <w:jc w:val="right"/>
            </w:pPr>
            <w:r>
              <w:t>16</w:t>
            </w:r>
          </w:p>
        </w:tc>
      </w:tr>
      <w:tr w:rsidR="00ED6788" w:rsidRPr="002C0E8B" w:rsidTr="00B80F72">
        <w:trPr>
          <w:cantSplit/>
        </w:trPr>
        <w:tc>
          <w:tcPr>
            <w:tcW w:w="757" w:type="pct"/>
            <w:tcBorders>
              <w:top w:val="single" w:sz="4" w:space="0" w:color="A6A6A6" w:themeColor="background1" w:themeShade="A6"/>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tcBorders>
          </w:tcPr>
          <w:p w:rsidR="00ED6788" w:rsidRPr="00AB69C4" w:rsidRDefault="00ED6788" w:rsidP="00BE4AB3">
            <w:pPr>
              <w:pStyle w:val="TableText"/>
              <w:ind w:right="142"/>
              <w:rPr>
                <w:b/>
              </w:rPr>
            </w:pPr>
            <w:r w:rsidRPr="00D866D4">
              <w:rPr>
                <w:b/>
                <w:bCs/>
                <w:lang w:eastAsia="en-NZ"/>
              </w:rPr>
              <w:t xml:space="preserve">Increased </w:t>
            </w:r>
            <w:r w:rsidR="00BE4AB3">
              <w:rPr>
                <w:b/>
                <w:bCs/>
                <w:lang w:eastAsia="en-NZ"/>
              </w:rPr>
              <w:t>c</w:t>
            </w:r>
            <w:r w:rsidRPr="00D866D4">
              <w:rPr>
                <w:b/>
                <w:bCs/>
                <w:lang w:eastAsia="en-NZ"/>
              </w:rPr>
              <w:t>ompliance with Sale and Supply of Liquor Act</w:t>
            </w:r>
          </w:p>
        </w:tc>
        <w:tc>
          <w:tcPr>
            <w:tcW w:w="553" w:type="pct"/>
            <w:tcBorders>
              <w:top w:val="single" w:sz="4" w:space="0" w:color="A6A6A6" w:themeColor="background1" w:themeShade="A6"/>
            </w:tcBorders>
          </w:tcPr>
          <w:p w:rsidR="00ED6788" w:rsidRPr="002C0E8B" w:rsidRDefault="00ED6788" w:rsidP="00C25CC8">
            <w:pPr>
              <w:pStyle w:val="TableText"/>
              <w:ind w:right="142"/>
              <w:jc w:val="right"/>
            </w:pPr>
          </w:p>
        </w:tc>
        <w:tc>
          <w:tcPr>
            <w:tcW w:w="887" w:type="pct"/>
            <w:tcBorders>
              <w:top w:val="single" w:sz="4" w:space="0" w:color="A6A6A6" w:themeColor="background1" w:themeShade="A6"/>
            </w:tcBorders>
            <w:shd w:val="clear" w:color="auto" w:fill="D9D9D9"/>
          </w:tcPr>
          <w:p w:rsidR="00ED6788" w:rsidRPr="002C0E8B" w:rsidRDefault="00ED6788" w:rsidP="00C25CC8">
            <w:pPr>
              <w:pStyle w:val="TableText"/>
              <w:ind w:right="142"/>
              <w:jc w:val="right"/>
            </w:pPr>
          </w:p>
        </w:tc>
      </w:tr>
      <w:tr w:rsidR="00ED6788" w:rsidRPr="002C0E8B" w:rsidTr="00BE4AB3">
        <w:trPr>
          <w:cantSplit/>
        </w:trPr>
        <w:tc>
          <w:tcPr>
            <w:tcW w:w="757" w:type="pct"/>
            <w:tcBorders>
              <w:bottom w:val="single" w:sz="4" w:space="0" w:color="A6A6A6" w:themeColor="background1" w:themeShade="A6"/>
            </w:tcBorders>
          </w:tcPr>
          <w:p w:rsidR="00ED6788" w:rsidRPr="002C0E8B" w:rsidRDefault="00ED6788" w:rsidP="00B80F72">
            <w:pPr>
              <w:pStyle w:val="TableText"/>
              <w:spacing w:before="0"/>
              <w:ind w:right="284"/>
              <w:jc w:val="right"/>
            </w:pPr>
            <w:r>
              <w:t>92%</w:t>
            </w:r>
          </w:p>
        </w:tc>
        <w:tc>
          <w:tcPr>
            <w:tcW w:w="2804" w:type="pct"/>
            <w:tcBorders>
              <w:bottom w:val="single" w:sz="4" w:space="0" w:color="A6A6A6" w:themeColor="background1" w:themeShade="A6"/>
            </w:tcBorders>
          </w:tcPr>
          <w:p w:rsidR="00ED6788" w:rsidRPr="002C0E8B" w:rsidRDefault="00ED6788" w:rsidP="00B80F72">
            <w:pPr>
              <w:pStyle w:val="TableText"/>
              <w:spacing w:before="0"/>
              <w:ind w:right="142"/>
            </w:pPr>
            <w:r w:rsidRPr="00D866D4">
              <w:t>All applications and renewals for alcohol licences were enquired into and where any matters in opposition were identified these were reported to the relevant licensing committee within 15</w:t>
            </w:r>
            <w:r w:rsidR="00B80F72">
              <w:t> </w:t>
            </w:r>
            <w:r w:rsidRPr="00D866D4">
              <w:t>day</w:t>
            </w:r>
            <w:r>
              <w:t>s</w:t>
            </w:r>
          </w:p>
        </w:tc>
        <w:tc>
          <w:tcPr>
            <w:tcW w:w="553" w:type="pct"/>
            <w:tcBorders>
              <w:bottom w:val="single" w:sz="4" w:space="0" w:color="A6A6A6" w:themeColor="background1" w:themeShade="A6"/>
            </w:tcBorders>
          </w:tcPr>
          <w:p w:rsidR="00ED6788" w:rsidRPr="002C0E8B" w:rsidRDefault="00ED6788" w:rsidP="00B80F72">
            <w:pPr>
              <w:pStyle w:val="TableText"/>
              <w:spacing w:before="0"/>
              <w:ind w:right="142"/>
              <w:jc w:val="right"/>
            </w:pPr>
            <w:r>
              <w:t>90%</w:t>
            </w:r>
          </w:p>
        </w:tc>
        <w:tc>
          <w:tcPr>
            <w:tcW w:w="887" w:type="pct"/>
            <w:tcBorders>
              <w:bottom w:val="single" w:sz="4" w:space="0" w:color="A6A6A6" w:themeColor="background1" w:themeShade="A6"/>
            </w:tcBorders>
            <w:shd w:val="clear" w:color="auto" w:fill="D9D9D9"/>
          </w:tcPr>
          <w:p w:rsidR="00ED6788" w:rsidRPr="00D155EF" w:rsidRDefault="00ED6788" w:rsidP="00B80F72">
            <w:pPr>
              <w:pStyle w:val="TableText"/>
              <w:spacing w:before="0"/>
              <w:ind w:right="142"/>
              <w:jc w:val="right"/>
            </w:pPr>
            <w:r>
              <w:t>91%</w:t>
            </w:r>
          </w:p>
        </w:tc>
      </w:tr>
      <w:tr w:rsidR="00ED6788" w:rsidRPr="002C0E8B" w:rsidTr="00BE4AB3">
        <w:trPr>
          <w:cantSplit/>
        </w:trPr>
        <w:tc>
          <w:tcPr>
            <w:tcW w:w="757"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bottom w:val="nil"/>
            </w:tcBorders>
          </w:tcPr>
          <w:p w:rsidR="00ED6788" w:rsidRPr="00AB69C4" w:rsidRDefault="00ED6788" w:rsidP="00BE4AB3">
            <w:pPr>
              <w:pStyle w:val="TableText"/>
              <w:ind w:right="142"/>
              <w:rPr>
                <w:b/>
              </w:rPr>
            </w:pPr>
            <w:r w:rsidRPr="00D866D4">
              <w:rPr>
                <w:b/>
                <w:bCs/>
                <w:lang w:eastAsia="en-NZ"/>
              </w:rPr>
              <w:t xml:space="preserve">Services for </w:t>
            </w:r>
            <w:r w:rsidR="00BE4AB3">
              <w:rPr>
                <w:b/>
                <w:bCs/>
                <w:lang w:eastAsia="en-NZ"/>
              </w:rPr>
              <w:t>c</w:t>
            </w:r>
            <w:r w:rsidRPr="00D866D4">
              <w:rPr>
                <w:b/>
                <w:bCs/>
                <w:lang w:eastAsia="en-NZ"/>
              </w:rPr>
              <w:t>hildren</w:t>
            </w:r>
          </w:p>
        </w:tc>
        <w:tc>
          <w:tcPr>
            <w:tcW w:w="553" w:type="pct"/>
            <w:tcBorders>
              <w:top w:val="single" w:sz="4" w:space="0" w:color="A6A6A6" w:themeColor="background1" w:themeShade="A6"/>
              <w:bottom w:val="nil"/>
            </w:tcBorders>
          </w:tcPr>
          <w:p w:rsidR="00ED6788" w:rsidRPr="002C0E8B" w:rsidRDefault="00ED6788" w:rsidP="00C25CC8">
            <w:pPr>
              <w:pStyle w:val="TableT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BE4AB3">
        <w:trPr>
          <w:cantSplit/>
        </w:trPr>
        <w:tc>
          <w:tcPr>
            <w:tcW w:w="757" w:type="pct"/>
            <w:tcBorders>
              <w:top w:val="nil"/>
              <w:bottom w:val="nil"/>
            </w:tcBorders>
          </w:tcPr>
          <w:p w:rsidR="00ED6788" w:rsidRPr="002C0E8B" w:rsidRDefault="00ED6788" w:rsidP="00B80F72">
            <w:pPr>
              <w:pStyle w:val="TableText"/>
              <w:spacing w:before="0"/>
              <w:ind w:right="284"/>
              <w:jc w:val="right"/>
            </w:pPr>
          </w:p>
        </w:tc>
        <w:tc>
          <w:tcPr>
            <w:tcW w:w="2804" w:type="pct"/>
            <w:tcBorders>
              <w:top w:val="nil"/>
              <w:bottom w:val="nil"/>
            </w:tcBorders>
          </w:tcPr>
          <w:p w:rsidR="00ED6788" w:rsidRPr="00220DB1" w:rsidRDefault="00ED6788" w:rsidP="00B80F72">
            <w:pPr>
              <w:pStyle w:val="TableText"/>
              <w:spacing w:before="0"/>
              <w:ind w:right="142"/>
              <w:rPr>
                <w:b/>
                <w:i/>
              </w:rPr>
            </w:pPr>
            <w:r w:rsidRPr="00220DB1">
              <w:rPr>
                <w:b/>
                <w:i/>
              </w:rPr>
              <w:t>The proportion of infants exclusively and fully breastfeeding at:</w:t>
            </w:r>
          </w:p>
        </w:tc>
        <w:tc>
          <w:tcPr>
            <w:tcW w:w="553" w:type="pct"/>
            <w:tcBorders>
              <w:top w:val="nil"/>
              <w:bottom w:val="nil"/>
            </w:tcBorders>
          </w:tcPr>
          <w:p w:rsidR="00ED6788" w:rsidRPr="002C0E8B" w:rsidRDefault="00ED6788" w:rsidP="00B80F72">
            <w:pPr>
              <w:pStyle w:val="TableText"/>
              <w:spacing w:before="0"/>
              <w:ind w:right="142"/>
              <w:jc w:val="right"/>
            </w:pPr>
          </w:p>
        </w:tc>
        <w:tc>
          <w:tcPr>
            <w:tcW w:w="887" w:type="pct"/>
            <w:tcBorders>
              <w:top w:val="nil"/>
              <w:bottom w:val="nil"/>
            </w:tcBorders>
            <w:shd w:val="clear" w:color="auto" w:fill="D9D9D9"/>
          </w:tcPr>
          <w:p w:rsidR="00ED6788" w:rsidRPr="00D155EF" w:rsidRDefault="00ED6788" w:rsidP="00B80F72">
            <w:pPr>
              <w:pStyle w:val="TableText"/>
              <w:spacing w:before="0"/>
              <w:ind w:right="142"/>
              <w:jc w:val="right"/>
            </w:pPr>
          </w:p>
        </w:tc>
      </w:tr>
      <w:tr w:rsidR="00ED6788" w:rsidRPr="002C0E8B" w:rsidTr="00BE4AB3">
        <w:trPr>
          <w:cantSplit/>
        </w:trPr>
        <w:tc>
          <w:tcPr>
            <w:tcW w:w="757" w:type="pct"/>
            <w:tcBorders>
              <w:top w:val="nil"/>
              <w:bottom w:val="nil"/>
            </w:tcBorders>
          </w:tcPr>
          <w:p w:rsidR="00ED6788" w:rsidRPr="002C0E8B" w:rsidRDefault="00ED6788" w:rsidP="00B80F72">
            <w:pPr>
              <w:pStyle w:val="TableText"/>
              <w:spacing w:before="0"/>
              <w:ind w:right="284"/>
              <w:jc w:val="right"/>
            </w:pPr>
            <w:r>
              <w:t>76%</w:t>
            </w:r>
          </w:p>
        </w:tc>
        <w:tc>
          <w:tcPr>
            <w:tcW w:w="2804" w:type="pct"/>
            <w:tcBorders>
              <w:top w:val="nil"/>
              <w:bottom w:val="nil"/>
            </w:tcBorders>
          </w:tcPr>
          <w:p w:rsidR="00ED6788" w:rsidRPr="003B1344" w:rsidRDefault="00ED6788" w:rsidP="00B80F72">
            <w:pPr>
              <w:pStyle w:val="TableText"/>
              <w:spacing w:before="0"/>
              <w:ind w:right="142"/>
            </w:pPr>
            <w:r w:rsidRPr="003B1344">
              <w:t>Six weeks</w:t>
            </w:r>
          </w:p>
        </w:tc>
        <w:tc>
          <w:tcPr>
            <w:tcW w:w="553" w:type="pct"/>
            <w:tcBorders>
              <w:top w:val="nil"/>
              <w:bottom w:val="nil"/>
            </w:tcBorders>
          </w:tcPr>
          <w:p w:rsidR="00ED6788" w:rsidRPr="006E5586" w:rsidRDefault="00ED6788" w:rsidP="00B80F72">
            <w:pPr>
              <w:pStyle w:val="TableText"/>
              <w:spacing w:before="0"/>
              <w:ind w:right="142"/>
              <w:jc w:val="right"/>
            </w:pPr>
            <w:r w:rsidRPr="006E5586">
              <w:t>76%</w:t>
            </w:r>
          </w:p>
        </w:tc>
        <w:tc>
          <w:tcPr>
            <w:tcW w:w="887" w:type="pct"/>
            <w:tcBorders>
              <w:top w:val="nil"/>
              <w:bottom w:val="nil"/>
            </w:tcBorders>
            <w:shd w:val="clear" w:color="auto" w:fill="D9D9D9"/>
          </w:tcPr>
          <w:p w:rsidR="00ED6788" w:rsidRPr="00DE4CF8" w:rsidRDefault="00ED6788" w:rsidP="00B80F72">
            <w:pPr>
              <w:pStyle w:val="TableText"/>
              <w:spacing w:before="0"/>
              <w:ind w:right="142"/>
              <w:jc w:val="right"/>
            </w:pPr>
            <w:r w:rsidRPr="00DE4CF8">
              <w:t>7</w:t>
            </w:r>
            <w:r>
              <w:t>4</w:t>
            </w:r>
            <w:r w:rsidRPr="00DE4CF8">
              <w:t>%</w:t>
            </w:r>
          </w:p>
        </w:tc>
      </w:tr>
      <w:tr w:rsidR="00ED6788" w:rsidRPr="002C0E8B" w:rsidTr="00BE4AB3">
        <w:trPr>
          <w:cantSplit/>
          <w:trHeight w:val="173"/>
        </w:trPr>
        <w:tc>
          <w:tcPr>
            <w:tcW w:w="757" w:type="pct"/>
            <w:tcBorders>
              <w:top w:val="nil"/>
              <w:bottom w:val="nil"/>
            </w:tcBorders>
          </w:tcPr>
          <w:p w:rsidR="00ED6788" w:rsidRDefault="00ED6788" w:rsidP="00B80F72">
            <w:pPr>
              <w:pStyle w:val="TableText"/>
              <w:spacing w:before="0"/>
              <w:ind w:right="284"/>
              <w:jc w:val="right"/>
            </w:pPr>
            <w:r>
              <w:t>55%</w:t>
            </w:r>
          </w:p>
        </w:tc>
        <w:tc>
          <w:tcPr>
            <w:tcW w:w="2804" w:type="pct"/>
            <w:tcBorders>
              <w:top w:val="nil"/>
              <w:bottom w:val="nil"/>
            </w:tcBorders>
          </w:tcPr>
          <w:p w:rsidR="00ED6788" w:rsidRPr="003B1344" w:rsidRDefault="00ED6788" w:rsidP="00B80F72">
            <w:pPr>
              <w:pStyle w:val="TableText"/>
              <w:spacing w:before="0"/>
              <w:ind w:right="142"/>
            </w:pPr>
            <w:r w:rsidRPr="003B1344">
              <w:t>Three months</w:t>
            </w:r>
          </w:p>
        </w:tc>
        <w:tc>
          <w:tcPr>
            <w:tcW w:w="553" w:type="pct"/>
            <w:tcBorders>
              <w:top w:val="nil"/>
              <w:bottom w:val="nil"/>
            </w:tcBorders>
          </w:tcPr>
          <w:p w:rsidR="00ED6788" w:rsidRPr="006E5586" w:rsidRDefault="00ED6788" w:rsidP="00B80F72">
            <w:pPr>
              <w:pStyle w:val="TableText"/>
              <w:spacing w:before="0"/>
              <w:ind w:right="142"/>
              <w:jc w:val="right"/>
            </w:pPr>
            <w:r w:rsidRPr="006E5586">
              <w:t>57%</w:t>
            </w:r>
          </w:p>
        </w:tc>
        <w:tc>
          <w:tcPr>
            <w:tcW w:w="887" w:type="pct"/>
            <w:tcBorders>
              <w:top w:val="nil"/>
              <w:bottom w:val="nil"/>
            </w:tcBorders>
            <w:shd w:val="clear" w:color="auto" w:fill="D9D9D9"/>
          </w:tcPr>
          <w:p w:rsidR="00ED6788" w:rsidRDefault="00ED6788" w:rsidP="00B80F72">
            <w:pPr>
              <w:pStyle w:val="TableText"/>
              <w:spacing w:before="0"/>
              <w:ind w:right="142"/>
              <w:jc w:val="right"/>
            </w:pPr>
            <w:r w:rsidRPr="00DE4CF8">
              <w:t>5</w:t>
            </w:r>
            <w:r>
              <w:t>5</w:t>
            </w:r>
            <w:r w:rsidRPr="00DE4CF8">
              <w:t>%</w:t>
            </w:r>
          </w:p>
        </w:tc>
      </w:tr>
      <w:tr w:rsidR="00ED6788" w:rsidRPr="002C0E8B" w:rsidTr="00BE4AB3">
        <w:trPr>
          <w:cantSplit/>
        </w:trPr>
        <w:tc>
          <w:tcPr>
            <w:tcW w:w="757" w:type="pct"/>
            <w:tcBorders>
              <w:top w:val="nil"/>
              <w:bottom w:val="nil"/>
            </w:tcBorders>
          </w:tcPr>
          <w:p w:rsidR="00ED6788" w:rsidRDefault="00ED6788" w:rsidP="00B80F72">
            <w:pPr>
              <w:pStyle w:val="TableText"/>
              <w:spacing w:before="0"/>
              <w:ind w:right="284"/>
              <w:jc w:val="right"/>
            </w:pPr>
          </w:p>
        </w:tc>
        <w:tc>
          <w:tcPr>
            <w:tcW w:w="2804" w:type="pct"/>
            <w:tcBorders>
              <w:top w:val="nil"/>
              <w:bottom w:val="nil"/>
            </w:tcBorders>
          </w:tcPr>
          <w:p w:rsidR="00ED6788" w:rsidRPr="00D866D4" w:rsidRDefault="00ED6788" w:rsidP="00BE4AB3">
            <w:pPr>
              <w:pStyle w:val="TableText"/>
              <w:spacing w:before="0"/>
              <w:ind w:right="142"/>
              <w:rPr>
                <w:i/>
              </w:rPr>
            </w:pPr>
            <w:r w:rsidRPr="00D866D4">
              <w:rPr>
                <w:b/>
                <w:bCs/>
                <w:i/>
                <w:lang w:eastAsia="en-NZ"/>
              </w:rPr>
              <w:t xml:space="preserve">Other </w:t>
            </w:r>
            <w:r w:rsidR="00BE4AB3">
              <w:rPr>
                <w:b/>
                <w:bCs/>
                <w:i/>
                <w:lang w:eastAsia="en-NZ"/>
              </w:rPr>
              <w:t>c</w:t>
            </w:r>
            <w:r w:rsidRPr="00D866D4">
              <w:rPr>
                <w:b/>
                <w:bCs/>
                <w:i/>
                <w:lang w:eastAsia="en-NZ"/>
              </w:rPr>
              <w:t xml:space="preserve">hild and </w:t>
            </w:r>
            <w:r w:rsidR="00BE4AB3">
              <w:rPr>
                <w:b/>
                <w:bCs/>
                <w:i/>
                <w:lang w:eastAsia="en-NZ"/>
              </w:rPr>
              <w:t>y</w:t>
            </w:r>
            <w:r w:rsidRPr="00D866D4">
              <w:rPr>
                <w:b/>
                <w:bCs/>
                <w:i/>
                <w:lang w:eastAsia="en-NZ"/>
              </w:rPr>
              <w:t>outh</w:t>
            </w:r>
            <w:r w:rsidR="000845D9">
              <w:rPr>
                <w:b/>
                <w:bCs/>
                <w:i/>
                <w:lang w:eastAsia="en-NZ"/>
              </w:rPr>
              <w:t xml:space="preserve"> – </w:t>
            </w:r>
            <w:r w:rsidR="00BE4AB3">
              <w:rPr>
                <w:b/>
                <w:bCs/>
                <w:i/>
                <w:lang w:eastAsia="en-NZ"/>
              </w:rPr>
              <w:t>V</w:t>
            </w:r>
            <w:r w:rsidRPr="00D866D4">
              <w:rPr>
                <w:b/>
                <w:bCs/>
                <w:i/>
                <w:lang w:eastAsia="en-NZ"/>
              </w:rPr>
              <w:t xml:space="preserve">iolence </w:t>
            </w:r>
            <w:r w:rsidR="00BE4AB3">
              <w:rPr>
                <w:b/>
                <w:bCs/>
                <w:i/>
                <w:lang w:eastAsia="en-NZ"/>
              </w:rPr>
              <w:t>I</w:t>
            </w:r>
            <w:r w:rsidRPr="00D866D4">
              <w:rPr>
                <w:b/>
                <w:bCs/>
                <w:i/>
                <w:lang w:eastAsia="en-NZ"/>
              </w:rPr>
              <w:t>ntervention Programme</w:t>
            </w:r>
          </w:p>
        </w:tc>
        <w:tc>
          <w:tcPr>
            <w:tcW w:w="553" w:type="pct"/>
            <w:tcBorders>
              <w:top w:val="nil"/>
              <w:bottom w:val="nil"/>
            </w:tcBorders>
          </w:tcPr>
          <w:p w:rsidR="00ED6788" w:rsidRPr="006E5586" w:rsidRDefault="00ED6788" w:rsidP="00B80F72">
            <w:pPr>
              <w:pStyle w:val="TableText"/>
              <w:spacing w:before="0"/>
              <w:ind w:right="142"/>
              <w:jc w:val="right"/>
            </w:pPr>
          </w:p>
        </w:tc>
        <w:tc>
          <w:tcPr>
            <w:tcW w:w="887" w:type="pct"/>
            <w:tcBorders>
              <w:top w:val="nil"/>
              <w:bottom w:val="nil"/>
            </w:tcBorders>
            <w:shd w:val="clear" w:color="auto" w:fill="D9D9D9"/>
          </w:tcPr>
          <w:p w:rsidR="00ED6788" w:rsidRDefault="00ED6788" w:rsidP="00B80F72">
            <w:pPr>
              <w:pStyle w:val="TableText"/>
              <w:spacing w:before="0"/>
              <w:ind w:right="142"/>
              <w:jc w:val="right"/>
            </w:pPr>
          </w:p>
        </w:tc>
      </w:tr>
      <w:tr w:rsidR="00ED6788" w:rsidRPr="002C0E8B" w:rsidTr="00BE4AB3">
        <w:trPr>
          <w:cantSplit/>
        </w:trPr>
        <w:tc>
          <w:tcPr>
            <w:tcW w:w="757" w:type="pct"/>
            <w:tcBorders>
              <w:top w:val="nil"/>
              <w:bottom w:val="nil"/>
            </w:tcBorders>
          </w:tcPr>
          <w:p w:rsidR="00ED6788" w:rsidRDefault="00ED6788" w:rsidP="00B80F72">
            <w:pPr>
              <w:pStyle w:val="TableText"/>
              <w:ind w:right="284"/>
              <w:jc w:val="right"/>
            </w:pPr>
            <w:r>
              <w:t>95%</w:t>
            </w:r>
          </w:p>
        </w:tc>
        <w:tc>
          <w:tcPr>
            <w:tcW w:w="2804" w:type="pct"/>
            <w:tcBorders>
              <w:top w:val="nil"/>
              <w:bottom w:val="nil"/>
            </w:tcBorders>
          </w:tcPr>
          <w:p w:rsidR="00ED6788" w:rsidRPr="003B1344" w:rsidRDefault="00ED6788" w:rsidP="00B80F72">
            <w:pPr>
              <w:pStyle w:val="TableText"/>
              <w:ind w:right="142"/>
            </w:pPr>
            <w:r w:rsidRPr="003B1344">
              <w:t>DHBs achieve Violence Intervention Programme benchmark audits scores of 70/100</w:t>
            </w:r>
          </w:p>
        </w:tc>
        <w:tc>
          <w:tcPr>
            <w:tcW w:w="553" w:type="pct"/>
            <w:tcBorders>
              <w:top w:val="nil"/>
              <w:bottom w:val="nil"/>
            </w:tcBorders>
          </w:tcPr>
          <w:p w:rsidR="00ED6788" w:rsidRPr="006E5586" w:rsidRDefault="00ED6788" w:rsidP="00B80F72">
            <w:pPr>
              <w:pStyle w:val="TableText"/>
              <w:ind w:right="142"/>
              <w:jc w:val="right"/>
            </w:pPr>
            <w:r w:rsidRPr="006E5586">
              <w:t>90%</w:t>
            </w:r>
          </w:p>
        </w:tc>
        <w:tc>
          <w:tcPr>
            <w:tcW w:w="887" w:type="pct"/>
            <w:tcBorders>
              <w:top w:val="nil"/>
              <w:bottom w:val="nil"/>
            </w:tcBorders>
            <w:shd w:val="clear" w:color="auto" w:fill="D9D9D9"/>
          </w:tcPr>
          <w:p w:rsidR="00ED6788" w:rsidRPr="00012821" w:rsidRDefault="00ED6788" w:rsidP="00B80F72">
            <w:pPr>
              <w:pStyle w:val="TableText"/>
              <w:ind w:right="142"/>
              <w:jc w:val="right"/>
            </w:pPr>
            <w:r w:rsidRPr="00012821">
              <w:t>9</w:t>
            </w:r>
            <w:r>
              <w:t>5</w:t>
            </w:r>
            <w:r w:rsidRPr="00012821">
              <w:t>%</w:t>
            </w:r>
          </w:p>
        </w:tc>
      </w:tr>
      <w:tr w:rsidR="00ED6788" w:rsidRPr="002C0E8B" w:rsidTr="00BE4AB3">
        <w:trPr>
          <w:cantSplit/>
        </w:trPr>
        <w:tc>
          <w:tcPr>
            <w:tcW w:w="757" w:type="pct"/>
            <w:tcBorders>
              <w:top w:val="nil"/>
              <w:bottom w:val="single" w:sz="4" w:space="0" w:color="A6A6A6" w:themeColor="background1" w:themeShade="A6"/>
            </w:tcBorders>
          </w:tcPr>
          <w:p w:rsidR="00ED6788" w:rsidRDefault="00ED6788" w:rsidP="00B80F72">
            <w:pPr>
              <w:pStyle w:val="TableText"/>
              <w:spacing w:before="0"/>
              <w:ind w:right="284"/>
              <w:jc w:val="right"/>
            </w:pPr>
            <w:r>
              <w:t>95%</w:t>
            </w:r>
          </w:p>
        </w:tc>
        <w:tc>
          <w:tcPr>
            <w:tcW w:w="2804" w:type="pct"/>
            <w:tcBorders>
              <w:top w:val="nil"/>
              <w:bottom w:val="single" w:sz="4" w:space="0" w:color="A6A6A6" w:themeColor="background1" w:themeShade="A6"/>
            </w:tcBorders>
          </w:tcPr>
          <w:p w:rsidR="00ED6788" w:rsidRDefault="00ED6788" w:rsidP="00B80F72">
            <w:pPr>
              <w:pStyle w:val="TableText"/>
              <w:spacing w:before="0"/>
              <w:ind w:right="142"/>
            </w:pPr>
            <w:r w:rsidRPr="003B1344">
              <w:t>DHBs have improved programme responsiveness to Māori through implementation of their Whānau Ora plan</w:t>
            </w:r>
          </w:p>
        </w:tc>
        <w:tc>
          <w:tcPr>
            <w:tcW w:w="553" w:type="pct"/>
            <w:tcBorders>
              <w:top w:val="nil"/>
              <w:bottom w:val="single" w:sz="4" w:space="0" w:color="A6A6A6" w:themeColor="background1" w:themeShade="A6"/>
            </w:tcBorders>
          </w:tcPr>
          <w:p w:rsidR="00ED6788" w:rsidRDefault="00ED6788" w:rsidP="00B80F72">
            <w:pPr>
              <w:pStyle w:val="TableText"/>
              <w:spacing w:before="0"/>
              <w:ind w:right="142"/>
              <w:jc w:val="right"/>
            </w:pPr>
            <w:r w:rsidRPr="006E5586">
              <w:t>90%</w:t>
            </w:r>
          </w:p>
        </w:tc>
        <w:tc>
          <w:tcPr>
            <w:tcW w:w="887" w:type="pct"/>
            <w:tcBorders>
              <w:top w:val="nil"/>
              <w:bottom w:val="single" w:sz="4" w:space="0" w:color="A6A6A6" w:themeColor="background1" w:themeShade="A6"/>
            </w:tcBorders>
            <w:shd w:val="clear" w:color="auto" w:fill="D9D9D9"/>
          </w:tcPr>
          <w:p w:rsidR="00ED6788" w:rsidRDefault="00ED6788" w:rsidP="00B80F72">
            <w:pPr>
              <w:pStyle w:val="TableText"/>
              <w:spacing w:before="0"/>
              <w:ind w:right="142"/>
              <w:jc w:val="right"/>
            </w:pPr>
            <w:r>
              <w:t>91</w:t>
            </w:r>
            <w:r w:rsidRPr="00012821">
              <w:t>%</w:t>
            </w:r>
          </w:p>
        </w:tc>
      </w:tr>
      <w:tr w:rsidR="00ED6788" w:rsidRPr="002C0E8B" w:rsidTr="00BE4AB3">
        <w:trPr>
          <w:cantSplit/>
        </w:trPr>
        <w:tc>
          <w:tcPr>
            <w:tcW w:w="757" w:type="pct"/>
            <w:tcBorders>
              <w:top w:val="single" w:sz="4" w:space="0" w:color="A6A6A6" w:themeColor="background1" w:themeShade="A6"/>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tcBorders>
          </w:tcPr>
          <w:p w:rsidR="00ED6788" w:rsidRPr="00AB69C4" w:rsidRDefault="00ED6788" w:rsidP="00BE4AB3">
            <w:pPr>
              <w:pStyle w:val="TableText"/>
              <w:ind w:right="142"/>
              <w:rPr>
                <w:b/>
              </w:rPr>
            </w:pPr>
            <w:r w:rsidRPr="00D866D4">
              <w:rPr>
                <w:b/>
                <w:bCs/>
                <w:lang w:eastAsia="en-NZ"/>
              </w:rPr>
              <w:t xml:space="preserve">Drinking </w:t>
            </w:r>
            <w:r w:rsidR="00BE4AB3">
              <w:rPr>
                <w:b/>
                <w:bCs/>
                <w:lang w:eastAsia="en-NZ"/>
              </w:rPr>
              <w:t>w</w:t>
            </w:r>
            <w:r w:rsidRPr="00D866D4">
              <w:rPr>
                <w:b/>
                <w:bCs/>
                <w:lang w:eastAsia="en-NZ"/>
              </w:rPr>
              <w:t xml:space="preserve">ater </w:t>
            </w:r>
            <w:r w:rsidR="00BE4AB3">
              <w:rPr>
                <w:b/>
                <w:bCs/>
                <w:lang w:eastAsia="en-NZ"/>
              </w:rPr>
              <w:t>s</w:t>
            </w:r>
            <w:r w:rsidRPr="00D866D4">
              <w:rPr>
                <w:b/>
                <w:bCs/>
                <w:lang w:eastAsia="en-NZ"/>
              </w:rPr>
              <w:t>ubsidies</w:t>
            </w:r>
          </w:p>
        </w:tc>
        <w:tc>
          <w:tcPr>
            <w:tcW w:w="553" w:type="pct"/>
            <w:tcBorders>
              <w:top w:val="single" w:sz="4" w:space="0" w:color="A6A6A6" w:themeColor="background1" w:themeShade="A6"/>
            </w:tcBorders>
          </w:tcPr>
          <w:p w:rsidR="00ED6788" w:rsidRPr="002C0E8B" w:rsidRDefault="00ED6788" w:rsidP="00C25CC8">
            <w:pPr>
              <w:pStyle w:val="TableText"/>
              <w:ind w:right="142"/>
              <w:jc w:val="right"/>
            </w:pPr>
          </w:p>
        </w:tc>
        <w:tc>
          <w:tcPr>
            <w:tcW w:w="887" w:type="pct"/>
            <w:tcBorders>
              <w:top w:val="single" w:sz="4" w:space="0" w:color="A6A6A6" w:themeColor="background1" w:themeShade="A6"/>
            </w:tcBorders>
            <w:shd w:val="clear" w:color="auto" w:fill="D9D9D9"/>
          </w:tcPr>
          <w:p w:rsidR="00ED6788" w:rsidRPr="002C0E8B" w:rsidRDefault="00ED6788" w:rsidP="00C25CC8">
            <w:pPr>
              <w:pStyle w:val="TableText"/>
              <w:ind w:right="142"/>
              <w:jc w:val="right"/>
            </w:pPr>
          </w:p>
        </w:tc>
      </w:tr>
      <w:tr w:rsidR="00ED6788" w:rsidRPr="002C0E8B" w:rsidTr="00BE4AB3">
        <w:trPr>
          <w:cantSplit/>
        </w:trPr>
        <w:tc>
          <w:tcPr>
            <w:tcW w:w="757" w:type="pct"/>
            <w:tcBorders>
              <w:bottom w:val="single" w:sz="4" w:space="0" w:color="A6A6A6" w:themeColor="background1" w:themeShade="A6"/>
            </w:tcBorders>
          </w:tcPr>
          <w:p w:rsidR="00ED6788" w:rsidRPr="002C0E8B" w:rsidRDefault="00ED6788" w:rsidP="00B80F72">
            <w:pPr>
              <w:pStyle w:val="TableText"/>
              <w:spacing w:before="0"/>
              <w:ind w:right="284"/>
              <w:jc w:val="right"/>
            </w:pPr>
            <w:r>
              <w:t>100%</w:t>
            </w:r>
          </w:p>
        </w:tc>
        <w:tc>
          <w:tcPr>
            <w:tcW w:w="2804" w:type="pct"/>
            <w:tcBorders>
              <w:bottom w:val="single" w:sz="4" w:space="0" w:color="A6A6A6" w:themeColor="background1" w:themeShade="A6"/>
            </w:tcBorders>
          </w:tcPr>
          <w:p w:rsidR="00ED6788" w:rsidRPr="002C0E8B" w:rsidRDefault="00ED6788" w:rsidP="00B80F72">
            <w:pPr>
              <w:pStyle w:val="TableText"/>
              <w:spacing w:before="0"/>
              <w:ind w:right="142"/>
            </w:pPr>
            <w:r w:rsidRPr="00D866D4">
              <w:t>Percentage of applications approved by the Associate Minister that meet the Government</w:t>
            </w:r>
            <w:r w:rsidR="000845D9">
              <w:t>’</w:t>
            </w:r>
            <w:r w:rsidRPr="00D866D4">
              <w:t>s criteria</w:t>
            </w:r>
          </w:p>
        </w:tc>
        <w:tc>
          <w:tcPr>
            <w:tcW w:w="553" w:type="pct"/>
            <w:tcBorders>
              <w:bottom w:val="single" w:sz="4" w:space="0" w:color="A6A6A6" w:themeColor="background1" w:themeShade="A6"/>
            </w:tcBorders>
          </w:tcPr>
          <w:p w:rsidR="00ED6788" w:rsidRPr="002C0E8B" w:rsidRDefault="00ED6788" w:rsidP="00B80F72">
            <w:pPr>
              <w:pStyle w:val="TableText"/>
              <w:spacing w:before="0"/>
              <w:ind w:right="142"/>
              <w:jc w:val="right"/>
            </w:pPr>
            <w:r w:rsidRPr="00D866D4">
              <w:t>100%</w:t>
            </w:r>
          </w:p>
        </w:tc>
        <w:tc>
          <w:tcPr>
            <w:tcW w:w="887" w:type="pct"/>
            <w:tcBorders>
              <w:bottom w:val="single" w:sz="4" w:space="0" w:color="A6A6A6" w:themeColor="background1" w:themeShade="A6"/>
            </w:tcBorders>
            <w:shd w:val="clear" w:color="auto" w:fill="D9D9D9"/>
          </w:tcPr>
          <w:p w:rsidR="00ED6788" w:rsidRPr="00D155EF" w:rsidRDefault="00ED6788" w:rsidP="00B80F72">
            <w:pPr>
              <w:pStyle w:val="TableText"/>
              <w:spacing w:before="0"/>
              <w:ind w:right="142"/>
              <w:jc w:val="right"/>
            </w:pPr>
            <w:r>
              <w:t>100%</w:t>
            </w:r>
          </w:p>
        </w:tc>
      </w:tr>
      <w:tr w:rsidR="00ED6788" w:rsidRPr="002C0E8B" w:rsidTr="00BE4AB3">
        <w:trPr>
          <w:cantSplit/>
        </w:trPr>
        <w:tc>
          <w:tcPr>
            <w:tcW w:w="757"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bottom w:val="nil"/>
            </w:tcBorders>
          </w:tcPr>
          <w:p w:rsidR="00ED6788" w:rsidRPr="00AB69C4" w:rsidRDefault="00ED6788" w:rsidP="00BE4AB3">
            <w:pPr>
              <w:pStyle w:val="TableText"/>
              <w:ind w:right="142"/>
              <w:rPr>
                <w:b/>
              </w:rPr>
            </w:pPr>
            <w:r w:rsidRPr="0092039A">
              <w:rPr>
                <w:b/>
                <w:bCs/>
                <w:lang w:eastAsia="en-NZ"/>
              </w:rPr>
              <w:t xml:space="preserve">Community </w:t>
            </w:r>
            <w:r w:rsidR="00BE4AB3">
              <w:rPr>
                <w:b/>
                <w:bCs/>
                <w:lang w:eastAsia="en-NZ"/>
              </w:rPr>
              <w:t>a</w:t>
            </w:r>
            <w:r w:rsidRPr="0092039A">
              <w:rPr>
                <w:b/>
                <w:bCs/>
                <w:lang w:eastAsia="en-NZ"/>
              </w:rPr>
              <w:t xml:space="preserve">ction on </w:t>
            </w:r>
            <w:r w:rsidR="00BE4AB3">
              <w:rPr>
                <w:b/>
                <w:bCs/>
                <w:lang w:eastAsia="en-NZ"/>
              </w:rPr>
              <w:t>a</w:t>
            </w:r>
            <w:r w:rsidRPr="0092039A">
              <w:rPr>
                <w:b/>
                <w:bCs/>
                <w:lang w:eastAsia="en-NZ"/>
              </w:rPr>
              <w:t xml:space="preserve">lcohol and </w:t>
            </w:r>
            <w:r w:rsidR="00BE4AB3">
              <w:rPr>
                <w:b/>
                <w:bCs/>
                <w:lang w:eastAsia="en-NZ"/>
              </w:rPr>
              <w:t>d</w:t>
            </w:r>
            <w:r w:rsidRPr="0092039A">
              <w:rPr>
                <w:b/>
                <w:bCs/>
                <w:lang w:eastAsia="en-NZ"/>
              </w:rPr>
              <w:t>rugs</w:t>
            </w:r>
          </w:p>
        </w:tc>
        <w:tc>
          <w:tcPr>
            <w:tcW w:w="553" w:type="pct"/>
            <w:tcBorders>
              <w:top w:val="single" w:sz="4" w:space="0" w:color="A6A6A6" w:themeColor="background1" w:themeShade="A6"/>
              <w:bottom w:val="nil"/>
            </w:tcBorders>
          </w:tcPr>
          <w:p w:rsidR="00ED6788" w:rsidRPr="002C0E8B" w:rsidRDefault="00ED6788" w:rsidP="00C25CC8">
            <w:pPr>
              <w:pStyle w:val="TableT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BE4AB3">
        <w:trPr>
          <w:cantSplit/>
        </w:trPr>
        <w:tc>
          <w:tcPr>
            <w:tcW w:w="757" w:type="pct"/>
            <w:tcBorders>
              <w:top w:val="nil"/>
              <w:bottom w:val="single" w:sz="4" w:space="0" w:color="A6A6A6" w:themeColor="background1" w:themeShade="A6"/>
            </w:tcBorders>
          </w:tcPr>
          <w:p w:rsidR="00ED6788" w:rsidRPr="002C0E8B" w:rsidRDefault="00ED6788" w:rsidP="00BE4AB3">
            <w:pPr>
              <w:pStyle w:val="TableText"/>
              <w:spacing w:before="0"/>
              <w:ind w:right="284"/>
              <w:jc w:val="right"/>
            </w:pPr>
            <w:r>
              <w:t>100%</w:t>
            </w:r>
          </w:p>
        </w:tc>
        <w:tc>
          <w:tcPr>
            <w:tcW w:w="2804" w:type="pct"/>
            <w:tcBorders>
              <w:top w:val="nil"/>
              <w:bottom w:val="single" w:sz="4" w:space="0" w:color="A6A6A6" w:themeColor="background1" w:themeShade="A6"/>
            </w:tcBorders>
          </w:tcPr>
          <w:p w:rsidR="00ED6788" w:rsidRPr="002C0E8B" w:rsidRDefault="00ED6788" w:rsidP="00BE4AB3">
            <w:pPr>
              <w:pStyle w:val="TableText"/>
              <w:spacing w:before="0"/>
              <w:ind w:right="142"/>
            </w:pPr>
            <w:r w:rsidRPr="0092039A">
              <w:t>CAYAD service providers meet all contractual obligations and deliver services in accordance to quality specifications</w:t>
            </w:r>
          </w:p>
        </w:tc>
        <w:tc>
          <w:tcPr>
            <w:tcW w:w="553" w:type="pct"/>
            <w:tcBorders>
              <w:top w:val="nil"/>
              <w:bottom w:val="single" w:sz="4" w:space="0" w:color="A6A6A6" w:themeColor="background1" w:themeShade="A6"/>
            </w:tcBorders>
          </w:tcPr>
          <w:p w:rsidR="00ED6788" w:rsidRPr="002C0E8B" w:rsidRDefault="00ED6788" w:rsidP="00BE4AB3">
            <w:pPr>
              <w:pStyle w:val="TableText"/>
              <w:spacing w:before="0"/>
              <w:ind w:right="142"/>
              <w:jc w:val="right"/>
            </w:pPr>
            <w:r w:rsidRPr="0092039A">
              <w:t>100%</w:t>
            </w:r>
          </w:p>
        </w:tc>
        <w:tc>
          <w:tcPr>
            <w:tcW w:w="887" w:type="pct"/>
            <w:tcBorders>
              <w:top w:val="nil"/>
              <w:bottom w:val="single" w:sz="4" w:space="0" w:color="A6A6A6" w:themeColor="background1" w:themeShade="A6"/>
            </w:tcBorders>
            <w:shd w:val="clear" w:color="auto" w:fill="D9D9D9"/>
          </w:tcPr>
          <w:p w:rsidR="00ED6788" w:rsidRPr="00D155EF" w:rsidRDefault="00ED6788" w:rsidP="00BE4AB3">
            <w:pPr>
              <w:pStyle w:val="TableText"/>
              <w:spacing w:before="0"/>
              <w:ind w:right="142"/>
              <w:jc w:val="right"/>
            </w:pPr>
            <w:r>
              <w:t>100%</w:t>
            </w:r>
          </w:p>
        </w:tc>
      </w:tr>
      <w:tr w:rsidR="00ED6788" w:rsidRPr="002C0E8B" w:rsidTr="00BE4AB3">
        <w:trPr>
          <w:cantSplit/>
        </w:trPr>
        <w:tc>
          <w:tcPr>
            <w:tcW w:w="757" w:type="pct"/>
            <w:tcBorders>
              <w:top w:val="single" w:sz="4" w:space="0" w:color="A6A6A6" w:themeColor="background1" w:themeShade="A6"/>
              <w:bottom w:val="nil"/>
            </w:tcBorders>
          </w:tcPr>
          <w:p w:rsidR="00ED6788" w:rsidRPr="002C0E8B" w:rsidRDefault="00ED6788" w:rsidP="00BE4AB3">
            <w:pPr>
              <w:pStyle w:val="TableText"/>
              <w:keepNext/>
              <w:ind w:right="284"/>
              <w:jc w:val="right"/>
              <w:rPr>
                <w:bCs/>
                <w:lang w:eastAsia="en-NZ"/>
              </w:rPr>
            </w:pPr>
          </w:p>
        </w:tc>
        <w:tc>
          <w:tcPr>
            <w:tcW w:w="2804" w:type="pct"/>
            <w:tcBorders>
              <w:top w:val="single" w:sz="4" w:space="0" w:color="A6A6A6" w:themeColor="background1" w:themeShade="A6"/>
              <w:bottom w:val="nil"/>
            </w:tcBorders>
          </w:tcPr>
          <w:p w:rsidR="00ED6788" w:rsidRPr="00B10145" w:rsidRDefault="00ED6788" w:rsidP="00BE4AB3">
            <w:pPr>
              <w:pStyle w:val="TableText"/>
              <w:keepNext/>
              <w:ind w:right="142"/>
            </w:pPr>
            <w:r w:rsidRPr="004072E7">
              <w:rPr>
                <w:b/>
                <w:bCs/>
                <w:lang w:eastAsia="en-NZ"/>
              </w:rPr>
              <w:t xml:space="preserve">Rheumatic </w:t>
            </w:r>
            <w:r w:rsidR="00BE4AB3">
              <w:rPr>
                <w:b/>
                <w:bCs/>
                <w:lang w:eastAsia="en-NZ"/>
              </w:rPr>
              <w:t>f</w:t>
            </w:r>
            <w:r w:rsidRPr="004072E7">
              <w:rPr>
                <w:b/>
                <w:bCs/>
                <w:lang w:eastAsia="en-NZ"/>
              </w:rPr>
              <w:t>ever</w:t>
            </w:r>
          </w:p>
        </w:tc>
        <w:tc>
          <w:tcPr>
            <w:tcW w:w="553" w:type="pct"/>
            <w:tcBorders>
              <w:top w:val="single" w:sz="4" w:space="0" w:color="A6A6A6" w:themeColor="background1" w:themeShade="A6"/>
              <w:bottom w:val="nil"/>
            </w:tcBorders>
          </w:tcPr>
          <w:p w:rsidR="00ED6788" w:rsidRPr="002C0E8B" w:rsidRDefault="00ED6788" w:rsidP="00BE4AB3">
            <w:pPr>
              <w:pStyle w:val="TableText"/>
              <w:keepN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BE4AB3">
            <w:pPr>
              <w:pStyle w:val="TableText"/>
              <w:keepNext/>
              <w:ind w:right="142"/>
              <w:jc w:val="right"/>
            </w:pPr>
          </w:p>
        </w:tc>
      </w:tr>
      <w:tr w:rsidR="00ED6788" w:rsidRPr="002C0E8B" w:rsidTr="00BE4AB3">
        <w:trPr>
          <w:cantSplit/>
        </w:trPr>
        <w:tc>
          <w:tcPr>
            <w:tcW w:w="757" w:type="pct"/>
            <w:tcBorders>
              <w:top w:val="nil"/>
              <w:bottom w:val="single" w:sz="4" w:space="0" w:color="A6A6A6" w:themeColor="background1" w:themeShade="A6"/>
            </w:tcBorders>
          </w:tcPr>
          <w:p w:rsidR="00ED6788" w:rsidRPr="002C0E8B" w:rsidRDefault="00ED6788" w:rsidP="00BE4AB3">
            <w:pPr>
              <w:pStyle w:val="TableText"/>
              <w:spacing w:before="0"/>
              <w:ind w:right="284"/>
              <w:jc w:val="right"/>
            </w:pPr>
            <w:r>
              <w:t>100%</w:t>
            </w:r>
          </w:p>
        </w:tc>
        <w:tc>
          <w:tcPr>
            <w:tcW w:w="2804" w:type="pct"/>
            <w:tcBorders>
              <w:top w:val="nil"/>
              <w:bottom w:val="single" w:sz="4" w:space="0" w:color="A6A6A6" w:themeColor="background1" w:themeShade="A6"/>
            </w:tcBorders>
          </w:tcPr>
          <w:p w:rsidR="00ED6788" w:rsidRPr="00B10145" w:rsidRDefault="00ED6788" w:rsidP="00BE4AB3">
            <w:pPr>
              <w:pStyle w:val="TableText"/>
              <w:spacing w:before="0"/>
              <w:ind w:right="142"/>
            </w:pPr>
            <w:r w:rsidRPr="00B10145">
              <w:t>Providers of rheumatic fever prevention services with contracts over $500,000 per annum, deliver milestones in accordance with contract deliverables</w:t>
            </w:r>
          </w:p>
        </w:tc>
        <w:tc>
          <w:tcPr>
            <w:tcW w:w="553" w:type="pct"/>
            <w:tcBorders>
              <w:top w:val="nil"/>
              <w:bottom w:val="single" w:sz="4" w:space="0" w:color="A6A6A6" w:themeColor="background1" w:themeShade="A6"/>
            </w:tcBorders>
          </w:tcPr>
          <w:p w:rsidR="00ED6788" w:rsidRDefault="00ED6788" w:rsidP="00BE4AB3">
            <w:pPr>
              <w:pStyle w:val="TableText"/>
              <w:spacing w:before="0"/>
              <w:ind w:right="142"/>
              <w:jc w:val="right"/>
            </w:pPr>
            <w:r>
              <w:t>95%</w:t>
            </w:r>
          </w:p>
        </w:tc>
        <w:tc>
          <w:tcPr>
            <w:tcW w:w="887" w:type="pct"/>
            <w:tcBorders>
              <w:top w:val="nil"/>
              <w:bottom w:val="single" w:sz="4" w:space="0" w:color="A6A6A6" w:themeColor="background1" w:themeShade="A6"/>
            </w:tcBorders>
            <w:shd w:val="clear" w:color="auto" w:fill="D9D9D9"/>
          </w:tcPr>
          <w:p w:rsidR="00ED6788" w:rsidRPr="00D155EF" w:rsidRDefault="00ED6788" w:rsidP="00BE4AB3">
            <w:pPr>
              <w:pStyle w:val="TableText"/>
              <w:spacing w:before="0"/>
              <w:ind w:right="142"/>
              <w:jc w:val="right"/>
            </w:pPr>
            <w:r>
              <w:t>86</w:t>
            </w:r>
            <w:r w:rsidRPr="001848EC">
              <w:t>%</w:t>
            </w:r>
            <w:r w:rsidR="00BE4AB3">
              <w:br/>
            </w:r>
            <w:r>
              <w:t>see Note E</w:t>
            </w:r>
          </w:p>
        </w:tc>
      </w:tr>
      <w:tr w:rsidR="00ED6788" w:rsidRPr="002C0E8B" w:rsidTr="00BE4AB3">
        <w:trPr>
          <w:cantSplit/>
        </w:trPr>
        <w:tc>
          <w:tcPr>
            <w:tcW w:w="757" w:type="pct"/>
            <w:tcBorders>
              <w:top w:val="single" w:sz="4" w:space="0" w:color="A6A6A6" w:themeColor="background1" w:themeShade="A6"/>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tcBorders>
          </w:tcPr>
          <w:p w:rsidR="00ED6788" w:rsidRPr="00B10145" w:rsidRDefault="00ED6788" w:rsidP="00BE4AB3">
            <w:pPr>
              <w:pStyle w:val="TableText"/>
              <w:ind w:right="142"/>
            </w:pPr>
            <w:r w:rsidRPr="004072E7">
              <w:rPr>
                <w:b/>
                <w:bCs/>
                <w:lang w:eastAsia="en-NZ"/>
              </w:rPr>
              <w:t xml:space="preserve">Communicable </w:t>
            </w:r>
            <w:r w:rsidR="00BE4AB3">
              <w:rPr>
                <w:b/>
                <w:bCs/>
                <w:lang w:eastAsia="en-NZ"/>
              </w:rPr>
              <w:t>d</w:t>
            </w:r>
            <w:r w:rsidRPr="004072E7">
              <w:rPr>
                <w:b/>
                <w:bCs/>
                <w:lang w:eastAsia="en-NZ"/>
              </w:rPr>
              <w:t>iseases</w:t>
            </w:r>
          </w:p>
        </w:tc>
        <w:tc>
          <w:tcPr>
            <w:tcW w:w="553" w:type="pct"/>
            <w:tcBorders>
              <w:top w:val="single" w:sz="4" w:space="0" w:color="A6A6A6" w:themeColor="background1" w:themeShade="A6"/>
            </w:tcBorders>
          </w:tcPr>
          <w:p w:rsidR="00ED6788" w:rsidRDefault="00ED6788" w:rsidP="00C25CC8">
            <w:pPr>
              <w:pStyle w:val="TableText"/>
              <w:ind w:right="142"/>
              <w:jc w:val="right"/>
            </w:pPr>
          </w:p>
        </w:tc>
        <w:tc>
          <w:tcPr>
            <w:tcW w:w="887" w:type="pct"/>
            <w:tcBorders>
              <w:top w:val="single" w:sz="4" w:space="0" w:color="A6A6A6" w:themeColor="background1" w:themeShade="A6"/>
            </w:tcBorders>
            <w:shd w:val="clear" w:color="auto" w:fill="D9D9D9"/>
          </w:tcPr>
          <w:p w:rsidR="00ED6788" w:rsidRPr="002C0E8B" w:rsidRDefault="00ED6788" w:rsidP="00C25CC8">
            <w:pPr>
              <w:pStyle w:val="TableText"/>
              <w:ind w:right="142"/>
              <w:jc w:val="right"/>
            </w:pPr>
          </w:p>
        </w:tc>
      </w:tr>
      <w:tr w:rsidR="00ED6788" w:rsidRPr="002C0E8B" w:rsidTr="00BE4AB3">
        <w:trPr>
          <w:cantSplit/>
        </w:trPr>
        <w:tc>
          <w:tcPr>
            <w:tcW w:w="757" w:type="pct"/>
            <w:tcBorders>
              <w:bottom w:val="single" w:sz="4" w:space="0" w:color="A6A6A6" w:themeColor="background1" w:themeShade="A6"/>
            </w:tcBorders>
          </w:tcPr>
          <w:p w:rsidR="00ED6788" w:rsidRPr="002C0E8B" w:rsidRDefault="00ED6788" w:rsidP="00BE4AB3">
            <w:pPr>
              <w:pStyle w:val="TableText"/>
              <w:spacing w:before="0"/>
              <w:ind w:right="284"/>
              <w:jc w:val="right"/>
            </w:pPr>
            <w:r>
              <w:t>95%</w:t>
            </w:r>
          </w:p>
        </w:tc>
        <w:tc>
          <w:tcPr>
            <w:tcW w:w="2804" w:type="pct"/>
            <w:tcBorders>
              <w:bottom w:val="single" w:sz="4" w:space="0" w:color="A6A6A6" w:themeColor="background1" w:themeShade="A6"/>
            </w:tcBorders>
          </w:tcPr>
          <w:p w:rsidR="00ED6788" w:rsidRPr="00B10145" w:rsidRDefault="00ED6788" w:rsidP="00BE4AB3">
            <w:pPr>
              <w:pStyle w:val="TableText"/>
              <w:spacing w:before="0"/>
              <w:ind w:right="142"/>
            </w:pPr>
            <w:r w:rsidRPr="00B10145">
              <w:t>Providers of scientific advice, outbreak response and surveillance with contracts over $500,000 per annum, deliver milestones in accordance with contract requirements</w:t>
            </w:r>
          </w:p>
        </w:tc>
        <w:tc>
          <w:tcPr>
            <w:tcW w:w="553" w:type="pct"/>
            <w:tcBorders>
              <w:bottom w:val="single" w:sz="4" w:space="0" w:color="A6A6A6" w:themeColor="background1" w:themeShade="A6"/>
            </w:tcBorders>
          </w:tcPr>
          <w:p w:rsidR="00ED6788" w:rsidRDefault="00ED6788" w:rsidP="00BE4AB3">
            <w:pPr>
              <w:pStyle w:val="TableText"/>
              <w:spacing w:before="0"/>
              <w:ind w:right="142"/>
              <w:jc w:val="right"/>
            </w:pPr>
            <w:r>
              <w:t>95%</w:t>
            </w:r>
          </w:p>
        </w:tc>
        <w:tc>
          <w:tcPr>
            <w:tcW w:w="887" w:type="pct"/>
            <w:tcBorders>
              <w:bottom w:val="single" w:sz="4" w:space="0" w:color="A6A6A6" w:themeColor="background1" w:themeShade="A6"/>
            </w:tcBorders>
            <w:shd w:val="clear" w:color="auto" w:fill="D9D9D9"/>
          </w:tcPr>
          <w:p w:rsidR="00ED6788" w:rsidRPr="00D155EF" w:rsidRDefault="00ED6788" w:rsidP="00BE4AB3">
            <w:pPr>
              <w:pStyle w:val="TableText"/>
              <w:spacing w:before="0"/>
              <w:ind w:right="142"/>
              <w:jc w:val="right"/>
            </w:pPr>
            <w:r>
              <w:t>90</w:t>
            </w:r>
            <w:r w:rsidRPr="001848EC">
              <w:t>%</w:t>
            </w:r>
          </w:p>
        </w:tc>
      </w:tr>
      <w:tr w:rsidR="00ED6788" w:rsidRPr="002C0E8B" w:rsidTr="00BE4AB3">
        <w:trPr>
          <w:cantSplit/>
        </w:trPr>
        <w:tc>
          <w:tcPr>
            <w:tcW w:w="757"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bottom w:val="nil"/>
            </w:tcBorders>
          </w:tcPr>
          <w:p w:rsidR="00ED6788" w:rsidRPr="00B10145" w:rsidRDefault="00ED6788" w:rsidP="00B80F72">
            <w:pPr>
              <w:pStyle w:val="TableText"/>
              <w:ind w:right="142"/>
            </w:pPr>
            <w:r w:rsidRPr="004072E7">
              <w:rPr>
                <w:b/>
                <w:bCs/>
                <w:lang w:eastAsia="en-NZ"/>
              </w:rPr>
              <w:t>Immunisation</w:t>
            </w:r>
          </w:p>
        </w:tc>
        <w:tc>
          <w:tcPr>
            <w:tcW w:w="553" w:type="pct"/>
            <w:tcBorders>
              <w:top w:val="single" w:sz="4" w:space="0" w:color="A6A6A6" w:themeColor="background1" w:themeShade="A6"/>
              <w:bottom w:val="nil"/>
            </w:tcBorders>
          </w:tcPr>
          <w:p w:rsidR="00ED6788" w:rsidRDefault="00ED6788" w:rsidP="00C25CC8">
            <w:pPr>
              <w:pStyle w:val="TableT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BE4AB3">
        <w:trPr>
          <w:cantSplit/>
        </w:trPr>
        <w:tc>
          <w:tcPr>
            <w:tcW w:w="757" w:type="pct"/>
            <w:tcBorders>
              <w:top w:val="nil"/>
              <w:bottom w:val="single" w:sz="4" w:space="0" w:color="A6A6A6" w:themeColor="background1" w:themeShade="A6"/>
            </w:tcBorders>
          </w:tcPr>
          <w:p w:rsidR="00ED6788" w:rsidRPr="001848EC" w:rsidRDefault="00ED6788" w:rsidP="00BE4AB3">
            <w:pPr>
              <w:pStyle w:val="TableText"/>
              <w:spacing w:before="0"/>
              <w:ind w:right="284"/>
              <w:jc w:val="right"/>
              <w:rPr>
                <w:highlight w:val="yellow"/>
              </w:rPr>
            </w:pPr>
            <w:r w:rsidRPr="00C026F4">
              <w:t>New</w:t>
            </w:r>
          </w:p>
        </w:tc>
        <w:tc>
          <w:tcPr>
            <w:tcW w:w="2804" w:type="pct"/>
            <w:tcBorders>
              <w:top w:val="nil"/>
              <w:bottom w:val="single" w:sz="4" w:space="0" w:color="A6A6A6" w:themeColor="background1" w:themeShade="A6"/>
            </w:tcBorders>
          </w:tcPr>
          <w:p w:rsidR="00ED6788" w:rsidRPr="00B10145" w:rsidRDefault="00ED6788" w:rsidP="00BE4AB3">
            <w:pPr>
              <w:pStyle w:val="TableText"/>
              <w:spacing w:before="0"/>
              <w:ind w:right="142"/>
            </w:pPr>
            <w:r w:rsidRPr="00B10145">
              <w:t>Annual Influenza Immunisation Programme: Over 1 million people are vaccinated annually and 75% of over 65 year olds are immunised</w:t>
            </w:r>
          </w:p>
        </w:tc>
        <w:tc>
          <w:tcPr>
            <w:tcW w:w="553" w:type="pct"/>
            <w:tcBorders>
              <w:top w:val="nil"/>
              <w:bottom w:val="single" w:sz="4" w:space="0" w:color="A6A6A6" w:themeColor="background1" w:themeShade="A6"/>
            </w:tcBorders>
          </w:tcPr>
          <w:p w:rsidR="00ED6788" w:rsidRDefault="00ED6788" w:rsidP="00BE4AB3">
            <w:pPr>
              <w:pStyle w:val="TableText"/>
              <w:spacing w:before="0"/>
              <w:ind w:right="142"/>
              <w:jc w:val="right"/>
            </w:pPr>
            <w:r>
              <w:t>75%</w:t>
            </w:r>
          </w:p>
        </w:tc>
        <w:tc>
          <w:tcPr>
            <w:tcW w:w="887" w:type="pct"/>
            <w:tcBorders>
              <w:top w:val="nil"/>
              <w:bottom w:val="single" w:sz="4" w:space="0" w:color="A6A6A6" w:themeColor="background1" w:themeShade="A6"/>
            </w:tcBorders>
            <w:shd w:val="clear" w:color="auto" w:fill="D9D9D9"/>
          </w:tcPr>
          <w:p w:rsidR="00ED6788" w:rsidRPr="00D155EF" w:rsidRDefault="00ED6788" w:rsidP="00BE4AB3">
            <w:pPr>
              <w:pStyle w:val="TableText"/>
              <w:spacing w:before="0"/>
              <w:ind w:right="142"/>
              <w:jc w:val="right"/>
            </w:pPr>
            <w:r w:rsidRPr="001848EC">
              <w:t>6</w:t>
            </w:r>
            <w:r>
              <w:t>9</w:t>
            </w:r>
            <w:r w:rsidRPr="001848EC">
              <w:t>%</w:t>
            </w:r>
          </w:p>
        </w:tc>
      </w:tr>
      <w:tr w:rsidR="00ED6788" w:rsidRPr="002C0E8B" w:rsidTr="00BE4AB3">
        <w:trPr>
          <w:cantSplit/>
        </w:trPr>
        <w:tc>
          <w:tcPr>
            <w:tcW w:w="757" w:type="pct"/>
            <w:tcBorders>
              <w:top w:val="single" w:sz="4" w:space="0" w:color="A6A6A6" w:themeColor="background1" w:themeShade="A6"/>
            </w:tcBorders>
          </w:tcPr>
          <w:p w:rsidR="00ED6788" w:rsidRPr="001848EC" w:rsidRDefault="00ED6788" w:rsidP="00C25CC8">
            <w:pPr>
              <w:pStyle w:val="TableText"/>
              <w:ind w:right="284"/>
              <w:jc w:val="right"/>
              <w:rPr>
                <w:bCs/>
                <w:highlight w:val="yellow"/>
                <w:lang w:eastAsia="en-NZ"/>
              </w:rPr>
            </w:pPr>
          </w:p>
        </w:tc>
        <w:tc>
          <w:tcPr>
            <w:tcW w:w="2804" w:type="pct"/>
            <w:tcBorders>
              <w:top w:val="single" w:sz="4" w:space="0" w:color="A6A6A6" w:themeColor="background1" w:themeShade="A6"/>
            </w:tcBorders>
          </w:tcPr>
          <w:p w:rsidR="00ED6788" w:rsidRPr="00AB69C4" w:rsidRDefault="00ED6788" w:rsidP="00B80F72">
            <w:pPr>
              <w:pStyle w:val="TableText"/>
              <w:ind w:right="142"/>
              <w:rPr>
                <w:b/>
              </w:rPr>
            </w:pPr>
            <w:r w:rsidRPr="004072E7">
              <w:rPr>
                <w:b/>
                <w:bCs/>
                <w:lang w:eastAsia="en-NZ"/>
              </w:rPr>
              <w:t>Hepatitis Foundation</w:t>
            </w:r>
          </w:p>
        </w:tc>
        <w:tc>
          <w:tcPr>
            <w:tcW w:w="553" w:type="pct"/>
            <w:tcBorders>
              <w:top w:val="single" w:sz="4" w:space="0" w:color="A6A6A6" w:themeColor="background1" w:themeShade="A6"/>
            </w:tcBorders>
          </w:tcPr>
          <w:p w:rsidR="00ED6788" w:rsidRDefault="00ED6788" w:rsidP="00C25CC8">
            <w:pPr>
              <w:pStyle w:val="TableText"/>
              <w:ind w:right="142"/>
              <w:jc w:val="right"/>
            </w:pPr>
          </w:p>
        </w:tc>
        <w:tc>
          <w:tcPr>
            <w:tcW w:w="887" w:type="pct"/>
            <w:tcBorders>
              <w:top w:val="single" w:sz="4" w:space="0" w:color="A6A6A6" w:themeColor="background1" w:themeShade="A6"/>
            </w:tcBorders>
            <w:shd w:val="clear" w:color="auto" w:fill="D9D9D9"/>
          </w:tcPr>
          <w:p w:rsidR="00ED6788" w:rsidRPr="002C0E8B" w:rsidRDefault="00ED6788" w:rsidP="00C25CC8">
            <w:pPr>
              <w:pStyle w:val="TableText"/>
              <w:ind w:right="142"/>
              <w:jc w:val="right"/>
            </w:pPr>
          </w:p>
        </w:tc>
      </w:tr>
      <w:tr w:rsidR="00ED6788" w:rsidRPr="002C0E8B" w:rsidTr="00B80F72">
        <w:trPr>
          <w:cantSplit/>
        </w:trPr>
        <w:tc>
          <w:tcPr>
            <w:tcW w:w="757" w:type="pct"/>
          </w:tcPr>
          <w:p w:rsidR="00ED6788" w:rsidRPr="001848EC" w:rsidRDefault="00ED6788" w:rsidP="00BE4AB3">
            <w:pPr>
              <w:pStyle w:val="TableText"/>
              <w:spacing w:before="0"/>
              <w:ind w:right="284"/>
              <w:jc w:val="right"/>
            </w:pPr>
            <w:r w:rsidRPr="001848EC">
              <w:t>0</w:t>
            </w:r>
          </w:p>
        </w:tc>
        <w:tc>
          <w:tcPr>
            <w:tcW w:w="2804" w:type="pct"/>
          </w:tcPr>
          <w:p w:rsidR="00ED6788" w:rsidRPr="00E548B2" w:rsidRDefault="00ED6788" w:rsidP="00BE4AB3">
            <w:pPr>
              <w:pStyle w:val="TableText"/>
              <w:spacing w:before="0"/>
              <w:ind w:right="142"/>
            </w:pPr>
            <w:r w:rsidRPr="00E548B2">
              <w:t>The number of quarterly reports sent to the Ministry on time</w:t>
            </w:r>
          </w:p>
        </w:tc>
        <w:tc>
          <w:tcPr>
            <w:tcW w:w="553" w:type="pct"/>
          </w:tcPr>
          <w:p w:rsidR="00ED6788" w:rsidRDefault="00ED6788" w:rsidP="00BE4AB3">
            <w:pPr>
              <w:pStyle w:val="TableText"/>
              <w:spacing w:before="0"/>
              <w:ind w:right="142"/>
              <w:jc w:val="right"/>
            </w:pPr>
            <w:r>
              <w:t>4</w:t>
            </w:r>
          </w:p>
        </w:tc>
        <w:tc>
          <w:tcPr>
            <w:tcW w:w="887" w:type="pct"/>
            <w:shd w:val="clear" w:color="auto" w:fill="D9D9D9"/>
          </w:tcPr>
          <w:p w:rsidR="00ED6788" w:rsidRPr="00D155EF" w:rsidRDefault="00ED6788" w:rsidP="00BE4AB3">
            <w:pPr>
              <w:pStyle w:val="TableText"/>
              <w:spacing w:before="0"/>
              <w:ind w:right="142"/>
              <w:jc w:val="right"/>
            </w:pPr>
            <w:r>
              <w:t>3</w:t>
            </w:r>
          </w:p>
        </w:tc>
      </w:tr>
      <w:tr w:rsidR="00ED6788" w:rsidRPr="002C0E8B" w:rsidTr="00BE4AB3">
        <w:trPr>
          <w:cantSplit/>
        </w:trPr>
        <w:tc>
          <w:tcPr>
            <w:tcW w:w="757" w:type="pct"/>
            <w:tcBorders>
              <w:bottom w:val="single" w:sz="4" w:space="0" w:color="A6A6A6" w:themeColor="background1" w:themeShade="A6"/>
            </w:tcBorders>
          </w:tcPr>
          <w:p w:rsidR="00ED6788" w:rsidRPr="001848EC" w:rsidRDefault="00ED6788" w:rsidP="00BE4AB3">
            <w:pPr>
              <w:pStyle w:val="TableText"/>
              <w:spacing w:before="0"/>
              <w:ind w:right="284"/>
              <w:jc w:val="right"/>
            </w:pPr>
            <w:r w:rsidRPr="001848EC">
              <w:t>Overdue</w:t>
            </w:r>
          </w:p>
        </w:tc>
        <w:tc>
          <w:tcPr>
            <w:tcW w:w="2804" w:type="pct"/>
            <w:tcBorders>
              <w:bottom w:val="single" w:sz="4" w:space="0" w:color="A6A6A6" w:themeColor="background1" w:themeShade="A6"/>
            </w:tcBorders>
          </w:tcPr>
          <w:p w:rsidR="00ED6788" w:rsidRDefault="00ED6788" w:rsidP="00BE4AB3">
            <w:pPr>
              <w:pStyle w:val="TableText"/>
              <w:spacing w:before="0"/>
              <w:ind w:right="142"/>
            </w:pPr>
            <w:r w:rsidRPr="00E548B2">
              <w:t>Completion of Pilot Report by 30 June 2014 and National Implementation Plan by 30 July 2014</w:t>
            </w:r>
          </w:p>
        </w:tc>
        <w:tc>
          <w:tcPr>
            <w:tcW w:w="553" w:type="pct"/>
            <w:tcBorders>
              <w:bottom w:val="single" w:sz="4" w:space="0" w:color="A6A6A6" w:themeColor="background1" w:themeShade="A6"/>
            </w:tcBorders>
          </w:tcPr>
          <w:p w:rsidR="00ED6788" w:rsidRDefault="00ED6788" w:rsidP="00BE4AB3">
            <w:pPr>
              <w:pStyle w:val="TableText"/>
              <w:spacing w:before="0"/>
              <w:ind w:right="142"/>
              <w:jc w:val="right"/>
            </w:pPr>
            <w:r>
              <w:t>Achieved</w:t>
            </w:r>
          </w:p>
        </w:tc>
        <w:tc>
          <w:tcPr>
            <w:tcW w:w="887" w:type="pct"/>
            <w:tcBorders>
              <w:bottom w:val="single" w:sz="4" w:space="0" w:color="A6A6A6" w:themeColor="background1" w:themeShade="A6"/>
            </w:tcBorders>
            <w:shd w:val="clear" w:color="auto" w:fill="D9D9D9"/>
          </w:tcPr>
          <w:p w:rsidR="00ED6788" w:rsidRPr="00D155EF" w:rsidRDefault="00ED6788" w:rsidP="00BE4AB3">
            <w:pPr>
              <w:pStyle w:val="TableText"/>
              <w:spacing w:before="0"/>
              <w:ind w:right="142"/>
              <w:jc w:val="right"/>
            </w:pPr>
            <w:r>
              <w:t>Achieved</w:t>
            </w:r>
          </w:p>
        </w:tc>
      </w:tr>
      <w:tr w:rsidR="00ED6788" w:rsidRPr="002C0E8B" w:rsidTr="00BE4AB3">
        <w:trPr>
          <w:cantSplit/>
        </w:trPr>
        <w:tc>
          <w:tcPr>
            <w:tcW w:w="757"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bottom w:val="nil"/>
            </w:tcBorders>
          </w:tcPr>
          <w:p w:rsidR="00ED6788" w:rsidRPr="004072E7" w:rsidRDefault="00ED6788" w:rsidP="00BE4AB3">
            <w:pPr>
              <w:pStyle w:val="TableText"/>
              <w:ind w:right="142"/>
              <w:rPr>
                <w:b/>
                <w:bCs/>
                <w:lang w:eastAsia="en-NZ"/>
              </w:rPr>
            </w:pPr>
            <w:r w:rsidRPr="004072E7">
              <w:rPr>
                <w:b/>
                <w:bCs/>
                <w:lang w:eastAsia="en-NZ"/>
              </w:rPr>
              <w:t xml:space="preserve">Sexual and </w:t>
            </w:r>
            <w:r w:rsidR="00BE4AB3">
              <w:rPr>
                <w:b/>
                <w:bCs/>
                <w:lang w:eastAsia="en-NZ"/>
              </w:rPr>
              <w:t>r</w:t>
            </w:r>
            <w:r w:rsidRPr="004072E7">
              <w:rPr>
                <w:b/>
                <w:bCs/>
                <w:lang w:eastAsia="en-NZ"/>
              </w:rPr>
              <w:t xml:space="preserve">eproductive </w:t>
            </w:r>
            <w:r w:rsidR="00BE4AB3">
              <w:rPr>
                <w:b/>
                <w:bCs/>
                <w:lang w:eastAsia="en-NZ"/>
              </w:rPr>
              <w:t>h</w:t>
            </w:r>
            <w:r w:rsidRPr="004072E7">
              <w:rPr>
                <w:b/>
                <w:bCs/>
                <w:lang w:eastAsia="en-NZ"/>
              </w:rPr>
              <w:t>ealth</w:t>
            </w:r>
          </w:p>
        </w:tc>
        <w:tc>
          <w:tcPr>
            <w:tcW w:w="553" w:type="pct"/>
            <w:tcBorders>
              <w:top w:val="single" w:sz="4" w:space="0" w:color="A6A6A6" w:themeColor="background1" w:themeShade="A6"/>
              <w:bottom w:val="nil"/>
            </w:tcBorders>
          </w:tcPr>
          <w:p w:rsidR="00ED6788" w:rsidRPr="002C0E8B" w:rsidRDefault="00ED6788" w:rsidP="00C25CC8">
            <w:pPr>
              <w:pStyle w:val="TableT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BE4AB3">
        <w:trPr>
          <w:cantSplit/>
        </w:trPr>
        <w:tc>
          <w:tcPr>
            <w:tcW w:w="757" w:type="pct"/>
            <w:tcBorders>
              <w:top w:val="nil"/>
              <w:bottom w:val="nil"/>
            </w:tcBorders>
          </w:tcPr>
          <w:p w:rsidR="00ED6788" w:rsidRPr="002C0E8B" w:rsidRDefault="00ED6788" w:rsidP="00C25CC8">
            <w:pPr>
              <w:pStyle w:val="TableText"/>
              <w:ind w:right="284"/>
              <w:jc w:val="right"/>
            </w:pPr>
          </w:p>
        </w:tc>
        <w:tc>
          <w:tcPr>
            <w:tcW w:w="2804" w:type="pct"/>
            <w:tcBorders>
              <w:top w:val="nil"/>
              <w:bottom w:val="nil"/>
            </w:tcBorders>
          </w:tcPr>
          <w:p w:rsidR="00ED6788" w:rsidRPr="004072E7" w:rsidRDefault="00ED6788" w:rsidP="00B80F72">
            <w:pPr>
              <w:pStyle w:val="TableText"/>
              <w:ind w:right="142"/>
              <w:rPr>
                <w:b/>
                <w:bCs/>
                <w:i/>
                <w:lang w:eastAsia="en-NZ"/>
              </w:rPr>
            </w:pPr>
            <w:r w:rsidRPr="004072E7">
              <w:rPr>
                <w:b/>
                <w:bCs/>
                <w:i/>
                <w:lang w:eastAsia="en-NZ"/>
              </w:rPr>
              <w:t>New Zealand AIDS Foundation</w:t>
            </w:r>
          </w:p>
        </w:tc>
        <w:tc>
          <w:tcPr>
            <w:tcW w:w="553" w:type="pct"/>
            <w:tcBorders>
              <w:top w:val="nil"/>
              <w:bottom w:val="nil"/>
            </w:tcBorders>
          </w:tcPr>
          <w:p w:rsidR="00ED6788" w:rsidRPr="002C0E8B" w:rsidRDefault="00ED6788" w:rsidP="00C25CC8">
            <w:pPr>
              <w:pStyle w:val="TableText"/>
              <w:ind w:right="142"/>
              <w:jc w:val="right"/>
            </w:pPr>
          </w:p>
        </w:tc>
        <w:tc>
          <w:tcPr>
            <w:tcW w:w="887" w:type="pct"/>
            <w:tcBorders>
              <w:top w:val="nil"/>
              <w:bottom w:val="nil"/>
            </w:tcBorders>
            <w:shd w:val="clear" w:color="auto" w:fill="D9D9D9"/>
          </w:tcPr>
          <w:p w:rsidR="00ED6788" w:rsidRPr="00D155EF" w:rsidRDefault="00ED6788" w:rsidP="00C25CC8">
            <w:pPr>
              <w:pStyle w:val="TableText"/>
              <w:ind w:right="142"/>
              <w:jc w:val="right"/>
            </w:pPr>
          </w:p>
        </w:tc>
      </w:tr>
      <w:tr w:rsidR="00ED6788" w:rsidRPr="002C0E8B" w:rsidTr="00BE4AB3">
        <w:trPr>
          <w:cantSplit/>
        </w:trPr>
        <w:tc>
          <w:tcPr>
            <w:tcW w:w="757" w:type="pct"/>
            <w:tcBorders>
              <w:top w:val="nil"/>
              <w:bottom w:val="nil"/>
            </w:tcBorders>
          </w:tcPr>
          <w:p w:rsidR="00ED6788" w:rsidRPr="002C0E8B" w:rsidRDefault="00ED6788" w:rsidP="00BE4AB3">
            <w:pPr>
              <w:pStyle w:val="TableText"/>
              <w:spacing w:before="0"/>
              <w:ind w:right="284"/>
              <w:jc w:val="right"/>
            </w:pPr>
            <w:r>
              <w:t>100%</w:t>
            </w:r>
          </w:p>
        </w:tc>
        <w:tc>
          <w:tcPr>
            <w:tcW w:w="2804" w:type="pct"/>
            <w:tcBorders>
              <w:top w:val="nil"/>
              <w:bottom w:val="nil"/>
            </w:tcBorders>
          </w:tcPr>
          <w:p w:rsidR="00ED6788" w:rsidRPr="00374202" w:rsidRDefault="00ED6788" w:rsidP="00BE4AB3">
            <w:pPr>
              <w:pStyle w:val="TableText"/>
              <w:spacing w:before="0"/>
              <w:ind w:right="142"/>
            </w:pPr>
            <w:r w:rsidRPr="00374202">
              <w:t>The percentage of all clients tested for HIV/AIDS are provided with a pre and post counselling session</w:t>
            </w:r>
          </w:p>
        </w:tc>
        <w:tc>
          <w:tcPr>
            <w:tcW w:w="553" w:type="pct"/>
            <w:tcBorders>
              <w:top w:val="nil"/>
              <w:bottom w:val="nil"/>
            </w:tcBorders>
          </w:tcPr>
          <w:p w:rsidR="00ED6788" w:rsidRPr="003548DA" w:rsidRDefault="00ED6788" w:rsidP="00BE4AB3">
            <w:pPr>
              <w:pStyle w:val="TableText"/>
              <w:spacing w:before="0"/>
              <w:ind w:right="142"/>
              <w:jc w:val="right"/>
            </w:pPr>
            <w:r w:rsidRPr="003548DA">
              <w:t>100%</w:t>
            </w:r>
          </w:p>
        </w:tc>
        <w:tc>
          <w:tcPr>
            <w:tcW w:w="887" w:type="pct"/>
            <w:tcBorders>
              <w:top w:val="nil"/>
              <w:bottom w:val="nil"/>
            </w:tcBorders>
            <w:shd w:val="clear" w:color="auto" w:fill="D9D9D9"/>
          </w:tcPr>
          <w:p w:rsidR="00ED6788" w:rsidRPr="00644A2C" w:rsidRDefault="00ED6788" w:rsidP="00BE4AB3">
            <w:pPr>
              <w:pStyle w:val="TableText"/>
              <w:spacing w:before="0"/>
              <w:ind w:right="142"/>
              <w:jc w:val="right"/>
            </w:pPr>
            <w:r w:rsidRPr="00644A2C">
              <w:t>100%</w:t>
            </w:r>
          </w:p>
        </w:tc>
      </w:tr>
      <w:tr w:rsidR="00ED6788" w:rsidRPr="002C0E8B" w:rsidTr="00BE4AB3">
        <w:trPr>
          <w:cantSplit/>
        </w:trPr>
        <w:tc>
          <w:tcPr>
            <w:tcW w:w="757" w:type="pct"/>
            <w:tcBorders>
              <w:top w:val="nil"/>
              <w:bottom w:val="nil"/>
            </w:tcBorders>
          </w:tcPr>
          <w:p w:rsidR="00ED6788" w:rsidRDefault="00ED6788" w:rsidP="00BE4AB3">
            <w:pPr>
              <w:pStyle w:val="TableText"/>
              <w:spacing w:before="0"/>
              <w:ind w:right="284"/>
              <w:jc w:val="right"/>
            </w:pPr>
          </w:p>
        </w:tc>
        <w:tc>
          <w:tcPr>
            <w:tcW w:w="2804" w:type="pct"/>
            <w:tcBorders>
              <w:top w:val="nil"/>
              <w:bottom w:val="nil"/>
            </w:tcBorders>
          </w:tcPr>
          <w:p w:rsidR="00ED6788" w:rsidRPr="00374202" w:rsidRDefault="00ED6788" w:rsidP="00BE4AB3">
            <w:pPr>
              <w:pStyle w:val="TableText"/>
              <w:spacing w:before="0"/>
              <w:ind w:right="142"/>
            </w:pPr>
            <w:r w:rsidRPr="00374202">
              <w:t>Convene and facilitate National HIV/AIDS Forum</w:t>
            </w:r>
          </w:p>
        </w:tc>
        <w:tc>
          <w:tcPr>
            <w:tcW w:w="553" w:type="pct"/>
            <w:tcBorders>
              <w:top w:val="nil"/>
              <w:bottom w:val="nil"/>
            </w:tcBorders>
          </w:tcPr>
          <w:p w:rsidR="00ED6788" w:rsidRPr="003548DA" w:rsidRDefault="00ED6788" w:rsidP="00BE4AB3">
            <w:pPr>
              <w:pStyle w:val="TableText"/>
              <w:spacing w:before="0"/>
              <w:ind w:right="142"/>
              <w:jc w:val="right"/>
            </w:pPr>
            <w:r w:rsidRPr="003548DA">
              <w:t>Achieved</w:t>
            </w:r>
          </w:p>
        </w:tc>
        <w:tc>
          <w:tcPr>
            <w:tcW w:w="887" w:type="pct"/>
            <w:tcBorders>
              <w:top w:val="nil"/>
              <w:bottom w:val="nil"/>
            </w:tcBorders>
            <w:shd w:val="clear" w:color="auto" w:fill="D9D9D9"/>
          </w:tcPr>
          <w:p w:rsidR="00ED6788" w:rsidRDefault="00ED6788" w:rsidP="00BE4AB3">
            <w:pPr>
              <w:pStyle w:val="TableText"/>
              <w:spacing w:before="0"/>
              <w:ind w:right="142"/>
              <w:jc w:val="right"/>
            </w:pPr>
            <w:r w:rsidRPr="00644A2C">
              <w:t>Achieved</w:t>
            </w:r>
          </w:p>
        </w:tc>
      </w:tr>
      <w:tr w:rsidR="00ED6788" w:rsidRPr="002C0E8B" w:rsidTr="00BE4AB3">
        <w:trPr>
          <w:cantSplit/>
        </w:trPr>
        <w:tc>
          <w:tcPr>
            <w:tcW w:w="757" w:type="pct"/>
            <w:tcBorders>
              <w:top w:val="nil"/>
              <w:bottom w:val="nil"/>
            </w:tcBorders>
          </w:tcPr>
          <w:p w:rsidR="00ED6788" w:rsidRDefault="00ED6788" w:rsidP="00C25CC8">
            <w:pPr>
              <w:pStyle w:val="TableText"/>
              <w:ind w:right="284"/>
              <w:jc w:val="right"/>
            </w:pPr>
          </w:p>
        </w:tc>
        <w:tc>
          <w:tcPr>
            <w:tcW w:w="2804" w:type="pct"/>
            <w:tcBorders>
              <w:top w:val="nil"/>
              <w:bottom w:val="nil"/>
            </w:tcBorders>
          </w:tcPr>
          <w:p w:rsidR="00ED6788" w:rsidRPr="004072E7" w:rsidRDefault="00ED6788" w:rsidP="00B80F72">
            <w:pPr>
              <w:pStyle w:val="TableText"/>
              <w:ind w:right="142"/>
              <w:rPr>
                <w:i/>
              </w:rPr>
            </w:pPr>
            <w:r w:rsidRPr="004072E7">
              <w:rPr>
                <w:b/>
                <w:bCs/>
                <w:i/>
                <w:lang w:eastAsia="en-NZ"/>
              </w:rPr>
              <w:t>New Zealand Family Planning Association</w:t>
            </w:r>
          </w:p>
        </w:tc>
        <w:tc>
          <w:tcPr>
            <w:tcW w:w="553" w:type="pct"/>
            <w:tcBorders>
              <w:top w:val="nil"/>
              <w:bottom w:val="nil"/>
            </w:tcBorders>
          </w:tcPr>
          <w:p w:rsidR="00ED6788" w:rsidRPr="003548DA" w:rsidRDefault="00ED6788" w:rsidP="00C25CC8">
            <w:pPr>
              <w:pStyle w:val="TableText"/>
              <w:ind w:right="142"/>
              <w:jc w:val="right"/>
            </w:pPr>
          </w:p>
        </w:tc>
        <w:tc>
          <w:tcPr>
            <w:tcW w:w="887" w:type="pct"/>
            <w:tcBorders>
              <w:top w:val="nil"/>
              <w:bottom w:val="nil"/>
            </w:tcBorders>
            <w:shd w:val="clear" w:color="auto" w:fill="D9D9D9"/>
          </w:tcPr>
          <w:p w:rsidR="00ED6788" w:rsidRDefault="00ED6788" w:rsidP="00C25CC8">
            <w:pPr>
              <w:pStyle w:val="TableText"/>
              <w:ind w:right="142"/>
              <w:jc w:val="right"/>
            </w:pPr>
          </w:p>
        </w:tc>
      </w:tr>
      <w:tr w:rsidR="00ED6788" w:rsidRPr="002C0E8B" w:rsidTr="00BE4AB3">
        <w:trPr>
          <w:cantSplit/>
        </w:trPr>
        <w:tc>
          <w:tcPr>
            <w:tcW w:w="757" w:type="pct"/>
            <w:tcBorders>
              <w:top w:val="nil"/>
              <w:bottom w:val="nil"/>
            </w:tcBorders>
          </w:tcPr>
          <w:p w:rsidR="00ED6788" w:rsidRDefault="00ED6788" w:rsidP="00BE4AB3">
            <w:pPr>
              <w:pStyle w:val="TableText"/>
              <w:spacing w:before="0"/>
              <w:ind w:right="284"/>
              <w:jc w:val="right"/>
            </w:pPr>
            <w:r>
              <w:t>159,278</w:t>
            </w:r>
          </w:p>
        </w:tc>
        <w:tc>
          <w:tcPr>
            <w:tcW w:w="2804" w:type="pct"/>
            <w:tcBorders>
              <w:top w:val="nil"/>
              <w:bottom w:val="nil"/>
            </w:tcBorders>
          </w:tcPr>
          <w:p w:rsidR="00ED6788" w:rsidRPr="00374202" w:rsidRDefault="00ED6788" w:rsidP="00BE4AB3">
            <w:pPr>
              <w:pStyle w:val="TableText"/>
              <w:spacing w:before="0"/>
              <w:ind w:right="142"/>
            </w:pPr>
            <w:r w:rsidRPr="00374202">
              <w:t>The number of general consultations across the 17 DHB regions contracted to deliver services</w:t>
            </w:r>
          </w:p>
        </w:tc>
        <w:tc>
          <w:tcPr>
            <w:tcW w:w="553" w:type="pct"/>
            <w:tcBorders>
              <w:top w:val="nil"/>
              <w:bottom w:val="nil"/>
            </w:tcBorders>
          </w:tcPr>
          <w:p w:rsidR="00ED6788" w:rsidRPr="003548DA" w:rsidRDefault="00ED6788" w:rsidP="00BE4AB3">
            <w:pPr>
              <w:pStyle w:val="TableText"/>
              <w:spacing w:before="0"/>
              <w:ind w:right="142"/>
              <w:jc w:val="right"/>
            </w:pPr>
            <w:r w:rsidRPr="003548DA">
              <w:t>159,309</w:t>
            </w:r>
          </w:p>
        </w:tc>
        <w:tc>
          <w:tcPr>
            <w:tcW w:w="887" w:type="pct"/>
            <w:tcBorders>
              <w:top w:val="nil"/>
              <w:bottom w:val="nil"/>
            </w:tcBorders>
            <w:shd w:val="clear" w:color="auto" w:fill="D9D9D9"/>
          </w:tcPr>
          <w:p w:rsidR="00ED6788" w:rsidRDefault="00ED6788" w:rsidP="00BE4AB3">
            <w:pPr>
              <w:pStyle w:val="TableText"/>
              <w:spacing w:before="0"/>
              <w:ind w:right="142"/>
              <w:jc w:val="right"/>
            </w:pPr>
            <w:r>
              <w:t>158,245</w:t>
            </w:r>
          </w:p>
        </w:tc>
      </w:tr>
      <w:tr w:rsidR="00ED6788" w:rsidRPr="002C0E8B" w:rsidTr="00BE4AB3">
        <w:trPr>
          <w:cantSplit/>
        </w:trPr>
        <w:tc>
          <w:tcPr>
            <w:tcW w:w="757" w:type="pct"/>
            <w:tcBorders>
              <w:top w:val="nil"/>
              <w:bottom w:val="nil"/>
            </w:tcBorders>
          </w:tcPr>
          <w:p w:rsidR="00ED6788" w:rsidRDefault="00ED6788" w:rsidP="00BE4AB3">
            <w:pPr>
              <w:pStyle w:val="TableText"/>
              <w:spacing w:before="0"/>
              <w:ind w:right="284"/>
              <w:jc w:val="right"/>
            </w:pPr>
            <w:r>
              <w:t>8,685</w:t>
            </w:r>
          </w:p>
        </w:tc>
        <w:tc>
          <w:tcPr>
            <w:tcW w:w="2804" w:type="pct"/>
            <w:tcBorders>
              <w:top w:val="nil"/>
              <w:bottom w:val="nil"/>
            </w:tcBorders>
          </w:tcPr>
          <w:p w:rsidR="00ED6788" w:rsidRPr="00374202" w:rsidRDefault="00ED6788" w:rsidP="00BE4AB3">
            <w:pPr>
              <w:pStyle w:val="TableText"/>
              <w:spacing w:before="0"/>
              <w:ind w:right="142"/>
            </w:pPr>
            <w:r w:rsidRPr="00374202">
              <w:t>The number of school linked and outreach consultations across the 17 DHB regions contracted to deliver services</w:t>
            </w:r>
          </w:p>
        </w:tc>
        <w:tc>
          <w:tcPr>
            <w:tcW w:w="553" w:type="pct"/>
            <w:tcBorders>
              <w:top w:val="nil"/>
              <w:bottom w:val="nil"/>
            </w:tcBorders>
          </w:tcPr>
          <w:p w:rsidR="00ED6788" w:rsidRPr="003548DA" w:rsidRDefault="00ED6788" w:rsidP="00BE4AB3">
            <w:pPr>
              <w:pStyle w:val="TableText"/>
              <w:spacing w:before="0"/>
              <w:ind w:right="142"/>
              <w:jc w:val="right"/>
            </w:pPr>
            <w:r w:rsidRPr="003548DA">
              <w:t>12,600</w:t>
            </w:r>
          </w:p>
        </w:tc>
        <w:tc>
          <w:tcPr>
            <w:tcW w:w="887" w:type="pct"/>
            <w:tcBorders>
              <w:top w:val="nil"/>
              <w:bottom w:val="nil"/>
            </w:tcBorders>
            <w:shd w:val="clear" w:color="auto" w:fill="D9D9D9"/>
          </w:tcPr>
          <w:p w:rsidR="00ED6788" w:rsidRPr="00616D99" w:rsidRDefault="00ED6788" w:rsidP="00BE4AB3">
            <w:pPr>
              <w:pStyle w:val="TableText"/>
              <w:spacing w:before="0"/>
              <w:ind w:right="142"/>
              <w:jc w:val="right"/>
            </w:pPr>
            <w:r>
              <w:t>8151</w:t>
            </w:r>
            <w:r w:rsidR="00BE4AB3">
              <w:br/>
            </w:r>
            <w:r>
              <w:t>(20/07/15)</w:t>
            </w:r>
            <w:r>
              <w:br/>
            </w:r>
            <w:r w:rsidRPr="00175060">
              <w:t xml:space="preserve">see Note </w:t>
            </w:r>
            <w:r>
              <w:t>F</w:t>
            </w:r>
          </w:p>
        </w:tc>
      </w:tr>
      <w:tr w:rsidR="00ED6788" w:rsidRPr="002C0E8B" w:rsidTr="00BE4AB3">
        <w:trPr>
          <w:cantSplit/>
        </w:trPr>
        <w:tc>
          <w:tcPr>
            <w:tcW w:w="757" w:type="pct"/>
            <w:tcBorders>
              <w:top w:val="nil"/>
              <w:bottom w:val="single" w:sz="4" w:space="0" w:color="A6A6A6" w:themeColor="background1" w:themeShade="A6"/>
            </w:tcBorders>
          </w:tcPr>
          <w:p w:rsidR="00ED6788" w:rsidRDefault="00ED6788" w:rsidP="00BE4AB3">
            <w:pPr>
              <w:pStyle w:val="TableText"/>
              <w:spacing w:before="0"/>
              <w:ind w:right="284"/>
              <w:jc w:val="right"/>
            </w:pPr>
            <w:r>
              <w:t>8,927</w:t>
            </w:r>
          </w:p>
        </w:tc>
        <w:tc>
          <w:tcPr>
            <w:tcW w:w="2804" w:type="pct"/>
            <w:tcBorders>
              <w:top w:val="nil"/>
              <w:bottom w:val="single" w:sz="4" w:space="0" w:color="A6A6A6" w:themeColor="background1" w:themeShade="A6"/>
            </w:tcBorders>
          </w:tcPr>
          <w:p w:rsidR="00ED6788" w:rsidRDefault="00ED6788" w:rsidP="00BE4AB3">
            <w:pPr>
              <w:pStyle w:val="TableText"/>
              <w:spacing w:before="0"/>
              <w:ind w:right="142"/>
            </w:pPr>
            <w:r w:rsidRPr="00374202">
              <w:t>The number of pregnancy/maternity single episode consultations across the 17 DHB regions contracted to deliver services</w:t>
            </w:r>
          </w:p>
        </w:tc>
        <w:tc>
          <w:tcPr>
            <w:tcW w:w="553" w:type="pct"/>
            <w:tcBorders>
              <w:top w:val="nil"/>
              <w:bottom w:val="single" w:sz="4" w:space="0" w:color="A6A6A6" w:themeColor="background1" w:themeShade="A6"/>
            </w:tcBorders>
          </w:tcPr>
          <w:p w:rsidR="00ED6788" w:rsidRDefault="00ED6788" w:rsidP="00BE4AB3">
            <w:pPr>
              <w:pStyle w:val="TableText"/>
              <w:spacing w:before="0"/>
              <w:ind w:right="142"/>
              <w:jc w:val="right"/>
            </w:pPr>
            <w:r w:rsidRPr="003548DA">
              <w:t>12,250</w:t>
            </w:r>
          </w:p>
        </w:tc>
        <w:tc>
          <w:tcPr>
            <w:tcW w:w="887" w:type="pct"/>
            <w:tcBorders>
              <w:top w:val="nil"/>
              <w:bottom w:val="single" w:sz="4" w:space="0" w:color="A6A6A6" w:themeColor="background1" w:themeShade="A6"/>
            </w:tcBorders>
            <w:shd w:val="clear" w:color="auto" w:fill="D9D9D9"/>
          </w:tcPr>
          <w:p w:rsidR="00ED6788" w:rsidRDefault="00ED6788" w:rsidP="00BE4AB3">
            <w:pPr>
              <w:pStyle w:val="TableText"/>
              <w:spacing w:before="0"/>
              <w:ind w:right="142"/>
              <w:jc w:val="right"/>
            </w:pPr>
            <w:r>
              <w:t>8890</w:t>
            </w:r>
            <w:r w:rsidR="00BE4AB3">
              <w:br/>
              <w:t>(20/07/15)</w:t>
            </w:r>
            <w:r>
              <w:br/>
            </w:r>
            <w:r w:rsidRPr="00603322">
              <w:t xml:space="preserve">see Note </w:t>
            </w:r>
            <w:r>
              <w:t>G</w:t>
            </w:r>
          </w:p>
        </w:tc>
      </w:tr>
      <w:tr w:rsidR="00ED6788" w:rsidRPr="002C0E8B" w:rsidTr="00BE4AB3">
        <w:trPr>
          <w:cantSplit/>
        </w:trPr>
        <w:tc>
          <w:tcPr>
            <w:tcW w:w="757" w:type="pct"/>
            <w:tcBorders>
              <w:top w:val="single" w:sz="4" w:space="0" w:color="A6A6A6" w:themeColor="background1" w:themeShade="A6"/>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tcBorders>
          </w:tcPr>
          <w:p w:rsidR="00ED6788" w:rsidRPr="00AB69C4" w:rsidRDefault="00ED6788" w:rsidP="00B80F72">
            <w:pPr>
              <w:pStyle w:val="TableText"/>
              <w:ind w:right="142"/>
              <w:rPr>
                <w:b/>
              </w:rPr>
            </w:pPr>
            <w:r w:rsidRPr="004072E7">
              <w:rPr>
                <w:b/>
                <w:bCs/>
                <w:lang w:eastAsia="en-NZ"/>
              </w:rPr>
              <w:t>Emergency Preparedness</w:t>
            </w:r>
          </w:p>
        </w:tc>
        <w:tc>
          <w:tcPr>
            <w:tcW w:w="553" w:type="pct"/>
            <w:tcBorders>
              <w:top w:val="single" w:sz="4" w:space="0" w:color="A6A6A6" w:themeColor="background1" w:themeShade="A6"/>
            </w:tcBorders>
          </w:tcPr>
          <w:p w:rsidR="00ED6788" w:rsidRPr="002C0E8B" w:rsidRDefault="00ED6788" w:rsidP="00C25CC8">
            <w:pPr>
              <w:pStyle w:val="TableText"/>
              <w:ind w:right="142"/>
              <w:jc w:val="right"/>
            </w:pPr>
          </w:p>
        </w:tc>
        <w:tc>
          <w:tcPr>
            <w:tcW w:w="887" w:type="pct"/>
            <w:tcBorders>
              <w:top w:val="single" w:sz="4" w:space="0" w:color="A6A6A6" w:themeColor="background1" w:themeShade="A6"/>
            </w:tcBorders>
            <w:shd w:val="clear" w:color="auto" w:fill="D9D9D9"/>
          </w:tcPr>
          <w:p w:rsidR="00ED6788" w:rsidRPr="002C0E8B" w:rsidRDefault="00ED6788" w:rsidP="00C25CC8">
            <w:pPr>
              <w:pStyle w:val="TableText"/>
              <w:ind w:right="142"/>
              <w:jc w:val="right"/>
            </w:pPr>
          </w:p>
        </w:tc>
      </w:tr>
      <w:tr w:rsidR="00ED6788" w:rsidRPr="002C0E8B" w:rsidTr="00B80F72">
        <w:trPr>
          <w:cantSplit/>
        </w:trPr>
        <w:tc>
          <w:tcPr>
            <w:tcW w:w="757" w:type="pct"/>
          </w:tcPr>
          <w:p w:rsidR="00ED6788" w:rsidRPr="003979FE" w:rsidRDefault="00ED6788" w:rsidP="00BE4AB3">
            <w:pPr>
              <w:pStyle w:val="TableText"/>
              <w:spacing w:before="0"/>
              <w:ind w:right="142"/>
              <w:jc w:val="right"/>
            </w:pPr>
            <w:r w:rsidRPr="003979FE">
              <w:t>Achieved</w:t>
            </w:r>
          </w:p>
        </w:tc>
        <w:tc>
          <w:tcPr>
            <w:tcW w:w="2804" w:type="pct"/>
          </w:tcPr>
          <w:p w:rsidR="00ED6788" w:rsidRPr="004C700B" w:rsidRDefault="00ED6788" w:rsidP="00BE4AB3">
            <w:pPr>
              <w:pStyle w:val="TableText"/>
              <w:spacing w:before="0"/>
              <w:ind w:right="142"/>
            </w:pPr>
            <w:r w:rsidRPr="004C700B">
              <w:t>Maintain National Reserve Pandemic stocks</w:t>
            </w:r>
          </w:p>
        </w:tc>
        <w:tc>
          <w:tcPr>
            <w:tcW w:w="553" w:type="pct"/>
          </w:tcPr>
          <w:p w:rsidR="00ED6788" w:rsidRPr="0026788D" w:rsidRDefault="00ED6788" w:rsidP="00BE4AB3">
            <w:pPr>
              <w:pStyle w:val="TableText"/>
              <w:spacing w:before="0"/>
              <w:ind w:right="142"/>
              <w:jc w:val="right"/>
            </w:pPr>
            <w:r w:rsidRPr="0026788D">
              <w:t>Achieved</w:t>
            </w:r>
          </w:p>
        </w:tc>
        <w:tc>
          <w:tcPr>
            <w:tcW w:w="887" w:type="pct"/>
            <w:shd w:val="clear" w:color="auto" w:fill="D9D9D9"/>
          </w:tcPr>
          <w:p w:rsidR="00ED6788" w:rsidRPr="00390F9C" w:rsidRDefault="00ED6788" w:rsidP="00BE4AB3">
            <w:pPr>
              <w:pStyle w:val="TableText"/>
              <w:spacing w:before="0"/>
              <w:ind w:right="142"/>
              <w:jc w:val="right"/>
            </w:pPr>
            <w:r w:rsidRPr="00390F9C">
              <w:t>Achieved</w:t>
            </w:r>
          </w:p>
        </w:tc>
      </w:tr>
      <w:tr w:rsidR="00ED6788" w:rsidRPr="002C0E8B" w:rsidTr="00B80F72">
        <w:trPr>
          <w:cantSplit/>
        </w:trPr>
        <w:tc>
          <w:tcPr>
            <w:tcW w:w="757" w:type="pct"/>
          </w:tcPr>
          <w:p w:rsidR="00ED6788" w:rsidRPr="003979FE" w:rsidRDefault="00ED6788" w:rsidP="00BE4AB3">
            <w:pPr>
              <w:pStyle w:val="TableText"/>
              <w:spacing w:before="0"/>
              <w:ind w:right="142"/>
              <w:jc w:val="right"/>
            </w:pPr>
            <w:r w:rsidRPr="003979FE">
              <w:t>11</w:t>
            </w:r>
          </w:p>
        </w:tc>
        <w:tc>
          <w:tcPr>
            <w:tcW w:w="2804" w:type="pct"/>
          </w:tcPr>
          <w:p w:rsidR="00ED6788" w:rsidRPr="004C700B" w:rsidRDefault="00ED6788" w:rsidP="00BE4AB3">
            <w:pPr>
              <w:pStyle w:val="TableText"/>
              <w:spacing w:before="0"/>
              <w:ind w:right="142"/>
            </w:pPr>
            <w:r w:rsidRPr="004C700B">
              <w:t>The number of Emergo Train Mass Casualty simulations in DHBs (33 over three years)</w:t>
            </w:r>
          </w:p>
        </w:tc>
        <w:tc>
          <w:tcPr>
            <w:tcW w:w="553" w:type="pct"/>
          </w:tcPr>
          <w:p w:rsidR="00ED6788" w:rsidRPr="0026788D" w:rsidRDefault="00ED6788" w:rsidP="00BE4AB3">
            <w:pPr>
              <w:pStyle w:val="TableText"/>
              <w:spacing w:before="0"/>
              <w:ind w:right="142"/>
              <w:jc w:val="right"/>
            </w:pPr>
            <w:r w:rsidRPr="0026788D">
              <w:t>11</w:t>
            </w:r>
          </w:p>
        </w:tc>
        <w:tc>
          <w:tcPr>
            <w:tcW w:w="887" w:type="pct"/>
            <w:shd w:val="clear" w:color="auto" w:fill="D9D9D9"/>
          </w:tcPr>
          <w:p w:rsidR="00ED6788" w:rsidRPr="00390F9C" w:rsidRDefault="00ED6788" w:rsidP="00BE4AB3">
            <w:pPr>
              <w:pStyle w:val="TableText"/>
              <w:spacing w:before="0"/>
              <w:ind w:right="142"/>
              <w:jc w:val="right"/>
            </w:pPr>
            <w:r w:rsidRPr="00390F9C">
              <w:t>1</w:t>
            </w:r>
            <w:r>
              <w:t>1</w:t>
            </w:r>
          </w:p>
        </w:tc>
      </w:tr>
      <w:tr w:rsidR="00ED6788" w:rsidRPr="002C0E8B" w:rsidTr="00B80F72">
        <w:trPr>
          <w:cantSplit/>
        </w:trPr>
        <w:tc>
          <w:tcPr>
            <w:tcW w:w="757" w:type="pct"/>
          </w:tcPr>
          <w:p w:rsidR="00ED6788" w:rsidRPr="003979FE" w:rsidRDefault="00ED6788" w:rsidP="00BE4AB3">
            <w:pPr>
              <w:pStyle w:val="TableText"/>
              <w:spacing w:before="0"/>
              <w:ind w:right="142"/>
              <w:jc w:val="right"/>
            </w:pPr>
            <w:r w:rsidRPr="003979FE">
              <w:t>Achieved</w:t>
            </w:r>
          </w:p>
        </w:tc>
        <w:tc>
          <w:tcPr>
            <w:tcW w:w="2804" w:type="pct"/>
          </w:tcPr>
          <w:p w:rsidR="00ED6788" w:rsidRPr="004C700B" w:rsidRDefault="00ED6788" w:rsidP="00BE4AB3">
            <w:pPr>
              <w:pStyle w:val="TableText"/>
              <w:spacing w:before="0"/>
              <w:ind w:right="142"/>
            </w:pPr>
            <w:r w:rsidRPr="004C700B">
              <w:t>Maintain emergency management capability and capacity in road ambulance services</w:t>
            </w:r>
          </w:p>
        </w:tc>
        <w:tc>
          <w:tcPr>
            <w:tcW w:w="553" w:type="pct"/>
          </w:tcPr>
          <w:p w:rsidR="00ED6788" w:rsidRPr="0026788D" w:rsidRDefault="00ED6788" w:rsidP="00BE4AB3">
            <w:pPr>
              <w:pStyle w:val="TableText"/>
              <w:spacing w:before="0"/>
              <w:ind w:right="142"/>
              <w:jc w:val="right"/>
            </w:pPr>
            <w:r w:rsidRPr="0026788D">
              <w:t>Achieved</w:t>
            </w:r>
          </w:p>
        </w:tc>
        <w:tc>
          <w:tcPr>
            <w:tcW w:w="887" w:type="pct"/>
            <w:shd w:val="clear" w:color="auto" w:fill="D9D9D9"/>
          </w:tcPr>
          <w:p w:rsidR="00ED6788" w:rsidRPr="00390F9C" w:rsidRDefault="00ED6788" w:rsidP="00BE4AB3">
            <w:pPr>
              <w:pStyle w:val="TableText"/>
              <w:spacing w:before="0"/>
              <w:ind w:right="142"/>
              <w:jc w:val="right"/>
            </w:pPr>
            <w:r w:rsidRPr="00461FDA">
              <w:t>Achieved</w:t>
            </w:r>
          </w:p>
        </w:tc>
      </w:tr>
      <w:tr w:rsidR="00ED6788" w:rsidRPr="002C0E8B" w:rsidTr="00B80F72">
        <w:trPr>
          <w:cantSplit/>
        </w:trPr>
        <w:tc>
          <w:tcPr>
            <w:tcW w:w="757" w:type="pct"/>
          </w:tcPr>
          <w:p w:rsidR="00ED6788" w:rsidRPr="003979FE" w:rsidRDefault="00ED6788" w:rsidP="00BE4AB3">
            <w:pPr>
              <w:pStyle w:val="TableText"/>
              <w:spacing w:before="0"/>
              <w:ind w:right="142"/>
              <w:jc w:val="right"/>
            </w:pPr>
            <w:r w:rsidRPr="003979FE">
              <w:t>On track</w:t>
            </w:r>
          </w:p>
        </w:tc>
        <w:tc>
          <w:tcPr>
            <w:tcW w:w="2804" w:type="pct"/>
          </w:tcPr>
          <w:p w:rsidR="00ED6788" w:rsidRPr="004C700B" w:rsidRDefault="00ED6788" w:rsidP="00BE4AB3">
            <w:pPr>
              <w:pStyle w:val="TableText"/>
              <w:spacing w:before="0"/>
              <w:ind w:right="142"/>
            </w:pPr>
            <w:r w:rsidRPr="004C700B">
              <w:t>Development of an appropriately trained, resourced and equipped NZ Medical Assistance Team capability by 2015</w:t>
            </w:r>
          </w:p>
        </w:tc>
        <w:tc>
          <w:tcPr>
            <w:tcW w:w="553" w:type="pct"/>
          </w:tcPr>
          <w:p w:rsidR="00ED6788" w:rsidRPr="0026788D" w:rsidRDefault="00ED6788" w:rsidP="00BE4AB3">
            <w:pPr>
              <w:pStyle w:val="TableText"/>
              <w:spacing w:before="0"/>
              <w:ind w:right="142"/>
              <w:jc w:val="right"/>
            </w:pPr>
            <w:r w:rsidRPr="0026788D">
              <w:t>On track</w:t>
            </w:r>
          </w:p>
        </w:tc>
        <w:tc>
          <w:tcPr>
            <w:tcW w:w="887" w:type="pct"/>
            <w:shd w:val="clear" w:color="auto" w:fill="D9D9D9"/>
          </w:tcPr>
          <w:p w:rsidR="00ED6788" w:rsidRPr="00390F9C" w:rsidRDefault="00ED6788" w:rsidP="00BE4AB3">
            <w:pPr>
              <w:pStyle w:val="TableText"/>
              <w:spacing w:before="0"/>
              <w:ind w:right="142"/>
              <w:jc w:val="right"/>
            </w:pPr>
            <w:r w:rsidRPr="00390F9C">
              <w:t>On track</w:t>
            </w:r>
          </w:p>
        </w:tc>
      </w:tr>
      <w:tr w:rsidR="00ED6788" w:rsidRPr="002C0E8B" w:rsidTr="00BE4AB3">
        <w:trPr>
          <w:cantSplit/>
        </w:trPr>
        <w:tc>
          <w:tcPr>
            <w:tcW w:w="757" w:type="pct"/>
            <w:tcBorders>
              <w:bottom w:val="single" w:sz="4" w:space="0" w:color="A6A6A6" w:themeColor="background1" w:themeShade="A6"/>
            </w:tcBorders>
          </w:tcPr>
          <w:p w:rsidR="00ED6788" w:rsidRDefault="00ED6788" w:rsidP="00BE4AB3">
            <w:pPr>
              <w:pStyle w:val="TableText"/>
              <w:spacing w:before="0"/>
              <w:ind w:right="142"/>
              <w:jc w:val="right"/>
            </w:pPr>
            <w:r w:rsidRPr="003979FE">
              <w:t>Achieved</w:t>
            </w:r>
          </w:p>
        </w:tc>
        <w:tc>
          <w:tcPr>
            <w:tcW w:w="2804" w:type="pct"/>
            <w:tcBorders>
              <w:bottom w:val="single" w:sz="4" w:space="0" w:color="A6A6A6" w:themeColor="background1" w:themeShade="A6"/>
            </w:tcBorders>
          </w:tcPr>
          <w:p w:rsidR="00ED6788" w:rsidRDefault="00ED6788" w:rsidP="00BE4AB3">
            <w:pPr>
              <w:pStyle w:val="TableText"/>
              <w:spacing w:before="0"/>
              <w:ind w:right="142"/>
            </w:pPr>
            <w:r w:rsidRPr="004C700B">
              <w:t>Develop capability and capacity within the health sector</w:t>
            </w:r>
          </w:p>
        </w:tc>
        <w:tc>
          <w:tcPr>
            <w:tcW w:w="553" w:type="pct"/>
            <w:tcBorders>
              <w:bottom w:val="single" w:sz="4" w:space="0" w:color="A6A6A6" w:themeColor="background1" w:themeShade="A6"/>
            </w:tcBorders>
          </w:tcPr>
          <w:p w:rsidR="00ED6788" w:rsidRDefault="00ED6788" w:rsidP="00BE4AB3">
            <w:pPr>
              <w:pStyle w:val="TableText"/>
              <w:spacing w:before="0"/>
              <w:ind w:right="142"/>
              <w:jc w:val="right"/>
            </w:pPr>
            <w:r w:rsidRPr="0026788D">
              <w:t>Achieved</w:t>
            </w:r>
          </w:p>
        </w:tc>
        <w:tc>
          <w:tcPr>
            <w:tcW w:w="887" w:type="pct"/>
            <w:tcBorders>
              <w:bottom w:val="single" w:sz="4" w:space="0" w:color="A6A6A6" w:themeColor="background1" w:themeShade="A6"/>
            </w:tcBorders>
            <w:shd w:val="clear" w:color="auto" w:fill="D9D9D9"/>
          </w:tcPr>
          <w:p w:rsidR="00ED6788" w:rsidRDefault="00ED6788" w:rsidP="00BE4AB3">
            <w:pPr>
              <w:pStyle w:val="TableText"/>
              <w:spacing w:before="0"/>
              <w:ind w:right="142"/>
              <w:jc w:val="right"/>
            </w:pPr>
            <w:r w:rsidRPr="00390F9C">
              <w:t>Achieved</w:t>
            </w:r>
          </w:p>
        </w:tc>
      </w:tr>
      <w:tr w:rsidR="00ED6788" w:rsidRPr="002C0E8B" w:rsidTr="00BE4AB3">
        <w:trPr>
          <w:cantSplit/>
        </w:trPr>
        <w:tc>
          <w:tcPr>
            <w:tcW w:w="757"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bottom w:val="nil"/>
            </w:tcBorders>
          </w:tcPr>
          <w:p w:rsidR="00ED6788" w:rsidRPr="00AB69C4" w:rsidRDefault="00ED6788" w:rsidP="00B80F72">
            <w:pPr>
              <w:pStyle w:val="TableText"/>
              <w:ind w:right="142"/>
              <w:rPr>
                <w:b/>
              </w:rPr>
            </w:pPr>
            <w:r w:rsidRPr="004072E7">
              <w:rPr>
                <w:b/>
                <w:bCs/>
                <w:lang w:eastAsia="en-NZ"/>
              </w:rPr>
              <w:t>Like Minds Like Mine</w:t>
            </w:r>
          </w:p>
        </w:tc>
        <w:tc>
          <w:tcPr>
            <w:tcW w:w="553" w:type="pct"/>
            <w:tcBorders>
              <w:top w:val="single" w:sz="4" w:space="0" w:color="A6A6A6" w:themeColor="background1" w:themeShade="A6"/>
              <w:bottom w:val="nil"/>
            </w:tcBorders>
          </w:tcPr>
          <w:p w:rsidR="00ED6788" w:rsidRPr="002C0E8B" w:rsidRDefault="00ED6788" w:rsidP="00C25CC8">
            <w:pPr>
              <w:pStyle w:val="TableT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BE4AB3">
        <w:trPr>
          <w:cantSplit/>
        </w:trPr>
        <w:tc>
          <w:tcPr>
            <w:tcW w:w="757" w:type="pct"/>
            <w:tcBorders>
              <w:top w:val="nil"/>
              <w:bottom w:val="single" w:sz="4" w:space="0" w:color="A6A6A6" w:themeColor="background1" w:themeShade="A6"/>
            </w:tcBorders>
          </w:tcPr>
          <w:p w:rsidR="00ED6788" w:rsidRPr="002C0E8B" w:rsidRDefault="00ED6788" w:rsidP="00BE4AB3">
            <w:pPr>
              <w:pStyle w:val="TableText"/>
              <w:spacing w:before="0"/>
              <w:ind w:right="284"/>
              <w:jc w:val="right"/>
            </w:pPr>
            <w:r>
              <w:t>90%</w:t>
            </w:r>
          </w:p>
        </w:tc>
        <w:tc>
          <w:tcPr>
            <w:tcW w:w="2804" w:type="pct"/>
            <w:tcBorders>
              <w:top w:val="nil"/>
              <w:bottom w:val="single" w:sz="4" w:space="0" w:color="A6A6A6" w:themeColor="background1" w:themeShade="A6"/>
            </w:tcBorders>
          </w:tcPr>
          <w:p w:rsidR="00ED6788" w:rsidRPr="002C0E8B" w:rsidRDefault="00ED6788" w:rsidP="00BE4AB3">
            <w:pPr>
              <w:pStyle w:val="TableText"/>
              <w:spacing w:before="0"/>
              <w:ind w:right="142"/>
            </w:pPr>
            <w:r w:rsidRPr="004072E7">
              <w:t>The percentage of providers who achieve the agreed number of tangata whaiora leadership workshops, staff training activities, destigmatisation community and media awareness activities as approved by the Ministry in their annual plans</w:t>
            </w:r>
          </w:p>
        </w:tc>
        <w:tc>
          <w:tcPr>
            <w:tcW w:w="553" w:type="pct"/>
            <w:tcBorders>
              <w:top w:val="nil"/>
              <w:bottom w:val="single" w:sz="4" w:space="0" w:color="A6A6A6" w:themeColor="background1" w:themeShade="A6"/>
            </w:tcBorders>
          </w:tcPr>
          <w:p w:rsidR="00ED6788" w:rsidRPr="002C0E8B" w:rsidRDefault="00ED6788" w:rsidP="00BE4AB3">
            <w:pPr>
              <w:pStyle w:val="TableText"/>
              <w:spacing w:before="0"/>
              <w:ind w:right="142"/>
              <w:jc w:val="right"/>
            </w:pPr>
            <w:r w:rsidRPr="004072E7">
              <w:t>90%</w:t>
            </w:r>
          </w:p>
        </w:tc>
        <w:tc>
          <w:tcPr>
            <w:tcW w:w="887" w:type="pct"/>
            <w:tcBorders>
              <w:top w:val="nil"/>
              <w:bottom w:val="single" w:sz="4" w:space="0" w:color="A6A6A6" w:themeColor="background1" w:themeShade="A6"/>
            </w:tcBorders>
            <w:shd w:val="clear" w:color="auto" w:fill="D9D9D9"/>
          </w:tcPr>
          <w:p w:rsidR="00ED6788" w:rsidRPr="00D155EF" w:rsidRDefault="00ED6788" w:rsidP="00BE4AB3">
            <w:pPr>
              <w:pStyle w:val="TableText"/>
              <w:spacing w:before="0"/>
              <w:ind w:right="142"/>
              <w:jc w:val="right"/>
            </w:pPr>
            <w:r>
              <w:t>Not applicable</w:t>
            </w:r>
            <w:r>
              <w:rPr>
                <w:rStyle w:val="FootnoteReference"/>
              </w:rPr>
              <w:footnoteReference w:id="10"/>
            </w:r>
          </w:p>
        </w:tc>
      </w:tr>
      <w:tr w:rsidR="00ED6788" w:rsidRPr="002C0E8B" w:rsidTr="00BE4AB3">
        <w:trPr>
          <w:cantSplit/>
        </w:trPr>
        <w:tc>
          <w:tcPr>
            <w:tcW w:w="757" w:type="pct"/>
            <w:tcBorders>
              <w:top w:val="single" w:sz="4" w:space="0" w:color="A6A6A6" w:themeColor="background1" w:themeShade="A6"/>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tcBorders>
          </w:tcPr>
          <w:p w:rsidR="00ED6788" w:rsidRPr="004072E7" w:rsidRDefault="00ED6788" w:rsidP="00B80F72">
            <w:pPr>
              <w:pStyle w:val="TableText"/>
              <w:ind w:right="142"/>
              <w:rPr>
                <w:b/>
                <w:bCs/>
                <w:lang w:eastAsia="en-NZ"/>
              </w:rPr>
            </w:pPr>
            <w:r w:rsidRPr="004072E7">
              <w:rPr>
                <w:b/>
                <w:bCs/>
                <w:lang w:eastAsia="en-NZ"/>
              </w:rPr>
              <w:t>Suicide Prevention</w:t>
            </w:r>
          </w:p>
        </w:tc>
        <w:tc>
          <w:tcPr>
            <w:tcW w:w="553" w:type="pct"/>
            <w:tcBorders>
              <w:top w:val="single" w:sz="4" w:space="0" w:color="A6A6A6" w:themeColor="background1" w:themeShade="A6"/>
            </w:tcBorders>
          </w:tcPr>
          <w:p w:rsidR="00ED6788" w:rsidRPr="002C0E8B" w:rsidRDefault="00ED6788" w:rsidP="00C25CC8">
            <w:pPr>
              <w:pStyle w:val="TableText"/>
              <w:ind w:right="142"/>
              <w:jc w:val="right"/>
            </w:pPr>
          </w:p>
        </w:tc>
        <w:tc>
          <w:tcPr>
            <w:tcW w:w="887" w:type="pct"/>
            <w:tcBorders>
              <w:top w:val="single" w:sz="4" w:space="0" w:color="A6A6A6" w:themeColor="background1" w:themeShade="A6"/>
            </w:tcBorders>
            <w:shd w:val="clear" w:color="auto" w:fill="D9D9D9"/>
          </w:tcPr>
          <w:p w:rsidR="00ED6788" w:rsidRPr="002C0E8B" w:rsidRDefault="00ED6788" w:rsidP="00C25CC8">
            <w:pPr>
              <w:pStyle w:val="TableText"/>
              <w:ind w:right="142"/>
              <w:jc w:val="right"/>
            </w:pPr>
          </w:p>
        </w:tc>
      </w:tr>
      <w:tr w:rsidR="00ED6788" w:rsidRPr="002C0E8B" w:rsidTr="00B80F72">
        <w:trPr>
          <w:cantSplit/>
        </w:trPr>
        <w:tc>
          <w:tcPr>
            <w:tcW w:w="757" w:type="pct"/>
          </w:tcPr>
          <w:p w:rsidR="00ED6788" w:rsidRPr="002C0E8B" w:rsidRDefault="00ED6788" w:rsidP="00BE4AB3">
            <w:pPr>
              <w:pStyle w:val="TableText"/>
              <w:spacing w:before="0"/>
              <w:ind w:right="284"/>
              <w:jc w:val="right"/>
            </w:pPr>
          </w:p>
        </w:tc>
        <w:tc>
          <w:tcPr>
            <w:tcW w:w="2804" w:type="pct"/>
          </w:tcPr>
          <w:p w:rsidR="00ED6788" w:rsidRPr="004072E7" w:rsidRDefault="00ED6788" w:rsidP="00BE4AB3">
            <w:pPr>
              <w:pStyle w:val="TableText"/>
              <w:spacing w:before="0"/>
              <w:ind w:right="142"/>
              <w:rPr>
                <w:b/>
                <w:bCs/>
                <w:i/>
                <w:lang w:eastAsia="en-NZ"/>
              </w:rPr>
            </w:pPr>
            <w:r w:rsidRPr="004072E7">
              <w:rPr>
                <w:b/>
                <w:bCs/>
                <w:i/>
                <w:lang w:eastAsia="en-NZ"/>
              </w:rPr>
              <w:t>Kia Piki Te Ora All Age Suicide Prevention</w:t>
            </w:r>
          </w:p>
        </w:tc>
        <w:tc>
          <w:tcPr>
            <w:tcW w:w="553" w:type="pct"/>
          </w:tcPr>
          <w:p w:rsidR="00ED6788" w:rsidRPr="002C0E8B" w:rsidRDefault="00ED6788" w:rsidP="00BE4AB3">
            <w:pPr>
              <w:pStyle w:val="TableText"/>
              <w:spacing w:before="0"/>
              <w:ind w:right="142"/>
              <w:jc w:val="right"/>
            </w:pPr>
          </w:p>
        </w:tc>
        <w:tc>
          <w:tcPr>
            <w:tcW w:w="887" w:type="pct"/>
            <w:shd w:val="clear" w:color="auto" w:fill="D9D9D9"/>
          </w:tcPr>
          <w:p w:rsidR="00ED6788" w:rsidRPr="00D155EF" w:rsidRDefault="00ED6788" w:rsidP="00BE4AB3">
            <w:pPr>
              <w:pStyle w:val="TableText"/>
              <w:spacing w:before="0"/>
              <w:ind w:right="142"/>
              <w:jc w:val="right"/>
            </w:pPr>
          </w:p>
        </w:tc>
      </w:tr>
      <w:tr w:rsidR="00ED6788" w:rsidRPr="002C0E8B" w:rsidTr="00BE4AB3">
        <w:trPr>
          <w:cantSplit/>
        </w:trPr>
        <w:tc>
          <w:tcPr>
            <w:tcW w:w="757" w:type="pct"/>
            <w:tcBorders>
              <w:bottom w:val="single" w:sz="4" w:space="0" w:color="A6A6A6" w:themeColor="background1" w:themeShade="A6"/>
            </w:tcBorders>
          </w:tcPr>
          <w:p w:rsidR="00ED6788" w:rsidRPr="002C0E8B" w:rsidRDefault="00ED6788" w:rsidP="00BE4AB3">
            <w:pPr>
              <w:pStyle w:val="TableText"/>
              <w:spacing w:before="0"/>
              <w:ind w:right="284"/>
              <w:jc w:val="right"/>
            </w:pPr>
            <w:r>
              <w:t>100%</w:t>
            </w:r>
          </w:p>
        </w:tc>
        <w:tc>
          <w:tcPr>
            <w:tcW w:w="2804" w:type="pct"/>
            <w:tcBorders>
              <w:bottom w:val="single" w:sz="4" w:space="0" w:color="A6A6A6" w:themeColor="background1" w:themeShade="A6"/>
            </w:tcBorders>
          </w:tcPr>
          <w:p w:rsidR="00ED6788" w:rsidRPr="002C0E8B" w:rsidRDefault="00ED6788" w:rsidP="00BE4AB3">
            <w:pPr>
              <w:pStyle w:val="TableText"/>
              <w:spacing w:before="0"/>
              <w:ind w:right="142"/>
            </w:pPr>
            <w:r w:rsidRPr="004072E7">
              <w:t>The percentage of providers who report six</w:t>
            </w:r>
            <w:r w:rsidR="00BE4AB3">
              <w:t>-</w:t>
            </w:r>
            <w:r w:rsidRPr="004072E7">
              <w:t>monthly on the number of community suicide prevention workshops, media promotions, across sector developments achieved from their annual plans</w:t>
            </w:r>
          </w:p>
        </w:tc>
        <w:tc>
          <w:tcPr>
            <w:tcW w:w="553" w:type="pct"/>
            <w:tcBorders>
              <w:bottom w:val="single" w:sz="4" w:space="0" w:color="A6A6A6" w:themeColor="background1" w:themeShade="A6"/>
            </w:tcBorders>
          </w:tcPr>
          <w:p w:rsidR="00ED6788" w:rsidRPr="002C0E8B" w:rsidRDefault="00ED6788" w:rsidP="00BE4AB3">
            <w:pPr>
              <w:pStyle w:val="TableText"/>
              <w:spacing w:before="0"/>
              <w:ind w:right="142"/>
              <w:jc w:val="right"/>
            </w:pPr>
            <w:r w:rsidRPr="004072E7">
              <w:t>100%</w:t>
            </w:r>
          </w:p>
        </w:tc>
        <w:tc>
          <w:tcPr>
            <w:tcW w:w="887" w:type="pct"/>
            <w:tcBorders>
              <w:bottom w:val="single" w:sz="4" w:space="0" w:color="A6A6A6" w:themeColor="background1" w:themeShade="A6"/>
            </w:tcBorders>
            <w:shd w:val="clear" w:color="auto" w:fill="D9D9D9"/>
          </w:tcPr>
          <w:p w:rsidR="00ED6788" w:rsidRPr="00D155EF" w:rsidRDefault="00ED6788" w:rsidP="00BE4AB3">
            <w:pPr>
              <w:pStyle w:val="TableText"/>
              <w:spacing w:before="0"/>
              <w:ind w:right="142"/>
              <w:jc w:val="right"/>
            </w:pPr>
            <w:r>
              <w:t>100%</w:t>
            </w:r>
          </w:p>
        </w:tc>
      </w:tr>
      <w:tr w:rsidR="00ED6788" w:rsidRPr="002C0E8B" w:rsidTr="00BE4AB3">
        <w:trPr>
          <w:cantSplit/>
        </w:trPr>
        <w:tc>
          <w:tcPr>
            <w:tcW w:w="757" w:type="pct"/>
            <w:tcBorders>
              <w:top w:val="single" w:sz="4" w:space="0" w:color="A6A6A6" w:themeColor="background1" w:themeShade="A6"/>
              <w:bottom w:val="nil"/>
            </w:tcBorders>
          </w:tcPr>
          <w:p w:rsidR="00ED6788" w:rsidRPr="002C0E8B" w:rsidRDefault="00ED6788" w:rsidP="00BE4AB3">
            <w:pPr>
              <w:pStyle w:val="TableText"/>
              <w:keepNext/>
              <w:ind w:right="284"/>
              <w:jc w:val="right"/>
              <w:rPr>
                <w:bCs/>
                <w:lang w:eastAsia="en-NZ"/>
              </w:rPr>
            </w:pPr>
          </w:p>
        </w:tc>
        <w:tc>
          <w:tcPr>
            <w:tcW w:w="2804" w:type="pct"/>
            <w:tcBorders>
              <w:top w:val="single" w:sz="4" w:space="0" w:color="A6A6A6" w:themeColor="background1" w:themeShade="A6"/>
              <w:bottom w:val="nil"/>
            </w:tcBorders>
          </w:tcPr>
          <w:p w:rsidR="00ED6788" w:rsidRPr="00AB69C4" w:rsidRDefault="00BE4AB3" w:rsidP="00BE4AB3">
            <w:pPr>
              <w:pStyle w:val="TableText"/>
              <w:keepNext/>
              <w:ind w:right="142"/>
              <w:rPr>
                <w:b/>
              </w:rPr>
            </w:pPr>
            <w:r>
              <w:rPr>
                <w:b/>
                <w:bCs/>
                <w:lang w:eastAsia="en-NZ"/>
              </w:rPr>
              <w:t>Community postvention response</w:t>
            </w:r>
          </w:p>
        </w:tc>
        <w:tc>
          <w:tcPr>
            <w:tcW w:w="553" w:type="pct"/>
            <w:tcBorders>
              <w:top w:val="single" w:sz="4" w:space="0" w:color="A6A6A6" w:themeColor="background1" w:themeShade="A6"/>
              <w:bottom w:val="nil"/>
            </w:tcBorders>
          </w:tcPr>
          <w:p w:rsidR="00ED6788" w:rsidRPr="002C0E8B" w:rsidRDefault="00ED6788" w:rsidP="00BE4AB3">
            <w:pPr>
              <w:pStyle w:val="TableText"/>
              <w:keepN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BE4AB3">
            <w:pPr>
              <w:pStyle w:val="TableText"/>
              <w:keepNext/>
              <w:ind w:right="142"/>
              <w:jc w:val="right"/>
            </w:pPr>
          </w:p>
        </w:tc>
      </w:tr>
      <w:tr w:rsidR="00ED6788" w:rsidRPr="002C0E8B" w:rsidTr="00BE4AB3">
        <w:trPr>
          <w:cantSplit/>
        </w:trPr>
        <w:tc>
          <w:tcPr>
            <w:tcW w:w="757" w:type="pct"/>
            <w:tcBorders>
              <w:top w:val="nil"/>
            </w:tcBorders>
          </w:tcPr>
          <w:p w:rsidR="00ED6788" w:rsidRPr="002C0E8B" w:rsidRDefault="00ED6788" w:rsidP="00BE4AB3">
            <w:pPr>
              <w:pStyle w:val="TableText"/>
              <w:keepNext/>
              <w:spacing w:before="0"/>
              <w:ind w:right="284"/>
              <w:jc w:val="right"/>
            </w:pPr>
            <w:r>
              <w:t>18</w:t>
            </w:r>
          </w:p>
        </w:tc>
        <w:tc>
          <w:tcPr>
            <w:tcW w:w="2804" w:type="pct"/>
            <w:tcBorders>
              <w:top w:val="nil"/>
            </w:tcBorders>
          </w:tcPr>
          <w:p w:rsidR="00ED6788" w:rsidRPr="00450E73" w:rsidRDefault="00ED6788" w:rsidP="00BE4AB3">
            <w:pPr>
              <w:pStyle w:val="TableText"/>
              <w:keepNext/>
              <w:spacing w:before="0"/>
              <w:ind w:right="142"/>
            </w:pPr>
            <w:r w:rsidRPr="00450E73">
              <w:t>The number of completed assessments to identify possible emerging clusters per annum</w:t>
            </w:r>
          </w:p>
        </w:tc>
        <w:tc>
          <w:tcPr>
            <w:tcW w:w="553" w:type="pct"/>
            <w:tcBorders>
              <w:top w:val="nil"/>
            </w:tcBorders>
          </w:tcPr>
          <w:p w:rsidR="00ED6788" w:rsidRPr="004538A0" w:rsidRDefault="00ED6788" w:rsidP="00BE4AB3">
            <w:pPr>
              <w:pStyle w:val="TableText"/>
              <w:keepNext/>
              <w:spacing w:before="0"/>
              <w:ind w:right="142"/>
              <w:jc w:val="right"/>
            </w:pPr>
            <w:r w:rsidRPr="004538A0">
              <w:t>50</w:t>
            </w:r>
          </w:p>
        </w:tc>
        <w:tc>
          <w:tcPr>
            <w:tcW w:w="887" w:type="pct"/>
            <w:tcBorders>
              <w:top w:val="nil"/>
            </w:tcBorders>
            <w:shd w:val="clear" w:color="auto" w:fill="D9D9D9"/>
          </w:tcPr>
          <w:p w:rsidR="00ED6788" w:rsidRPr="005456E2" w:rsidRDefault="00ED6788" w:rsidP="00BE4AB3">
            <w:pPr>
              <w:pStyle w:val="TableText"/>
              <w:keepNext/>
              <w:spacing w:before="0"/>
              <w:ind w:right="142"/>
              <w:jc w:val="right"/>
            </w:pPr>
            <w:r w:rsidRPr="005456E2">
              <w:t>40</w:t>
            </w:r>
            <w:r>
              <w:br/>
            </w:r>
            <w:r w:rsidRPr="00175060">
              <w:t xml:space="preserve">see Note </w:t>
            </w:r>
            <w:r>
              <w:t>H</w:t>
            </w:r>
          </w:p>
        </w:tc>
      </w:tr>
      <w:tr w:rsidR="00ED6788" w:rsidRPr="002C0E8B" w:rsidTr="00B80F72">
        <w:trPr>
          <w:cantSplit/>
        </w:trPr>
        <w:tc>
          <w:tcPr>
            <w:tcW w:w="757" w:type="pct"/>
          </w:tcPr>
          <w:p w:rsidR="00ED6788" w:rsidRPr="002C0E8B" w:rsidRDefault="00ED6788" w:rsidP="00BE4AB3">
            <w:pPr>
              <w:pStyle w:val="TableText"/>
              <w:spacing w:before="0"/>
              <w:ind w:right="284"/>
              <w:jc w:val="right"/>
            </w:pPr>
            <w:r>
              <w:t>5</w:t>
            </w:r>
          </w:p>
        </w:tc>
        <w:tc>
          <w:tcPr>
            <w:tcW w:w="2804" w:type="pct"/>
          </w:tcPr>
          <w:p w:rsidR="00ED6788" w:rsidRPr="00450E73" w:rsidRDefault="00ED6788" w:rsidP="00D44948">
            <w:pPr>
              <w:pStyle w:val="TableText"/>
              <w:spacing w:before="0"/>
              <w:ind w:right="142"/>
            </w:pPr>
            <w:r w:rsidRPr="00450E73">
              <w:t>The number of communities that are experiencing level three cluster suicides, provided support per annum</w:t>
            </w:r>
          </w:p>
        </w:tc>
        <w:tc>
          <w:tcPr>
            <w:tcW w:w="553" w:type="pct"/>
          </w:tcPr>
          <w:p w:rsidR="00ED6788" w:rsidRDefault="00ED6788" w:rsidP="00BE4AB3">
            <w:pPr>
              <w:pStyle w:val="TableText"/>
              <w:spacing w:before="0"/>
              <w:ind w:right="142"/>
              <w:jc w:val="right"/>
            </w:pPr>
            <w:r w:rsidRPr="004538A0">
              <w:t>3</w:t>
            </w:r>
          </w:p>
        </w:tc>
        <w:tc>
          <w:tcPr>
            <w:tcW w:w="887" w:type="pct"/>
            <w:shd w:val="clear" w:color="auto" w:fill="D9D9D9"/>
          </w:tcPr>
          <w:p w:rsidR="00ED6788" w:rsidRDefault="00ED6788" w:rsidP="00BE4AB3">
            <w:pPr>
              <w:pStyle w:val="TableText"/>
              <w:spacing w:before="0"/>
              <w:ind w:right="142"/>
              <w:jc w:val="right"/>
            </w:pPr>
            <w:r w:rsidRPr="005456E2">
              <w:t>2</w:t>
            </w:r>
          </w:p>
        </w:tc>
      </w:tr>
      <w:tr w:rsidR="00ED6788" w:rsidRPr="002C0E8B" w:rsidTr="00B80F72">
        <w:trPr>
          <w:cantSplit/>
        </w:trPr>
        <w:tc>
          <w:tcPr>
            <w:tcW w:w="757" w:type="pct"/>
          </w:tcPr>
          <w:p w:rsidR="00ED6788" w:rsidRDefault="00ED6788" w:rsidP="00C25CC8">
            <w:pPr>
              <w:pStyle w:val="TableText"/>
              <w:ind w:right="284"/>
              <w:jc w:val="right"/>
            </w:pPr>
          </w:p>
        </w:tc>
        <w:tc>
          <w:tcPr>
            <w:tcW w:w="2804" w:type="pct"/>
          </w:tcPr>
          <w:p w:rsidR="00ED6788" w:rsidRPr="004072E7" w:rsidRDefault="00BE4AB3" w:rsidP="00BE4AB3">
            <w:pPr>
              <w:pStyle w:val="TableText"/>
              <w:ind w:right="142"/>
              <w:rPr>
                <w:i/>
              </w:rPr>
            </w:pPr>
            <w:r>
              <w:rPr>
                <w:b/>
                <w:bCs/>
                <w:i/>
                <w:lang w:eastAsia="en-NZ"/>
              </w:rPr>
              <w:t>Bereavement s</w:t>
            </w:r>
            <w:r w:rsidR="00ED6788" w:rsidRPr="004072E7">
              <w:rPr>
                <w:b/>
                <w:bCs/>
                <w:i/>
                <w:lang w:eastAsia="en-NZ"/>
              </w:rPr>
              <w:t xml:space="preserve">upport </w:t>
            </w:r>
            <w:r>
              <w:rPr>
                <w:b/>
                <w:bCs/>
                <w:i/>
                <w:lang w:eastAsia="en-NZ"/>
              </w:rPr>
              <w:t>s</w:t>
            </w:r>
            <w:r w:rsidR="00ED6788" w:rsidRPr="004072E7">
              <w:rPr>
                <w:b/>
                <w:bCs/>
                <w:i/>
                <w:lang w:eastAsia="en-NZ"/>
              </w:rPr>
              <w:t>ervice</w:t>
            </w:r>
          </w:p>
        </w:tc>
        <w:tc>
          <w:tcPr>
            <w:tcW w:w="553" w:type="pct"/>
          </w:tcPr>
          <w:p w:rsidR="00ED6788" w:rsidRDefault="00ED6788" w:rsidP="00C25CC8">
            <w:pPr>
              <w:pStyle w:val="TableText"/>
              <w:ind w:right="142"/>
              <w:jc w:val="right"/>
            </w:pPr>
          </w:p>
        </w:tc>
        <w:tc>
          <w:tcPr>
            <w:tcW w:w="887" w:type="pct"/>
            <w:shd w:val="clear" w:color="auto" w:fill="D9D9D9"/>
          </w:tcPr>
          <w:p w:rsidR="00ED6788" w:rsidRDefault="00ED6788" w:rsidP="00C25CC8">
            <w:pPr>
              <w:pStyle w:val="TableText"/>
              <w:ind w:right="142"/>
              <w:jc w:val="right"/>
            </w:pPr>
          </w:p>
        </w:tc>
      </w:tr>
      <w:tr w:rsidR="00ED6788" w:rsidRPr="002C0E8B" w:rsidTr="00B80F72">
        <w:trPr>
          <w:cantSplit/>
        </w:trPr>
        <w:tc>
          <w:tcPr>
            <w:tcW w:w="757" w:type="pct"/>
          </w:tcPr>
          <w:p w:rsidR="00ED6788" w:rsidRDefault="00ED6788" w:rsidP="00BE4AB3">
            <w:pPr>
              <w:pStyle w:val="TableText"/>
              <w:spacing w:before="0"/>
              <w:ind w:right="284"/>
              <w:jc w:val="right"/>
            </w:pPr>
            <w:r>
              <w:t>1003</w:t>
            </w:r>
          </w:p>
        </w:tc>
        <w:tc>
          <w:tcPr>
            <w:tcW w:w="2804" w:type="pct"/>
          </w:tcPr>
          <w:p w:rsidR="00ED6788" w:rsidRPr="00450E73" w:rsidRDefault="00ED6788" w:rsidP="00BE4AB3">
            <w:pPr>
              <w:pStyle w:val="TableText"/>
              <w:spacing w:before="0"/>
              <w:ind w:right="142"/>
            </w:pPr>
            <w:r w:rsidRPr="00450E73">
              <w:t>The number of number of family/whānau members bereaved by suicide, provided with support</w:t>
            </w:r>
          </w:p>
        </w:tc>
        <w:tc>
          <w:tcPr>
            <w:tcW w:w="553" w:type="pct"/>
          </w:tcPr>
          <w:p w:rsidR="00ED6788" w:rsidRDefault="00ED6788" w:rsidP="00BE4AB3">
            <w:pPr>
              <w:pStyle w:val="TableText"/>
              <w:spacing w:before="0"/>
              <w:ind w:right="142"/>
              <w:jc w:val="right"/>
            </w:pPr>
            <w:r w:rsidRPr="004072E7">
              <w:t>800</w:t>
            </w:r>
          </w:p>
        </w:tc>
        <w:tc>
          <w:tcPr>
            <w:tcW w:w="887" w:type="pct"/>
            <w:shd w:val="clear" w:color="auto" w:fill="D9D9D9"/>
          </w:tcPr>
          <w:p w:rsidR="00ED6788" w:rsidRDefault="00BE4AB3" w:rsidP="00BE4AB3">
            <w:pPr>
              <w:pStyle w:val="TableText"/>
              <w:spacing w:before="0"/>
              <w:ind w:right="142"/>
              <w:jc w:val="right"/>
            </w:pPr>
            <w:r>
              <w:t>2</w:t>
            </w:r>
            <w:r w:rsidR="00ED6788" w:rsidRPr="001848EC">
              <w:t>400</w:t>
            </w:r>
            <w:r w:rsidR="00ED6788">
              <w:br/>
            </w:r>
            <w:r w:rsidR="00ED6788" w:rsidRPr="00175060">
              <w:t xml:space="preserve">see Note </w:t>
            </w:r>
            <w:r w:rsidR="00ED6788">
              <w:t>I</w:t>
            </w:r>
          </w:p>
        </w:tc>
      </w:tr>
      <w:tr w:rsidR="00ED6788" w:rsidRPr="002C0E8B" w:rsidTr="00B80F72">
        <w:trPr>
          <w:cantSplit/>
        </w:trPr>
        <w:tc>
          <w:tcPr>
            <w:tcW w:w="757" w:type="pct"/>
          </w:tcPr>
          <w:p w:rsidR="00ED6788" w:rsidRDefault="00ED6788" w:rsidP="00C25CC8">
            <w:pPr>
              <w:pStyle w:val="TableText"/>
              <w:ind w:right="284"/>
              <w:jc w:val="right"/>
            </w:pPr>
          </w:p>
        </w:tc>
        <w:tc>
          <w:tcPr>
            <w:tcW w:w="2804" w:type="pct"/>
          </w:tcPr>
          <w:p w:rsidR="00ED6788" w:rsidRPr="004072E7" w:rsidRDefault="00ED6788" w:rsidP="00BE4AB3">
            <w:pPr>
              <w:pStyle w:val="TableText"/>
              <w:ind w:right="142"/>
              <w:rPr>
                <w:i/>
              </w:rPr>
            </w:pPr>
            <w:r w:rsidRPr="004072E7">
              <w:rPr>
                <w:b/>
                <w:bCs/>
                <w:i/>
                <w:lang w:eastAsia="en-NZ"/>
              </w:rPr>
              <w:t>MH101</w:t>
            </w:r>
            <w:r w:rsidR="000845D9">
              <w:rPr>
                <w:b/>
                <w:bCs/>
                <w:i/>
                <w:lang w:eastAsia="en-NZ"/>
              </w:rPr>
              <w:t xml:space="preserve"> – </w:t>
            </w:r>
            <w:r w:rsidR="00BE4AB3">
              <w:rPr>
                <w:b/>
                <w:bCs/>
                <w:i/>
                <w:lang w:eastAsia="en-NZ"/>
              </w:rPr>
              <w:t>M</w:t>
            </w:r>
            <w:r w:rsidRPr="004072E7">
              <w:rPr>
                <w:b/>
                <w:bCs/>
                <w:i/>
                <w:lang w:eastAsia="en-NZ"/>
              </w:rPr>
              <w:t xml:space="preserve">ental </w:t>
            </w:r>
            <w:r w:rsidR="00BE4AB3">
              <w:rPr>
                <w:b/>
                <w:bCs/>
                <w:i/>
                <w:lang w:eastAsia="en-NZ"/>
              </w:rPr>
              <w:t>h</w:t>
            </w:r>
            <w:r w:rsidRPr="004072E7">
              <w:rPr>
                <w:b/>
                <w:bCs/>
                <w:i/>
                <w:lang w:eastAsia="en-NZ"/>
              </w:rPr>
              <w:t xml:space="preserve">ealth </w:t>
            </w:r>
            <w:r w:rsidR="00BE4AB3">
              <w:rPr>
                <w:b/>
                <w:bCs/>
                <w:i/>
                <w:lang w:eastAsia="en-NZ"/>
              </w:rPr>
              <w:t>li</w:t>
            </w:r>
            <w:r w:rsidRPr="004072E7">
              <w:rPr>
                <w:b/>
                <w:bCs/>
                <w:i/>
                <w:lang w:eastAsia="en-NZ"/>
              </w:rPr>
              <w:t>teracy</w:t>
            </w:r>
          </w:p>
        </w:tc>
        <w:tc>
          <w:tcPr>
            <w:tcW w:w="553" w:type="pct"/>
          </w:tcPr>
          <w:p w:rsidR="00ED6788" w:rsidRDefault="00ED6788" w:rsidP="00C25CC8">
            <w:pPr>
              <w:pStyle w:val="TableText"/>
              <w:ind w:right="142"/>
              <w:jc w:val="right"/>
            </w:pPr>
          </w:p>
        </w:tc>
        <w:tc>
          <w:tcPr>
            <w:tcW w:w="887" w:type="pct"/>
            <w:shd w:val="clear" w:color="auto" w:fill="D9D9D9"/>
          </w:tcPr>
          <w:p w:rsidR="00ED6788" w:rsidRDefault="00ED6788" w:rsidP="00C25CC8">
            <w:pPr>
              <w:pStyle w:val="TableText"/>
              <w:ind w:right="142"/>
              <w:jc w:val="right"/>
            </w:pPr>
          </w:p>
        </w:tc>
      </w:tr>
      <w:tr w:rsidR="00ED6788" w:rsidRPr="002C0E8B" w:rsidTr="00B80F72">
        <w:trPr>
          <w:cantSplit/>
        </w:trPr>
        <w:tc>
          <w:tcPr>
            <w:tcW w:w="757" w:type="pct"/>
          </w:tcPr>
          <w:p w:rsidR="00ED6788" w:rsidRDefault="00ED6788" w:rsidP="00BE4AB3">
            <w:pPr>
              <w:pStyle w:val="TableText"/>
              <w:spacing w:before="0"/>
              <w:ind w:right="284"/>
              <w:jc w:val="right"/>
            </w:pPr>
            <w:r>
              <w:t>39</w:t>
            </w:r>
          </w:p>
        </w:tc>
        <w:tc>
          <w:tcPr>
            <w:tcW w:w="2804" w:type="pct"/>
          </w:tcPr>
          <w:p w:rsidR="00ED6788" w:rsidRPr="00450E73" w:rsidRDefault="00ED6788" w:rsidP="00BE4AB3">
            <w:pPr>
              <w:pStyle w:val="TableText"/>
              <w:spacing w:before="0"/>
              <w:ind w:right="142"/>
            </w:pPr>
            <w:r w:rsidRPr="00450E73">
              <w:t>The number of mental health literacy workshops delivered</w:t>
            </w:r>
          </w:p>
        </w:tc>
        <w:tc>
          <w:tcPr>
            <w:tcW w:w="553" w:type="pct"/>
          </w:tcPr>
          <w:p w:rsidR="00ED6788" w:rsidRDefault="00ED6788" w:rsidP="00BE4AB3">
            <w:pPr>
              <w:pStyle w:val="TableText"/>
              <w:spacing w:before="0"/>
              <w:ind w:right="142"/>
              <w:jc w:val="right"/>
            </w:pPr>
            <w:r w:rsidRPr="004072E7">
              <w:t>40</w:t>
            </w:r>
          </w:p>
        </w:tc>
        <w:tc>
          <w:tcPr>
            <w:tcW w:w="887" w:type="pct"/>
            <w:shd w:val="clear" w:color="auto" w:fill="D9D9D9"/>
          </w:tcPr>
          <w:p w:rsidR="00ED6788" w:rsidRDefault="00ED6788" w:rsidP="00BE4AB3">
            <w:pPr>
              <w:pStyle w:val="TableText"/>
              <w:spacing w:before="0"/>
              <w:ind w:right="142"/>
              <w:jc w:val="right"/>
            </w:pPr>
            <w:r>
              <w:t>41</w:t>
            </w:r>
          </w:p>
        </w:tc>
      </w:tr>
      <w:tr w:rsidR="00ED6788" w:rsidRPr="002C0E8B" w:rsidTr="00B80F72">
        <w:trPr>
          <w:cantSplit/>
        </w:trPr>
        <w:tc>
          <w:tcPr>
            <w:tcW w:w="757" w:type="pct"/>
          </w:tcPr>
          <w:p w:rsidR="00ED6788" w:rsidRDefault="00ED6788" w:rsidP="00C25CC8">
            <w:pPr>
              <w:pStyle w:val="TableText"/>
              <w:ind w:right="284"/>
              <w:jc w:val="right"/>
            </w:pPr>
          </w:p>
        </w:tc>
        <w:tc>
          <w:tcPr>
            <w:tcW w:w="2804" w:type="pct"/>
          </w:tcPr>
          <w:p w:rsidR="00ED6788" w:rsidRPr="004072E7" w:rsidRDefault="00ED6788" w:rsidP="00BE4AB3">
            <w:pPr>
              <w:pStyle w:val="TableText"/>
              <w:ind w:right="142"/>
              <w:rPr>
                <w:i/>
              </w:rPr>
            </w:pPr>
            <w:r w:rsidRPr="004072E7">
              <w:rPr>
                <w:b/>
                <w:bCs/>
                <w:i/>
                <w:lang w:eastAsia="en-NZ"/>
              </w:rPr>
              <w:t xml:space="preserve">Applied </w:t>
            </w:r>
            <w:r w:rsidR="00BE4AB3">
              <w:rPr>
                <w:b/>
                <w:bCs/>
                <w:i/>
                <w:lang w:eastAsia="en-NZ"/>
              </w:rPr>
              <w:t>s</w:t>
            </w:r>
            <w:r w:rsidRPr="004072E7">
              <w:rPr>
                <w:b/>
                <w:bCs/>
                <w:i/>
                <w:lang w:eastAsia="en-NZ"/>
              </w:rPr>
              <w:t xml:space="preserve">uicide </w:t>
            </w:r>
            <w:r w:rsidR="00BE4AB3">
              <w:rPr>
                <w:b/>
                <w:bCs/>
                <w:i/>
                <w:lang w:eastAsia="en-NZ"/>
              </w:rPr>
              <w:t>i</w:t>
            </w:r>
            <w:r w:rsidRPr="004072E7">
              <w:rPr>
                <w:b/>
                <w:bCs/>
                <w:i/>
                <w:lang w:eastAsia="en-NZ"/>
              </w:rPr>
              <w:t xml:space="preserve">ntervention </w:t>
            </w:r>
            <w:r w:rsidR="00BE4AB3">
              <w:rPr>
                <w:b/>
                <w:bCs/>
                <w:i/>
                <w:lang w:eastAsia="en-NZ"/>
              </w:rPr>
              <w:t>s</w:t>
            </w:r>
            <w:r w:rsidRPr="004072E7">
              <w:rPr>
                <w:b/>
                <w:bCs/>
                <w:i/>
                <w:lang w:eastAsia="en-NZ"/>
              </w:rPr>
              <w:t xml:space="preserve">kills </w:t>
            </w:r>
            <w:r w:rsidR="00BE4AB3">
              <w:rPr>
                <w:b/>
                <w:bCs/>
                <w:i/>
                <w:lang w:eastAsia="en-NZ"/>
              </w:rPr>
              <w:t>t</w:t>
            </w:r>
            <w:r w:rsidRPr="004072E7">
              <w:rPr>
                <w:b/>
                <w:bCs/>
                <w:i/>
                <w:lang w:eastAsia="en-NZ"/>
              </w:rPr>
              <w:t>raining</w:t>
            </w:r>
          </w:p>
        </w:tc>
        <w:tc>
          <w:tcPr>
            <w:tcW w:w="553" w:type="pct"/>
          </w:tcPr>
          <w:p w:rsidR="00ED6788" w:rsidRDefault="00ED6788" w:rsidP="00C25CC8">
            <w:pPr>
              <w:pStyle w:val="TableText"/>
              <w:ind w:right="142"/>
              <w:jc w:val="right"/>
            </w:pPr>
          </w:p>
        </w:tc>
        <w:tc>
          <w:tcPr>
            <w:tcW w:w="887" w:type="pct"/>
            <w:shd w:val="clear" w:color="auto" w:fill="D9D9D9"/>
          </w:tcPr>
          <w:p w:rsidR="00ED6788" w:rsidRDefault="00ED6788" w:rsidP="00C25CC8">
            <w:pPr>
              <w:pStyle w:val="TableText"/>
              <w:ind w:right="142"/>
              <w:jc w:val="right"/>
            </w:pPr>
          </w:p>
        </w:tc>
      </w:tr>
      <w:tr w:rsidR="00ED6788" w:rsidRPr="002C0E8B" w:rsidTr="00B80F72">
        <w:trPr>
          <w:cantSplit/>
        </w:trPr>
        <w:tc>
          <w:tcPr>
            <w:tcW w:w="757" w:type="pct"/>
          </w:tcPr>
          <w:p w:rsidR="00ED6788" w:rsidRDefault="00ED6788" w:rsidP="00BE4AB3">
            <w:pPr>
              <w:pStyle w:val="TableText"/>
              <w:spacing w:before="0"/>
              <w:ind w:right="284"/>
              <w:jc w:val="right"/>
            </w:pPr>
            <w:r>
              <w:t>264</w:t>
            </w:r>
          </w:p>
        </w:tc>
        <w:tc>
          <w:tcPr>
            <w:tcW w:w="2804" w:type="pct"/>
          </w:tcPr>
          <w:p w:rsidR="00ED6788" w:rsidRPr="00450E73" w:rsidRDefault="00ED6788" w:rsidP="00BE4AB3">
            <w:pPr>
              <w:pStyle w:val="TableText"/>
              <w:spacing w:before="0"/>
              <w:ind w:right="142"/>
            </w:pPr>
            <w:r w:rsidRPr="00450E73">
              <w:t>The number of partially subsidised places at ASIST trainings delivered</w:t>
            </w:r>
          </w:p>
        </w:tc>
        <w:tc>
          <w:tcPr>
            <w:tcW w:w="553" w:type="pct"/>
          </w:tcPr>
          <w:p w:rsidR="00ED6788" w:rsidRPr="00033A09" w:rsidRDefault="00ED6788" w:rsidP="00BE4AB3">
            <w:pPr>
              <w:pStyle w:val="TableText"/>
              <w:spacing w:before="0"/>
              <w:ind w:right="142"/>
              <w:jc w:val="right"/>
            </w:pPr>
            <w:r w:rsidRPr="00033A09">
              <w:t>250</w:t>
            </w:r>
          </w:p>
        </w:tc>
        <w:tc>
          <w:tcPr>
            <w:tcW w:w="887" w:type="pct"/>
            <w:shd w:val="clear" w:color="auto" w:fill="D9D9D9"/>
          </w:tcPr>
          <w:p w:rsidR="00ED6788" w:rsidRPr="002D23A5" w:rsidRDefault="00ED6788" w:rsidP="00BE4AB3">
            <w:pPr>
              <w:pStyle w:val="TableText"/>
              <w:spacing w:before="0"/>
              <w:ind w:right="142"/>
              <w:jc w:val="right"/>
            </w:pPr>
            <w:r w:rsidRPr="002D23A5">
              <w:t>260</w:t>
            </w:r>
          </w:p>
        </w:tc>
      </w:tr>
      <w:tr w:rsidR="00ED6788" w:rsidRPr="002C0E8B" w:rsidTr="00BE4AB3">
        <w:trPr>
          <w:cantSplit/>
        </w:trPr>
        <w:tc>
          <w:tcPr>
            <w:tcW w:w="757" w:type="pct"/>
            <w:tcBorders>
              <w:bottom w:val="single" w:sz="4" w:space="0" w:color="A6A6A6" w:themeColor="background1" w:themeShade="A6"/>
            </w:tcBorders>
          </w:tcPr>
          <w:p w:rsidR="00ED6788" w:rsidRDefault="00ED6788" w:rsidP="00BE4AB3">
            <w:pPr>
              <w:pStyle w:val="TableText"/>
              <w:spacing w:before="0"/>
              <w:ind w:right="284"/>
              <w:jc w:val="right"/>
            </w:pPr>
            <w:r>
              <w:t>30</w:t>
            </w:r>
          </w:p>
        </w:tc>
        <w:tc>
          <w:tcPr>
            <w:tcW w:w="2804" w:type="pct"/>
            <w:tcBorders>
              <w:bottom w:val="single" w:sz="4" w:space="0" w:color="A6A6A6" w:themeColor="background1" w:themeShade="A6"/>
            </w:tcBorders>
          </w:tcPr>
          <w:p w:rsidR="00ED6788" w:rsidRDefault="00ED6788" w:rsidP="00D44948">
            <w:pPr>
              <w:pStyle w:val="TableText"/>
              <w:spacing w:before="0"/>
              <w:ind w:right="142"/>
            </w:pPr>
            <w:r w:rsidRPr="00450E73">
              <w:t>Travellers school based education programme for at</w:t>
            </w:r>
            <w:r w:rsidR="00D44948">
              <w:t>-</w:t>
            </w:r>
            <w:r w:rsidRPr="00450E73">
              <w:t>risk youth</w:t>
            </w:r>
            <w:r w:rsidR="00D44948">
              <w:br/>
            </w:r>
            <w:r w:rsidRPr="00450E73">
              <w:t>The number of new schools recruited to the Travellers programme</w:t>
            </w:r>
          </w:p>
        </w:tc>
        <w:tc>
          <w:tcPr>
            <w:tcW w:w="553" w:type="pct"/>
            <w:tcBorders>
              <w:bottom w:val="single" w:sz="4" w:space="0" w:color="A6A6A6" w:themeColor="background1" w:themeShade="A6"/>
            </w:tcBorders>
          </w:tcPr>
          <w:p w:rsidR="00ED6788" w:rsidRDefault="00ED6788" w:rsidP="00BE4AB3">
            <w:pPr>
              <w:pStyle w:val="TableText"/>
              <w:spacing w:before="0"/>
              <w:ind w:right="142"/>
              <w:jc w:val="right"/>
            </w:pPr>
            <w:r w:rsidRPr="00033A09">
              <w:t>10</w:t>
            </w:r>
          </w:p>
        </w:tc>
        <w:tc>
          <w:tcPr>
            <w:tcW w:w="887" w:type="pct"/>
            <w:tcBorders>
              <w:bottom w:val="single" w:sz="4" w:space="0" w:color="A6A6A6" w:themeColor="background1" w:themeShade="A6"/>
            </w:tcBorders>
            <w:shd w:val="clear" w:color="auto" w:fill="D9D9D9"/>
          </w:tcPr>
          <w:p w:rsidR="00ED6788" w:rsidRDefault="00ED6788" w:rsidP="00BE4AB3">
            <w:pPr>
              <w:pStyle w:val="TableText"/>
              <w:spacing w:before="0"/>
              <w:ind w:right="142"/>
              <w:jc w:val="right"/>
            </w:pPr>
            <w:r w:rsidRPr="002D23A5">
              <w:t>30</w:t>
            </w:r>
          </w:p>
        </w:tc>
      </w:tr>
      <w:tr w:rsidR="00ED6788" w:rsidRPr="002C0E8B" w:rsidTr="00BE4AB3">
        <w:trPr>
          <w:cantSplit/>
        </w:trPr>
        <w:tc>
          <w:tcPr>
            <w:tcW w:w="757"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bottom w:val="nil"/>
            </w:tcBorders>
          </w:tcPr>
          <w:p w:rsidR="00ED6788" w:rsidRPr="00AB69C4" w:rsidRDefault="00ED6788" w:rsidP="00B80F72">
            <w:pPr>
              <w:pStyle w:val="TableText"/>
              <w:ind w:right="142"/>
              <w:rPr>
                <w:b/>
              </w:rPr>
            </w:pPr>
            <w:r w:rsidRPr="004072E7">
              <w:rPr>
                <w:b/>
                <w:bCs/>
                <w:lang w:eastAsia="en-NZ"/>
              </w:rPr>
              <w:t>Communicable Disease Outbreak Response Plan</w:t>
            </w:r>
          </w:p>
        </w:tc>
        <w:tc>
          <w:tcPr>
            <w:tcW w:w="553" w:type="pct"/>
            <w:tcBorders>
              <w:top w:val="single" w:sz="4" w:space="0" w:color="A6A6A6" w:themeColor="background1" w:themeShade="A6"/>
              <w:bottom w:val="nil"/>
            </w:tcBorders>
          </w:tcPr>
          <w:p w:rsidR="00ED6788" w:rsidRPr="002C0E8B" w:rsidRDefault="00ED6788" w:rsidP="00C25CC8">
            <w:pPr>
              <w:pStyle w:val="TableText"/>
              <w:ind w:right="142"/>
              <w:jc w:val="right"/>
            </w:pPr>
          </w:p>
        </w:tc>
        <w:tc>
          <w:tcPr>
            <w:tcW w:w="887"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BE4AB3">
        <w:trPr>
          <w:cantSplit/>
        </w:trPr>
        <w:tc>
          <w:tcPr>
            <w:tcW w:w="757" w:type="pct"/>
            <w:tcBorders>
              <w:top w:val="nil"/>
              <w:bottom w:val="single" w:sz="4" w:space="0" w:color="A6A6A6" w:themeColor="background1" w:themeShade="A6"/>
            </w:tcBorders>
          </w:tcPr>
          <w:p w:rsidR="00ED6788" w:rsidRPr="002C0E8B" w:rsidRDefault="00ED6788" w:rsidP="00BE4AB3">
            <w:pPr>
              <w:pStyle w:val="TableText"/>
              <w:spacing w:before="0"/>
              <w:ind w:right="284"/>
              <w:jc w:val="right"/>
            </w:pPr>
            <w:r>
              <w:t>100%</w:t>
            </w:r>
          </w:p>
        </w:tc>
        <w:tc>
          <w:tcPr>
            <w:tcW w:w="2804" w:type="pct"/>
            <w:tcBorders>
              <w:top w:val="nil"/>
              <w:bottom w:val="single" w:sz="4" w:space="0" w:color="A6A6A6" w:themeColor="background1" w:themeShade="A6"/>
            </w:tcBorders>
          </w:tcPr>
          <w:p w:rsidR="00ED6788" w:rsidRPr="002C0E8B" w:rsidRDefault="00ED6788" w:rsidP="00BE4AB3">
            <w:pPr>
              <w:pStyle w:val="TableText"/>
              <w:spacing w:before="0"/>
              <w:ind w:right="142"/>
            </w:pPr>
            <w:r w:rsidRPr="004072E7">
              <w:t>The percentage of Public Health Units with Communicable Disease (CD) outbreak response plan and capability, taking account of CD Manual and ESR guidance on outbreak investigation</w:t>
            </w:r>
          </w:p>
        </w:tc>
        <w:tc>
          <w:tcPr>
            <w:tcW w:w="553" w:type="pct"/>
            <w:tcBorders>
              <w:top w:val="nil"/>
              <w:bottom w:val="single" w:sz="4" w:space="0" w:color="A6A6A6" w:themeColor="background1" w:themeShade="A6"/>
            </w:tcBorders>
          </w:tcPr>
          <w:p w:rsidR="00ED6788" w:rsidRPr="002C0E8B" w:rsidRDefault="00ED6788" w:rsidP="00BE4AB3">
            <w:pPr>
              <w:pStyle w:val="TableText"/>
              <w:spacing w:before="0"/>
              <w:ind w:right="142"/>
              <w:jc w:val="right"/>
            </w:pPr>
            <w:r w:rsidRPr="00F01D28">
              <w:t>100%</w:t>
            </w:r>
          </w:p>
        </w:tc>
        <w:tc>
          <w:tcPr>
            <w:tcW w:w="887" w:type="pct"/>
            <w:tcBorders>
              <w:top w:val="nil"/>
              <w:bottom w:val="single" w:sz="4" w:space="0" w:color="A6A6A6" w:themeColor="background1" w:themeShade="A6"/>
            </w:tcBorders>
            <w:shd w:val="clear" w:color="auto" w:fill="D9D9D9"/>
          </w:tcPr>
          <w:p w:rsidR="00ED6788" w:rsidRPr="00D155EF" w:rsidRDefault="00ED6788" w:rsidP="00BE4AB3">
            <w:pPr>
              <w:pStyle w:val="TableText"/>
              <w:spacing w:before="0"/>
              <w:ind w:right="142"/>
              <w:jc w:val="right"/>
            </w:pPr>
            <w:r>
              <w:t>92%</w:t>
            </w:r>
          </w:p>
        </w:tc>
      </w:tr>
      <w:tr w:rsidR="00ED6788" w:rsidRPr="002C0E8B" w:rsidTr="00BE4AB3">
        <w:trPr>
          <w:cantSplit/>
        </w:trPr>
        <w:tc>
          <w:tcPr>
            <w:tcW w:w="757" w:type="pct"/>
            <w:tcBorders>
              <w:top w:val="single" w:sz="4" w:space="0" w:color="A6A6A6" w:themeColor="background1" w:themeShade="A6"/>
            </w:tcBorders>
          </w:tcPr>
          <w:p w:rsidR="00ED6788" w:rsidRPr="002C0E8B" w:rsidRDefault="00ED6788" w:rsidP="00C25CC8">
            <w:pPr>
              <w:pStyle w:val="TableText"/>
              <w:ind w:right="284"/>
              <w:jc w:val="right"/>
              <w:rPr>
                <w:bCs/>
                <w:lang w:eastAsia="en-NZ"/>
              </w:rPr>
            </w:pPr>
          </w:p>
        </w:tc>
        <w:tc>
          <w:tcPr>
            <w:tcW w:w="2804" w:type="pct"/>
            <w:tcBorders>
              <w:top w:val="single" w:sz="4" w:space="0" w:color="A6A6A6" w:themeColor="background1" w:themeShade="A6"/>
            </w:tcBorders>
          </w:tcPr>
          <w:p w:rsidR="00ED6788" w:rsidRPr="00AB69C4" w:rsidRDefault="00ED6788" w:rsidP="00B80F72">
            <w:pPr>
              <w:pStyle w:val="TableText"/>
              <w:ind w:right="142"/>
              <w:rPr>
                <w:b/>
              </w:rPr>
            </w:pPr>
            <w:r w:rsidRPr="004072E7">
              <w:rPr>
                <w:b/>
                <w:bCs/>
                <w:lang w:eastAsia="en-NZ"/>
              </w:rPr>
              <w:t>Injury Prevention National Poisons Centre (NPC)</w:t>
            </w:r>
          </w:p>
        </w:tc>
        <w:tc>
          <w:tcPr>
            <w:tcW w:w="553" w:type="pct"/>
            <w:tcBorders>
              <w:top w:val="single" w:sz="4" w:space="0" w:color="A6A6A6" w:themeColor="background1" w:themeShade="A6"/>
            </w:tcBorders>
          </w:tcPr>
          <w:p w:rsidR="00ED6788" w:rsidRPr="002C0E8B" w:rsidRDefault="00ED6788" w:rsidP="00C25CC8">
            <w:pPr>
              <w:pStyle w:val="TableText"/>
              <w:ind w:right="142"/>
              <w:jc w:val="right"/>
            </w:pPr>
          </w:p>
        </w:tc>
        <w:tc>
          <w:tcPr>
            <w:tcW w:w="887" w:type="pct"/>
            <w:tcBorders>
              <w:top w:val="single" w:sz="4" w:space="0" w:color="A6A6A6" w:themeColor="background1" w:themeShade="A6"/>
            </w:tcBorders>
            <w:shd w:val="clear" w:color="auto" w:fill="D9D9D9"/>
          </w:tcPr>
          <w:p w:rsidR="00ED6788" w:rsidRPr="002C0E8B" w:rsidRDefault="00ED6788" w:rsidP="00C25CC8">
            <w:pPr>
              <w:pStyle w:val="TableText"/>
              <w:ind w:right="142"/>
              <w:jc w:val="right"/>
            </w:pPr>
          </w:p>
        </w:tc>
      </w:tr>
      <w:tr w:rsidR="00ED6788" w:rsidRPr="002C0E8B" w:rsidTr="00B80F72">
        <w:trPr>
          <w:cantSplit/>
        </w:trPr>
        <w:tc>
          <w:tcPr>
            <w:tcW w:w="757" w:type="pct"/>
          </w:tcPr>
          <w:p w:rsidR="00ED6788" w:rsidRPr="002C0E8B" w:rsidRDefault="00ED6788" w:rsidP="00BE4AB3">
            <w:pPr>
              <w:pStyle w:val="TableText"/>
              <w:spacing w:before="0"/>
              <w:ind w:right="284"/>
              <w:jc w:val="right"/>
            </w:pPr>
            <w:r>
              <w:t>6%</w:t>
            </w:r>
          </w:p>
        </w:tc>
        <w:tc>
          <w:tcPr>
            <w:tcW w:w="2804" w:type="pct"/>
          </w:tcPr>
          <w:p w:rsidR="00ED6788" w:rsidRPr="006D3686" w:rsidRDefault="00ED6788" w:rsidP="00BE4AB3">
            <w:pPr>
              <w:pStyle w:val="TableText"/>
              <w:spacing w:before="0"/>
              <w:ind w:right="142"/>
            </w:pPr>
            <w:r w:rsidRPr="006D3686">
              <w:t>National Poison Centre Phoneline</w:t>
            </w:r>
            <w:r w:rsidR="000845D9">
              <w:t xml:space="preserve"> – </w:t>
            </w:r>
            <w:r w:rsidRPr="006D3686">
              <w:t>percentage of calls abandoned (over total number of calls)</w:t>
            </w:r>
          </w:p>
        </w:tc>
        <w:tc>
          <w:tcPr>
            <w:tcW w:w="553" w:type="pct"/>
          </w:tcPr>
          <w:p w:rsidR="00ED6788" w:rsidRPr="002C0E8B" w:rsidRDefault="00ED6788" w:rsidP="00BE4AB3">
            <w:pPr>
              <w:pStyle w:val="TableText"/>
              <w:spacing w:before="0"/>
              <w:ind w:right="142"/>
              <w:jc w:val="right"/>
            </w:pPr>
            <w:r>
              <w:t>&lt;</w:t>
            </w:r>
            <w:r w:rsidRPr="00F01D28">
              <w:t>10%</w:t>
            </w:r>
          </w:p>
        </w:tc>
        <w:tc>
          <w:tcPr>
            <w:tcW w:w="887" w:type="pct"/>
            <w:shd w:val="clear" w:color="auto" w:fill="D9D9D9"/>
          </w:tcPr>
          <w:p w:rsidR="00ED6788" w:rsidRPr="00D155EF" w:rsidRDefault="00ED6788" w:rsidP="00BE4AB3">
            <w:pPr>
              <w:pStyle w:val="TableText"/>
              <w:spacing w:before="0"/>
              <w:ind w:right="142"/>
              <w:jc w:val="right"/>
            </w:pPr>
            <w:r>
              <w:t>5%</w:t>
            </w:r>
          </w:p>
        </w:tc>
      </w:tr>
      <w:tr w:rsidR="00ED6788" w:rsidRPr="002C0E8B" w:rsidTr="00B80F72">
        <w:trPr>
          <w:cantSplit/>
        </w:trPr>
        <w:tc>
          <w:tcPr>
            <w:tcW w:w="757" w:type="pct"/>
          </w:tcPr>
          <w:p w:rsidR="00ED6788" w:rsidRPr="002C0E8B" w:rsidRDefault="00ED6788" w:rsidP="00C25CC8">
            <w:pPr>
              <w:pStyle w:val="TableText"/>
              <w:ind w:right="284"/>
              <w:jc w:val="right"/>
            </w:pPr>
          </w:p>
        </w:tc>
        <w:tc>
          <w:tcPr>
            <w:tcW w:w="2804" w:type="pct"/>
          </w:tcPr>
          <w:p w:rsidR="00ED6788" w:rsidRPr="00220DB1" w:rsidRDefault="00ED6788" w:rsidP="00B80F72">
            <w:pPr>
              <w:pStyle w:val="TableText"/>
              <w:ind w:right="142"/>
              <w:rPr>
                <w:b/>
                <w:i/>
              </w:rPr>
            </w:pPr>
            <w:r w:rsidRPr="00220DB1">
              <w:rPr>
                <w:b/>
                <w:i/>
              </w:rPr>
              <w:t>National Poison Centre Treatment Outcome</w:t>
            </w:r>
          </w:p>
        </w:tc>
        <w:tc>
          <w:tcPr>
            <w:tcW w:w="553" w:type="pct"/>
          </w:tcPr>
          <w:p w:rsidR="00ED6788" w:rsidRPr="002C0E8B" w:rsidRDefault="00ED6788" w:rsidP="00C25CC8">
            <w:pPr>
              <w:pStyle w:val="TableText"/>
              <w:ind w:right="142"/>
              <w:jc w:val="right"/>
            </w:pPr>
          </w:p>
        </w:tc>
        <w:tc>
          <w:tcPr>
            <w:tcW w:w="887" w:type="pct"/>
            <w:shd w:val="clear" w:color="auto" w:fill="D9D9D9"/>
          </w:tcPr>
          <w:p w:rsidR="00ED6788" w:rsidRPr="00D155EF" w:rsidRDefault="00ED6788" w:rsidP="00C25CC8">
            <w:pPr>
              <w:pStyle w:val="TableText"/>
              <w:ind w:right="142"/>
              <w:jc w:val="right"/>
            </w:pPr>
          </w:p>
        </w:tc>
      </w:tr>
      <w:tr w:rsidR="00ED6788" w:rsidRPr="002C0E8B" w:rsidTr="00B80F72">
        <w:trPr>
          <w:cantSplit/>
        </w:trPr>
        <w:tc>
          <w:tcPr>
            <w:tcW w:w="757" w:type="pct"/>
          </w:tcPr>
          <w:p w:rsidR="00ED6788" w:rsidRDefault="00ED6788" w:rsidP="00BE4AB3">
            <w:pPr>
              <w:pStyle w:val="TableText"/>
              <w:spacing w:before="0"/>
              <w:ind w:right="284"/>
              <w:jc w:val="right"/>
            </w:pPr>
            <w:r>
              <w:t>73%</w:t>
            </w:r>
          </w:p>
        </w:tc>
        <w:tc>
          <w:tcPr>
            <w:tcW w:w="2804" w:type="pct"/>
          </w:tcPr>
          <w:p w:rsidR="00ED6788" w:rsidRDefault="00BE4AB3" w:rsidP="00BE4AB3">
            <w:pPr>
              <w:pStyle w:val="TableText"/>
              <w:spacing w:before="0"/>
              <w:ind w:right="142"/>
            </w:pPr>
            <w:r>
              <w:t>S</w:t>
            </w:r>
            <w:r w:rsidR="00ED6788" w:rsidRPr="006D3686">
              <w:t>ix-monthly reporting of treatment outcomes to the Ministry on the percentages of no treatment required, self management and medical referrals (over the total number of calls with poisons exposure)</w:t>
            </w:r>
          </w:p>
        </w:tc>
        <w:tc>
          <w:tcPr>
            <w:tcW w:w="553" w:type="pct"/>
          </w:tcPr>
          <w:p w:rsidR="00ED6788" w:rsidRDefault="00ED6788" w:rsidP="00BE4AB3">
            <w:pPr>
              <w:pStyle w:val="TableText"/>
              <w:spacing w:before="0"/>
              <w:ind w:right="142"/>
              <w:jc w:val="right"/>
            </w:pPr>
            <w:r w:rsidRPr="00F01D28">
              <w:t>100%</w:t>
            </w:r>
          </w:p>
        </w:tc>
        <w:tc>
          <w:tcPr>
            <w:tcW w:w="887" w:type="pct"/>
            <w:shd w:val="clear" w:color="auto" w:fill="D9D9D9"/>
          </w:tcPr>
          <w:p w:rsidR="00ED6788" w:rsidRDefault="00ED6788" w:rsidP="00BE4AB3">
            <w:pPr>
              <w:pStyle w:val="TableText"/>
              <w:spacing w:before="0"/>
              <w:ind w:right="142"/>
              <w:jc w:val="right"/>
            </w:pPr>
            <w:r>
              <w:t>100%</w:t>
            </w:r>
          </w:p>
        </w:tc>
      </w:tr>
    </w:tbl>
    <w:p w:rsidR="00ED6788" w:rsidRPr="00802126" w:rsidRDefault="00ED6788" w:rsidP="00BE4AB3">
      <w:pPr>
        <w:rPr>
          <w:highlight w:val="yellow"/>
        </w:rPr>
      </w:pPr>
    </w:p>
    <w:p w:rsidR="00ED6788" w:rsidRPr="00B024D3" w:rsidRDefault="00ED6788" w:rsidP="00BE4AB3">
      <w:pPr>
        <w:pStyle w:val="Heading3"/>
      </w:pPr>
      <w:r w:rsidRPr="00B024D3">
        <w:t>National Screening Unit</w:t>
      </w:r>
    </w:p>
    <w:p w:rsidR="00ED6788" w:rsidRPr="00603322" w:rsidRDefault="00ED6788" w:rsidP="00BE4AB3">
      <w:pPr>
        <w:rPr>
          <w:lang w:eastAsia="en-NZ"/>
        </w:rPr>
      </w:pPr>
      <w:r w:rsidRPr="00603322">
        <w:rPr>
          <w:lang w:eastAsia="en-NZ"/>
        </w:rPr>
        <w:t xml:space="preserve">The National Screening Unit (NSU) is responsible for delivering safe, effective and equitable screening programmes nationwide. </w:t>
      </w:r>
      <w:r>
        <w:rPr>
          <w:lang w:eastAsia="en-NZ"/>
        </w:rPr>
        <w:t xml:space="preserve">In 2014/15 </w:t>
      </w:r>
      <w:r w:rsidRPr="00603322">
        <w:rPr>
          <w:lang w:eastAsia="en-NZ"/>
        </w:rPr>
        <w:t>five screening programmes and one quality improvement initiative</w:t>
      </w:r>
      <w:r>
        <w:rPr>
          <w:lang w:eastAsia="en-NZ"/>
        </w:rPr>
        <w:t xml:space="preserve"> were delivered</w:t>
      </w:r>
      <w:r w:rsidRPr="00603322">
        <w:rPr>
          <w:lang w:eastAsia="en-NZ"/>
        </w:rPr>
        <w:t>:</w:t>
      </w:r>
    </w:p>
    <w:p w:rsidR="00ED6788" w:rsidRPr="006330D9" w:rsidRDefault="00ED6788" w:rsidP="00BE4AB3">
      <w:pPr>
        <w:pStyle w:val="Bullet"/>
      </w:pPr>
      <w:r w:rsidRPr="006330D9">
        <w:t>National Cervical Screening Programme</w:t>
      </w:r>
    </w:p>
    <w:p w:rsidR="00ED6788" w:rsidRPr="006330D9" w:rsidRDefault="00ED6788" w:rsidP="00BE4AB3">
      <w:pPr>
        <w:pStyle w:val="Bullet"/>
      </w:pPr>
      <w:r w:rsidRPr="006330D9">
        <w:t>BreastScreen Aotearoa</w:t>
      </w:r>
    </w:p>
    <w:p w:rsidR="00ED6788" w:rsidRPr="006330D9" w:rsidRDefault="00ED6788" w:rsidP="00BE4AB3">
      <w:pPr>
        <w:pStyle w:val="Bullet"/>
      </w:pPr>
      <w:r w:rsidRPr="006330D9">
        <w:t>Newborn Metabolic Screening Programme</w:t>
      </w:r>
    </w:p>
    <w:p w:rsidR="000845D9" w:rsidRDefault="00ED6788" w:rsidP="00BE4AB3">
      <w:pPr>
        <w:pStyle w:val="Bullet"/>
      </w:pPr>
      <w:r w:rsidRPr="006330D9">
        <w:t>Universal Newborn Hearing Screening and Early Intervention Programme</w:t>
      </w:r>
    </w:p>
    <w:p w:rsidR="00ED6788" w:rsidRPr="006330D9" w:rsidRDefault="00ED6788" w:rsidP="00BE4AB3">
      <w:pPr>
        <w:pStyle w:val="Bullet"/>
      </w:pPr>
      <w:r w:rsidRPr="006330D9">
        <w:t>Universal Offer Antenatal HIV Screening Programme</w:t>
      </w:r>
    </w:p>
    <w:p w:rsidR="00ED6788" w:rsidRDefault="00ED6788" w:rsidP="00BE4AB3">
      <w:pPr>
        <w:pStyle w:val="Bullet"/>
      </w:pPr>
      <w:r w:rsidRPr="006330D9">
        <w:t xml:space="preserve">quality improvement measures for </w:t>
      </w:r>
      <w:r w:rsidR="00D44948">
        <w:t>a</w:t>
      </w:r>
      <w:r w:rsidRPr="006330D9">
        <w:t>ntenatal screening for Down syndrome and other conditions.</w:t>
      </w:r>
    </w:p>
    <w:p w:rsidR="00BE4AB3" w:rsidRPr="006330D9" w:rsidRDefault="00BE4AB3" w:rsidP="00BE4AB3"/>
    <w:p w:rsidR="00ED6788" w:rsidRPr="00FE5ADE" w:rsidRDefault="00ED6788" w:rsidP="00BE4AB3">
      <w:pPr>
        <w:pStyle w:val="Heading4"/>
        <w:rPr>
          <w:lang w:eastAsia="en-NZ"/>
        </w:rPr>
      </w:pPr>
      <w:r w:rsidRPr="00FE5ADE">
        <w:rPr>
          <w:lang w:eastAsia="en-NZ"/>
        </w:rPr>
        <w:lastRenderedPageBreak/>
        <w:t>National Cervical Screening Programme</w:t>
      </w:r>
    </w:p>
    <w:p w:rsidR="000845D9" w:rsidRDefault="00ED6788" w:rsidP="00BE4AB3">
      <w:pPr>
        <w:keepLines/>
        <w:rPr>
          <w:lang w:eastAsia="en-NZ"/>
        </w:rPr>
      </w:pPr>
      <w:r w:rsidRPr="00603322">
        <w:rPr>
          <w:lang w:eastAsia="en-NZ"/>
        </w:rPr>
        <w:t>Cervical cancer is one of the most preventable cancers.</w:t>
      </w:r>
      <w:r w:rsidR="000845D9">
        <w:rPr>
          <w:lang w:eastAsia="en-NZ"/>
        </w:rPr>
        <w:t xml:space="preserve"> </w:t>
      </w:r>
      <w:r w:rsidRPr="00603322">
        <w:rPr>
          <w:lang w:eastAsia="en-NZ"/>
        </w:rPr>
        <w:t>Cervical screening reduces the risk of women developing cervical cancer.</w:t>
      </w:r>
      <w:r w:rsidR="000845D9">
        <w:rPr>
          <w:lang w:eastAsia="en-NZ"/>
        </w:rPr>
        <w:t xml:space="preserve"> </w:t>
      </w:r>
      <w:r w:rsidRPr="00603322">
        <w:rPr>
          <w:lang w:eastAsia="en-NZ"/>
        </w:rPr>
        <w:t>The aim is to increase cervical screening coverage to 80</w:t>
      </w:r>
      <w:r w:rsidR="00BE4AB3">
        <w:rPr>
          <w:lang w:eastAsia="en-NZ"/>
        </w:rPr>
        <w:t> </w:t>
      </w:r>
      <w:r w:rsidRPr="00603322">
        <w:rPr>
          <w:lang w:eastAsia="en-NZ"/>
        </w:rPr>
        <w:t>percent for all ethnic groups.</w:t>
      </w:r>
      <w:r w:rsidR="000845D9">
        <w:rPr>
          <w:lang w:eastAsia="en-NZ"/>
        </w:rPr>
        <w:t xml:space="preserve"> </w:t>
      </w:r>
      <w:r w:rsidRPr="00603322">
        <w:rPr>
          <w:lang w:eastAsia="en-NZ"/>
        </w:rPr>
        <w:t>Overall coverage</w:t>
      </w:r>
      <w:r>
        <w:rPr>
          <w:lang w:eastAsia="en-NZ"/>
        </w:rPr>
        <w:t xml:space="preserve"> (three-year)</w:t>
      </w:r>
      <w:r w:rsidRPr="00603322">
        <w:rPr>
          <w:lang w:eastAsia="en-NZ"/>
        </w:rPr>
        <w:t xml:space="preserve"> for the National Cervical Screening Programme (NCSP) is 76.</w:t>
      </w:r>
      <w:r>
        <w:rPr>
          <w:lang w:eastAsia="en-NZ"/>
        </w:rPr>
        <w:t>5</w:t>
      </w:r>
      <w:r w:rsidRPr="00603322">
        <w:rPr>
          <w:lang w:eastAsia="en-NZ"/>
        </w:rPr>
        <w:t xml:space="preserve"> percent for women 25–69 years old as at 3</w:t>
      </w:r>
      <w:r>
        <w:rPr>
          <w:lang w:eastAsia="en-NZ"/>
        </w:rPr>
        <w:t>0</w:t>
      </w:r>
      <w:r w:rsidRPr="00603322">
        <w:rPr>
          <w:lang w:eastAsia="en-NZ"/>
        </w:rPr>
        <w:t xml:space="preserve"> </w:t>
      </w:r>
      <w:r>
        <w:rPr>
          <w:lang w:eastAsia="en-NZ"/>
        </w:rPr>
        <w:t xml:space="preserve">June </w:t>
      </w:r>
      <w:r w:rsidRPr="00603322">
        <w:rPr>
          <w:lang w:eastAsia="en-NZ"/>
        </w:rPr>
        <w:t>2015. Five</w:t>
      </w:r>
      <w:r>
        <w:rPr>
          <w:lang w:eastAsia="en-NZ"/>
        </w:rPr>
        <w:t>-</w:t>
      </w:r>
      <w:r w:rsidRPr="00603322">
        <w:rPr>
          <w:lang w:eastAsia="en-NZ"/>
        </w:rPr>
        <w:t>year coverage is measured to capture women that may access screening slightly later than the recommended three</w:t>
      </w:r>
      <w:r>
        <w:rPr>
          <w:lang w:eastAsia="en-NZ"/>
        </w:rPr>
        <w:t>-</w:t>
      </w:r>
      <w:r w:rsidRPr="00603322">
        <w:rPr>
          <w:lang w:eastAsia="en-NZ"/>
        </w:rPr>
        <w:t>yearly interval but still importantly are being screened. The coverage for the five-year period is 90.</w:t>
      </w:r>
      <w:r>
        <w:rPr>
          <w:lang w:eastAsia="en-NZ"/>
        </w:rPr>
        <w:t>7</w:t>
      </w:r>
      <w:r w:rsidRPr="00603322">
        <w:rPr>
          <w:lang w:eastAsia="en-NZ"/>
        </w:rPr>
        <w:t xml:space="preserve"> percent. NC</w:t>
      </w:r>
      <w:r>
        <w:rPr>
          <w:lang w:eastAsia="en-NZ"/>
        </w:rPr>
        <w:t>S</w:t>
      </w:r>
      <w:r w:rsidRPr="00603322">
        <w:rPr>
          <w:lang w:eastAsia="en-NZ"/>
        </w:rPr>
        <w:t>P continues to promote participation through education and awareness strategies.</w:t>
      </w:r>
    </w:p>
    <w:p w:rsidR="00ED6788" w:rsidRDefault="00ED6788" w:rsidP="00BE4AB3"/>
    <w:p w:rsidR="00ED6788" w:rsidRDefault="00ED6788" w:rsidP="00BE4AB3">
      <w:r w:rsidRPr="00217120">
        <w:rPr>
          <w:i/>
        </w:rPr>
        <w:t>Note A:</w:t>
      </w:r>
      <w:r w:rsidRPr="0015649A">
        <w:t xml:space="preserve"> The additional women needing to be screened to reach the 80 percent coverage target are primarily in the (NCSP) priority groups which are Māori, Pacific, Asian, unscreened and under-screened women.</w:t>
      </w:r>
      <w:r w:rsidR="000845D9">
        <w:t xml:space="preserve"> </w:t>
      </w:r>
      <w:r w:rsidRPr="0015649A">
        <w:t>In particular inequities remain for Māori and Pacific women.</w:t>
      </w:r>
      <w:r w:rsidR="000845D9">
        <w:t xml:space="preserve"> </w:t>
      </w:r>
      <w:r w:rsidRPr="0015649A">
        <w:t>The NCSP is addressing this through multiple strategies, for example monitoring provider initiatives through contracts, cervical screening coverage included as a target in the Integrated Performance and Incentive Framework (IPIF) and DHB Māori Health Plans, provision of some free smears for priority women,</w:t>
      </w:r>
      <w:r w:rsidR="000845D9">
        <w:t xml:space="preserve"> </w:t>
      </w:r>
      <w:r w:rsidRPr="0015649A">
        <w:t>data matching to target under-screened women, and social marketing strategies. NCSP and BreastScreen Aotearoa are also reviewing their support to screening services contracts to ensure the service delivery model supports women to access the screening programmes, targets priority women and provides value for money</w:t>
      </w:r>
      <w:r>
        <w:t>.</w:t>
      </w:r>
    </w:p>
    <w:p w:rsidR="00BE4AB3" w:rsidRDefault="00BE4AB3" w:rsidP="00BE4AB3"/>
    <w:p w:rsidR="00ED6788" w:rsidRPr="00FE5ADE" w:rsidRDefault="00ED6788" w:rsidP="00BE4AB3">
      <w:pPr>
        <w:pStyle w:val="Heading4"/>
        <w:rPr>
          <w:lang w:eastAsia="en-NZ"/>
        </w:rPr>
      </w:pPr>
      <w:r w:rsidRPr="00FE5ADE">
        <w:rPr>
          <w:lang w:eastAsia="en-NZ"/>
        </w:rPr>
        <w:t>BreastScreen Aotearoa</w:t>
      </w:r>
    </w:p>
    <w:p w:rsidR="000845D9" w:rsidRDefault="00ED6788" w:rsidP="00BE4AB3">
      <w:pPr>
        <w:rPr>
          <w:lang w:eastAsia="en-NZ"/>
        </w:rPr>
      </w:pPr>
      <w:r w:rsidRPr="00603322">
        <w:rPr>
          <w:lang w:eastAsia="en-NZ"/>
        </w:rPr>
        <w:t>Eligible women are invited to be screened every two years under the BreastScreen Aotearoa (BSA) programme. Overall coverage for BSA exceeds the 70</w:t>
      </w:r>
      <w:r w:rsidRPr="00603322">
        <w:rPr>
          <w:rFonts w:cs="Arial"/>
          <w:szCs w:val="22"/>
          <w:lang w:eastAsia="en-NZ"/>
        </w:rPr>
        <w:t> </w:t>
      </w:r>
      <w:r w:rsidRPr="00603322">
        <w:rPr>
          <w:lang w:eastAsia="en-NZ"/>
        </w:rPr>
        <w:t>percent target and is 72.1</w:t>
      </w:r>
      <w:r w:rsidRPr="00603322">
        <w:rPr>
          <w:rFonts w:cs="Arial"/>
          <w:szCs w:val="22"/>
          <w:lang w:eastAsia="en-NZ"/>
        </w:rPr>
        <w:t> </w:t>
      </w:r>
      <w:r w:rsidRPr="00603322">
        <w:rPr>
          <w:lang w:eastAsia="en-NZ"/>
        </w:rPr>
        <w:t xml:space="preserve">percent </w:t>
      </w:r>
      <w:r>
        <w:rPr>
          <w:lang w:eastAsia="en-NZ"/>
        </w:rPr>
        <w:t>f</w:t>
      </w:r>
      <w:r w:rsidRPr="00945B89">
        <w:rPr>
          <w:lang w:eastAsia="en-NZ"/>
        </w:rPr>
        <w:t>or women 45</w:t>
      </w:r>
      <w:r w:rsidR="00BE4AB3">
        <w:rPr>
          <w:lang w:eastAsia="en-NZ"/>
        </w:rPr>
        <w:t>–</w:t>
      </w:r>
      <w:r w:rsidRPr="00945B89">
        <w:rPr>
          <w:lang w:eastAsia="en-NZ"/>
        </w:rPr>
        <w:t xml:space="preserve">69 years old </w:t>
      </w:r>
      <w:r w:rsidRPr="00603322">
        <w:rPr>
          <w:lang w:eastAsia="en-NZ"/>
        </w:rPr>
        <w:t>as at 30</w:t>
      </w:r>
      <w:r w:rsidRPr="00603322">
        <w:rPr>
          <w:rFonts w:cs="Arial"/>
          <w:szCs w:val="22"/>
          <w:lang w:eastAsia="en-NZ"/>
        </w:rPr>
        <w:t> </w:t>
      </w:r>
      <w:r w:rsidRPr="00603322">
        <w:rPr>
          <w:lang w:eastAsia="en-NZ"/>
        </w:rPr>
        <w:t>June 2015</w:t>
      </w:r>
      <w:r>
        <w:rPr>
          <w:lang w:eastAsia="en-NZ"/>
        </w:rPr>
        <w:t>.</w:t>
      </w:r>
      <w:r w:rsidRPr="00603322">
        <w:rPr>
          <w:lang w:eastAsia="en-NZ"/>
        </w:rPr>
        <w:t xml:space="preserve"> Coverage for Pacific women also exceeds the 70</w:t>
      </w:r>
      <w:r w:rsidR="00BE4AB3">
        <w:rPr>
          <w:lang w:eastAsia="en-NZ"/>
        </w:rPr>
        <w:t> </w:t>
      </w:r>
      <w:r w:rsidRPr="00603322">
        <w:rPr>
          <w:lang w:eastAsia="en-NZ"/>
        </w:rPr>
        <w:t>percent target</w:t>
      </w:r>
      <w:r w:rsidR="00D44948">
        <w:rPr>
          <w:lang w:eastAsia="en-NZ"/>
        </w:rPr>
        <w:t>;</w:t>
      </w:r>
      <w:r w:rsidRPr="00603322">
        <w:rPr>
          <w:lang w:eastAsia="en-NZ"/>
        </w:rPr>
        <w:t xml:space="preserve"> however inequities remain for </w:t>
      </w:r>
      <w:r>
        <w:rPr>
          <w:lang w:eastAsia="en-NZ"/>
        </w:rPr>
        <w:t>Māori</w:t>
      </w:r>
      <w:r w:rsidRPr="00603322">
        <w:rPr>
          <w:lang w:eastAsia="en-NZ"/>
        </w:rPr>
        <w:t xml:space="preserve"> women which BSA is working to address.</w:t>
      </w:r>
    </w:p>
    <w:p w:rsidR="00BE4AB3" w:rsidRDefault="00BE4AB3" w:rsidP="00BE4AB3">
      <w:pPr>
        <w:rPr>
          <w:lang w:eastAsia="en-NZ"/>
        </w:rPr>
      </w:pPr>
    </w:p>
    <w:p w:rsidR="00ED6788" w:rsidRPr="00C8298A" w:rsidRDefault="00ED6788" w:rsidP="00BE4AB3">
      <w:pPr>
        <w:rPr>
          <w:lang w:eastAsia="en-NZ"/>
        </w:rPr>
      </w:pPr>
      <w:r w:rsidRPr="00217120">
        <w:rPr>
          <w:i/>
        </w:rPr>
        <w:t>Note B:</w:t>
      </w:r>
      <w:r w:rsidRPr="00D92914">
        <w:rPr>
          <w:lang w:eastAsia="en-NZ"/>
        </w:rPr>
        <w:t xml:space="preserve"> </w:t>
      </w:r>
      <w:r w:rsidRPr="00C757DB">
        <w:rPr>
          <w:lang w:eastAsia="en-NZ"/>
        </w:rPr>
        <w:t xml:space="preserve">BSA is addressing inequities in coverage for </w:t>
      </w:r>
      <w:r>
        <w:rPr>
          <w:lang w:eastAsia="en-NZ"/>
        </w:rPr>
        <w:t>Māori</w:t>
      </w:r>
      <w:r w:rsidRPr="00C757DB">
        <w:rPr>
          <w:lang w:eastAsia="en-NZ"/>
        </w:rPr>
        <w:t xml:space="preserve"> women through multiple strategies including data matching with primary care to identify under-screened women, regional collaboration, DHB </w:t>
      </w:r>
      <w:r>
        <w:rPr>
          <w:lang w:eastAsia="en-NZ"/>
        </w:rPr>
        <w:t>Māori</w:t>
      </w:r>
      <w:r w:rsidRPr="00C757DB">
        <w:rPr>
          <w:lang w:eastAsia="en-NZ"/>
        </w:rPr>
        <w:t xml:space="preserve"> Health Plan activity, support to screening services contracts and social marketing initiatives.</w:t>
      </w:r>
    </w:p>
    <w:p w:rsidR="00ED6788" w:rsidRPr="00603322" w:rsidRDefault="00ED6788" w:rsidP="00BE4AB3">
      <w:pPr>
        <w:rPr>
          <w:lang w:eastAsia="en-NZ"/>
        </w:rPr>
      </w:pPr>
    </w:p>
    <w:p w:rsidR="00ED6788" w:rsidRPr="00FE5ADE" w:rsidRDefault="00ED6788" w:rsidP="00BE4AB3">
      <w:pPr>
        <w:pStyle w:val="Heading4"/>
        <w:rPr>
          <w:lang w:eastAsia="en-NZ"/>
        </w:rPr>
      </w:pPr>
      <w:r w:rsidRPr="00FE5ADE">
        <w:rPr>
          <w:lang w:eastAsia="en-NZ"/>
        </w:rPr>
        <w:t xml:space="preserve">Antenatal and </w:t>
      </w:r>
      <w:r w:rsidR="00BE4AB3">
        <w:rPr>
          <w:lang w:eastAsia="en-NZ"/>
        </w:rPr>
        <w:t>n</w:t>
      </w:r>
      <w:r w:rsidRPr="00FE5ADE">
        <w:rPr>
          <w:lang w:eastAsia="en-NZ"/>
        </w:rPr>
        <w:t xml:space="preserve">ewborn </w:t>
      </w:r>
      <w:r w:rsidR="00BE4AB3">
        <w:rPr>
          <w:lang w:eastAsia="en-NZ"/>
        </w:rPr>
        <w:t>s</w:t>
      </w:r>
      <w:r w:rsidRPr="00FE5ADE">
        <w:rPr>
          <w:lang w:eastAsia="en-NZ"/>
        </w:rPr>
        <w:t>creening</w:t>
      </w:r>
    </w:p>
    <w:p w:rsidR="00ED6788" w:rsidRPr="009D6AB1" w:rsidRDefault="00ED6788" w:rsidP="00BE4AB3">
      <w:pPr>
        <w:rPr>
          <w:lang w:eastAsia="en-NZ"/>
        </w:rPr>
      </w:pPr>
      <w:r w:rsidRPr="009D6AB1">
        <w:rPr>
          <w:lang w:eastAsia="en-NZ"/>
        </w:rPr>
        <w:t xml:space="preserve">Around </w:t>
      </w:r>
      <w:r>
        <w:rPr>
          <w:lang w:eastAsia="en-NZ"/>
        </w:rPr>
        <w:t>58</w:t>
      </w:r>
      <w:r w:rsidRPr="009D6AB1">
        <w:rPr>
          <w:lang w:eastAsia="en-NZ"/>
        </w:rPr>
        <w:t xml:space="preserve">,000 newborn babies </w:t>
      </w:r>
      <w:r>
        <w:rPr>
          <w:lang w:eastAsia="en-NZ"/>
        </w:rPr>
        <w:t>are</w:t>
      </w:r>
      <w:r w:rsidRPr="009D6AB1">
        <w:rPr>
          <w:lang w:eastAsia="en-NZ"/>
        </w:rPr>
        <w:t xml:space="preserve"> screened </w:t>
      </w:r>
      <w:r w:rsidRPr="00D609DD">
        <w:rPr>
          <w:lang w:eastAsia="en-NZ"/>
        </w:rPr>
        <w:t xml:space="preserve">each year </w:t>
      </w:r>
      <w:r w:rsidRPr="009D6AB1">
        <w:rPr>
          <w:lang w:eastAsia="en-NZ"/>
        </w:rPr>
        <w:t>through the Newborn Metabolic Screening Programme</w:t>
      </w:r>
      <w:r w:rsidRPr="009D6AB1">
        <w:t xml:space="preserve"> </w:t>
      </w:r>
      <w:r w:rsidRPr="009D6AB1">
        <w:rPr>
          <w:lang w:eastAsia="en-NZ"/>
        </w:rPr>
        <w:t>for over 20 rare metabolic disorders, to prevent severe disability or even death.</w:t>
      </w:r>
    </w:p>
    <w:p w:rsidR="00ED6788" w:rsidRDefault="00ED6788" w:rsidP="00BE4AB3">
      <w:pPr>
        <w:rPr>
          <w:lang w:eastAsia="en-NZ"/>
        </w:rPr>
      </w:pPr>
    </w:p>
    <w:p w:rsidR="000845D9" w:rsidRDefault="00ED6788" w:rsidP="00BE4AB3">
      <w:pPr>
        <w:rPr>
          <w:lang w:eastAsia="en-NZ"/>
        </w:rPr>
      </w:pPr>
      <w:r w:rsidRPr="00603322">
        <w:rPr>
          <w:lang w:eastAsia="en-NZ"/>
        </w:rPr>
        <w:t xml:space="preserve">Newborn hearing screening aims to detect moderate or more severe hearing loss so that early intervention can be commenced by six months of age. This improves the social, cognitive and developmental behaviours for the </w:t>
      </w:r>
      <w:r w:rsidRPr="00501A78">
        <w:rPr>
          <w:lang w:eastAsia="en-NZ"/>
        </w:rPr>
        <w:t xml:space="preserve">child. Around 55,000 newborn babies </w:t>
      </w:r>
      <w:r>
        <w:rPr>
          <w:lang w:eastAsia="en-NZ"/>
        </w:rPr>
        <w:t>are</w:t>
      </w:r>
      <w:r w:rsidRPr="00603322">
        <w:rPr>
          <w:lang w:eastAsia="en-NZ"/>
        </w:rPr>
        <w:t xml:space="preserve"> screened </w:t>
      </w:r>
      <w:r w:rsidRPr="00D609DD">
        <w:rPr>
          <w:lang w:eastAsia="en-NZ"/>
        </w:rPr>
        <w:t xml:space="preserve">each year </w:t>
      </w:r>
      <w:r w:rsidRPr="00603322">
        <w:rPr>
          <w:lang w:eastAsia="en-NZ"/>
        </w:rPr>
        <w:t>through the Universal Newborn Hearing Screening and Early Intervention Programme</w:t>
      </w:r>
      <w:r>
        <w:rPr>
          <w:lang w:eastAsia="en-NZ"/>
        </w:rPr>
        <w:t>.</w:t>
      </w:r>
    </w:p>
    <w:p w:rsidR="00ED6788" w:rsidRDefault="00ED6788" w:rsidP="00BE4AB3">
      <w:pPr>
        <w:rPr>
          <w:lang w:eastAsia="en-NZ"/>
        </w:rPr>
      </w:pPr>
    </w:p>
    <w:p w:rsidR="00ED6788" w:rsidRPr="00603322" w:rsidRDefault="00ED6788" w:rsidP="00BE4AB3">
      <w:pPr>
        <w:rPr>
          <w:lang w:eastAsia="en-NZ"/>
        </w:rPr>
      </w:pPr>
      <w:r w:rsidRPr="00217120">
        <w:rPr>
          <w:i/>
        </w:rPr>
        <w:t>Note C:</w:t>
      </w:r>
      <w:r>
        <w:rPr>
          <w:lang w:eastAsia="en-NZ"/>
        </w:rPr>
        <w:t xml:space="preserve"> </w:t>
      </w:r>
      <w:r w:rsidRPr="00603322">
        <w:rPr>
          <w:lang w:eastAsia="en-NZ"/>
        </w:rPr>
        <w:t>Antenatal HIV screening aims to prevent mother to child transmission of HIV by detecting this earlier and providing appropriate treatment</w:t>
      </w:r>
      <w:r>
        <w:rPr>
          <w:lang w:eastAsia="en-NZ"/>
        </w:rPr>
        <w:t>.</w:t>
      </w:r>
      <w:r w:rsidRPr="00603322">
        <w:rPr>
          <w:lang w:eastAsia="en-NZ"/>
        </w:rPr>
        <w:t xml:space="preserve"> No perinatal transmission to babies has been notified to the NSU for this screening since 2011. Following this final report, the NSU will no longer be producing monitoring reports for this screening. HIV screening is now well embedded in antenatal care, and all pregnant women will continue to be offered screening and treated appropriately by existing services.</w:t>
      </w:r>
    </w:p>
    <w:p w:rsidR="00ED6788" w:rsidRPr="00FE5ADE" w:rsidRDefault="00ED6788" w:rsidP="00BE4AB3">
      <w:pPr>
        <w:rPr>
          <w:lang w:eastAsia="en-NZ"/>
        </w:rPr>
      </w:pPr>
    </w:p>
    <w:p w:rsidR="00ED6788" w:rsidRDefault="00ED6788" w:rsidP="00BE4AB3">
      <w:pPr>
        <w:rPr>
          <w:lang w:eastAsia="en-NZ"/>
        </w:rPr>
      </w:pPr>
      <w:r w:rsidRPr="00FE5ADE">
        <w:rPr>
          <w:lang w:eastAsia="en-NZ"/>
        </w:rPr>
        <w:lastRenderedPageBreak/>
        <w:t>Antenatal screening for Down syndrome and other conditions is offered to pregnant women so that they can be informed about their pregnancy and supported in the decisions that are right for them. Around 4</w:t>
      </w:r>
      <w:r>
        <w:rPr>
          <w:lang w:eastAsia="en-NZ"/>
        </w:rPr>
        <w:t>8</w:t>
      </w:r>
      <w:r w:rsidRPr="00FE5ADE">
        <w:rPr>
          <w:lang w:eastAsia="en-NZ"/>
        </w:rPr>
        <w:t xml:space="preserve">,000 pregnant women </w:t>
      </w:r>
      <w:r>
        <w:rPr>
          <w:lang w:eastAsia="en-NZ"/>
        </w:rPr>
        <w:t>are</w:t>
      </w:r>
      <w:r w:rsidRPr="00FE5ADE">
        <w:rPr>
          <w:lang w:eastAsia="en-NZ"/>
        </w:rPr>
        <w:t xml:space="preserve"> screened </w:t>
      </w:r>
      <w:r w:rsidRPr="00D609DD">
        <w:rPr>
          <w:lang w:eastAsia="en-NZ"/>
        </w:rPr>
        <w:t>each year</w:t>
      </w:r>
      <w:r w:rsidRPr="00FE5ADE">
        <w:rPr>
          <w:lang w:eastAsia="en-NZ"/>
        </w:rPr>
        <w:t>.</w:t>
      </w:r>
    </w:p>
    <w:p w:rsidR="00BE4AB3" w:rsidRPr="00FE5ADE" w:rsidRDefault="00BE4AB3" w:rsidP="00BE4AB3">
      <w:pPr>
        <w:rPr>
          <w:lang w:eastAsia="en-NZ"/>
        </w:rPr>
      </w:pPr>
    </w:p>
    <w:p w:rsidR="00ED6788" w:rsidRPr="00D5456A" w:rsidRDefault="00ED6788" w:rsidP="00BE4AB3">
      <w:pPr>
        <w:pStyle w:val="Heading4"/>
      </w:pPr>
      <w:r w:rsidRPr="00500121">
        <w:t>Tobacco</w:t>
      </w:r>
      <w:r w:rsidR="00BE4AB3">
        <w:t xml:space="preserve"> c</w:t>
      </w:r>
      <w:r w:rsidRPr="00500121">
        <w:t xml:space="preserve">ontrol </w:t>
      </w:r>
      <w:r w:rsidR="00BE4AB3">
        <w:t>p</w:t>
      </w:r>
      <w:r w:rsidRPr="00500121">
        <w:t>rogramme</w:t>
      </w:r>
    </w:p>
    <w:p w:rsidR="000845D9" w:rsidRDefault="00ED6788" w:rsidP="00BE4AB3">
      <w:r w:rsidRPr="00D5456A">
        <w:t>The tobacco control programme incorporates internationally recommended strategies towards minimising the harm from tobacco through legislation, taxation, health promotion and smoking cessation services. New Zealand is at the forefront of tobacco control internationally and has made steady progress in reducing smoking prevalence and tobacco consumption.</w:t>
      </w:r>
    </w:p>
    <w:p w:rsidR="00BE4AB3" w:rsidRDefault="00BE4AB3" w:rsidP="00BE4AB3"/>
    <w:p w:rsidR="000845D9" w:rsidRDefault="00ED6788" w:rsidP="00BE4AB3">
      <w:r w:rsidRPr="00D5456A">
        <w:t xml:space="preserve">The Government has set an aspirational goal of reducing smoking prevalence and tobacco availability to minimal levels, to make New Zealand </w:t>
      </w:r>
      <w:r>
        <w:t xml:space="preserve">essentially </w:t>
      </w:r>
      <w:r w:rsidRPr="00D5456A">
        <w:t>smokefree by 2025.</w:t>
      </w:r>
    </w:p>
    <w:p w:rsidR="00BE4AB3" w:rsidRDefault="00BE4AB3" w:rsidP="00BE4AB3"/>
    <w:p w:rsidR="00ED6788" w:rsidRPr="00D5456A" w:rsidRDefault="00ED6788" w:rsidP="00BE4AB3">
      <w:r w:rsidRPr="00D5456A">
        <w:t>To achieve this goal we are:</w:t>
      </w:r>
    </w:p>
    <w:p w:rsidR="000845D9" w:rsidRDefault="00ED6788" w:rsidP="00BE4AB3">
      <w:pPr>
        <w:pStyle w:val="Bullet"/>
      </w:pPr>
      <w:r w:rsidRPr="00D5456A">
        <w:t>investigating changes to Acts and Regulations</w:t>
      </w:r>
    </w:p>
    <w:p w:rsidR="00ED6788" w:rsidRPr="00D5456A" w:rsidRDefault="00ED6788" w:rsidP="00BE4AB3">
      <w:pPr>
        <w:pStyle w:val="Bullet"/>
      </w:pPr>
      <w:r w:rsidRPr="00D5456A">
        <w:t>ensuring cessation, advocacy, compliance and enforcement services are operating efficiently and effectively</w:t>
      </w:r>
    </w:p>
    <w:p w:rsidR="000845D9" w:rsidRDefault="00ED6788" w:rsidP="00BE4AB3">
      <w:pPr>
        <w:pStyle w:val="Bullet"/>
      </w:pPr>
      <w:r w:rsidRPr="00D5456A">
        <w:t>monitoring and evaluating research and cessation initiatives to assess their relevance to New Zealand</w:t>
      </w:r>
    </w:p>
    <w:p w:rsidR="000845D9" w:rsidRDefault="00ED6788" w:rsidP="00BE4AB3">
      <w:pPr>
        <w:pStyle w:val="Bullet"/>
      </w:pPr>
      <w:r w:rsidRPr="00D5456A">
        <w:t>supporting the wider sector to implement smokefree policies</w:t>
      </w:r>
    </w:p>
    <w:p w:rsidR="00ED6788" w:rsidRPr="00D5456A" w:rsidRDefault="00ED6788" w:rsidP="00BE4AB3">
      <w:pPr>
        <w:pStyle w:val="Bullet"/>
      </w:pPr>
      <w:r w:rsidRPr="00D5456A">
        <w:t>monitoring New Zealand</w:t>
      </w:r>
      <w:r w:rsidR="000845D9">
        <w:t>’</w:t>
      </w:r>
      <w:r w:rsidRPr="00D5456A">
        <w:t>s progress towards a Smokefree New Zealand 2025.</w:t>
      </w:r>
    </w:p>
    <w:p w:rsidR="00ED6788" w:rsidRPr="00D5456A" w:rsidRDefault="00ED6788" w:rsidP="00BE4AB3"/>
    <w:p w:rsidR="00ED6788" w:rsidRPr="00D5456A" w:rsidRDefault="00ED6788" w:rsidP="00BE4AB3">
      <w:r w:rsidRPr="00D5456A">
        <w:t>The 2014 survey of Year 10 students (aged 14 and 15 years) showed 76.93 percent had never smoked</w:t>
      </w:r>
      <w:r>
        <w:t>.</w:t>
      </w:r>
      <w:r w:rsidR="000845D9">
        <w:t xml:space="preserve"> </w:t>
      </w:r>
      <w:r w:rsidRPr="00D5456A">
        <w:t>In 2000, 33.0 percent of Year 10 students had never smoked, and in 2005 this had risen to 49.4 percent</w:t>
      </w:r>
      <w:r w:rsidR="00D44948">
        <w:t>;</w:t>
      </w:r>
      <w:r w:rsidRPr="00D5456A">
        <w:t xml:space="preserve"> it was 64.4 percent in 2010, 70.1 percent in 2012 and 75.07 in 2013.</w:t>
      </w:r>
    </w:p>
    <w:p w:rsidR="00ED6788" w:rsidRDefault="00ED6788" w:rsidP="00BE4AB3"/>
    <w:p w:rsidR="000845D9" w:rsidRDefault="00ED6788" w:rsidP="00BE4AB3">
      <w:pPr>
        <w:pStyle w:val="Heading4"/>
      </w:pPr>
      <w:r w:rsidRPr="00D5456A">
        <w:t>Smokefree New Zealand 2025 Innovation Fund</w:t>
      </w:r>
    </w:p>
    <w:p w:rsidR="000845D9" w:rsidRDefault="00ED6788" w:rsidP="00BE4AB3">
      <w:r w:rsidRPr="00D5456A">
        <w:t>The Smokefree New Zealand 2025 Innovation Fund was established to invest in the design, development, promotion and delivery of innovative efforts to reduce the harm and wider costs of smoking through a supportive and comprehensive public health environment approach.</w:t>
      </w:r>
    </w:p>
    <w:p w:rsidR="00BE4AB3" w:rsidRDefault="00BE4AB3" w:rsidP="00BE4AB3"/>
    <w:p w:rsidR="00ED6788" w:rsidRPr="00D5456A" w:rsidRDefault="00ED6788" w:rsidP="00BE4AB3">
      <w:r w:rsidRPr="00D5456A">
        <w:t>The purpose of the Fund is to make meaningful progress towards the Smokefree New Zealand 2025 goal. Funding is targeted at vulnerable populations with high smoking prevalence including Māori, Pacific people, pregnant women and young people.</w:t>
      </w:r>
    </w:p>
    <w:p w:rsidR="00ED6788" w:rsidRPr="00D5456A" w:rsidRDefault="00ED6788" w:rsidP="00BE4AB3"/>
    <w:p w:rsidR="00ED6788" w:rsidRPr="00D5456A" w:rsidRDefault="00ED6788" w:rsidP="00BE4AB3">
      <w:r w:rsidRPr="00D5456A">
        <w:t xml:space="preserve">Of the $5 million budget in 2014/15, including $250,000 which was allocated to support small community groups with </w:t>
      </w:r>
      <w:r>
        <w:t>16 one-</w:t>
      </w:r>
      <w:r w:rsidRPr="00D5456A">
        <w:t>off grants, over 96 percent was allocated, mostly to</w:t>
      </w:r>
      <w:r>
        <w:t xml:space="preserve"> 24</w:t>
      </w:r>
      <w:r w:rsidRPr="00D5456A">
        <w:t xml:space="preserve"> multi-year projects so final evaluations have not yet been completed.</w:t>
      </w:r>
      <w:r w:rsidR="000845D9">
        <w:t xml:space="preserve"> </w:t>
      </w:r>
      <w:r w:rsidRPr="00D5456A">
        <w:t>An initial overall evaluation will be completed in 2015/16.</w:t>
      </w:r>
    </w:p>
    <w:p w:rsidR="00ED6788" w:rsidRPr="00D5456A" w:rsidRDefault="00ED6788" w:rsidP="00BE4AB3"/>
    <w:p w:rsidR="00ED6788" w:rsidRPr="00D5456A" w:rsidRDefault="00ED6788" w:rsidP="00BE4AB3">
      <w:pPr>
        <w:pStyle w:val="Heading4"/>
        <w:rPr>
          <w:lang w:eastAsia="en-NZ"/>
        </w:rPr>
      </w:pPr>
      <w:r w:rsidRPr="00D5456A">
        <w:rPr>
          <w:lang w:eastAsia="en-NZ"/>
        </w:rPr>
        <w:lastRenderedPageBreak/>
        <w:t>Tobacco</w:t>
      </w:r>
    </w:p>
    <w:p w:rsidR="000845D9" w:rsidRDefault="00ED6788" w:rsidP="00BE4AB3">
      <w:pPr>
        <w:keepLines/>
      </w:pPr>
      <w:r w:rsidRPr="00D5456A">
        <w:t>From 2009 to 2012 the quit attempt target was increased incrementally from 55,000 to 100,000 per annum to broaden the re</w:t>
      </w:r>
      <w:r>
        <w:t xml:space="preserve">ach of the service. In 2012/13 </w:t>
      </w:r>
      <w:r w:rsidRPr="00D5456A">
        <w:t>50,297 quit attempts were made, which represented a 20 percent decrease from the year prior (62,580). There were a number of reasons for fewer quit attempts being achieved, including the Quitline service using the Tier</w:t>
      </w:r>
      <w:r w:rsidR="00BE4AB3">
        <w:t> </w:t>
      </w:r>
      <w:r w:rsidRPr="00D5456A">
        <w:t>1 smoking cessation service specification which reduced Quit Attempts by 12</w:t>
      </w:r>
      <w:r w:rsidR="00BE4AB3">
        <w:t> </w:t>
      </w:r>
      <w:r w:rsidRPr="00D5456A">
        <w:t>percent</w:t>
      </w:r>
      <w:r w:rsidR="00D44948">
        <w:t>,</w:t>
      </w:r>
      <w:r w:rsidRPr="00D5456A">
        <w:t xml:space="preserve"> the impact of the January 2013 tax increase compared to previous years</w:t>
      </w:r>
      <w:r w:rsidR="00D44948">
        <w:t>,</w:t>
      </w:r>
      <w:r w:rsidRPr="00D5456A">
        <w:t xml:space="preserve"> and lower levels of sector-wide media presence and advertising.</w:t>
      </w:r>
      <w:r w:rsidR="000845D9">
        <w:t xml:space="preserve"> </w:t>
      </w:r>
      <w:r w:rsidRPr="00D5456A">
        <w:t>A revised target of 65,000 quit attempts was introduced in 2013/14.</w:t>
      </w:r>
    </w:p>
    <w:p w:rsidR="00ED6788" w:rsidRPr="00D5456A" w:rsidRDefault="00ED6788" w:rsidP="00BE4AB3"/>
    <w:p w:rsidR="00ED6788" w:rsidRPr="00D5456A" w:rsidRDefault="00ED6788" w:rsidP="00BE4AB3">
      <w:r w:rsidRPr="00217120">
        <w:rPr>
          <w:i/>
        </w:rPr>
        <w:t>Note D:</w:t>
      </w:r>
      <w:r w:rsidRPr="00D5456A">
        <w:t xml:space="preserve"> Although the Quit Group did not achieve the target of 65,000 quit attempts, they continued to use multiple strategies such as increased advertising</w:t>
      </w:r>
      <w:r w:rsidR="00D44948">
        <w:t>,</w:t>
      </w:r>
      <w:r w:rsidRPr="00D5456A">
        <w:t xml:space="preserve"> increased stakeholder engagement</w:t>
      </w:r>
      <w:r w:rsidR="00D44948">
        <w:t>,</w:t>
      </w:r>
      <w:r w:rsidRPr="00D5456A">
        <w:t xml:space="preserve"> the introduction of new technologies for quitting</w:t>
      </w:r>
      <w:r w:rsidR="00D44948">
        <w:t>,</w:t>
      </w:r>
      <w:r w:rsidRPr="00D5456A">
        <w:t xml:space="preserve"> </w:t>
      </w:r>
      <w:r w:rsidR="00D44948">
        <w:t xml:space="preserve">and </w:t>
      </w:r>
      <w:r w:rsidRPr="00D5456A">
        <w:t>the introduction of new and more efficient processes. Compared with 2013/14, Quitline achieved a 2.2 percent overall increase in the number of quit attempts supported.</w:t>
      </w:r>
      <w:r w:rsidR="000845D9">
        <w:t xml:space="preserve"> </w:t>
      </w:r>
      <w:r w:rsidRPr="00D5456A">
        <w:t>As the smoking population declines, Quitline has had to work harder to stimulate the Quit Attempts</w:t>
      </w:r>
      <w:r>
        <w:t xml:space="preserve">. </w:t>
      </w:r>
      <w:r w:rsidRPr="00D5456A">
        <w:t>W</w:t>
      </w:r>
      <w:r>
        <w:t>hile Quit Attempt year-</w:t>
      </w:r>
      <w:r w:rsidRPr="00D5456A">
        <w:t>to-date volumes are around the same as the prior year, service delivery levels to clients to support their quit journeys remained at a high level, with around 172,000 unique website visits, 75,000 unique website logins by registered clients and 107,000 Blog postings.</w:t>
      </w:r>
    </w:p>
    <w:p w:rsidR="00BE4AB3" w:rsidRDefault="00BE4AB3" w:rsidP="00BE4AB3"/>
    <w:p w:rsidR="00ED6788" w:rsidRPr="00D5456A" w:rsidRDefault="00ED6788" w:rsidP="00BE4AB3">
      <w:r w:rsidRPr="00D5456A">
        <w:t>An abandonment rate of 4 percent of calls reflects a high grade of service delivered by the Quitline Service.</w:t>
      </w:r>
    </w:p>
    <w:p w:rsidR="00ED6788" w:rsidRPr="00D5456A" w:rsidRDefault="00ED6788" w:rsidP="00BE4AB3"/>
    <w:p w:rsidR="00ED6788" w:rsidRPr="00D5456A" w:rsidRDefault="00ED6788" w:rsidP="00BE4AB3">
      <w:pPr>
        <w:pStyle w:val="Heading4"/>
      </w:pPr>
      <w:r w:rsidRPr="00D5456A">
        <w:t>Enforce Smoke-free Environments Act 1990</w:t>
      </w:r>
    </w:p>
    <w:p w:rsidR="000845D9" w:rsidRDefault="00ED6788" w:rsidP="00BE4AB3">
      <w:pPr>
        <w:rPr>
          <w:lang w:eastAsia="en-NZ"/>
        </w:rPr>
      </w:pPr>
      <w:r w:rsidRPr="003017BC">
        <w:rPr>
          <w:lang w:eastAsia="en-NZ"/>
        </w:rPr>
        <w:t xml:space="preserve">The Smoke-free Environments Act 1990 seeks to reduce the effects of tobacco use by limiting the availability and use of tobacco, and reducing harm from existing tobacco use. One key strategy to achieve this under the Act is by prohibiting sales of tobacco products to persons aged under 18 years. All DHB-owned </w:t>
      </w:r>
      <w:r>
        <w:rPr>
          <w:lang w:eastAsia="en-NZ"/>
        </w:rPr>
        <w:t>PHUs</w:t>
      </w:r>
      <w:r w:rsidRPr="003017BC">
        <w:rPr>
          <w:lang w:eastAsia="en-NZ"/>
        </w:rPr>
        <w:t xml:space="preserve"> are funded to employ officers who are designated under the Act to enforce the provisions of the Act. These officers conduct controlled purchase operations to identify which retailers are or are not complying with the Act by selling tobacco products to persons under the age of 18.</w:t>
      </w:r>
    </w:p>
    <w:p w:rsidR="00ED6788" w:rsidRDefault="00ED6788" w:rsidP="00BE4AB3">
      <w:pPr>
        <w:rPr>
          <w:lang w:eastAsia="en-NZ"/>
        </w:rPr>
      </w:pPr>
    </w:p>
    <w:p w:rsidR="00ED6788" w:rsidRPr="003017BC" w:rsidRDefault="00ED6788" w:rsidP="00BE4AB3">
      <w:pPr>
        <w:rPr>
          <w:lang w:eastAsia="en-NZ"/>
        </w:rPr>
      </w:pPr>
      <w:r w:rsidRPr="003017BC">
        <w:rPr>
          <w:lang w:eastAsia="en-NZ"/>
        </w:rPr>
        <w:t>D</w:t>
      </w:r>
      <w:r>
        <w:rPr>
          <w:lang w:eastAsia="en-NZ"/>
        </w:rPr>
        <w:t>uring 2014/15, PHUs conducted 2</w:t>
      </w:r>
      <w:r w:rsidRPr="003017BC">
        <w:rPr>
          <w:lang w:eastAsia="en-NZ"/>
        </w:rPr>
        <w:t>460 tobacco retailer education visits, and undertook 83</w:t>
      </w:r>
      <w:r w:rsidR="00BE4AB3">
        <w:rPr>
          <w:lang w:eastAsia="en-NZ"/>
        </w:rPr>
        <w:t> </w:t>
      </w:r>
      <w:r>
        <w:rPr>
          <w:lang w:eastAsia="en-NZ"/>
        </w:rPr>
        <w:t>c</w:t>
      </w:r>
      <w:r w:rsidRPr="003017BC">
        <w:rPr>
          <w:lang w:eastAsia="en-NZ"/>
        </w:rPr>
        <w:t xml:space="preserve">ontrolled </w:t>
      </w:r>
      <w:r>
        <w:rPr>
          <w:lang w:eastAsia="en-NZ"/>
        </w:rPr>
        <w:t>p</w:t>
      </w:r>
      <w:r w:rsidRPr="003017BC">
        <w:rPr>
          <w:lang w:eastAsia="en-NZ"/>
        </w:rPr>
        <w:t xml:space="preserve">urchase </w:t>
      </w:r>
      <w:r>
        <w:rPr>
          <w:lang w:eastAsia="en-NZ"/>
        </w:rPr>
        <w:t>o</w:t>
      </w:r>
      <w:r w:rsidRPr="003017BC">
        <w:rPr>
          <w:lang w:eastAsia="en-NZ"/>
        </w:rPr>
        <w:t>pera</w:t>
      </w:r>
      <w:r>
        <w:rPr>
          <w:lang w:eastAsia="en-NZ"/>
        </w:rPr>
        <w:t>tions that reached a total of 1</w:t>
      </w:r>
      <w:r w:rsidRPr="003017BC">
        <w:rPr>
          <w:lang w:eastAsia="en-NZ"/>
        </w:rPr>
        <w:t>483 retail outlets and resulted in 104</w:t>
      </w:r>
      <w:r w:rsidR="00BE4AB3">
        <w:rPr>
          <w:lang w:eastAsia="en-NZ"/>
        </w:rPr>
        <w:t> </w:t>
      </w:r>
      <w:r w:rsidRPr="003017BC">
        <w:rPr>
          <w:lang w:eastAsia="en-NZ"/>
        </w:rPr>
        <w:t>sales to persons aged under 18. All 12</w:t>
      </w:r>
      <w:r w:rsidRPr="00BE4AB3">
        <w:rPr>
          <w:rStyle w:val="FootnoteReference"/>
        </w:rPr>
        <w:footnoteReference w:id="11"/>
      </w:r>
      <w:r w:rsidRPr="003017BC">
        <w:rPr>
          <w:lang w:eastAsia="en-NZ"/>
        </w:rPr>
        <w:t xml:space="preserve"> PHUs submitted their smoke-free enforcement reporting.</w:t>
      </w:r>
    </w:p>
    <w:p w:rsidR="00ED6788" w:rsidRPr="003017BC" w:rsidRDefault="00ED6788" w:rsidP="00BE4AB3">
      <w:pPr>
        <w:rPr>
          <w:lang w:eastAsia="en-NZ"/>
        </w:rPr>
      </w:pPr>
    </w:p>
    <w:p w:rsidR="00ED6788" w:rsidRPr="003017BC" w:rsidRDefault="00ED6788" w:rsidP="00BE4AB3">
      <w:pPr>
        <w:rPr>
          <w:lang w:eastAsia="en-NZ"/>
        </w:rPr>
      </w:pPr>
      <w:r w:rsidRPr="003017BC">
        <w:rPr>
          <w:lang w:eastAsia="en-NZ"/>
        </w:rPr>
        <w:t xml:space="preserve">Amendments to the Smoke-free Environments Act 1990, which came fully into force on 23 July 2012, established a regime where infringement notices could be </w:t>
      </w:r>
      <w:r>
        <w:rPr>
          <w:lang w:eastAsia="en-NZ"/>
        </w:rPr>
        <w:t xml:space="preserve">issued for a range of offences that </w:t>
      </w:r>
      <w:r w:rsidRPr="003017BC">
        <w:rPr>
          <w:lang w:eastAsia="en-NZ"/>
        </w:rPr>
        <w:t>d</w:t>
      </w:r>
      <w:r>
        <w:rPr>
          <w:lang w:eastAsia="en-NZ"/>
        </w:rPr>
        <w:t>o</w:t>
      </w:r>
      <w:r w:rsidRPr="003017BC">
        <w:rPr>
          <w:lang w:eastAsia="en-NZ"/>
        </w:rPr>
        <w:t xml:space="preserve"> not have to go through the courts. From 1 July 2014 through to 30 June 2015 82</w:t>
      </w:r>
      <w:r w:rsidR="00BE4AB3">
        <w:rPr>
          <w:lang w:eastAsia="en-NZ"/>
        </w:rPr>
        <w:t> </w:t>
      </w:r>
      <w:r w:rsidRPr="003017BC">
        <w:rPr>
          <w:lang w:eastAsia="en-NZ"/>
        </w:rPr>
        <w:t xml:space="preserve">offences were committed and 84 infringement notices </w:t>
      </w:r>
      <w:r>
        <w:rPr>
          <w:lang w:eastAsia="en-NZ"/>
        </w:rPr>
        <w:t xml:space="preserve">were </w:t>
      </w:r>
      <w:r w:rsidRPr="00917F7A">
        <w:rPr>
          <w:lang w:eastAsia="en-NZ"/>
        </w:rPr>
        <w:t>issued</w:t>
      </w:r>
      <w:r w:rsidRPr="003017BC">
        <w:rPr>
          <w:lang w:eastAsia="en-NZ"/>
        </w:rPr>
        <w:t xml:space="preserve">. All the notices issued </w:t>
      </w:r>
      <w:r>
        <w:rPr>
          <w:lang w:eastAsia="en-NZ"/>
        </w:rPr>
        <w:t>were</w:t>
      </w:r>
      <w:r w:rsidRPr="003017BC">
        <w:rPr>
          <w:lang w:eastAsia="en-NZ"/>
        </w:rPr>
        <w:t xml:space="preserve"> for selling a tobacco or herbal smoking product to a person under the age of 18.</w:t>
      </w:r>
    </w:p>
    <w:p w:rsidR="00ED6788" w:rsidRPr="003017BC" w:rsidRDefault="00ED6788" w:rsidP="00BE4AB3">
      <w:pPr>
        <w:rPr>
          <w:lang w:eastAsia="en-NZ"/>
        </w:rPr>
      </w:pPr>
    </w:p>
    <w:p w:rsidR="00ED6788" w:rsidRPr="003017BC" w:rsidRDefault="00ED6788" w:rsidP="00BE4AB3">
      <w:pPr>
        <w:keepNext/>
        <w:rPr>
          <w:lang w:eastAsia="en-NZ"/>
        </w:rPr>
      </w:pPr>
      <w:r w:rsidRPr="003017BC">
        <w:rPr>
          <w:lang w:eastAsia="en-NZ"/>
        </w:rPr>
        <w:lastRenderedPageBreak/>
        <w:t xml:space="preserve">Infringement fees for sale of tobacco products to a person under 18 are set at $1000 for </w:t>
      </w:r>
      <w:r>
        <w:rPr>
          <w:lang w:eastAsia="en-NZ"/>
        </w:rPr>
        <w:t>a company</w:t>
      </w:r>
      <w:r w:rsidRPr="003017BC">
        <w:rPr>
          <w:lang w:eastAsia="en-NZ"/>
        </w:rPr>
        <w:t xml:space="preserve"> and $500 </w:t>
      </w:r>
      <w:r>
        <w:rPr>
          <w:lang w:eastAsia="en-NZ"/>
        </w:rPr>
        <w:t>for individuals</w:t>
      </w:r>
      <w:r w:rsidRPr="003017BC">
        <w:rPr>
          <w:lang w:eastAsia="en-NZ"/>
        </w:rPr>
        <w:t xml:space="preserve">. Fees for selling a herbal smoking product to a person under 18 are $400 for a </w:t>
      </w:r>
      <w:r>
        <w:rPr>
          <w:lang w:eastAsia="en-NZ"/>
        </w:rPr>
        <w:t>company</w:t>
      </w:r>
      <w:r w:rsidRPr="003017BC">
        <w:rPr>
          <w:lang w:eastAsia="en-NZ"/>
        </w:rPr>
        <w:t xml:space="preserve"> and $200 for </w:t>
      </w:r>
      <w:r>
        <w:rPr>
          <w:lang w:eastAsia="en-NZ"/>
        </w:rPr>
        <w:t>individuals</w:t>
      </w:r>
      <w:r w:rsidRPr="003017BC">
        <w:rPr>
          <w:lang w:eastAsia="en-NZ"/>
        </w:rPr>
        <w:t>. Seventy-three infringements were issued (tobacco and herbal smoking products) of which 16 were for sales of herbal smoking products (such as K2).</w:t>
      </w:r>
    </w:p>
    <w:p w:rsidR="00ED6788" w:rsidRPr="003017BC" w:rsidRDefault="00ED6788" w:rsidP="00BE4AB3"/>
    <w:p w:rsidR="000845D9" w:rsidRDefault="00ED6788" w:rsidP="00BE4AB3">
      <w:pPr>
        <w:pStyle w:val="Heading4"/>
      </w:pPr>
      <w:r w:rsidRPr="00B024D3">
        <w:t xml:space="preserve">Environmental and </w:t>
      </w:r>
      <w:r w:rsidR="00BE4AB3">
        <w:t>b</w:t>
      </w:r>
      <w:r w:rsidRPr="00B024D3">
        <w:t xml:space="preserve">order </w:t>
      </w:r>
      <w:r w:rsidR="00BE4AB3">
        <w:t>h</w:t>
      </w:r>
      <w:r w:rsidRPr="00B024D3">
        <w:t>ealth</w:t>
      </w:r>
    </w:p>
    <w:p w:rsidR="000845D9" w:rsidRDefault="00ED6788" w:rsidP="00BE4AB3">
      <w:pPr>
        <w:rPr>
          <w:lang w:eastAsia="en-NZ"/>
        </w:rPr>
      </w:pPr>
      <w:r w:rsidRPr="00917F7A">
        <w:rPr>
          <w:lang w:eastAsia="en-NZ"/>
        </w:rPr>
        <w:t xml:space="preserve">Environmental and </w:t>
      </w:r>
      <w:r w:rsidR="00BE4AB3">
        <w:rPr>
          <w:lang w:eastAsia="en-NZ"/>
        </w:rPr>
        <w:t>b</w:t>
      </w:r>
      <w:r w:rsidRPr="00917F7A">
        <w:rPr>
          <w:lang w:eastAsia="en-NZ"/>
        </w:rPr>
        <w:t xml:space="preserve">order </w:t>
      </w:r>
      <w:r w:rsidR="00BE4AB3">
        <w:rPr>
          <w:lang w:eastAsia="en-NZ"/>
        </w:rPr>
        <w:t>h</w:t>
      </w:r>
      <w:r w:rsidRPr="00917F7A">
        <w:rPr>
          <w:lang w:eastAsia="en-NZ"/>
        </w:rPr>
        <w:t xml:space="preserve">ealth </w:t>
      </w:r>
      <w:r w:rsidRPr="00607034">
        <w:rPr>
          <w:lang w:eastAsia="en-NZ"/>
        </w:rPr>
        <w:t>protects the public from environmental health risks, working with other sectors to promote or maintain safe and healthy environments, reducing the impacts</w:t>
      </w:r>
      <w:r>
        <w:rPr>
          <w:lang w:eastAsia="en-NZ"/>
        </w:rPr>
        <w:t xml:space="preserve"> of environmental hazards on at-</w:t>
      </w:r>
      <w:r w:rsidRPr="00607034">
        <w:rPr>
          <w:lang w:eastAsia="en-NZ"/>
        </w:rPr>
        <w:t>risk communities</w:t>
      </w:r>
      <w:r w:rsidR="0033675A">
        <w:rPr>
          <w:lang w:eastAsia="en-NZ"/>
        </w:rPr>
        <w:t>.</w:t>
      </w:r>
      <w:r w:rsidRPr="00607034">
        <w:rPr>
          <w:lang w:eastAsia="en-NZ"/>
        </w:rPr>
        <w:t xml:space="preserve"> </w:t>
      </w:r>
      <w:r w:rsidR="0033675A" w:rsidRPr="0033675A">
        <w:rPr>
          <w:lang w:eastAsia="en-NZ"/>
        </w:rPr>
        <w:t xml:space="preserve">This service </w:t>
      </w:r>
      <w:r w:rsidRPr="00607034">
        <w:rPr>
          <w:lang w:eastAsia="en-NZ"/>
        </w:rPr>
        <w:t>reduc</w:t>
      </w:r>
      <w:r w:rsidR="0033675A">
        <w:rPr>
          <w:lang w:eastAsia="en-NZ"/>
        </w:rPr>
        <w:t>es</w:t>
      </w:r>
      <w:r w:rsidRPr="00607034">
        <w:rPr>
          <w:lang w:eastAsia="en-NZ"/>
        </w:rPr>
        <w:t xml:space="preserve"> the incidence and impact of public health risks at New Zealand points of entry, including managing biological, chemical and radiological risks of international concern and undertaking surveillance, exclusion, eradication, and effective management of pests of public health significance.</w:t>
      </w:r>
    </w:p>
    <w:p w:rsidR="00ED6788" w:rsidRPr="00607034" w:rsidRDefault="00ED6788" w:rsidP="00BE4AB3">
      <w:pPr>
        <w:rPr>
          <w:lang w:eastAsia="en-NZ"/>
        </w:rPr>
      </w:pPr>
    </w:p>
    <w:p w:rsidR="00ED6788" w:rsidRPr="00607034" w:rsidRDefault="00ED6788" w:rsidP="00BE4AB3">
      <w:pPr>
        <w:rPr>
          <w:lang w:eastAsia="en-NZ"/>
        </w:rPr>
      </w:pPr>
      <w:r w:rsidRPr="00607034">
        <w:rPr>
          <w:lang w:eastAsia="en-NZ"/>
        </w:rPr>
        <w:t>This service includes guidance and information on border health protection and quarantine procedures in New Zealand</w:t>
      </w:r>
      <w:r w:rsidR="0033675A">
        <w:rPr>
          <w:lang w:eastAsia="en-NZ"/>
        </w:rPr>
        <w:t>.</w:t>
      </w:r>
      <w:r w:rsidRPr="00607034">
        <w:rPr>
          <w:lang w:eastAsia="en-NZ"/>
        </w:rPr>
        <w:t xml:space="preserve"> </w:t>
      </w:r>
      <w:r w:rsidR="0033675A" w:rsidRPr="0033675A">
        <w:rPr>
          <w:lang w:eastAsia="en-NZ"/>
        </w:rPr>
        <w:t xml:space="preserve">Environmental and border health </w:t>
      </w:r>
      <w:r w:rsidRPr="00607034">
        <w:rPr>
          <w:lang w:eastAsia="en-NZ"/>
        </w:rPr>
        <w:t>includ</w:t>
      </w:r>
      <w:r w:rsidR="0033675A">
        <w:rPr>
          <w:lang w:eastAsia="en-NZ"/>
        </w:rPr>
        <w:t>es</w:t>
      </w:r>
      <w:r w:rsidRPr="00607034">
        <w:rPr>
          <w:lang w:eastAsia="en-NZ"/>
        </w:rPr>
        <w:t xml:space="preserve"> the requirements for ships and aircraft arriving from overseas, and provision of public health response to public health events of international concern at points of entry that is appropriate to the public health risk, which avoids unnecessary interference with international traffic and trade.</w:t>
      </w:r>
    </w:p>
    <w:p w:rsidR="00ED6788" w:rsidRPr="00607034" w:rsidRDefault="00ED6788" w:rsidP="00BE4AB3">
      <w:pPr>
        <w:rPr>
          <w:lang w:eastAsia="en-NZ"/>
        </w:rPr>
      </w:pPr>
    </w:p>
    <w:p w:rsidR="000845D9" w:rsidRDefault="00ED6788" w:rsidP="00BE4AB3">
      <w:pPr>
        <w:rPr>
          <w:lang w:eastAsia="en-NZ"/>
        </w:rPr>
      </w:pPr>
      <w:r w:rsidRPr="00607034">
        <w:rPr>
          <w:lang w:eastAsia="en-NZ"/>
        </w:rPr>
        <w:t>The 12 DHB-owned public health units employ public health statutory officers, including Medical Officers of Health and Health Protection Officers, who are designated or appointed by the Director-General of Health (on the advice of the Director of Public Health) to exercise statutory powers or contribute to the enforcement of legislation.</w:t>
      </w:r>
    </w:p>
    <w:p w:rsidR="00ED6788" w:rsidRPr="00607034" w:rsidRDefault="00ED6788" w:rsidP="00BE4AB3">
      <w:pPr>
        <w:rPr>
          <w:lang w:eastAsia="en-NZ"/>
        </w:rPr>
      </w:pPr>
    </w:p>
    <w:p w:rsidR="00ED6788" w:rsidRPr="00607034" w:rsidRDefault="00ED6788" w:rsidP="00BE4AB3">
      <w:pPr>
        <w:rPr>
          <w:lang w:eastAsia="en-NZ"/>
        </w:rPr>
      </w:pPr>
      <w:r w:rsidRPr="00607034">
        <w:rPr>
          <w:lang w:eastAsia="en-NZ"/>
        </w:rPr>
        <w:t>Acts administered by the Ministry (where the Ministry has policy and primary implementation responsibility) and that are designated to Medical Officers of Health and Health Protection Officers are the:</w:t>
      </w:r>
    </w:p>
    <w:p w:rsidR="00ED6788" w:rsidRPr="006330D9" w:rsidRDefault="00ED6788" w:rsidP="00BE4AB3">
      <w:pPr>
        <w:pStyle w:val="Bullet"/>
      </w:pPr>
      <w:r w:rsidRPr="00607034">
        <w:rPr>
          <w:lang w:eastAsia="en-NZ"/>
        </w:rPr>
        <w:t xml:space="preserve">Health Act </w:t>
      </w:r>
      <w:r w:rsidRPr="006330D9">
        <w:t>1956</w:t>
      </w:r>
    </w:p>
    <w:p w:rsidR="00ED6788" w:rsidRPr="006330D9" w:rsidRDefault="00ED6788" w:rsidP="00BE4AB3">
      <w:pPr>
        <w:pStyle w:val="Bullet"/>
      </w:pPr>
      <w:r w:rsidRPr="006330D9">
        <w:t>Tuberculosis Act 1948</w:t>
      </w:r>
    </w:p>
    <w:p w:rsidR="00ED6788" w:rsidRPr="006330D9" w:rsidRDefault="00ED6788" w:rsidP="00BE4AB3">
      <w:pPr>
        <w:pStyle w:val="Bullet"/>
      </w:pPr>
      <w:r w:rsidRPr="006330D9">
        <w:t>Smoke-free Environments Act 1990</w:t>
      </w:r>
    </w:p>
    <w:p w:rsidR="00ED6788" w:rsidRPr="006330D9" w:rsidRDefault="00ED6788" w:rsidP="00BE4AB3">
      <w:pPr>
        <w:pStyle w:val="Bullet"/>
      </w:pPr>
      <w:r w:rsidRPr="006330D9">
        <w:t>Misuse of Drugs Act 1975</w:t>
      </w:r>
    </w:p>
    <w:p w:rsidR="00ED6788" w:rsidRPr="006330D9" w:rsidRDefault="00ED6788" w:rsidP="00BE4AB3">
      <w:pPr>
        <w:pStyle w:val="Bullet"/>
      </w:pPr>
      <w:r w:rsidRPr="006330D9">
        <w:t>Burial and Cremation Act 1964</w:t>
      </w:r>
    </w:p>
    <w:p w:rsidR="00ED6788" w:rsidRPr="006330D9" w:rsidRDefault="00ED6788" w:rsidP="00BE4AB3">
      <w:pPr>
        <w:pStyle w:val="Bullet"/>
      </w:pPr>
      <w:r w:rsidRPr="006330D9">
        <w:t>Radiation Protection Act 1965</w:t>
      </w:r>
    </w:p>
    <w:p w:rsidR="00ED6788" w:rsidRPr="00607034" w:rsidRDefault="00ED6788" w:rsidP="00BE4AB3">
      <w:pPr>
        <w:pStyle w:val="Bullet"/>
        <w:rPr>
          <w:lang w:eastAsia="en-NZ"/>
        </w:rPr>
      </w:pPr>
      <w:r w:rsidRPr="006330D9">
        <w:t>Epidemic Preparedness</w:t>
      </w:r>
      <w:r w:rsidRPr="00607034">
        <w:rPr>
          <w:lang w:eastAsia="en-NZ"/>
        </w:rPr>
        <w:t xml:space="preserve"> Act 2006.</w:t>
      </w:r>
    </w:p>
    <w:p w:rsidR="00ED6788" w:rsidRPr="00607034" w:rsidRDefault="00ED6788" w:rsidP="00BE4AB3">
      <w:pPr>
        <w:rPr>
          <w:lang w:eastAsia="en-NZ"/>
        </w:rPr>
      </w:pPr>
    </w:p>
    <w:p w:rsidR="00ED6788" w:rsidRPr="00607034" w:rsidRDefault="00ED6788" w:rsidP="00BE4AB3">
      <w:pPr>
        <w:rPr>
          <w:lang w:eastAsia="en-NZ"/>
        </w:rPr>
      </w:pPr>
      <w:r w:rsidRPr="00607034">
        <w:rPr>
          <w:lang w:eastAsia="en-NZ"/>
        </w:rPr>
        <w:t>Acts that are administered by other departments, but where public health units have certain implementation and/or enforcement responsibilities, are the:</w:t>
      </w:r>
    </w:p>
    <w:p w:rsidR="00ED6788" w:rsidRPr="00607034" w:rsidRDefault="00ED6788" w:rsidP="00BE4AB3">
      <w:pPr>
        <w:pStyle w:val="Bullet"/>
        <w:rPr>
          <w:lang w:eastAsia="en-NZ"/>
        </w:rPr>
      </w:pPr>
      <w:r w:rsidRPr="00607034">
        <w:rPr>
          <w:lang w:eastAsia="en-NZ"/>
        </w:rPr>
        <w:t>Biosecurity Act 1993</w:t>
      </w:r>
    </w:p>
    <w:p w:rsidR="00ED6788" w:rsidRPr="00607034" w:rsidRDefault="00ED6788" w:rsidP="00BE4AB3">
      <w:pPr>
        <w:pStyle w:val="Bullet"/>
        <w:rPr>
          <w:lang w:eastAsia="en-NZ"/>
        </w:rPr>
      </w:pPr>
      <w:r w:rsidRPr="00607034">
        <w:rPr>
          <w:lang w:eastAsia="en-NZ"/>
        </w:rPr>
        <w:t>Building Act 2004</w:t>
      </w:r>
    </w:p>
    <w:p w:rsidR="00ED6788" w:rsidRPr="00607034" w:rsidRDefault="00ED6788" w:rsidP="00BE4AB3">
      <w:pPr>
        <w:pStyle w:val="Bullet"/>
        <w:rPr>
          <w:lang w:eastAsia="en-NZ"/>
        </w:rPr>
      </w:pPr>
      <w:r w:rsidRPr="00607034">
        <w:rPr>
          <w:lang w:eastAsia="en-NZ"/>
        </w:rPr>
        <w:t>Civil Defence and Emergency Management Act 2002</w:t>
      </w:r>
    </w:p>
    <w:p w:rsidR="00ED6788" w:rsidRPr="00607034" w:rsidRDefault="00ED6788" w:rsidP="00BE4AB3">
      <w:pPr>
        <w:pStyle w:val="Bullet"/>
        <w:rPr>
          <w:lang w:eastAsia="en-NZ"/>
        </w:rPr>
      </w:pPr>
      <w:r w:rsidRPr="00607034">
        <w:rPr>
          <w:lang w:eastAsia="en-NZ"/>
        </w:rPr>
        <w:t>Hazardous Substances and New Organisms Act 1996</w:t>
      </w:r>
    </w:p>
    <w:p w:rsidR="00ED6788" w:rsidRPr="00607034" w:rsidRDefault="00ED6788" w:rsidP="00BE4AB3">
      <w:pPr>
        <w:pStyle w:val="Bullet"/>
        <w:rPr>
          <w:lang w:eastAsia="en-NZ"/>
        </w:rPr>
      </w:pPr>
      <w:r w:rsidRPr="00607034">
        <w:rPr>
          <w:lang w:eastAsia="en-NZ"/>
        </w:rPr>
        <w:t>Local Government Act 2002</w:t>
      </w:r>
    </w:p>
    <w:p w:rsidR="00ED6788" w:rsidRPr="00607034" w:rsidRDefault="00ED6788" w:rsidP="00BE4AB3">
      <w:pPr>
        <w:pStyle w:val="Bullet"/>
        <w:rPr>
          <w:lang w:eastAsia="en-NZ"/>
        </w:rPr>
      </w:pPr>
      <w:r w:rsidRPr="00607034">
        <w:rPr>
          <w:lang w:eastAsia="en-NZ"/>
        </w:rPr>
        <w:t>Prostitution Reform Act 2003</w:t>
      </w:r>
    </w:p>
    <w:p w:rsidR="00ED6788" w:rsidRPr="00607034" w:rsidRDefault="00ED6788" w:rsidP="00BE4AB3">
      <w:pPr>
        <w:pStyle w:val="Bullet"/>
        <w:keepNext/>
        <w:rPr>
          <w:lang w:eastAsia="en-NZ"/>
        </w:rPr>
      </w:pPr>
      <w:r w:rsidRPr="00607034">
        <w:rPr>
          <w:lang w:eastAsia="en-NZ"/>
        </w:rPr>
        <w:lastRenderedPageBreak/>
        <w:t>Sale of Liquor Act 1989</w:t>
      </w:r>
    </w:p>
    <w:p w:rsidR="00ED6788" w:rsidRPr="00607034" w:rsidRDefault="00ED6788" w:rsidP="00BE4AB3">
      <w:pPr>
        <w:pStyle w:val="Bullet"/>
        <w:keepNext/>
        <w:rPr>
          <w:lang w:eastAsia="en-NZ"/>
        </w:rPr>
      </w:pPr>
      <w:r w:rsidRPr="00607034">
        <w:rPr>
          <w:lang w:eastAsia="en-NZ"/>
        </w:rPr>
        <w:t>Sale and Supply of Alcohol Act 2012</w:t>
      </w:r>
    </w:p>
    <w:p w:rsidR="00ED6788" w:rsidRPr="00607034" w:rsidRDefault="00ED6788" w:rsidP="00BE4AB3">
      <w:pPr>
        <w:pStyle w:val="Bullet"/>
        <w:rPr>
          <w:lang w:eastAsia="en-NZ"/>
        </w:rPr>
      </w:pPr>
      <w:r w:rsidRPr="00607034">
        <w:rPr>
          <w:lang w:eastAsia="en-NZ"/>
        </w:rPr>
        <w:t>Education (Early Childhood Services) Regulations 2008</w:t>
      </w:r>
    </w:p>
    <w:p w:rsidR="00ED6788" w:rsidRPr="00607034" w:rsidRDefault="00ED6788" w:rsidP="00BE4AB3">
      <w:pPr>
        <w:pStyle w:val="Bullet"/>
        <w:rPr>
          <w:lang w:eastAsia="en-NZ"/>
        </w:rPr>
      </w:pPr>
      <w:r w:rsidRPr="00607034">
        <w:rPr>
          <w:lang w:eastAsia="en-NZ"/>
        </w:rPr>
        <w:t>Waste Minimisation Act 2008</w:t>
      </w:r>
    </w:p>
    <w:p w:rsidR="00ED6788" w:rsidRPr="00B024D3" w:rsidRDefault="00ED6788" w:rsidP="00BE4AB3">
      <w:pPr>
        <w:pStyle w:val="Bullet"/>
        <w:rPr>
          <w:lang w:eastAsia="en-NZ"/>
        </w:rPr>
      </w:pPr>
      <w:r w:rsidRPr="00607034">
        <w:rPr>
          <w:lang w:eastAsia="en-NZ"/>
        </w:rPr>
        <w:t>Resource Management Act 1991.</w:t>
      </w:r>
    </w:p>
    <w:p w:rsidR="00ED6788" w:rsidRPr="00B024D3" w:rsidRDefault="00ED6788" w:rsidP="00BE4AB3"/>
    <w:p w:rsidR="00ED6788" w:rsidRPr="00B024D3" w:rsidRDefault="00ED6788" w:rsidP="00BE4AB3">
      <w:pPr>
        <w:pStyle w:val="Heading4"/>
      </w:pPr>
      <w:r w:rsidRPr="00B024D3">
        <w:t xml:space="preserve">Increased </w:t>
      </w:r>
      <w:r w:rsidR="00BE4AB3">
        <w:t>c</w:t>
      </w:r>
      <w:r w:rsidRPr="00B024D3">
        <w:t>ompliance with Sale and Supply of Alcohol Act 2012</w:t>
      </w:r>
    </w:p>
    <w:p w:rsidR="00ED6788" w:rsidRDefault="00ED6788" w:rsidP="00BE4AB3">
      <w:pPr>
        <w:rPr>
          <w:lang w:eastAsia="en-NZ"/>
        </w:rPr>
      </w:pPr>
      <w:r w:rsidRPr="00607034">
        <w:rPr>
          <w:lang w:eastAsia="en-NZ"/>
        </w:rPr>
        <w:t xml:space="preserve">The Sale and Supply of Alcohol Act 2012 </w:t>
      </w:r>
      <w:r>
        <w:rPr>
          <w:lang w:eastAsia="en-NZ"/>
        </w:rPr>
        <w:t>changed</w:t>
      </w:r>
      <w:r w:rsidRPr="00607034">
        <w:rPr>
          <w:lang w:eastAsia="en-NZ"/>
        </w:rPr>
        <w:t xml:space="preserve"> the law relating to the sale, supply and consumption of alcohol. The emphasis is to ensure that the sale, supply and consumption of alcohol are undertaken safely and responsibly, and the harm caused by the excessive or inappropriate consumption of alcohol is minimised</w:t>
      </w:r>
      <w:r>
        <w:rPr>
          <w:lang w:eastAsia="en-NZ"/>
        </w:rPr>
        <w:t>.</w:t>
      </w:r>
    </w:p>
    <w:p w:rsidR="00ED6788" w:rsidRPr="00607034" w:rsidRDefault="00ED6788" w:rsidP="00BE4AB3">
      <w:pPr>
        <w:rPr>
          <w:lang w:eastAsia="en-NZ"/>
        </w:rPr>
      </w:pPr>
    </w:p>
    <w:p w:rsidR="000845D9" w:rsidRDefault="00ED6788" w:rsidP="00BE4AB3">
      <w:pPr>
        <w:rPr>
          <w:lang w:eastAsia="en-NZ"/>
        </w:rPr>
      </w:pPr>
      <w:r w:rsidRPr="00607034">
        <w:rPr>
          <w:lang w:eastAsia="en-NZ"/>
        </w:rPr>
        <w:t>The law extended the role of the Medical Officer of Health</w:t>
      </w:r>
      <w:r>
        <w:rPr>
          <w:lang w:eastAsia="en-NZ"/>
        </w:rPr>
        <w:t xml:space="preserve"> to have </w:t>
      </w:r>
      <w:r w:rsidRPr="00607034">
        <w:rPr>
          <w:lang w:eastAsia="en-NZ"/>
        </w:rPr>
        <w:t xml:space="preserve">a duty to </w:t>
      </w:r>
      <w:r w:rsidR="005848A0">
        <w:rPr>
          <w:lang w:eastAsia="en-NZ"/>
        </w:rPr>
        <w:t>e</w:t>
      </w:r>
      <w:r w:rsidRPr="00607034">
        <w:rPr>
          <w:lang w:eastAsia="en-NZ"/>
        </w:rPr>
        <w:t>nquire into and comment on licensing (and re-licensing) of premises with On Licences or Club Licences</w:t>
      </w:r>
      <w:r w:rsidR="005848A0">
        <w:rPr>
          <w:lang w:eastAsia="en-NZ"/>
        </w:rPr>
        <w:t>.</w:t>
      </w:r>
      <w:r w:rsidRPr="00607034">
        <w:rPr>
          <w:lang w:eastAsia="en-NZ"/>
        </w:rPr>
        <w:t xml:space="preserve"> </w:t>
      </w:r>
      <w:r w:rsidR="005848A0">
        <w:rPr>
          <w:lang w:eastAsia="en-NZ"/>
        </w:rPr>
        <w:t xml:space="preserve"> T</w:t>
      </w:r>
      <w:r w:rsidRPr="00607034">
        <w:rPr>
          <w:lang w:eastAsia="en-NZ"/>
        </w:rPr>
        <w:t>he new law covers</w:t>
      </w:r>
      <w:r w:rsidR="005848A0">
        <w:rPr>
          <w:lang w:eastAsia="en-NZ"/>
        </w:rPr>
        <w:t>,</w:t>
      </w:r>
      <w:r w:rsidRPr="00607034">
        <w:rPr>
          <w:lang w:eastAsia="en-NZ"/>
        </w:rPr>
        <w:t xml:space="preserve"> in addition</w:t>
      </w:r>
      <w:r w:rsidR="005848A0">
        <w:rPr>
          <w:lang w:eastAsia="en-NZ"/>
        </w:rPr>
        <w:t>,</w:t>
      </w:r>
      <w:r w:rsidRPr="00607034">
        <w:rPr>
          <w:lang w:eastAsia="en-NZ"/>
        </w:rPr>
        <w:t xml:space="preserve"> both off-licensed premises and groups applying for special licences. The legislation also specifies timeframes which must be adhered to, including a requirement that if Medical Officers of Health have any matters in opposition to an application for a licence, they must file</w:t>
      </w:r>
      <w:r w:rsidRPr="00607034">
        <w:t xml:space="preserve"> </w:t>
      </w:r>
      <w:r w:rsidRPr="00607034">
        <w:rPr>
          <w:lang w:eastAsia="en-NZ"/>
        </w:rPr>
        <w:t>a report on it with the licensing committee within 15 working days after receiving a copy of it. These legislative changes significantly increase</w:t>
      </w:r>
      <w:r>
        <w:rPr>
          <w:lang w:eastAsia="en-NZ"/>
        </w:rPr>
        <w:t>d</w:t>
      </w:r>
      <w:r w:rsidRPr="00607034">
        <w:rPr>
          <w:lang w:eastAsia="en-NZ"/>
        </w:rPr>
        <w:t xml:space="preserve"> the number of formal </w:t>
      </w:r>
      <w:r w:rsidR="005848A0">
        <w:rPr>
          <w:lang w:eastAsia="en-NZ"/>
        </w:rPr>
        <w:t>e</w:t>
      </w:r>
      <w:r w:rsidRPr="00607034">
        <w:rPr>
          <w:lang w:eastAsia="en-NZ"/>
        </w:rPr>
        <w:t>nquiries that Medical Officers of Health are required to undertake, and shifted the focus of their activity.</w:t>
      </w:r>
    </w:p>
    <w:p w:rsidR="005848A0" w:rsidRDefault="005848A0" w:rsidP="005848A0">
      <w:pPr>
        <w:rPr>
          <w:lang w:eastAsia="en-NZ"/>
        </w:rPr>
      </w:pPr>
    </w:p>
    <w:p w:rsidR="00ED6788" w:rsidRPr="006330D9" w:rsidRDefault="00ED6788" w:rsidP="005848A0">
      <w:pPr>
        <w:rPr>
          <w:spacing w:val="-2"/>
          <w:lang w:eastAsia="en-NZ"/>
        </w:rPr>
      </w:pPr>
      <w:r w:rsidRPr="00607034">
        <w:rPr>
          <w:lang w:eastAsia="en-NZ"/>
        </w:rPr>
        <w:t xml:space="preserve">The Ministry monitored the number of alcohol licence applications </w:t>
      </w:r>
      <w:r w:rsidR="005848A0">
        <w:rPr>
          <w:lang w:eastAsia="en-NZ"/>
        </w:rPr>
        <w:t>e</w:t>
      </w:r>
      <w:r w:rsidRPr="00607034">
        <w:rPr>
          <w:lang w:eastAsia="en-NZ"/>
        </w:rPr>
        <w:t>nquired into by Medical Officers of Health. Accordingly the Actual Standard reported of 92% has been assessed as follows:</w:t>
      </w:r>
    </w:p>
    <w:p w:rsidR="000845D9" w:rsidRDefault="00ED6788" w:rsidP="00BE4AB3">
      <w:pPr>
        <w:pStyle w:val="Bullet"/>
        <w:rPr>
          <w:spacing w:val="-2"/>
          <w:lang w:eastAsia="en-NZ"/>
        </w:rPr>
      </w:pPr>
      <w:r>
        <w:rPr>
          <w:spacing w:val="-2"/>
          <w:lang w:eastAsia="en-NZ"/>
        </w:rPr>
        <w:t>In</w:t>
      </w:r>
      <w:r w:rsidR="000845D9">
        <w:rPr>
          <w:spacing w:val="-2"/>
          <w:lang w:eastAsia="en-NZ"/>
        </w:rPr>
        <w:t xml:space="preserve"> </w:t>
      </w:r>
      <w:r>
        <w:rPr>
          <w:spacing w:val="-2"/>
          <w:lang w:eastAsia="en-NZ"/>
        </w:rPr>
        <w:t>2014/</w:t>
      </w:r>
      <w:r w:rsidRPr="006330D9">
        <w:rPr>
          <w:spacing w:val="-2"/>
          <w:lang w:eastAsia="en-NZ"/>
        </w:rPr>
        <w:t xml:space="preserve">15, 97 percent of alcohol licence applications </w:t>
      </w:r>
      <w:r w:rsidRPr="00917F7A">
        <w:rPr>
          <w:spacing w:val="-2"/>
          <w:lang w:eastAsia="en-NZ"/>
        </w:rPr>
        <w:t xml:space="preserve">(16,037 out of 16,500) </w:t>
      </w:r>
      <w:r w:rsidRPr="006330D9">
        <w:rPr>
          <w:spacing w:val="-2"/>
          <w:lang w:eastAsia="en-NZ"/>
        </w:rPr>
        <w:t xml:space="preserve">were </w:t>
      </w:r>
      <w:r w:rsidR="005848A0">
        <w:rPr>
          <w:spacing w:val="-2"/>
          <w:lang w:eastAsia="en-NZ"/>
        </w:rPr>
        <w:t>e</w:t>
      </w:r>
      <w:r w:rsidRPr="006330D9">
        <w:rPr>
          <w:spacing w:val="-2"/>
          <w:lang w:eastAsia="en-NZ"/>
        </w:rPr>
        <w:t xml:space="preserve">nquired into. </w:t>
      </w:r>
      <w:r>
        <w:rPr>
          <w:spacing w:val="-2"/>
          <w:lang w:eastAsia="en-NZ"/>
        </w:rPr>
        <w:t>Not all</w:t>
      </w:r>
      <w:r w:rsidR="000845D9">
        <w:rPr>
          <w:spacing w:val="-2"/>
          <w:lang w:eastAsia="en-NZ"/>
        </w:rPr>
        <w:t xml:space="preserve"> </w:t>
      </w:r>
      <w:r w:rsidRPr="006330D9">
        <w:rPr>
          <w:spacing w:val="-2"/>
          <w:lang w:eastAsia="en-NZ"/>
        </w:rPr>
        <w:t xml:space="preserve">applications were </w:t>
      </w:r>
      <w:r w:rsidR="005848A0">
        <w:rPr>
          <w:spacing w:val="-2"/>
          <w:lang w:eastAsia="en-NZ"/>
        </w:rPr>
        <w:t>e</w:t>
      </w:r>
      <w:r w:rsidRPr="006330D9">
        <w:rPr>
          <w:spacing w:val="-2"/>
          <w:lang w:eastAsia="en-NZ"/>
        </w:rPr>
        <w:t>nquired into due to the Christmas/New Year break.</w:t>
      </w:r>
    </w:p>
    <w:p w:rsidR="00ED6788" w:rsidRPr="006330D9" w:rsidRDefault="00ED6788" w:rsidP="00BE4AB3">
      <w:pPr>
        <w:pStyle w:val="Bullet"/>
        <w:rPr>
          <w:spacing w:val="-2"/>
          <w:lang w:eastAsia="en-NZ"/>
        </w:rPr>
      </w:pPr>
      <w:r w:rsidRPr="006330D9">
        <w:rPr>
          <w:spacing w:val="-2"/>
          <w:lang w:eastAsia="en-NZ"/>
        </w:rPr>
        <w:t>Of the total number of applications enquired into, 665 (4%) had matters raised in opposition.</w:t>
      </w:r>
    </w:p>
    <w:p w:rsidR="000845D9" w:rsidRDefault="00ED6788" w:rsidP="00BE4AB3">
      <w:pPr>
        <w:pStyle w:val="Bullet"/>
        <w:rPr>
          <w:spacing w:val="-2"/>
          <w:lang w:eastAsia="en-NZ"/>
        </w:rPr>
      </w:pPr>
      <w:r w:rsidRPr="006330D9">
        <w:rPr>
          <w:spacing w:val="-2"/>
          <w:lang w:eastAsia="en-NZ"/>
        </w:rPr>
        <w:t>Of the 665 reports where matters in opposition were raised, 614 (92%) were provided to the district licensing committee within 15 days.</w:t>
      </w:r>
    </w:p>
    <w:p w:rsidR="000845D9" w:rsidRDefault="00BE4AB3" w:rsidP="00BE4AB3">
      <w:pPr>
        <w:pStyle w:val="Bullet"/>
        <w:rPr>
          <w:spacing w:val="-2"/>
          <w:lang w:eastAsia="en-NZ"/>
        </w:rPr>
      </w:pPr>
      <w:r>
        <w:rPr>
          <w:spacing w:val="-2"/>
          <w:lang w:eastAsia="en-NZ"/>
        </w:rPr>
        <w:t>Fifty-one</w:t>
      </w:r>
      <w:r w:rsidR="00ED6788" w:rsidRPr="006330D9">
        <w:rPr>
          <w:spacing w:val="-2"/>
          <w:lang w:eastAsia="en-NZ"/>
        </w:rPr>
        <w:t xml:space="preserve"> applications were not provided to the district licensing committee within 15</w:t>
      </w:r>
      <w:r w:rsidR="005848A0">
        <w:rPr>
          <w:spacing w:val="-2"/>
          <w:lang w:eastAsia="en-NZ"/>
        </w:rPr>
        <w:t> </w:t>
      </w:r>
      <w:r w:rsidR="00ED6788" w:rsidRPr="006330D9">
        <w:rPr>
          <w:spacing w:val="-2"/>
          <w:lang w:eastAsia="en-NZ"/>
        </w:rPr>
        <w:t>days because they were:</w:t>
      </w:r>
    </w:p>
    <w:p w:rsidR="00ED6788" w:rsidRPr="00607034" w:rsidRDefault="00BE4AB3" w:rsidP="00BE4AB3">
      <w:pPr>
        <w:pStyle w:val="Dash"/>
        <w:rPr>
          <w:lang w:eastAsia="en-NZ"/>
        </w:rPr>
      </w:pPr>
      <w:r>
        <w:rPr>
          <w:lang w:eastAsia="en-NZ"/>
        </w:rPr>
        <w:t>o</w:t>
      </w:r>
      <w:r w:rsidR="00ED6788" w:rsidRPr="00607034">
        <w:rPr>
          <w:lang w:eastAsia="en-NZ"/>
        </w:rPr>
        <w:t xml:space="preserve">ff </w:t>
      </w:r>
      <w:r>
        <w:rPr>
          <w:lang w:eastAsia="en-NZ"/>
        </w:rPr>
        <w:t>l</w:t>
      </w:r>
      <w:r w:rsidR="00ED6788" w:rsidRPr="00607034">
        <w:rPr>
          <w:lang w:eastAsia="en-NZ"/>
        </w:rPr>
        <w:t>icence premises and the PHU opposition related to clarifying the interpretation of the single alcohol area provisions of the Sale and Supply of Alcohol Act 2012. These matters remain on hold pending a decision from the High Court</w:t>
      </w:r>
    </w:p>
    <w:p w:rsidR="00ED6788" w:rsidRPr="00607034" w:rsidRDefault="00BE4AB3" w:rsidP="00BE4AB3">
      <w:pPr>
        <w:pStyle w:val="Dash"/>
        <w:rPr>
          <w:lang w:eastAsia="en-NZ"/>
        </w:rPr>
      </w:pPr>
      <w:r>
        <w:rPr>
          <w:lang w:eastAsia="en-NZ"/>
        </w:rPr>
        <w:t>s</w:t>
      </w:r>
      <w:r w:rsidR="00ED6788" w:rsidRPr="00607034">
        <w:rPr>
          <w:lang w:eastAsia="en-NZ"/>
        </w:rPr>
        <w:t xml:space="preserve">atisfactory and prompt resolution of the issue with the applicant so the PHU did </w:t>
      </w:r>
      <w:r w:rsidR="005848A0">
        <w:rPr>
          <w:lang w:eastAsia="en-NZ"/>
        </w:rPr>
        <w:t xml:space="preserve">not </w:t>
      </w:r>
      <w:r w:rsidR="00ED6788" w:rsidRPr="00607034">
        <w:rPr>
          <w:lang w:eastAsia="en-NZ"/>
        </w:rPr>
        <w:t>need to report to the district licensing committee</w:t>
      </w:r>
      <w:r w:rsidR="00ED6788">
        <w:rPr>
          <w:lang w:eastAsia="en-NZ"/>
        </w:rPr>
        <w:t>.</w:t>
      </w:r>
    </w:p>
    <w:p w:rsidR="00ED6788" w:rsidRPr="00B024D3" w:rsidRDefault="00ED6788" w:rsidP="00BE4AB3"/>
    <w:p w:rsidR="000845D9" w:rsidRDefault="00ED6788" w:rsidP="00BE4AB3">
      <w:pPr>
        <w:pStyle w:val="Heading4"/>
        <w:rPr>
          <w:lang w:eastAsia="en-US"/>
        </w:rPr>
      </w:pPr>
      <w:r w:rsidRPr="00B024D3">
        <w:rPr>
          <w:lang w:eastAsia="en-US"/>
        </w:rPr>
        <w:t xml:space="preserve">Services for </w:t>
      </w:r>
      <w:r w:rsidR="00BE4AB3">
        <w:rPr>
          <w:lang w:eastAsia="en-US"/>
        </w:rPr>
        <w:t>c</w:t>
      </w:r>
      <w:r w:rsidRPr="00B024D3">
        <w:rPr>
          <w:lang w:eastAsia="en-US"/>
        </w:rPr>
        <w:t>hildren</w:t>
      </w:r>
    </w:p>
    <w:p w:rsidR="000845D9" w:rsidRDefault="00ED6788" w:rsidP="00BE4AB3">
      <w:pPr>
        <w:rPr>
          <w:lang w:eastAsia="en-NZ"/>
        </w:rPr>
      </w:pPr>
      <w:r w:rsidRPr="00607034">
        <w:rPr>
          <w:lang w:eastAsia="en-NZ"/>
        </w:rPr>
        <w:t>Breastfeeding has a positive influence on the health status and social wellbeing of the baby, mother, family and community. Breastfeeding rates have multiple drivers including drivers outside the health sector</w:t>
      </w:r>
      <w:r w:rsidR="000845D9">
        <w:rPr>
          <w:lang w:eastAsia="en-NZ"/>
        </w:rPr>
        <w:t>’</w:t>
      </w:r>
      <w:r w:rsidRPr="00607034">
        <w:rPr>
          <w:lang w:eastAsia="en-NZ"/>
        </w:rPr>
        <w:t>s influence</w:t>
      </w:r>
      <w:r>
        <w:rPr>
          <w:lang w:eastAsia="en-NZ"/>
        </w:rPr>
        <w:t xml:space="preserve">. </w:t>
      </w:r>
      <w:r w:rsidRPr="001472E3">
        <w:rPr>
          <w:lang w:eastAsia="en-NZ"/>
        </w:rPr>
        <w:t xml:space="preserve">Work </w:t>
      </w:r>
      <w:r w:rsidRPr="00607034">
        <w:rPr>
          <w:lang w:eastAsia="en-NZ"/>
        </w:rPr>
        <w:t>continue</w:t>
      </w:r>
      <w:r>
        <w:rPr>
          <w:lang w:eastAsia="en-NZ"/>
        </w:rPr>
        <w:t>s</w:t>
      </w:r>
      <w:r w:rsidRPr="00607034">
        <w:rPr>
          <w:lang w:eastAsia="en-NZ"/>
        </w:rPr>
        <w:t xml:space="preserve"> to improve rates through the WCTO </w:t>
      </w:r>
      <w:r>
        <w:rPr>
          <w:lang w:eastAsia="en-NZ"/>
        </w:rPr>
        <w:t>quality i</w:t>
      </w:r>
      <w:r w:rsidRPr="00607034">
        <w:rPr>
          <w:lang w:eastAsia="en-NZ"/>
        </w:rPr>
        <w:t xml:space="preserve">mprovement </w:t>
      </w:r>
      <w:r>
        <w:rPr>
          <w:lang w:eastAsia="en-NZ"/>
        </w:rPr>
        <w:t>p</w:t>
      </w:r>
      <w:r w:rsidRPr="00607034">
        <w:rPr>
          <w:lang w:eastAsia="en-NZ"/>
        </w:rPr>
        <w:t xml:space="preserve">rogramme and through breastfeeding-related initiatives such as improved resources for clinicians (Mama Aroha Talk Cards) and </w:t>
      </w:r>
      <w:r>
        <w:rPr>
          <w:lang w:eastAsia="en-NZ"/>
        </w:rPr>
        <w:t xml:space="preserve">the </w:t>
      </w:r>
      <w:r w:rsidRPr="00917F7A">
        <w:rPr>
          <w:lang w:eastAsia="en-NZ"/>
        </w:rPr>
        <w:t>Baby</w:t>
      </w:r>
      <w:r>
        <w:rPr>
          <w:lang w:eastAsia="en-NZ"/>
        </w:rPr>
        <w:t xml:space="preserve"> Friendly Hospital Initiative</w:t>
      </w:r>
      <w:r w:rsidRPr="00607034">
        <w:rPr>
          <w:lang w:eastAsia="en-NZ"/>
        </w:rPr>
        <w:t>.</w:t>
      </w:r>
    </w:p>
    <w:p w:rsidR="00ED6788" w:rsidRPr="00B024D3" w:rsidRDefault="00ED6788" w:rsidP="00BE4AB3"/>
    <w:p w:rsidR="000845D9" w:rsidRDefault="00ED6788" w:rsidP="00BE4AB3">
      <w:pPr>
        <w:pStyle w:val="Heading4"/>
      </w:pPr>
      <w:r w:rsidRPr="00B024D3">
        <w:lastRenderedPageBreak/>
        <w:t>Other child and youth – Violence Intervention Programme</w:t>
      </w:r>
    </w:p>
    <w:p w:rsidR="00ED6788" w:rsidRPr="00607034" w:rsidRDefault="00ED6788" w:rsidP="00BE4AB3">
      <w:pPr>
        <w:keepLines/>
        <w:rPr>
          <w:lang w:eastAsia="en-NZ"/>
        </w:rPr>
      </w:pPr>
      <w:r w:rsidRPr="00607034">
        <w:rPr>
          <w:lang w:eastAsia="en-NZ"/>
        </w:rPr>
        <w:t xml:space="preserve">Implementation of </w:t>
      </w:r>
      <w:r>
        <w:rPr>
          <w:lang w:eastAsia="en-NZ"/>
        </w:rPr>
        <w:t>the n</w:t>
      </w:r>
      <w:r w:rsidRPr="00AC6D83">
        <w:rPr>
          <w:lang w:eastAsia="en-NZ"/>
        </w:rPr>
        <w:t xml:space="preserve">ational </w:t>
      </w:r>
      <w:r>
        <w:rPr>
          <w:lang w:eastAsia="en-NZ"/>
        </w:rPr>
        <w:t>c</w:t>
      </w:r>
      <w:r w:rsidRPr="00AC6D83">
        <w:rPr>
          <w:lang w:eastAsia="en-NZ"/>
        </w:rPr>
        <w:t xml:space="preserve">hild </w:t>
      </w:r>
      <w:r>
        <w:rPr>
          <w:lang w:eastAsia="en-NZ"/>
        </w:rPr>
        <w:t>p</w:t>
      </w:r>
      <w:r w:rsidRPr="00AC6D83">
        <w:rPr>
          <w:lang w:eastAsia="en-NZ"/>
        </w:rPr>
        <w:t xml:space="preserve">rotection </w:t>
      </w:r>
      <w:r>
        <w:rPr>
          <w:lang w:eastAsia="en-NZ"/>
        </w:rPr>
        <w:t>a</w:t>
      </w:r>
      <w:r w:rsidRPr="00AC6D83">
        <w:rPr>
          <w:lang w:eastAsia="en-NZ"/>
        </w:rPr>
        <w:t xml:space="preserve">lert </w:t>
      </w:r>
      <w:r>
        <w:rPr>
          <w:lang w:eastAsia="en-NZ"/>
        </w:rPr>
        <w:t>s</w:t>
      </w:r>
      <w:r w:rsidRPr="00AC6D83">
        <w:rPr>
          <w:lang w:eastAsia="en-NZ"/>
        </w:rPr>
        <w:t xml:space="preserve">ystem </w:t>
      </w:r>
      <w:r>
        <w:rPr>
          <w:lang w:eastAsia="en-NZ"/>
        </w:rPr>
        <w:t>(</w:t>
      </w:r>
      <w:r w:rsidRPr="00607034">
        <w:rPr>
          <w:lang w:eastAsia="en-NZ"/>
        </w:rPr>
        <w:t>NCPAS</w:t>
      </w:r>
      <w:r>
        <w:rPr>
          <w:lang w:eastAsia="en-NZ"/>
        </w:rPr>
        <w:t>)</w:t>
      </w:r>
      <w:r w:rsidRPr="00607034">
        <w:rPr>
          <w:lang w:eastAsia="en-NZ"/>
        </w:rPr>
        <w:t xml:space="preserve"> by all 20 DHBs is an indicator of the Better Public Services target to reduce the number of assaults on children. Currently 18 of the 20 DHBs are approved to lodge alerts on the NCPAS and two DHBs are working towards NCPAS approval. Monitoring and reviewing implementation of </w:t>
      </w:r>
      <w:r>
        <w:rPr>
          <w:lang w:eastAsia="en-NZ"/>
        </w:rPr>
        <w:t>NCPAS</w:t>
      </w:r>
      <w:r w:rsidRPr="00607034">
        <w:rPr>
          <w:lang w:eastAsia="en-NZ"/>
        </w:rPr>
        <w:t xml:space="preserve"> will ensure consistency and availability of the </w:t>
      </w:r>
      <w:r>
        <w:rPr>
          <w:lang w:eastAsia="en-NZ"/>
        </w:rPr>
        <w:t>system</w:t>
      </w:r>
      <w:r w:rsidRPr="00607034">
        <w:rPr>
          <w:lang w:eastAsia="en-NZ"/>
        </w:rPr>
        <w:t xml:space="preserve"> across all DHBs.</w:t>
      </w:r>
    </w:p>
    <w:p w:rsidR="00ED6788" w:rsidRPr="00607034" w:rsidRDefault="00ED6788" w:rsidP="00BE4AB3">
      <w:pPr>
        <w:rPr>
          <w:lang w:eastAsia="en-NZ"/>
        </w:rPr>
      </w:pPr>
    </w:p>
    <w:p w:rsidR="00ED6788" w:rsidRPr="00607034" w:rsidRDefault="00ED6788" w:rsidP="00BE4AB3">
      <w:pPr>
        <w:rPr>
          <w:lang w:eastAsia="en-NZ"/>
        </w:rPr>
      </w:pPr>
      <w:r w:rsidRPr="001472E3">
        <w:rPr>
          <w:lang w:eastAsia="en-NZ"/>
        </w:rPr>
        <w:t>Work</w:t>
      </w:r>
      <w:r w:rsidRPr="001472E3">
        <w:t xml:space="preserve"> </w:t>
      </w:r>
      <w:r w:rsidRPr="001472E3">
        <w:rPr>
          <w:lang w:eastAsia="en-NZ"/>
        </w:rPr>
        <w:t>continues towards</w:t>
      </w:r>
      <w:r w:rsidRPr="00607034">
        <w:rPr>
          <w:lang w:eastAsia="en-NZ"/>
        </w:rPr>
        <w:t xml:space="preserve"> reducing assaults on children by embedding the Violence Implementation Programme in designated services, including routine partner abuse screening and child abuse and neglect risk assessment in maternity and child health, mental health, alcohol and drug, sexual health and emergency department services.</w:t>
      </w:r>
    </w:p>
    <w:p w:rsidR="00ED6788" w:rsidRPr="00607034" w:rsidRDefault="00ED6788" w:rsidP="00BE4AB3">
      <w:pPr>
        <w:rPr>
          <w:lang w:eastAsia="en-NZ"/>
        </w:rPr>
      </w:pPr>
    </w:p>
    <w:p w:rsidR="00ED6788" w:rsidRPr="00B024D3" w:rsidRDefault="00ED6788" w:rsidP="00BE4AB3">
      <w:pPr>
        <w:rPr>
          <w:lang w:eastAsia="en-NZ"/>
        </w:rPr>
      </w:pPr>
      <w:r w:rsidRPr="00607034">
        <w:rPr>
          <w:lang w:eastAsia="en-NZ"/>
        </w:rPr>
        <w:t>The Violence Intervention Programme is now implemented in all 20 DHBs. The Violence Intervention Programme seeks to reduce and prevent intimate partner violence and child abuse and neglect through identification, assessment, and referral of victims presenting to health services. Under the Violence Intervention Programme, all DHBs have comprehensive systems in place, including policies, initial and ongoing training, and quality improvement activities.</w:t>
      </w:r>
    </w:p>
    <w:p w:rsidR="00ED6788" w:rsidRPr="00B024D3" w:rsidRDefault="00ED6788" w:rsidP="00BE4AB3"/>
    <w:p w:rsidR="00ED6788" w:rsidRPr="00B024D3" w:rsidRDefault="00ED6788" w:rsidP="00BE4AB3">
      <w:pPr>
        <w:pStyle w:val="Heading4"/>
      </w:pPr>
      <w:r w:rsidRPr="00B024D3">
        <w:t>Drinking</w:t>
      </w:r>
      <w:r w:rsidR="00BE4AB3">
        <w:t>-w</w:t>
      </w:r>
      <w:r w:rsidRPr="00B024D3">
        <w:t xml:space="preserve">ater </w:t>
      </w:r>
      <w:r w:rsidR="00BE4AB3">
        <w:t>s</w:t>
      </w:r>
      <w:r w:rsidRPr="00B024D3">
        <w:t>ubsidies</w:t>
      </w:r>
    </w:p>
    <w:p w:rsidR="000845D9" w:rsidRDefault="00ED6788" w:rsidP="00BE4AB3">
      <w:r w:rsidRPr="007E682F">
        <w:t>The drinking-water subsidy scheme has an annual appropriation of $10 million.</w:t>
      </w:r>
      <w:r w:rsidR="000845D9">
        <w:t xml:space="preserve"> </w:t>
      </w:r>
      <w:r w:rsidRPr="007E682F">
        <w:t xml:space="preserve">Water suppliers can apply for </w:t>
      </w:r>
      <w:r w:rsidR="005848A0">
        <w:t xml:space="preserve">a </w:t>
      </w:r>
      <w:r w:rsidRPr="007E682F">
        <w:t>subsidy if they meet eligibility criteria relating to size (25</w:t>
      </w:r>
      <w:r w:rsidR="00C81087">
        <w:t>–</w:t>
      </w:r>
      <w:r w:rsidRPr="007E682F">
        <w:t>5000 people), geographic location (city councils are not eligible) and relative deprivation (Deprivation Index 7 or above).</w:t>
      </w:r>
      <w:r w:rsidR="000845D9">
        <w:t xml:space="preserve"> </w:t>
      </w:r>
      <w:r w:rsidRPr="007E682F">
        <w:t>Successful applicants may receive</w:t>
      </w:r>
      <w:r w:rsidRPr="007E682F">
        <w:rPr>
          <w:rFonts w:cs="Arial"/>
          <w:color w:val="000000"/>
        </w:rPr>
        <w:t xml:space="preserve"> up to 85 pe</w:t>
      </w:r>
      <w:r>
        <w:rPr>
          <w:rFonts w:cs="Arial"/>
          <w:color w:val="000000"/>
        </w:rPr>
        <w:t>rcent of the cost of the works,</w:t>
      </w:r>
      <w:r w:rsidRPr="007E682F">
        <w:rPr>
          <w:rFonts w:cs="Arial"/>
          <w:color w:val="000000"/>
        </w:rPr>
        <w:t xml:space="preserve"> depending on their Deprivation Index (more disadvantaged communities receive a greater rate of subsidy).</w:t>
      </w:r>
      <w:r w:rsidR="000845D9">
        <w:rPr>
          <w:rFonts w:cs="Arial"/>
          <w:color w:val="000000"/>
        </w:rPr>
        <w:t xml:space="preserve"> </w:t>
      </w:r>
      <w:r w:rsidRPr="007E682F">
        <w:t xml:space="preserve">The value of the drinking-water subsidies approved to date is around </w:t>
      </w:r>
      <w:r w:rsidRPr="007E682F">
        <w:fldChar w:fldCharType="begin"/>
      </w:r>
      <w:r w:rsidRPr="007E682F">
        <w:instrText xml:space="preserve"> =SUM(ABOVE) </w:instrText>
      </w:r>
      <w:r w:rsidRPr="007E682F">
        <w:fldChar w:fldCharType="separate"/>
      </w:r>
      <w:r w:rsidRPr="007E682F">
        <w:rPr>
          <w:noProof/>
        </w:rPr>
        <w:t>$85</w:t>
      </w:r>
      <w:r w:rsidRPr="007E682F">
        <w:fldChar w:fldCharType="end"/>
      </w:r>
      <w:r w:rsidRPr="007E682F">
        <w:t xml:space="preserve"> million (excluding GST).</w:t>
      </w:r>
    </w:p>
    <w:p w:rsidR="00C81087" w:rsidRDefault="00C81087" w:rsidP="00C81087"/>
    <w:p w:rsidR="00ED6788" w:rsidRDefault="00ED6788" w:rsidP="00C81087">
      <w:r w:rsidRPr="007E682F">
        <w:t>The final round of subsidies closed on 28 February 2015.</w:t>
      </w:r>
      <w:r w:rsidR="000845D9">
        <w:t xml:space="preserve"> </w:t>
      </w:r>
      <w:r w:rsidRPr="007E682F">
        <w:t>The Ministry received 40 applications, seeking subsid</w:t>
      </w:r>
      <w:r w:rsidR="0015630E">
        <w:t>ies</w:t>
      </w:r>
      <w:r w:rsidRPr="007E682F">
        <w:t xml:space="preserve"> of around $30 million.</w:t>
      </w:r>
      <w:r w:rsidR="000845D9">
        <w:t xml:space="preserve"> </w:t>
      </w:r>
      <w:r w:rsidRPr="007E682F">
        <w:t>Applications have been assessed against the eligibility criteria and given an engineering review by Health officials.</w:t>
      </w:r>
      <w:r w:rsidR="000845D9">
        <w:t xml:space="preserve"> </w:t>
      </w:r>
      <w:r w:rsidRPr="007E682F">
        <w:t xml:space="preserve">The Sanitary Works Technical Advisory Committee met to consider the review reports and formulate its advice </w:t>
      </w:r>
      <w:r w:rsidRPr="00F25870">
        <w:t xml:space="preserve">to the Associate Minister of Health </w:t>
      </w:r>
      <w:r w:rsidRPr="007E682F">
        <w:t>on whether to approve, conditionally approve, or decline the applications.</w:t>
      </w:r>
    </w:p>
    <w:p w:rsidR="0015630E" w:rsidRPr="007E682F" w:rsidRDefault="0015630E" w:rsidP="00C81087"/>
    <w:p w:rsidR="00ED6788" w:rsidRPr="007E682F" w:rsidRDefault="00ED6788" w:rsidP="0015630E">
      <w:pPr>
        <w:rPr>
          <w:color w:val="000000" w:themeColor="text1"/>
        </w:rPr>
      </w:pPr>
      <w:r w:rsidRPr="007E682F">
        <w:t>Since 2006, of the 291 drinking-water subsidies which were approved:</w:t>
      </w:r>
    </w:p>
    <w:p w:rsidR="00ED6788" w:rsidRPr="006330D9" w:rsidRDefault="00ED6788" w:rsidP="00C81087">
      <w:pPr>
        <w:pStyle w:val="Bullet"/>
        <w:rPr>
          <w:lang w:eastAsia="en-NZ"/>
        </w:rPr>
      </w:pPr>
      <w:r w:rsidRPr="007E682F">
        <w:rPr>
          <w:bCs/>
        </w:rPr>
        <w:t>234</w:t>
      </w:r>
      <w:r w:rsidRPr="007E682F">
        <w:t xml:space="preserve"> projects are </w:t>
      </w:r>
      <w:r w:rsidRPr="006330D9">
        <w:rPr>
          <w:lang w:eastAsia="en-NZ"/>
        </w:rPr>
        <w:t>completed (although final reports/invoices are awaited for 12 projects)</w:t>
      </w:r>
    </w:p>
    <w:p w:rsidR="00ED6788" w:rsidRPr="006330D9" w:rsidRDefault="00ED6788" w:rsidP="00C81087">
      <w:pPr>
        <w:pStyle w:val="Bullet"/>
        <w:rPr>
          <w:lang w:eastAsia="en-NZ"/>
        </w:rPr>
      </w:pPr>
      <w:r w:rsidRPr="006330D9">
        <w:rPr>
          <w:lang w:eastAsia="en-NZ"/>
        </w:rPr>
        <w:t>13 projects did not proceed</w:t>
      </w:r>
    </w:p>
    <w:p w:rsidR="00ED6788" w:rsidRPr="006330D9" w:rsidRDefault="00ED6788" w:rsidP="00C81087">
      <w:pPr>
        <w:pStyle w:val="Bullet"/>
        <w:rPr>
          <w:lang w:eastAsia="en-NZ"/>
        </w:rPr>
      </w:pPr>
      <w:r w:rsidRPr="006330D9">
        <w:rPr>
          <w:lang w:eastAsia="en-NZ"/>
        </w:rPr>
        <w:t>40 projects are active</w:t>
      </w:r>
    </w:p>
    <w:p w:rsidR="00ED6788" w:rsidRPr="00F25870" w:rsidRDefault="00ED6788" w:rsidP="00C81087">
      <w:pPr>
        <w:pStyle w:val="Bullet"/>
        <w:rPr>
          <w:rFonts w:cs="Arial"/>
          <w:szCs w:val="22"/>
        </w:rPr>
      </w:pPr>
      <w:r w:rsidRPr="006330D9">
        <w:rPr>
          <w:lang w:eastAsia="en-NZ"/>
        </w:rPr>
        <w:t>4 projects approved in 2014 still have to provide information to enable contracts to be developed.</w:t>
      </w:r>
    </w:p>
    <w:p w:rsidR="00ED6788" w:rsidRPr="00B024D3" w:rsidRDefault="00ED6788" w:rsidP="00C81087"/>
    <w:p w:rsidR="000845D9" w:rsidRDefault="00ED6788" w:rsidP="00C81087">
      <w:pPr>
        <w:pStyle w:val="Heading4"/>
      </w:pPr>
      <w:r w:rsidRPr="00B024D3">
        <w:t xml:space="preserve">Rheumatic </w:t>
      </w:r>
      <w:r w:rsidR="00C81087">
        <w:t>f</w:t>
      </w:r>
      <w:r w:rsidRPr="00B024D3">
        <w:t>ever</w:t>
      </w:r>
    </w:p>
    <w:p w:rsidR="000845D9" w:rsidRDefault="00ED6788" w:rsidP="00C81087">
      <w:r w:rsidRPr="008C653D">
        <w:t>Rheumatic fever primarily affects children and is a complication of a particular type of sore throat caused by the Group A streptococcal bacteria. It is a preventable disease that can have serious consequences (such as the development of rheumatic heart disease) if not treated early. There are around 140 deaths from rheumatic heart disease in New Zealand each year. Rheumatic fever mainly affects Māori and Pacific peoples.</w:t>
      </w:r>
    </w:p>
    <w:p w:rsidR="00ED6788" w:rsidRPr="008C653D" w:rsidRDefault="00ED6788" w:rsidP="00C81087"/>
    <w:p w:rsidR="00ED6788" w:rsidRPr="00DE3E03" w:rsidRDefault="00ED6788" w:rsidP="00C81087">
      <w:pPr>
        <w:keepLines/>
      </w:pPr>
      <w:r w:rsidRPr="00DE3E03">
        <w:lastRenderedPageBreak/>
        <w:t>The Ministry is responsible for the delivery of the Rheumatic Fever Prevention Programme.</w:t>
      </w:r>
      <w:r>
        <w:t xml:space="preserve"> T</w:t>
      </w:r>
      <w:r w:rsidRPr="008C653D">
        <w:t>here has been a total of $65.6 million allocated to the programme.</w:t>
      </w:r>
      <w:r w:rsidRPr="00DE3E03">
        <w:t xml:space="preserve"> The </w:t>
      </w:r>
      <w:r w:rsidR="0015630E">
        <w:t>p</w:t>
      </w:r>
      <w:r w:rsidRPr="00DE3E03">
        <w:t>rogramme began on 1 July 2011 and has been significantly expanded since then. It aims to reduce the rate of new cases of rheumatic fever by two-thirds, from a baseline rate of 4.0 cases per 100,000 total population (three-year average rate 2009/10</w:t>
      </w:r>
      <w:r w:rsidR="0015630E">
        <w:t>–</w:t>
      </w:r>
      <w:r w:rsidRPr="00DE3E03">
        <w:t>2011/12) to 1.4 cases per 100,000 total population by June 2017.</w:t>
      </w:r>
    </w:p>
    <w:p w:rsidR="00ED6788" w:rsidRPr="00DE3E03" w:rsidRDefault="00ED6788" w:rsidP="00C81087"/>
    <w:p w:rsidR="00ED6788" w:rsidRDefault="0015630E" w:rsidP="00C81087">
      <w:r>
        <w:t>The p</w:t>
      </w:r>
      <w:r w:rsidR="00ED6788" w:rsidRPr="00DE3E03">
        <w:t>rogramme targets areas of New Zealand with the highest incidence rates of rheumatic fever. The incidence rate for first episode rheumatic fever hospitalisations for 2014/15 was 3.0</w:t>
      </w:r>
      <w:r w:rsidR="00C81087">
        <w:t> </w:t>
      </w:r>
      <w:r w:rsidR="00ED6788" w:rsidRPr="00DE3E03">
        <w:t>per 100,000 (135 hospitalisations). This was a statistically significant decrease from the 2013/14 rate of 3.9 per 100,000 (175 hospitalisations). There has been a 24 percent decrease from a baseline rate of 4.0 per 100,000 (2009/10</w:t>
      </w:r>
      <w:r w:rsidR="00C81087">
        <w:t>–</w:t>
      </w:r>
      <w:r w:rsidR="00ED6788" w:rsidRPr="00DE3E03">
        <w:t>2011/12) – this decrease is also statistically significant.</w:t>
      </w:r>
    </w:p>
    <w:p w:rsidR="00ED6788" w:rsidRPr="008C653D" w:rsidRDefault="00ED6788" w:rsidP="00C81087"/>
    <w:p w:rsidR="00ED6788" w:rsidRPr="008C653D" w:rsidRDefault="00ED6788" w:rsidP="00C81087">
      <w:r w:rsidRPr="008C653D">
        <w:t>Antibiotic adherence has been a key area of focus</w:t>
      </w:r>
      <w:r>
        <w:t>.</w:t>
      </w:r>
      <w:r w:rsidRPr="008C653D">
        <w:t xml:space="preserve"> </w:t>
      </w:r>
      <w:r>
        <w:t>A</w:t>
      </w:r>
      <w:r w:rsidRPr="008C653D">
        <w:t xml:space="preserve"> series of pilots ha</w:t>
      </w:r>
      <w:r w:rsidR="0015630E">
        <w:t>s</w:t>
      </w:r>
      <w:r w:rsidRPr="008C653D">
        <w:t xml:space="preserve"> been completed and the lessons learned are being rolled out to improve completion of antibiotic courses for our target group. A free e-learning course has been launched and is aimed at primary care nurses, public health nurses and community health workers working with families whose children are at risk of developing rheumatic fever. The course will also be useful for locum general practitioners, general practitioners new to New Zealand and pharmacists.</w:t>
      </w:r>
    </w:p>
    <w:p w:rsidR="00ED6788" w:rsidRPr="008C653D" w:rsidRDefault="00ED6788" w:rsidP="00C81087"/>
    <w:p w:rsidR="00ED6788" w:rsidRDefault="00ED6788" w:rsidP="00C81087">
      <w:r w:rsidRPr="008C653D">
        <w:t>Funding has been provided to community groups to support getting rheumatic fever interventions and messages into their priority communities. This includes the Pacific Engagement Strategy (PES) which is delivered in two regions that have high rates of rheumatic fever for Pacific</w:t>
      </w:r>
      <w:r w:rsidR="0015630E">
        <w:t xml:space="preserve"> people:</w:t>
      </w:r>
      <w:r w:rsidRPr="008C653D">
        <w:t xml:space="preserve"> Auckland (Counties Manukau, Waitemata and Auckland Central) and Wellington (Porirua and Hutt Valley). The PES is delivered by Pacific </w:t>
      </w:r>
      <w:r w:rsidR="0015630E">
        <w:t>h</w:t>
      </w:r>
      <w:r w:rsidRPr="008C653D">
        <w:t xml:space="preserve">ealth </w:t>
      </w:r>
      <w:r w:rsidR="0015630E">
        <w:t>p</w:t>
      </w:r>
      <w:r w:rsidRPr="008C653D">
        <w:t>roviders and involves in</w:t>
      </w:r>
      <w:r>
        <w:t>-</w:t>
      </w:r>
      <w:r w:rsidRPr="008C653D">
        <w:t>home face-to-face engagement with Pacific families and community events. As at 30 June 2015, over 15,200 families have been engaged through the PES in Auckland and Wellington.</w:t>
      </w:r>
      <w:r>
        <w:t xml:space="preserve"> </w:t>
      </w:r>
      <w:r w:rsidRPr="008C653D">
        <w:t xml:space="preserve">As part of the Pacific Community Innovation Funds, 11 community organisations (churches, sport clubs) are being funded to deliver innovative community initiatives to raise awareness of </w:t>
      </w:r>
      <w:r w:rsidR="0015630E">
        <w:t>r</w:t>
      </w:r>
      <w:r w:rsidRPr="008C653D">
        <w:t xml:space="preserve">heumatic </w:t>
      </w:r>
      <w:r w:rsidR="0015630E">
        <w:t>f</w:t>
      </w:r>
      <w:r w:rsidRPr="008C653D">
        <w:t>ever.</w:t>
      </w:r>
      <w:r w:rsidR="000845D9">
        <w:t xml:space="preserve"> </w:t>
      </w:r>
      <w:r w:rsidRPr="008C653D">
        <w:t>Seven community organisations are in the Auckland region and four community organisations are in the Wellington region.</w:t>
      </w:r>
    </w:p>
    <w:p w:rsidR="00ED6788" w:rsidRDefault="00ED6788" w:rsidP="00C81087"/>
    <w:p w:rsidR="00ED6788" w:rsidRDefault="00ED6788" w:rsidP="00C81087">
      <w:r w:rsidRPr="00217120">
        <w:rPr>
          <w:i/>
        </w:rPr>
        <w:t>Note E:</w:t>
      </w:r>
      <w:r>
        <w:t xml:space="preserve"> The </w:t>
      </w:r>
      <w:r w:rsidR="0015630E">
        <w:t>p</w:t>
      </w:r>
      <w:r>
        <w:t xml:space="preserve">rogramme has seven contracts </w:t>
      </w:r>
      <w:r w:rsidR="0015630E">
        <w:t xml:space="preserve">over $500,000 </w:t>
      </w:r>
      <w:r>
        <w:t>in the 2014/15 financial year. One of the providers did not meet all of their milestones. The Ministry is working closely with the provider and has an agreed process in place to monitor progress and recover funds if necessary.</w:t>
      </w:r>
    </w:p>
    <w:p w:rsidR="00C81087" w:rsidRPr="00277CB1" w:rsidRDefault="00C81087" w:rsidP="00C81087"/>
    <w:p w:rsidR="00ED6788" w:rsidRDefault="00ED6788" w:rsidP="00C81087">
      <w:pPr>
        <w:pStyle w:val="Heading4"/>
      </w:pPr>
      <w:r w:rsidRPr="005F6815">
        <w:t>Immunisation</w:t>
      </w:r>
    </w:p>
    <w:p w:rsidR="00ED6788" w:rsidRPr="0032384D" w:rsidRDefault="00ED6788" w:rsidP="00C81087">
      <w:pPr>
        <w:rPr>
          <w:rFonts w:cs="Arial"/>
        </w:rPr>
      </w:pPr>
      <w:r>
        <w:rPr>
          <w:lang w:eastAsia="en-NZ"/>
        </w:rPr>
        <w:t>T</w:t>
      </w:r>
      <w:r w:rsidRPr="00DA5BFF">
        <w:rPr>
          <w:lang w:eastAsia="en-NZ"/>
        </w:rPr>
        <w:t>he Ministry monitors the volume of influenza vacc</w:t>
      </w:r>
      <w:r>
        <w:rPr>
          <w:lang w:eastAsia="en-NZ"/>
        </w:rPr>
        <w:t>ine doses distributed annually.</w:t>
      </w:r>
      <w:r w:rsidRPr="00DA5BFF">
        <w:rPr>
          <w:lang w:eastAsia="en-NZ"/>
        </w:rPr>
        <w:t xml:space="preserve"> </w:t>
      </w:r>
      <w:r>
        <w:rPr>
          <w:lang w:eastAsia="en-NZ"/>
        </w:rPr>
        <w:t xml:space="preserve">The </w:t>
      </w:r>
      <w:r w:rsidRPr="00652BC7">
        <w:rPr>
          <w:lang w:eastAsia="en-NZ"/>
        </w:rPr>
        <w:t>seasonal influenza immunisation programme ended on 11 September 2015 with 1,211,152 doses of influenza vaccine distributed.</w:t>
      </w:r>
    </w:p>
    <w:p w:rsidR="00ED6788" w:rsidRPr="00DA5BFF" w:rsidRDefault="00ED6788" w:rsidP="00C81087"/>
    <w:p w:rsidR="00ED6788" w:rsidRPr="00172761" w:rsidRDefault="00ED6788" w:rsidP="00C81087">
      <w:pPr>
        <w:pStyle w:val="Heading4"/>
      </w:pPr>
      <w:r w:rsidRPr="00172761">
        <w:t xml:space="preserve">Sexual and </w:t>
      </w:r>
      <w:r w:rsidR="00C81087">
        <w:t>r</w:t>
      </w:r>
      <w:r w:rsidRPr="00172761">
        <w:t xml:space="preserve">eproductive </w:t>
      </w:r>
      <w:r w:rsidR="00C81087">
        <w:t>h</w:t>
      </w:r>
      <w:r w:rsidRPr="00172761">
        <w:t>ealth</w:t>
      </w:r>
    </w:p>
    <w:p w:rsidR="00ED6788" w:rsidRPr="00607034" w:rsidRDefault="00ED6788" w:rsidP="00C81087">
      <w:pPr>
        <w:rPr>
          <w:lang w:eastAsia="en-NZ"/>
        </w:rPr>
      </w:pPr>
      <w:r w:rsidRPr="00607034">
        <w:rPr>
          <w:lang w:eastAsia="en-NZ"/>
        </w:rPr>
        <w:t>The total yearly sexual and reproductive health services spend is $56 million</w:t>
      </w:r>
      <w:r w:rsidR="0015630E">
        <w:rPr>
          <w:lang w:eastAsia="en-NZ"/>
        </w:rPr>
        <w:t>.</w:t>
      </w:r>
      <w:r w:rsidRPr="00607034">
        <w:rPr>
          <w:lang w:eastAsia="en-NZ"/>
        </w:rPr>
        <w:t xml:space="preserve"> </w:t>
      </w:r>
      <w:r w:rsidR="0015630E">
        <w:rPr>
          <w:lang w:eastAsia="en-NZ"/>
        </w:rPr>
        <w:t>O</w:t>
      </w:r>
      <w:r w:rsidRPr="00607034">
        <w:rPr>
          <w:lang w:eastAsia="en-NZ"/>
        </w:rPr>
        <w:t>f this $34 million is managed by DHBs who fund PHOs and a range of specialist services and clinics. The Ministry manages $22 million to fund 28 providers to deliver sexual and reproductive health services.</w:t>
      </w:r>
    </w:p>
    <w:p w:rsidR="00C81087" w:rsidRDefault="00C81087" w:rsidP="00C81087">
      <w:pPr>
        <w:rPr>
          <w:lang w:eastAsia="en-NZ"/>
        </w:rPr>
      </w:pPr>
    </w:p>
    <w:p w:rsidR="000845D9" w:rsidRDefault="00ED6788" w:rsidP="00C81087">
      <w:pPr>
        <w:rPr>
          <w:lang w:eastAsia="en-NZ"/>
        </w:rPr>
      </w:pPr>
      <w:r w:rsidRPr="00607034">
        <w:rPr>
          <w:lang w:eastAsia="en-NZ"/>
        </w:rPr>
        <w:t xml:space="preserve">Clinical sexual and reproductive health services continue to be offered throughout New Zealand by New Zealand Family Planning who have 70 clinics across the country comprising 30 general </w:t>
      </w:r>
      <w:r w:rsidRPr="00607034">
        <w:rPr>
          <w:lang w:eastAsia="en-NZ"/>
        </w:rPr>
        <w:lastRenderedPageBreak/>
        <w:t>clinics, 30 school-linked clinics and 10 outreach clinics. These services are offered to people at all stages of their life and include sexual and reproductive health information, contraception options, sexually transmitted infections screening, cervical screening, advice on menopause, vasectomy, pre-menstrual syndrome and pregnancy.</w:t>
      </w:r>
    </w:p>
    <w:p w:rsidR="00ED6788" w:rsidRPr="00607034" w:rsidRDefault="00ED6788" w:rsidP="00C81087">
      <w:pPr>
        <w:rPr>
          <w:lang w:eastAsia="en-NZ"/>
        </w:rPr>
      </w:pPr>
    </w:p>
    <w:p w:rsidR="00ED6788" w:rsidRPr="00607034" w:rsidRDefault="00ED6788" w:rsidP="00C81087">
      <w:pPr>
        <w:rPr>
          <w:lang w:eastAsia="en-NZ"/>
        </w:rPr>
      </w:pPr>
      <w:r w:rsidRPr="00217120">
        <w:rPr>
          <w:i/>
        </w:rPr>
        <w:t>Notes F and G:</w:t>
      </w:r>
      <w:r w:rsidRPr="00DD7586">
        <w:t xml:space="preserve"> </w:t>
      </w:r>
      <w:r w:rsidRPr="00DD7586">
        <w:rPr>
          <w:lang w:eastAsia="en-NZ"/>
        </w:rPr>
        <w:t>Volumes were renegotiated upon renewal of the contract for 1 July 2014 to recognise the changed demographics of reduced birth rates and population distribution post</w:t>
      </w:r>
      <w:r w:rsidR="0015630E">
        <w:rPr>
          <w:lang w:eastAsia="en-NZ"/>
        </w:rPr>
        <w:t>-</w:t>
      </w:r>
      <w:r w:rsidRPr="00DD7586">
        <w:rPr>
          <w:lang w:eastAsia="en-NZ"/>
        </w:rPr>
        <w:t>Christchurch earthquakes.</w:t>
      </w:r>
      <w:r w:rsidR="000845D9">
        <w:rPr>
          <w:lang w:eastAsia="en-NZ"/>
        </w:rPr>
        <w:t xml:space="preserve"> </w:t>
      </w:r>
      <w:r w:rsidRPr="00DD7586">
        <w:rPr>
          <w:lang w:eastAsia="en-NZ"/>
        </w:rPr>
        <w:t xml:space="preserve">School and outreach consultations are </w:t>
      </w:r>
      <w:r w:rsidR="0015630E">
        <w:rPr>
          <w:lang w:eastAsia="en-NZ"/>
        </w:rPr>
        <w:t xml:space="preserve">at </w:t>
      </w:r>
      <w:r w:rsidRPr="00DD7586">
        <w:rPr>
          <w:lang w:eastAsia="en-NZ"/>
        </w:rPr>
        <w:t>65</w:t>
      </w:r>
      <w:r>
        <w:rPr>
          <w:lang w:eastAsia="en-NZ"/>
        </w:rPr>
        <w:t xml:space="preserve"> percent</w:t>
      </w:r>
      <w:r w:rsidRPr="00DD7586">
        <w:rPr>
          <w:lang w:eastAsia="en-NZ"/>
        </w:rPr>
        <w:t xml:space="preserve"> of target and single episode consultations are </w:t>
      </w:r>
      <w:r w:rsidR="0015630E">
        <w:rPr>
          <w:lang w:eastAsia="en-NZ"/>
        </w:rPr>
        <w:t xml:space="preserve">at </w:t>
      </w:r>
      <w:r w:rsidRPr="00DD7586">
        <w:rPr>
          <w:lang w:eastAsia="en-NZ"/>
        </w:rPr>
        <w:t>72</w:t>
      </w:r>
      <w:r>
        <w:rPr>
          <w:lang w:eastAsia="en-NZ"/>
        </w:rPr>
        <w:t xml:space="preserve"> percent</w:t>
      </w:r>
      <w:r w:rsidRPr="00DD7586">
        <w:rPr>
          <w:lang w:eastAsia="en-NZ"/>
        </w:rPr>
        <w:t xml:space="preserve"> of target.</w:t>
      </w:r>
      <w:r w:rsidR="000845D9">
        <w:rPr>
          <w:lang w:eastAsia="en-NZ"/>
        </w:rPr>
        <w:t xml:space="preserve"> </w:t>
      </w:r>
      <w:r w:rsidRPr="00DD7586">
        <w:rPr>
          <w:lang w:eastAsia="en-NZ"/>
        </w:rPr>
        <w:t>This is an ongoing challenge – the clinics are provided but attendances are low in some areas despite actively promoting them within schools and communities.</w:t>
      </w:r>
      <w:r w:rsidR="000845D9">
        <w:rPr>
          <w:lang w:eastAsia="en-NZ"/>
        </w:rPr>
        <w:t xml:space="preserve"> </w:t>
      </w:r>
      <w:r w:rsidRPr="00DD7586">
        <w:rPr>
          <w:lang w:eastAsia="en-NZ"/>
        </w:rPr>
        <w:t xml:space="preserve">Clinical services are actively collaborating with </w:t>
      </w:r>
      <w:r w:rsidR="0015630E">
        <w:rPr>
          <w:lang w:eastAsia="en-NZ"/>
        </w:rPr>
        <w:t xml:space="preserve">the </w:t>
      </w:r>
      <w:r w:rsidRPr="00DD7586">
        <w:rPr>
          <w:lang w:eastAsia="en-NZ"/>
        </w:rPr>
        <w:t>Family Planning Health Promotion team in further efforts to increase awareness and develop new initiatives to increase attendance.</w:t>
      </w:r>
      <w:r w:rsidR="000845D9">
        <w:rPr>
          <w:lang w:eastAsia="en-NZ"/>
        </w:rPr>
        <w:t xml:space="preserve"> </w:t>
      </w:r>
      <w:r w:rsidRPr="00DD7586">
        <w:rPr>
          <w:lang w:eastAsia="en-NZ"/>
        </w:rPr>
        <w:t xml:space="preserve">They have also implemented an 0800 free calling number in Gisborne, Whanganui, Whangarei </w:t>
      </w:r>
      <w:r w:rsidR="0015630E">
        <w:rPr>
          <w:lang w:eastAsia="en-NZ"/>
        </w:rPr>
        <w:t xml:space="preserve">and </w:t>
      </w:r>
      <w:r w:rsidRPr="00DD7586">
        <w:rPr>
          <w:lang w:eastAsia="en-NZ"/>
        </w:rPr>
        <w:t>Northland</w:t>
      </w:r>
      <w:r w:rsidR="0015630E">
        <w:rPr>
          <w:lang w:eastAsia="en-NZ"/>
        </w:rPr>
        <w:t>,</w:t>
      </w:r>
      <w:r w:rsidRPr="00DD7586">
        <w:rPr>
          <w:lang w:eastAsia="en-NZ"/>
        </w:rPr>
        <w:t xml:space="preserve"> and </w:t>
      </w:r>
      <w:r w:rsidR="0015630E">
        <w:rPr>
          <w:lang w:eastAsia="en-NZ"/>
        </w:rPr>
        <w:t xml:space="preserve">have </w:t>
      </w:r>
      <w:r w:rsidRPr="00DD7586">
        <w:rPr>
          <w:lang w:eastAsia="en-NZ"/>
        </w:rPr>
        <w:t>advis</w:t>
      </w:r>
      <w:r w:rsidR="0015630E">
        <w:rPr>
          <w:lang w:eastAsia="en-NZ"/>
        </w:rPr>
        <w:t>ed</w:t>
      </w:r>
      <w:r w:rsidRPr="00DD7586">
        <w:rPr>
          <w:lang w:eastAsia="en-NZ"/>
        </w:rPr>
        <w:t xml:space="preserve"> </w:t>
      </w:r>
      <w:r>
        <w:rPr>
          <w:lang w:eastAsia="en-NZ"/>
        </w:rPr>
        <w:t>a</w:t>
      </w:r>
      <w:r w:rsidRPr="00DD7586">
        <w:rPr>
          <w:lang w:eastAsia="en-NZ"/>
        </w:rPr>
        <w:t>lt</w:t>
      </w:r>
      <w:r>
        <w:rPr>
          <w:lang w:eastAsia="en-NZ"/>
        </w:rPr>
        <w:t>ernative</w:t>
      </w:r>
      <w:r w:rsidRPr="00DD7586">
        <w:rPr>
          <w:lang w:eastAsia="en-NZ"/>
        </w:rPr>
        <w:t xml:space="preserve"> </w:t>
      </w:r>
      <w:r>
        <w:rPr>
          <w:lang w:eastAsia="en-NZ"/>
        </w:rPr>
        <w:t>e</w:t>
      </w:r>
      <w:r w:rsidRPr="00DD7586">
        <w:rPr>
          <w:lang w:eastAsia="en-NZ"/>
        </w:rPr>
        <w:t>d</w:t>
      </w:r>
      <w:r>
        <w:rPr>
          <w:lang w:eastAsia="en-NZ"/>
        </w:rPr>
        <w:t>ucation</w:t>
      </w:r>
      <w:r w:rsidRPr="00DD7586">
        <w:rPr>
          <w:lang w:eastAsia="en-NZ"/>
        </w:rPr>
        <w:t xml:space="preserve"> institutions of this as well to reduce barriers to access.</w:t>
      </w:r>
    </w:p>
    <w:p w:rsidR="00ED6788" w:rsidRPr="00607034" w:rsidRDefault="00ED6788" w:rsidP="00C81087">
      <w:pPr>
        <w:rPr>
          <w:lang w:eastAsia="en-NZ"/>
        </w:rPr>
      </w:pPr>
    </w:p>
    <w:p w:rsidR="00ED6788" w:rsidRPr="00B024D3" w:rsidRDefault="00ED6788" w:rsidP="00C81087">
      <w:pPr>
        <w:rPr>
          <w:lang w:eastAsia="en-NZ"/>
        </w:rPr>
      </w:pPr>
      <w:r w:rsidRPr="00DD7586">
        <w:rPr>
          <w:lang w:eastAsia="en-NZ"/>
        </w:rPr>
        <w:t>The New Zealand AIDS Foundation provided pre</w:t>
      </w:r>
      <w:r w:rsidR="0015630E">
        <w:rPr>
          <w:lang w:eastAsia="en-NZ"/>
        </w:rPr>
        <w:t>-</w:t>
      </w:r>
      <w:r w:rsidRPr="00DD7586">
        <w:rPr>
          <w:lang w:eastAsia="en-NZ"/>
        </w:rPr>
        <w:t xml:space="preserve"> and post</w:t>
      </w:r>
      <w:r w:rsidR="0015630E">
        <w:rPr>
          <w:lang w:eastAsia="en-NZ"/>
        </w:rPr>
        <w:t>-</w:t>
      </w:r>
      <w:r w:rsidRPr="00DD7586">
        <w:rPr>
          <w:lang w:eastAsia="en-NZ"/>
        </w:rPr>
        <w:t>counselling services to all 2496 people who sought an HIV/AIDS test through their organisation during the 2014/15 financial year.</w:t>
      </w:r>
      <w:r w:rsidRPr="00DD7586">
        <w:t xml:space="preserve"> </w:t>
      </w:r>
      <w:r w:rsidRPr="00DD7586">
        <w:rPr>
          <w:lang w:eastAsia="en-NZ"/>
        </w:rPr>
        <w:t>However the significant increase in requests for testing hav</w:t>
      </w:r>
      <w:r>
        <w:rPr>
          <w:lang w:eastAsia="en-NZ"/>
        </w:rPr>
        <w:t>e</w:t>
      </w:r>
      <w:r w:rsidRPr="00DD7586">
        <w:rPr>
          <w:lang w:eastAsia="en-NZ"/>
        </w:rPr>
        <w:t xml:space="preserve"> exceeded capacity with two</w:t>
      </w:r>
      <w:r w:rsidR="00C81087">
        <w:rPr>
          <w:lang w:eastAsia="en-NZ"/>
        </w:rPr>
        <w:noBreakHyphen/>
      </w:r>
      <w:r w:rsidRPr="00DD7586">
        <w:rPr>
          <w:lang w:eastAsia="en-NZ"/>
        </w:rPr>
        <w:t>week wait lists now in place.</w:t>
      </w:r>
      <w:r w:rsidRPr="00607034">
        <w:rPr>
          <w:lang w:eastAsia="en-NZ"/>
        </w:rPr>
        <w:t xml:space="preserve"> In addition to the above, the Ministry of Health also manages 23</w:t>
      </w:r>
      <w:r w:rsidR="00C81087">
        <w:rPr>
          <w:lang w:eastAsia="en-NZ"/>
        </w:rPr>
        <w:t> </w:t>
      </w:r>
      <w:r w:rsidRPr="00607034">
        <w:rPr>
          <w:lang w:eastAsia="en-NZ"/>
        </w:rPr>
        <w:t>other contracts that are mostly with regional NGO</w:t>
      </w:r>
      <w:r w:rsidR="002F2081">
        <w:rPr>
          <w:lang w:eastAsia="en-NZ"/>
        </w:rPr>
        <w:t>s</w:t>
      </w:r>
      <w:r w:rsidRPr="00607034">
        <w:rPr>
          <w:lang w:eastAsia="en-NZ"/>
        </w:rPr>
        <w:t xml:space="preserve"> to provide specialist health promotion services to urban and rural populations of need. This includes kaupapa Māori and Pacific providers.</w:t>
      </w:r>
    </w:p>
    <w:p w:rsidR="00ED6788" w:rsidRPr="00533D7C" w:rsidRDefault="00ED6788" w:rsidP="00C81087">
      <w:pPr>
        <w:rPr>
          <w:highlight w:val="yellow"/>
        </w:rPr>
      </w:pPr>
    </w:p>
    <w:p w:rsidR="00ED6788" w:rsidRPr="00DD7586" w:rsidRDefault="00ED6788" w:rsidP="00C81087">
      <w:pPr>
        <w:pStyle w:val="Heading4"/>
      </w:pPr>
      <w:r>
        <w:t>Emergency preparedness</w:t>
      </w:r>
    </w:p>
    <w:p w:rsidR="000845D9" w:rsidRDefault="00ED6788" w:rsidP="00C81087">
      <w:r w:rsidRPr="00F8522B">
        <w:t xml:space="preserve">The Ministry of Health is the lead agency </w:t>
      </w:r>
      <w:r>
        <w:t xml:space="preserve">across all-of-government </w:t>
      </w:r>
      <w:r w:rsidRPr="00F8522B">
        <w:t xml:space="preserve">for </w:t>
      </w:r>
      <w:r>
        <w:t>p</w:t>
      </w:r>
      <w:r w:rsidRPr="00F8522B">
        <w:t xml:space="preserve">andemics and other </w:t>
      </w:r>
      <w:r>
        <w:t>h</w:t>
      </w:r>
      <w:r w:rsidRPr="00F8522B">
        <w:t xml:space="preserve">uman </w:t>
      </w:r>
      <w:r>
        <w:t>h</w:t>
      </w:r>
      <w:r w:rsidRPr="00F8522B">
        <w:t>ealth threats</w:t>
      </w:r>
      <w:r>
        <w:t>,</w:t>
      </w:r>
      <w:r w:rsidRPr="00F8522B">
        <w:t xml:space="preserve"> and has a supporting role in responding to a wide range of hazards and threats led by other agencies </w:t>
      </w:r>
      <w:r>
        <w:t>due to the</w:t>
      </w:r>
      <w:r w:rsidRPr="00F8522B">
        <w:t xml:space="preserve"> potential impact on public health.</w:t>
      </w:r>
    </w:p>
    <w:p w:rsidR="00ED6788" w:rsidRDefault="00ED6788" w:rsidP="00C81087"/>
    <w:p w:rsidR="000845D9" w:rsidRDefault="00ED6788" w:rsidP="00C81087">
      <w:r w:rsidRPr="00F8522B">
        <w:t xml:space="preserve">The health sector </w:t>
      </w:r>
      <w:r>
        <w:t xml:space="preserve">also </w:t>
      </w:r>
      <w:r w:rsidRPr="00F8522B">
        <w:t>has specific statutory and non-statutory emergency management obligations, which require it to be capable of continuing to function to the fullest extent possible in an emergency affecting its operations</w:t>
      </w:r>
      <w:r>
        <w:t xml:space="preserve"> and</w:t>
      </w:r>
      <w:r w:rsidRPr="00F8522B">
        <w:t xml:space="preserve"> have the capability and capacity to respond in an emergency that has health implications</w:t>
      </w:r>
      <w:r>
        <w:t>. This includes responsibilities to</w:t>
      </w:r>
      <w:r w:rsidRPr="00F8522B">
        <w:t xml:space="preserve"> link and coordinate planning with other agencies</w:t>
      </w:r>
      <w:r>
        <w:t>, in particular</w:t>
      </w:r>
      <w:r w:rsidRPr="00F8522B">
        <w:t xml:space="preserve"> civil defence and emergency management</w:t>
      </w:r>
      <w:r>
        <w:t>.</w:t>
      </w:r>
    </w:p>
    <w:p w:rsidR="00ED6788" w:rsidRPr="00F8522B" w:rsidRDefault="00ED6788" w:rsidP="00C81087"/>
    <w:p w:rsidR="000845D9" w:rsidRDefault="00ED6788" w:rsidP="00C81087">
      <w:r w:rsidRPr="00F8522B">
        <w:t xml:space="preserve">The </w:t>
      </w:r>
      <w:r>
        <w:t>Ministry</w:t>
      </w:r>
      <w:r w:rsidR="000845D9">
        <w:t>’</w:t>
      </w:r>
      <w:r>
        <w:t xml:space="preserve">s </w:t>
      </w:r>
      <w:r w:rsidRPr="00F8522B">
        <w:t>emergency management work programme is strongly focused on increasing the capability and capacity of the health sector to deal with health emergencies.</w:t>
      </w:r>
    </w:p>
    <w:p w:rsidR="00ED6788" w:rsidRPr="00F8522B" w:rsidRDefault="00ED6788" w:rsidP="00C81087"/>
    <w:p w:rsidR="000845D9" w:rsidRDefault="00ED6788" w:rsidP="00C81087">
      <w:r w:rsidRPr="00F8522B">
        <w:t>During 2014/15 the emergency management team has worked with the sector and other government agencies on a wide range of projects to enhance the readiness, reduction, response and recovery capacity and capability of the sector</w:t>
      </w:r>
      <w:r>
        <w:t>,</w:t>
      </w:r>
      <w:r w:rsidRPr="00F8522B">
        <w:t xml:space="preserve"> in line with the </w:t>
      </w:r>
      <w:r>
        <w:t>N</w:t>
      </w:r>
      <w:r w:rsidRPr="00F8522B">
        <w:t>ational Civil Defence Emergency Management (CDEM) Strategy. This has included ongoing maintenance of national pandemic reserve supplies, funding Wellington Free Ambulance and St John to maintain and develop major emergency capability</w:t>
      </w:r>
      <w:r>
        <w:t xml:space="preserve"> (</w:t>
      </w:r>
      <w:r w:rsidRPr="00F8522B">
        <w:t>including the delivery of mass casualty simulation exercises in hospitals</w:t>
      </w:r>
      <w:r>
        <w:t>)</w:t>
      </w:r>
      <w:r w:rsidRPr="00F8522B">
        <w:t xml:space="preserve"> and the ongoing development of the New Zealand Medical Assistance Team capability.</w:t>
      </w:r>
    </w:p>
    <w:p w:rsidR="00ED6788" w:rsidRPr="00F8522B" w:rsidRDefault="00ED6788" w:rsidP="00C81087"/>
    <w:p w:rsidR="00ED6788" w:rsidRPr="00F8522B" w:rsidRDefault="00ED6788" w:rsidP="00C81087">
      <w:pPr>
        <w:keepNext/>
      </w:pPr>
      <w:r w:rsidRPr="00F8522B">
        <w:lastRenderedPageBreak/>
        <w:t>Key achievements this year included</w:t>
      </w:r>
      <w:r>
        <w:t>:</w:t>
      </w:r>
    </w:p>
    <w:p w:rsidR="00ED6788" w:rsidRPr="009878AE" w:rsidRDefault="00ED6788" w:rsidP="00C81087">
      <w:pPr>
        <w:pStyle w:val="Bullet"/>
        <w:keepLines/>
        <w:rPr>
          <w:lang w:eastAsia="en-NZ"/>
        </w:rPr>
      </w:pPr>
      <w:r w:rsidRPr="009878AE">
        <w:rPr>
          <w:lang w:eastAsia="en-NZ"/>
        </w:rPr>
        <w:t>funding enabling St John to enhance the medical support to New Zealand Fire Service Urban Search and Rescue (USAR) in order to develop required capabilities for them to be assessed by the United Nationals International Search and</w:t>
      </w:r>
      <w:r>
        <w:rPr>
          <w:lang w:eastAsia="en-NZ"/>
        </w:rPr>
        <w:t xml:space="preserve"> Rescue Advisory Group</w:t>
      </w:r>
      <w:r w:rsidRPr="009878AE">
        <w:rPr>
          <w:lang w:eastAsia="en-NZ"/>
        </w:rPr>
        <w:t xml:space="preserve"> as a </w:t>
      </w:r>
      <w:r w:rsidR="000845D9">
        <w:rPr>
          <w:lang w:eastAsia="en-NZ"/>
        </w:rPr>
        <w:t>‘</w:t>
      </w:r>
      <w:r w:rsidRPr="009878AE">
        <w:rPr>
          <w:lang w:eastAsia="en-NZ"/>
        </w:rPr>
        <w:t>Heavy USAR Team</w:t>
      </w:r>
      <w:r w:rsidR="000845D9">
        <w:rPr>
          <w:lang w:eastAsia="en-NZ"/>
        </w:rPr>
        <w:t>’</w:t>
      </w:r>
      <w:r w:rsidRPr="009878AE">
        <w:rPr>
          <w:lang w:eastAsia="en-NZ"/>
        </w:rPr>
        <w:t xml:space="preserve"> in March. This provides a team of 18 advanced paramedics and up to </w:t>
      </w:r>
      <w:r w:rsidR="00C81087">
        <w:rPr>
          <w:lang w:eastAsia="en-NZ"/>
        </w:rPr>
        <w:t>five</w:t>
      </w:r>
      <w:r w:rsidRPr="009878AE">
        <w:rPr>
          <w:lang w:eastAsia="en-NZ"/>
        </w:rPr>
        <w:t xml:space="preserve"> medical specialists trained in USAR and available to support a deployed USAR Taskforce</w:t>
      </w:r>
    </w:p>
    <w:p w:rsidR="00ED6788" w:rsidRPr="009878AE" w:rsidRDefault="00ED6788" w:rsidP="008C35C3">
      <w:pPr>
        <w:pStyle w:val="Bullet"/>
        <w:rPr>
          <w:lang w:eastAsia="en-NZ"/>
        </w:rPr>
      </w:pPr>
      <w:r w:rsidRPr="009878AE">
        <w:rPr>
          <w:lang w:eastAsia="en-NZ"/>
        </w:rPr>
        <w:t xml:space="preserve">maintaining 40 specialist hazardous material trained paramedics in St John and Wellington Free Ambulance. </w:t>
      </w:r>
      <w:r w:rsidR="008C35C3">
        <w:rPr>
          <w:lang w:eastAsia="en-NZ"/>
        </w:rPr>
        <w:t>A</w:t>
      </w:r>
      <w:r w:rsidR="008C35C3" w:rsidRPr="008C35C3">
        <w:rPr>
          <w:lang w:eastAsia="en-NZ"/>
        </w:rPr>
        <w:t>s part of the domestic re</w:t>
      </w:r>
      <w:r w:rsidR="008C35C3">
        <w:rPr>
          <w:lang w:eastAsia="en-NZ"/>
        </w:rPr>
        <w:t>adiness for Ebola Virus Disease, t</w:t>
      </w:r>
      <w:r w:rsidRPr="009878AE">
        <w:rPr>
          <w:lang w:eastAsia="en-NZ"/>
        </w:rPr>
        <w:t xml:space="preserve">hese personnel </w:t>
      </w:r>
      <w:r w:rsidR="008C35C3">
        <w:rPr>
          <w:lang w:eastAsia="en-NZ"/>
        </w:rPr>
        <w:t xml:space="preserve">would have </w:t>
      </w:r>
      <w:r w:rsidRPr="009878AE">
        <w:rPr>
          <w:lang w:eastAsia="en-NZ"/>
        </w:rPr>
        <w:t>provided th</w:t>
      </w:r>
      <w:r w:rsidR="008C35C3">
        <w:rPr>
          <w:lang w:eastAsia="en-NZ"/>
        </w:rPr>
        <w:t>e</w:t>
      </w:r>
      <w:r w:rsidRPr="009878AE">
        <w:rPr>
          <w:lang w:eastAsia="en-NZ"/>
        </w:rPr>
        <w:t xml:space="preserve"> specialist workforce to implement the highly infectious patient transfer capability</w:t>
      </w:r>
      <w:r w:rsidR="008C35C3">
        <w:rPr>
          <w:lang w:eastAsia="en-NZ"/>
        </w:rPr>
        <w:t>,</w:t>
      </w:r>
      <w:r w:rsidRPr="009878AE">
        <w:rPr>
          <w:lang w:eastAsia="en-NZ"/>
        </w:rPr>
        <w:t xml:space="preserve"> if it was required</w:t>
      </w:r>
      <w:r w:rsidR="008C35C3">
        <w:rPr>
          <w:lang w:eastAsia="en-NZ"/>
        </w:rPr>
        <w:t>.</w:t>
      </w:r>
      <w:r w:rsidRPr="009878AE">
        <w:rPr>
          <w:lang w:eastAsia="en-NZ"/>
        </w:rPr>
        <w:t xml:space="preserve"> </w:t>
      </w:r>
    </w:p>
    <w:p w:rsidR="00ED6788" w:rsidRPr="009878AE" w:rsidRDefault="00ED6788" w:rsidP="00C81087">
      <w:pPr>
        <w:pStyle w:val="Bullet"/>
        <w:rPr>
          <w:lang w:eastAsia="en-NZ"/>
        </w:rPr>
      </w:pPr>
      <w:r w:rsidRPr="009878AE">
        <w:rPr>
          <w:lang w:eastAsia="en-NZ"/>
        </w:rPr>
        <w:t xml:space="preserve">developing capability that enabled the New Zealand Medical Assistance Team to deploy effectively as part of the </w:t>
      </w:r>
      <w:r w:rsidRPr="006642C4">
        <w:rPr>
          <w:lang w:eastAsia="en-NZ"/>
        </w:rPr>
        <w:t>New Zealand</w:t>
      </w:r>
      <w:r w:rsidRPr="009878AE">
        <w:rPr>
          <w:lang w:eastAsia="en-NZ"/>
        </w:rPr>
        <w:t xml:space="preserve"> Government humanitarian response to Vanuatu following Tropical Cyclone Pam. This mission provided over 300 outpatient consults during a two</w:t>
      </w:r>
      <w:r w:rsidR="002F2081">
        <w:rPr>
          <w:lang w:eastAsia="en-NZ"/>
        </w:rPr>
        <w:t>-</w:t>
      </w:r>
      <w:r w:rsidRPr="009878AE">
        <w:rPr>
          <w:lang w:eastAsia="en-NZ"/>
        </w:rPr>
        <w:t>week mission deployed to remote islands on board HMNZS Canterbury.</w:t>
      </w:r>
      <w:r w:rsidR="000845D9">
        <w:rPr>
          <w:lang w:eastAsia="en-NZ"/>
        </w:rPr>
        <w:t xml:space="preserve"> </w:t>
      </w:r>
      <w:r w:rsidRPr="009878AE">
        <w:rPr>
          <w:lang w:eastAsia="en-NZ"/>
        </w:rPr>
        <w:t>This response was made possible by the support of the sector to release trained staff</w:t>
      </w:r>
      <w:r>
        <w:rPr>
          <w:lang w:eastAsia="en-NZ"/>
        </w:rPr>
        <w:t xml:space="preserve"> </w:t>
      </w:r>
      <w:r w:rsidR="002F2081">
        <w:rPr>
          <w:lang w:eastAsia="en-NZ"/>
        </w:rPr>
        <w:t xml:space="preserve">who </w:t>
      </w:r>
      <w:r w:rsidRPr="009878AE">
        <w:rPr>
          <w:lang w:eastAsia="en-NZ"/>
        </w:rPr>
        <w:t>have been trained over the last four years.</w:t>
      </w:r>
      <w:r w:rsidR="000845D9">
        <w:rPr>
          <w:lang w:eastAsia="en-NZ"/>
        </w:rPr>
        <w:t xml:space="preserve"> </w:t>
      </w:r>
      <w:r>
        <w:rPr>
          <w:lang w:eastAsia="en-NZ"/>
        </w:rPr>
        <w:t>Sixty</w:t>
      </w:r>
      <w:r w:rsidRPr="009878AE">
        <w:rPr>
          <w:lang w:eastAsia="en-NZ"/>
        </w:rPr>
        <w:t xml:space="preserve"> personnel were trained domestically in 2014/15 and this coming year i</w:t>
      </w:r>
      <w:r>
        <w:rPr>
          <w:lang w:eastAsia="en-NZ"/>
        </w:rPr>
        <w:t xml:space="preserve">t is intended to register the </w:t>
      </w:r>
      <w:r w:rsidRPr="007D460D">
        <w:rPr>
          <w:lang w:eastAsia="en-NZ"/>
        </w:rPr>
        <w:t xml:space="preserve">New Zealand Medical Assistance Team </w:t>
      </w:r>
      <w:r w:rsidRPr="009878AE">
        <w:rPr>
          <w:lang w:eastAsia="en-NZ"/>
        </w:rPr>
        <w:t xml:space="preserve">with the World Health Organization Global Foreign Medical </w:t>
      </w:r>
      <w:r w:rsidR="002F2081">
        <w:rPr>
          <w:lang w:eastAsia="en-NZ"/>
        </w:rPr>
        <w:t>R</w:t>
      </w:r>
      <w:r w:rsidRPr="009878AE">
        <w:rPr>
          <w:lang w:eastAsia="en-NZ"/>
        </w:rPr>
        <w:t>egistry.</w:t>
      </w:r>
    </w:p>
    <w:p w:rsidR="00ED6788" w:rsidRPr="00F8522B" w:rsidRDefault="00ED6788" w:rsidP="00C81087"/>
    <w:p w:rsidR="00ED6788" w:rsidRPr="006F3707" w:rsidRDefault="00ED6788" w:rsidP="00C81087">
      <w:r w:rsidRPr="00F8522B">
        <w:t xml:space="preserve">During this period the Ministry </w:t>
      </w:r>
      <w:r>
        <w:t xml:space="preserve">also </w:t>
      </w:r>
      <w:r w:rsidRPr="00F8522B">
        <w:t>led the all</w:t>
      </w:r>
      <w:r w:rsidR="002F2081">
        <w:t>-</w:t>
      </w:r>
      <w:r w:rsidRPr="00F8522B">
        <w:t>of</w:t>
      </w:r>
      <w:r w:rsidR="002F2081">
        <w:t>-</w:t>
      </w:r>
      <w:r w:rsidRPr="00F8522B">
        <w:t>government readiness act</w:t>
      </w:r>
      <w:r>
        <w:t xml:space="preserve">ivities for Ebola Virus Disease. This resulted in the development and exercising </w:t>
      </w:r>
      <w:r w:rsidR="002F2081">
        <w:t xml:space="preserve">of </w:t>
      </w:r>
      <w:r w:rsidRPr="00F8522B">
        <w:t>a wide range of advice and new capability. Whil</w:t>
      </w:r>
      <w:r>
        <w:t>e</w:t>
      </w:r>
      <w:r w:rsidRPr="00F8522B">
        <w:t xml:space="preserve"> the likelihood of an imported case was extremely low</w:t>
      </w:r>
      <w:r>
        <w:t>,</w:t>
      </w:r>
      <w:r w:rsidRPr="00F8522B">
        <w:t xml:space="preserve"> the readiness activity enhanced arrangements for a wide range of emerging infectious diseases and emergencies. Concurrently the Ministry also supported the Ministry o</w:t>
      </w:r>
      <w:r>
        <w:t>f</w:t>
      </w:r>
      <w:r w:rsidRPr="00F8522B">
        <w:t xml:space="preserve"> Primary Industry and New Zealand Police as part of Op</w:t>
      </w:r>
      <w:r>
        <w:t>eration</w:t>
      </w:r>
      <w:r w:rsidRPr="00F8522B">
        <w:t xml:space="preserve"> Concord in response to the 1080 milk formula poisoning threat. This involved the development of a wide range of health professional and consumer advice</w:t>
      </w:r>
      <w:r w:rsidR="002F2081">
        <w:t>,</w:t>
      </w:r>
      <w:r w:rsidRPr="00F8522B">
        <w:t xml:space="preserve"> and </w:t>
      </w:r>
      <w:r>
        <w:t xml:space="preserve">enhancing our </w:t>
      </w:r>
      <w:r w:rsidRPr="00F8522B">
        <w:t xml:space="preserve">ability to disseminate </w:t>
      </w:r>
      <w:r>
        <w:t xml:space="preserve">information </w:t>
      </w:r>
      <w:r w:rsidRPr="00F8522B">
        <w:t>at short notice.</w:t>
      </w:r>
    </w:p>
    <w:p w:rsidR="00ED6788" w:rsidRPr="00B024D3" w:rsidRDefault="00ED6788" w:rsidP="00C81087"/>
    <w:p w:rsidR="00ED6788" w:rsidRPr="00B024D3" w:rsidRDefault="00ED6788" w:rsidP="00C81087">
      <w:pPr>
        <w:pStyle w:val="Heading4"/>
        <w:rPr>
          <w:lang w:eastAsia="en-NZ"/>
        </w:rPr>
      </w:pPr>
      <w:r w:rsidRPr="00B024D3">
        <w:t>Suicide prevention</w:t>
      </w:r>
    </w:p>
    <w:p w:rsidR="00ED6788" w:rsidRDefault="00ED6788" w:rsidP="00C81087">
      <w:r w:rsidRPr="00DD7586">
        <w:t>Suicide prevention services are contracted in line with the New Zealand Suicide Prevention Strategy 2006</w:t>
      </w:r>
      <w:r w:rsidR="002F2081">
        <w:t>–</w:t>
      </w:r>
      <w:r w:rsidRPr="00DD7586">
        <w:t>2016 and the New Zealand Suicide Prevention Action Plan 2013</w:t>
      </w:r>
      <w:r w:rsidR="00C81087">
        <w:t>–</w:t>
      </w:r>
      <w:r w:rsidRPr="00DD7586">
        <w:t>2016.</w:t>
      </w:r>
    </w:p>
    <w:p w:rsidR="00C81087" w:rsidRPr="00DD7586" w:rsidRDefault="00C81087" w:rsidP="00C81087"/>
    <w:p w:rsidR="00ED6788" w:rsidRPr="00DD7586" w:rsidRDefault="00ED6788" w:rsidP="00C81087">
      <w:pPr>
        <w:pStyle w:val="Heading5"/>
      </w:pPr>
      <w:r w:rsidRPr="00DD7586">
        <w:t xml:space="preserve">Community </w:t>
      </w:r>
      <w:r w:rsidR="00C81087">
        <w:t>p</w:t>
      </w:r>
      <w:r w:rsidRPr="00DD7586">
        <w:t xml:space="preserve">ostvention </w:t>
      </w:r>
      <w:r w:rsidR="00C81087">
        <w:t>r</w:t>
      </w:r>
      <w:r w:rsidRPr="00DD7586">
        <w:t>esponse</w:t>
      </w:r>
    </w:p>
    <w:p w:rsidR="00ED6788" w:rsidRDefault="00ED6788" w:rsidP="00C81087">
      <w:pPr>
        <w:rPr>
          <w:lang w:eastAsia="en-NZ"/>
        </w:rPr>
      </w:pPr>
      <w:r w:rsidRPr="00217120">
        <w:rPr>
          <w:i/>
        </w:rPr>
        <w:t>Note H:</w:t>
      </w:r>
      <w:r w:rsidRPr="00DD7586">
        <w:rPr>
          <w:lang w:eastAsia="en-NZ"/>
        </w:rPr>
        <w:t xml:space="preserve"> The Community Postvention Response Service provides support and expert advice to communities experiencing a suicide cluster or contagion.</w:t>
      </w:r>
      <w:r w:rsidR="000845D9">
        <w:rPr>
          <w:lang w:eastAsia="en-NZ"/>
        </w:rPr>
        <w:t xml:space="preserve"> </w:t>
      </w:r>
      <w:r w:rsidRPr="00DD7586">
        <w:rPr>
          <w:lang w:eastAsia="en-NZ"/>
        </w:rPr>
        <w:t>This is a reactive service with service demand fluctuating from year to year depending on the unique demands of communities.</w:t>
      </w:r>
      <w:r w:rsidR="000845D9">
        <w:rPr>
          <w:lang w:eastAsia="en-NZ"/>
        </w:rPr>
        <w:t xml:space="preserve"> </w:t>
      </w:r>
      <w:r w:rsidRPr="00DD7586">
        <w:rPr>
          <w:lang w:eastAsia="en-NZ"/>
        </w:rPr>
        <w:t>Community risk assessments help identify whether a cluster/contagion is occurring and at what level support is required.</w:t>
      </w:r>
      <w:r w:rsidR="000845D9">
        <w:rPr>
          <w:lang w:eastAsia="en-NZ"/>
        </w:rPr>
        <w:t xml:space="preserve"> </w:t>
      </w:r>
      <w:r w:rsidR="00C81087">
        <w:rPr>
          <w:lang w:eastAsia="en-NZ"/>
        </w:rPr>
        <w:t xml:space="preserve">2014/15 </w:t>
      </w:r>
      <w:r w:rsidRPr="00DD7586">
        <w:rPr>
          <w:lang w:eastAsia="en-NZ"/>
        </w:rPr>
        <w:t>was a low demand year with fewer communities requiring risk assessments.</w:t>
      </w:r>
    </w:p>
    <w:p w:rsidR="00C81087" w:rsidRPr="007F4ADC" w:rsidRDefault="00C81087" w:rsidP="00C81087">
      <w:pPr>
        <w:rPr>
          <w:lang w:eastAsia="en-NZ"/>
        </w:rPr>
      </w:pPr>
    </w:p>
    <w:p w:rsidR="00ED6788" w:rsidRPr="00DD7586" w:rsidRDefault="00ED6788" w:rsidP="00C81087">
      <w:pPr>
        <w:pStyle w:val="Heading5"/>
      </w:pPr>
      <w:r>
        <w:t>Bereavement support service</w:t>
      </w:r>
    </w:p>
    <w:p w:rsidR="00ED6788" w:rsidRDefault="00ED6788" w:rsidP="00C81087">
      <w:pPr>
        <w:rPr>
          <w:lang w:eastAsia="en-NZ"/>
        </w:rPr>
      </w:pPr>
      <w:r w:rsidRPr="00217120">
        <w:rPr>
          <w:i/>
        </w:rPr>
        <w:t>Note I:</w:t>
      </w:r>
      <w:r w:rsidRPr="00DD7586">
        <w:rPr>
          <w:lang w:eastAsia="en-NZ"/>
        </w:rPr>
        <w:t xml:space="preserve"> 2014/15 saw expansion of the </w:t>
      </w:r>
      <w:r>
        <w:rPr>
          <w:lang w:eastAsia="en-NZ"/>
        </w:rPr>
        <w:t>b</w:t>
      </w:r>
      <w:r w:rsidRPr="006642C4">
        <w:rPr>
          <w:lang w:eastAsia="en-NZ"/>
        </w:rPr>
        <w:t xml:space="preserve">ereavement </w:t>
      </w:r>
      <w:r w:rsidRPr="00DD7586">
        <w:rPr>
          <w:lang w:eastAsia="en-NZ"/>
        </w:rPr>
        <w:t xml:space="preserve">support service for the bereaved delivered by Victim Support from its </w:t>
      </w:r>
      <w:r w:rsidR="00C81087">
        <w:rPr>
          <w:lang w:eastAsia="en-NZ"/>
        </w:rPr>
        <w:t xml:space="preserve">five </w:t>
      </w:r>
      <w:r w:rsidRPr="00DD7586">
        <w:rPr>
          <w:lang w:eastAsia="en-NZ"/>
        </w:rPr>
        <w:t>original sites to national coverage.</w:t>
      </w:r>
      <w:r w:rsidR="000845D9">
        <w:rPr>
          <w:lang w:eastAsia="en-NZ"/>
        </w:rPr>
        <w:t xml:space="preserve"> </w:t>
      </w:r>
      <w:r w:rsidRPr="00DD7586">
        <w:rPr>
          <w:lang w:eastAsia="en-NZ"/>
        </w:rPr>
        <w:t>This has resulted in a significant increase in the number of bereaved provided support by volunteers with specific training in trauma and bereavement.</w:t>
      </w:r>
    </w:p>
    <w:p w:rsidR="00ED6788" w:rsidRDefault="00ED6788" w:rsidP="00C81087">
      <w:pPr>
        <w:rPr>
          <w:lang w:eastAsia="en-NZ"/>
        </w:rPr>
      </w:pPr>
    </w:p>
    <w:p w:rsidR="00ED6788" w:rsidRPr="009878AE" w:rsidRDefault="00ED6788" w:rsidP="00C81087">
      <w:pPr>
        <w:pStyle w:val="Heading5"/>
      </w:pPr>
      <w:r w:rsidRPr="009878AE">
        <w:lastRenderedPageBreak/>
        <w:t>Kia Piki te Ora</w:t>
      </w:r>
    </w:p>
    <w:p w:rsidR="000845D9" w:rsidRDefault="00ED6788" w:rsidP="00C81087">
      <w:pPr>
        <w:rPr>
          <w:lang w:eastAsia="en-NZ"/>
        </w:rPr>
      </w:pPr>
      <w:r w:rsidRPr="009878AE">
        <w:rPr>
          <w:lang w:eastAsia="en-NZ"/>
        </w:rPr>
        <w:t>The nine Kia Piki te Ora (KPTO) providers, operating in eight DHB regions, are one element of the social sector</w:t>
      </w:r>
      <w:r w:rsidR="000845D9">
        <w:rPr>
          <w:lang w:eastAsia="en-NZ"/>
        </w:rPr>
        <w:t>’</w:t>
      </w:r>
      <w:r w:rsidRPr="009878AE">
        <w:rPr>
          <w:lang w:eastAsia="en-NZ"/>
        </w:rPr>
        <w:t>s work towards longer-term goals of reduced suicides and harm associated with suicidal behaviour in Māori communities.</w:t>
      </w:r>
      <w:r w:rsidR="000845D9">
        <w:rPr>
          <w:lang w:eastAsia="en-NZ"/>
        </w:rPr>
        <w:t xml:space="preserve"> </w:t>
      </w:r>
      <w:r w:rsidRPr="009878AE">
        <w:rPr>
          <w:lang w:eastAsia="en-NZ"/>
        </w:rPr>
        <w:t>In May 2014 the Ministry commissioned an evaluation of KPTO focusing on service delivery for the pe</w:t>
      </w:r>
      <w:r>
        <w:rPr>
          <w:lang w:eastAsia="en-NZ"/>
        </w:rPr>
        <w:t>riod July 2010 to December 2013</w:t>
      </w:r>
      <w:r w:rsidRPr="009878AE">
        <w:rPr>
          <w:lang w:eastAsia="en-NZ"/>
        </w:rPr>
        <w:t>.</w:t>
      </w:r>
      <w:r w:rsidR="000845D9">
        <w:rPr>
          <w:lang w:eastAsia="en-NZ"/>
        </w:rPr>
        <w:t xml:space="preserve"> </w:t>
      </w:r>
      <w:r w:rsidRPr="009878AE">
        <w:rPr>
          <w:lang w:eastAsia="en-NZ"/>
        </w:rPr>
        <w:t>The Ministry is about to undertake a post</w:t>
      </w:r>
      <w:r w:rsidR="002F2081">
        <w:rPr>
          <w:lang w:eastAsia="en-NZ"/>
        </w:rPr>
        <w:t>-</w:t>
      </w:r>
      <w:r w:rsidRPr="009878AE">
        <w:rPr>
          <w:lang w:eastAsia="en-NZ"/>
        </w:rPr>
        <w:t>evaluation work programme which may see a change in how Māori suicide prevention services are delivered.</w:t>
      </w:r>
    </w:p>
    <w:p w:rsidR="00C81087" w:rsidRDefault="00C81087" w:rsidP="00C81087">
      <w:pPr>
        <w:rPr>
          <w:lang w:eastAsia="en-NZ"/>
        </w:rPr>
      </w:pPr>
    </w:p>
    <w:p w:rsidR="000845D9" w:rsidRDefault="00ED6788" w:rsidP="00C81087">
      <w:pPr>
        <w:pStyle w:val="Heading5"/>
      </w:pPr>
      <w:r w:rsidRPr="00DD7586">
        <w:t>Suicide prevention gatekeeper training</w:t>
      </w:r>
    </w:p>
    <w:p w:rsidR="000845D9" w:rsidRDefault="00ED6788" w:rsidP="00C81087">
      <w:pPr>
        <w:rPr>
          <w:lang w:eastAsia="en-NZ"/>
        </w:rPr>
      </w:pPr>
      <w:r>
        <w:rPr>
          <w:lang w:eastAsia="en-NZ"/>
        </w:rPr>
        <w:t xml:space="preserve">The </w:t>
      </w:r>
      <w:r w:rsidRPr="00DD7586">
        <w:rPr>
          <w:lang w:eastAsia="en-NZ"/>
        </w:rPr>
        <w:t>Applied Suicide Intervention Skills Training (ASIST) has been funded since 2005</w:t>
      </w:r>
      <w:r>
        <w:rPr>
          <w:lang w:eastAsia="en-NZ"/>
        </w:rPr>
        <w:t>. A</w:t>
      </w:r>
      <w:r w:rsidRPr="00DD7586">
        <w:rPr>
          <w:lang w:eastAsia="en-NZ"/>
        </w:rPr>
        <w:t xml:space="preserve"> one-off pilot of Question Persuade Refer online (QPR Online)</w:t>
      </w:r>
      <w:r>
        <w:rPr>
          <w:lang w:eastAsia="en-NZ"/>
        </w:rPr>
        <w:t xml:space="preserve"> was completed in late 2014. </w:t>
      </w:r>
      <w:r w:rsidRPr="00DD7586">
        <w:rPr>
          <w:lang w:eastAsia="en-NZ"/>
        </w:rPr>
        <w:t>To be better informed about the comparative utility of both programmes to New Zealand audiences, an evaluation of both ASIST and QPR Online was undertaken</w:t>
      </w:r>
      <w:r>
        <w:rPr>
          <w:lang w:eastAsia="en-NZ"/>
        </w:rPr>
        <w:t xml:space="preserve">. </w:t>
      </w:r>
      <w:r w:rsidRPr="00DD7586">
        <w:rPr>
          <w:lang w:eastAsia="en-NZ"/>
        </w:rPr>
        <w:t>The evaluation report highlights areas for improvement for both programmes</w:t>
      </w:r>
      <w:r>
        <w:rPr>
          <w:lang w:eastAsia="en-NZ"/>
        </w:rPr>
        <w:t>.</w:t>
      </w:r>
      <w:r w:rsidRPr="00DD7586">
        <w:rPr>
          <w:lang w:eastAsia="en-NZ"/>
        </w:rPr>
        <w:t xml:space="preserve"> </w:t>
      </w:r>
      <w:r>
        <w:rPr>
          <w:lang w:eastAsia="en-NZ"/>
        </w:rPr>
        <w:t>A</w:t>
      </w:r>
      <w:r w:rsidRPr="00DD7586">
        <w:rPr>
          <w:lang w:eastAsia="en-NZ"/>
        </w:rPr>
        <w:t xml:space="preserve"> post</w:t>
      </w:r>
      <w:r w:rsidR="001365AC">
        <w:rPr>
          <w:lang w:eastAsia="en-NZ"/>
        </w:rPr>
        <w:t>-</w:t>
      </w:r>
      <w:r w:rsidRPr="00DD7586">
        <w:rPr>
          <w:lang w:eastAsia="en-NZ"/>
        </w:rPr>
        <w:t>evaluation action plan will inform funding decisions about investment into suicide gateke</w:t>
      </w:r>
      <w:r>
        <w:rPr>
          <w:lang w:eastAsia="en-NZ"/>
        </w:rPr>
        <w:t>e</w:t>
      </w:r>
      <w:r w:rsidRPr="00DD7586">
        <w:rPr>
          <w:lang w:eastAsia="en-NZ"/>
        </w:rPr>
        <w:t>per training</w:t>
      </w:r>
      <w:r>
        <w:rPr>
          <w:lang w:eastAsia="en-NZ"/>
        </w:rPr>
        <w:t>.</w:t>
      </w:r>
    </w:p>
    <w:p w:rsidR="00C81087" w:rsidRDefault="00C81087" w:rsidP="00C81087">
      <w:pPr>
        <w:rPr>
          <w:lang w:eastAsia="en-NZ"/>
        </w:rPr>
      </w:pPr>
    </w:p>
    <w:p w:rsidR="00ED6788" w:rsidRDefault="00ED6788" w:rsidP="00C81087">
      <w:pPr>
        <w:pStyle w:val="Heading5"/>
      </w:pPr>
      <w:r w:rsidRPr="00DD7586">
        <w:t>Travellers</w:t>
      </w:r>
    </w:p>
    <w:p w:rsidR="00ED6788" w:rsidRPr="00DD7586" w:rsidRDefault="00ED6788" w:rsidP="00C81087">
      <w:r w:rsidRPr="00DD7586">
        <w:rPr>
          <w:lang w:eastAsia="en-NZ"/>
        </w:rPr>
        <w:t>Travellers is a resilience building programme delivered by schools to at</w:t>
      </w:r>
      <w:r w:rsidR="001365AC">
        <w:rPr>
          <w:lang w:eastAsia="en-NZ"/>
        </w:rPr>
        <w:t>-</w:t>
      </w:r>
      <w:r w:rsidRPr="00DD7586">
        <w:rPr>
          <w:lang w:eastAsia="en-NZ"/>
        </w:rPr>
        <w:t>risk year 9 students.</w:t>
      </w:r>
      <w:r w:rsidR="000845D9">
        <w:rPr>
          <w:lang w:eastAsia="en-NZ"/>
        </w:rPr>
        <w:t xml:space="preserve"> </w:t>
      </w:r>
      <w:r w:rsidRPr="00DD7586">
        <w:rPr>
          <w:lang w:eastAsia="en-NZ"/>
        </w:rPr>
        <w:t>School staff are trained as Travellers facilitators.</w:t>
      </w:r>
      <w:r w:rsidR="000845D9">
        <w:rPr>
          <w:lang w:eastAsia="en-NZ"/>
        </w:rPr>
        <w:t xml:space="preserve"> </w:t>
      </w:r>
      <w:r w:rsidRPr="00DD7586">
        <w:rPr>
          <w:lang w:eastAsia="en-NZ"/>
        </w:rPr>
        <w:t>Recruitment efforts to increase the number of schools participating in the programme were more successful than anticipated in 2014/15.</w:t>
      </w:r>
      <w:r w:rsidR="000845D9">
        <w:rPr>
          <w:lang w:eastAsia="en-NZ"/>
        </w:rPr>
        <w:t xml:space="preserve"> </w:t>
      </w:r>
      <w:r w:rsidRPr="00DD7586">
        <w:rPr>
          <w:lang w:eastAsia="en-NZ"/>
        </w:rPr>
        <w:t>This was due to reduced programme costs for schools and more intensive marketing of the programme.</w:t>
      </w:r>
    </w:p>
    <w:p w:rsidR="00ED6788" w:rsidRPr="00DD7586" w:rsidRDefault="00ED6788" w:rsidP="00C81087">
      <w:pPr>
        <w:rPr>
          <w:lang w:eastAsia="en-NZ"/>
        </w:rPr>
      </w:pPr>
    </w:p>
    <w:p w:rsidR="00ED6788" w:rsidRPr="00B024D3" w:rsidRDefault="00ED6788" w:rsidP="00C81087">
      <w:pPr>
        <w:pStyle w:val="Heading4"/>
      </w:pPr>
      <w:r w:rsidRPr="00B024D3">
        <w:t xml:space="preserve">Communicable </w:t>
      </w:r>
      <w:r w:rsidR="00C81087">
        <w:t>d</w:t>
      </w:r>
      <w:r w:rsidRPr="00B024D3">
        <w:t>isease outbreak response plan</w:t>
      </w:r>
    </w:p>
    <w:p w:rsidR="000845D9" w:rsidRDefault="00ED6788" w:rsidP="00C81087">
      <w:pPr>
        <w:rPr>
          <w:lang w:eastAsia="en-NZ"/>
        </w:rPr>
      </w:pPr>
      <w:r w:rsidRPr="00607034">
        <w:rPr>
          <w:lang w:eastAsia="en-NZ"/>
        </w:rPr>
        <w:t xml:space="preserve">Communicable </w:t>
      </w:r>
      <w:r>
        <w:rPr>
          <w:lang w:eastAsia="en-NZ"/>
        </w:rPr>
        <w:t>d</w:t>
      </w:r>
      <w:r w:rsidRPr="00607034">
        <w:rPr>
          <w:lang w:eastAsia="en-NZ"/>
        </w:rPr>
        <w:t>iseases remain a significant public health priority. The challenges are diverse and include rheumatic fever, food-borne diseases, sexually transmitted diseases, vector-borne diseases and vaccine-preventable diseases. New, emerging and re-emerging diseases, such as novel strains of influenza virus, also pose pot</w:t>
      </w:r>
      <w:r>
        <w:rPr>
          <w:lang w:eastAsia="en-NZ"/>
        </w:rPr>
        <w:t>ential threats to public health</w:t>
      </w:r>
      <w:r w:rsidRPr="00607034">
        <w:rPr>
          <w:lang w:eastAsia="en-NZ"/>
        </w:rPr>
        <w:t>.</w:t>
      </w:r>
    </w:p>
    <w:p w:rsidR="00ED6788" w:rsidRPr="00607034" w:rsidRDefault="00ED6788" w:rsidP="00C81087">
      <w:pPr>
        <w:rPr>
          <w:lang w:eastAsia="en-NZ"/>
        </w:rPr>
      </w:pPr>
    </w:p>
    <w:p w:rsidR="000845D9" w:rsidRDefault="00ED6788" w:rsidP="00C81087">
      <w:pPr>
        <w:rPr>
          <w:lang w:eastAsia="en-NZ"/>
        </w:rPr>
      </w:pPr>
      <w:r>
        <w:rPr>
          <w:lang w:eastAsia="en-NZ"/>
        </w:rPr>
        <w:t>Eleven</w:t>
      </w:r>
      <w:r w:rsidRPr="00607034">
        <w:rPr>
          <w:lang w:eastAsia="en-NZ"/>
        </w:rPr>
        <w:t xml:space="preserve"> </w:t>
      </w:r>
      <w:r>
        <w:rPr>
          <w:lang w:eastAsia="en-NZ"/>
        </w:rPr>
        <w:t xml:space="preserve">of twelve </w:t>
      </w:r>
      <w:r w:rsidRPr="00607034">
        <w:rPr>
          <w:lang w:eastAsia="en-NZ"/>
        </w:rPr>
        <w:t xml:space="preserve">PHUs (92%) have maintained their </w:t>
      </w:r>
      <w:r>
        <w:rPr>
          <w:lang w:eastAsia="en-NZ"/>
        </w:rPr>
        <w:t>communicable d</w:t>
      </w:r>
      <w:r w:rsidRPr="00607034">
        <w:rPr>
          <w:lang w:eastAsia="en-NZ"/>
        </w:rPr>
        <w:t xml:space="preserve">isease Outbreak Response Plan. </w:t>
      </w:r>
      <w:r>
        <w:rPr>
          <w:lang w:eastAsia="en-NZ"/>
        </w:rPr>
        <w:t>One</w:t>
      </w:r>
      <w:r w:rsidRPr="00607034">
        <w:rPr>
          <w:lang w:eastAsia="en-NZ"/>
        </w:rPr>
        <w:t xml:space="preserve"> plan is under review to incor</w:t>
      </w:r>
      <w:r>
        <w:rPr>
          <w:lang w:eastAsia="en-NZ"/>
        </w:rPr>
        <w:t>porate an all</w:t>
      </w:r>
      <w:r w:rsidR="001365AC">
        <w:rPr>
          <w:lang w:eastAsia="en-NZ"/>
        </w:rPr>
        <w:t>-</w:t>
      </w:r>
      <w:r>
        <w:rPr>
          <w:lang w:eastAsia="en-NZ"/>
        </w:rPr>
        <w:t>hazards approach</w:t>
      </w:r>
      <w:r w:rsidR="001365AC">
        <w:rPr>
          <w:lang w:eastAsia="en-NZ"/>
        </w:rPr>
        <w:t>;</w:t>
      </w:r>
      <w:r>
        <w:rPr>
          <w:lang w:eastAsia="en-NZ"/>
        </w:rPr>
        <w:t xml:space="preserve"> </w:t>
      </w:r>
      <w:r w:rsidRPr="00607034">
        <w:rPr>
          <w:lang w:eastAsia="en-NZ"/>
        </w:rPr>
        <w:t>the PHU concerned has maintained ongoing capacity and capability to respond to outbreaks</w:t>
      </w:r>
      <w:r>
        <w:rPr>
          <w:lang w:eastAsia="en-NZ"/>
        </w:rPr>
        <w:t>.</w:t>
      </w:r>
    </w:p>
    <w:p w:rsidR="000845D9" w:rsidRDefault="000845D9" w:rsidP="00C81087"/>
    <w:p w:rsidR="00ED6788" w:rsidRPr="00B024D3" w:rsidRDefault="00ED6788" w:rsidP="00C81087">
      <w:pPr>
        <w:pStyle w:val="Heading4"/>
      </w:pPr>
      <w:r w:rsidRPr="00B024D3">
        <w:t xml:space="preserve">Injury </w:t>
      </w:r>
      <w:r w:rsidR="00C81087">
        <w:t>p</w:t>
      </w:r>
      <w:r w:rsidRPr="00B024D3">
        <w:t>revention</w:t>
      </w:r>
    </w:p>
    <w:p w:rsidR="00ED6788" w:rsidRDefault="00ED6788" w:rsidP="00C81087">
      <w:pPr>
        <w:rPr>
          <w:lang w:eastAsia="en-NZ"/>
        </w:rPr>
      </w:pPr>
      <w:r w:rsidRPr="00607034">
        <w:rPr>
          <w:lang w:eastAsia="en-NZ"/>
        </w:rPr>
        <w:t>The University of Otago is funded to deliver the National Poisons Centre service. The service delivers information and advice on poisonings and poisons via a 24 hours a day seven days a week</w:t>
      </w:r>
      <w:r w:rsidR="000845D9">
        <w:rPr>
          <w:lang w:eastAsia="en-NZ"/>
        </w:rPr>
        <w:t xml:space="preserve"> </w:t>
      </w:r>
      <w:r w:rsidRPr="00607034">
        <w:rPr>
          <w:lang w:eastAsia="en-NZ"/>
        </w:rPr>
        <w:t>0800 telephone line that is available to the public and health professionals. The service addresses the need for immediate, accurate and current information about poisoning management and treatment. It is delivered by suitably qualified and trained professionals who also manage and disseminate information by maintaining an up-to-date poisons database.</w:t>
      </w:r>
    </w:p>
    <w:p w:rsidR="00ED6788" w:rsidRDefault="00ED6788" w:rsidP="00C81087">
      <w:pPr>
        <w:rPr>
          <w:lang w:eastAsia="en-NZ"/>
        </w:rPr>
      </w:pPr>
    </w:p>
    <w:p w:rsidR="000845D9" w:rsidRDefault="00ED6788" w:rsidP="00C81087">
      <w:pPr>
        <w:pStyle w:val="Heading4"/>
        <w:rPr>
          <w:lang w:eastAsia="en-US"/>
        </w:rPr>
      </w:pPr>
      <w:r w:rsidRPr="006330D9">
        <w:rPr>
          <w:lang w:eastAsia="en-US"/>
        </w:rPr>
        <w:t xml:space="preserve">National Poison Centre </w:t>
      </w:r>
      <w:r w:rsidR="001365AC">
        <w:rPr>
          <w:lang w:eastAsia="en-US"/>
        </w:rPr>
        <w:t>t</w:t>
      </w:r>
      <w:r w:rsidRPr="006330D9">
        <w:rPr>
          <w:lang w:eastAsia="en-US"/>
        </w:rPr>
        <w:t xml:space="preserve">reatment </w:t>
      </w:r>
      <w:r w:rsidR="001365AC">
        <w:rPr>
          <w:lang w:eastAsia="en-US"/>
        </w:rPr>
        <w:t>o</w:t>
      </w:r>
      <w:r w:rsidRPr="006330D9">
        <w:rPr>
          <w:lang w:eastAsia="en-US"/>
        </w:rPr>
        <w:t>utcome</w:t>
      </w:r>
    </w:p>
    <w:p w:rsidR="00ED6788" w:rsidRPr="006330D9" w:rsidRDefault="00ED6788" w:rsidP="00C81087">
      <w:r>
        <w:rPr>
          <w:lang w:eastAsia="en-US"/>
        </w:rPr>
        <w:t>Seventy percent (2</w:t>
      </w:r>
      <w:r w:rsidRPr="00DD7586">
        <w:rPr>
          <w:lang w:eastAsia="en-US"/>
        </w:rPr>
        <w:t>0,133) of t</w:t>
      </w:r>
      <w:r>
        <w:rPr>
          <w:lang w:eastAsia="en-US"/>
        </w:rPr>
        <w:t xml:space="preserve">otal calls answered related to </w:t>
      </w:r>
      <w:r w:rsidRPr="00DD7586">
        <w:rPr>
          <w:lang w:eastAsia="en-US"/>
        </w:rPr>
        <w:t>po</w:t>
      </w:r>
      <w:r>
        <w:rPr>
          <w:lang w:eastAsia="en-US"/>
        </w:rPr>
        <w:t>isons exposure</w:t>
      </w:r>
      <w:r w:rsidRPr="00DD7586">
        <w:rPr>
          <w:lang w:eastAsia="en-US"/>
        </w:rPr>
        <w:t>.</w:t>
      </w:r>
      <w:r w:rsidR="000845D9">
        <w:rPr>
          <w:lang w:eastAsia="en-US"/>
        </w:rPr>
        <w:t xml:space="preserve"> </w:t>
      </w:r>
      <w:r w:rsidRPr="00DD7586">
        <w:rPr>
          <w:lang w:eastAsia="en-US"/>
        </w:rPr>
        <w:t xml:space="preserve">The other calls related to enquiries about poisons and hazardous chemicals, plants, insect bites/stings, psychoactive substances/herbal products, fungus, </w:t>
      </w:r>
      <w:r>
        <w:rPr>
          <w:lang w:eastAsia="en-US"/>
        </w:rPr>
        <w:t xml:space="preserve">and </w:t>
      </w:r>
      <w:r w:rsidRPr="00DD7586">
        <w:rPr>
          <w:lang w:eastAsia="en-US"/>
        </w:rPr>
        <w:t>industrial products.</w:t>
      </w:r>
    </w:p>
    <w:p w:rsidR="00ED6788" w:rsidRPr="00B024D3" w:rsidRDefault="00ED6788" w:rsidP="00C81087"/>
    <w:p w:rsidR="00ED6788" w:rsidRDefault="00ED6788" w:rsidP="00C81087">
      <w:pPr>
        <w:pStyle w:val="Heading3"/>
      </w:pPr>
      <w:r w:rsidRPr="00E170A6">
        <w:lastRenderedPageBreak/>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C25CC8">
            <w:pPr>
              <w:pStyle w:val="TableText"/>
              <w:keepNext/>
              <w:ind w:right="284"/>
              <w:jc w:val="right"/>
            </w:pPr>
            <w:r>
              <w:t>177,925</w:t>
            </w:r>
          </w:p>
        </w:tc>
        <w:tc>
          <w:tcPr>
            <w:tcW w:w="3968" w:type="dxa"/>
            <w:tcBorders>
              <w:top w:val="single" w:sz="4" w:space="0" w:color="auto"/>
              <w:left w:val="nil"/>
            </w:tcBorders>
            <w:shd w:val="solid" w:color="FFFFFF" w:fill="auto"/>
          </w:tcPr>
          <w:p w:rsidR="00ED6788" w:rsidRPr="002C0E8B" w:rsidRDefault="00ED6788" w:rsidP="00C25CC8">
            <w:pPr>
              <w:pStyle w:val="TableText"/>
              <w:keepNext/>
            </w:pPr>
            <w:r w:rsidRPr="00220DB1">
              <w:rPr>
                <w:rFonts w:cs="Arial"/>
                <w:szCs w:val="18"/>
              </w:rPr>
              <w:t>DHBs</w:t>
            </w:r>
          </w:p>
        </w:tc>
        <w:tc>
          <w:tcPr>
            <w:tcW w:w="1276" w:type="dxa"/>
            <w:tcBorders>
              <w:top w:val="single" w:sz="4" w:space="0" w:color="auto"/>
            </w:tcBorders>
            <w:shd w:val="clear" w:color="E3E3E3" w:fill="D9D9D9"/>
          </w:tcPr>
          <w:p w:rsidR="00ED6788" w:rsidRPr="002C0E8B" w:rsidRDefault="00ED6788" w:rsidP="00C25CC8">
            <w:pPr>
              <w:pStyle w:val="TableText"/>
              <w:keepNext/>
              <w:ind w:right="142"/>
              <w:jc w:val="right"/>
            </w:pPr>
            <w:r>
              <w:t>170,297</w:t>
            </w:r>
          </w:p>
        </w:tc>
        <w:tc>
          <w:tcPr>
            <w:tcW w:w="1488" w:type="dxa"/>
            <w:tcBorders>
              <w:top w:val="single" w:sz="4" w:space="0" w:color="auto"/>
            </w:tcBorders>
          </w:tcPr>
          <w:p w:rsidR="00ED6788" w:rsidRDefault="00ED6788" w:rsidP="00C25CC8">
            <w:pPr>
              <w:pStyle w:val="TableText"/>
              <w:keepNext/>
              <w:jc w:val="right"/>
            </w:pPr>
            <w:r>
              <w:t>155,013</w:t>
            </w:r>
          </w:p>
        </w:tc>
        <w:tc>
          <w:tcPr>
            <w:tcW w:w="1347" w:type="dxa"/>
            <w:tcBorders>
              <w:top w:val="single" w:sz="4" w:space="0" w:color="auto"/>
            </w:tcBorders>
          </w:tcPr>
          <w:p w:rsidR="00ED6788" w:rsidRPr="002C0E8B" w:rsidRDefault="00ED6788" w:rsidP="00C25CC8">
            <w:pPr>
              <w:pStyle w:val="TableText"/>
              <w:keepNext/>
              <w:jc w:val="right"/>
            </w:pPr>
            <w:r>
              <w:t>157,194</w:t>
            </w:r>
          </w:p>
        </w:tc>
      </w:tr>
      <w:tr w:rsidR="00ED6788" w:rsidRPr="002C0E8B" w:rsidTr="00C25CC8">
        <w:trPr>
          <w:cantSplit/>
        </w:trPr>
        <w:tc>
          <w:tcPr>
            <w:tcW w:w="1277" w:type="dxa"/>
            <w:tcBorders>
              <w:right w:val="nil"/>
            </w:tcBorders>
            <w:shd w:val="solid" w:color="FFFFFF" w:fill="auto"/>
          </w:tcPr>
          <w:p w:rsidR="00ED6788" w:rsidRDefault="00ED6788" w:rsidP="00C25CC8">
            <w:pPr>
              <w:pStyle w:val="TableText"/>
              <w:ind w:right="284"/>
              <w:jc w:val="right"/>
            </w:pPr>
            <w:r>
              <w:t>12,669</w:t>
            </w:r>
          </w:p>
        </w:tc>
        <w:tc>
          <w:tcPr>
            <w:tcW w:w="3968" w:type="dxa"/>
            <w:tcBorders>
              <w:left w:val="nil"/>
            </w:tcBorders>
            <w:shd w:val="solid" w:color="FFFFFF" w:fill="auto"/>
          </w:tcPr>
          <w:p w:rsidR="00ED6788" w:rsidRPr="00220DB1" w:rsidRDefault="00ED6788" w:rsidP="00C25CC8">
            <w:pPr>
              <w:pStyle w:val="TableText"/>
              <w:keepNext/>
              <w:rPr>
                <w:rFonts w:cs="Arial"/>
                <w:szCs w:val="18"/>
              </w:rPr>
            </w:pPr>
            <w:r w:rsidRPr="00220DB1">
              <w:rPr>
                <w:rFonts w:cs="Arial"/>
                <w:szCs w:val="18"/>
              </w:rPr>
              <w:t>Institute of Environmental and Scientific Research</w:t>
            </w:r>
          </w:p>
        </w:tc>
        <w:tc>
          <w:tcPr>
            <w:tcW w:w="1276" w:type="dxa"/>
            <w:shd w:val="clear" w:color="E3E3E3" w:fill="D9D9D9"/>
          </w:tcPr>
          <w:p w:rsidR="00ED6788" w:rsidRPr="002C0E8B" w:rsidRDefault="00ED6788" w:rsidP="00C25CC8">
            <w:pPr>
              <w:pStyle w:val="TableText"/>
              <w:ind w:right="142"/>
              <w:jc w:val="right"/>
            </w:pPr>
            <w:r>
              <w:t>14,708</w:t>
            </w:r>
          </w:p>
        </w:tc>
        <w:tc>
          <w:tcPr>
            <w:tcW w:w="1488" w:type="dxa"/>
          </w:tcPr>
          <w:p w:rsidR="00ED6788" w:rsidRPr="007C237F" w:rsidRDefault="00ED6788" w:rsidP="00C25CC8">
            <w:pPr>
              <w:pStyle w:val="TableText"/>
              <w:keepNext/>
              <w:jc w:val="right"/>
            </w:pPr>
            <w:r>
              <w:t>15,355</w:t>
            </w:r>
          </w:p>
        </w:tc>
        <w:tc>
          <w:tcPr>
            <w:tcW w:w="1347" w:type="dxa"/>
          </w:tcPr>
          <w:p w:rsidR="00ED6788" w:rsidRPr="002C0E8B" w:rsidRDefault="00ED6788" w:rsidP="00C25CC8">
            <w:pPr>
              <w:pStyle w:val="TableText"/>
              <w:jc w:val="right"/>
            </w:pPr>
            <w:r>
              <w:t>14,558</w:t>
            </w:r>
          </w:p>
        </w:tc>
      </w:tr>
      <w:tr w:rsidR="00ED6788" w:rsidRPr="002C0E8B" w:rsidTr="00C25CC8">
        <w:trPr>
          <w:cantSplit/>
        </w:trPr>
        <w:tc>
          <w:tcPr>
            <w:tcW w:w="1277" w:type="dxa"/>
            <w:tcBorders>
              <w:right w:val="nil"/>
            </w:tcBorders>
            <w:shd w:val="solid" w:color="FFFFFF" w:fill="auto"/>
          </w:tcPr>
          <w:p w:rsidR="00ED6788" w:rsidRPr="002C0E8B" w:rsidRDefault="00C81087" w:rsidP="00C25CC8">
            <w:pPr>
              <w:pStyle w:val="TableText"/>
              <w:ind w:right="284"/>
              <w:jc w:val="right"/>
            </w:pPr>
            <w:r>
              <w:t>7</w:t>
            </w:r>
            <w:r w:rsidR="00ED6788">
              <w:t>952</w:t>
            </w:r>
          </w:p>
        </w:tc>
        <w:tc>
          <w:tcPr>
            <w:tcW w:w="3968" w:type="dxa"/>
            <w:tcBorders>
              <w:left w:val="nil"/>
            </w:tcBorders>
            <w:shd w:val="solid" w:color="FFFFFF" w:fill="auto"/>
          </w:tcPr>
          <w:p w:rsidR="00ED6788" w:rsidRPr="00220DB1" w:rsidRDefault="00ED6788" w:rsidP="00C25CC8">
            <w:pPr>
              <w:pStyle w:val="TableText"/>
              <w:keepNext/>
              <w:rPr>
                <w:rFonts w:cs="Arial"/>
                <w:szCs w:val="18"/>
              </w:rPr>
            </w:pPr>
            <w:r w:rsidRPr="00220DB1">
              <w:rPr>
                <w:rFonts w:cs="Arial"/>
                <w:szCs w:val="18"/>
              </w:rPr>
              <w:t>Health Promotion Agency</w:t>
            </w:r>
          </w:p>
        </w:tc>
        <w:tc>
          <w:tcPr>
            <w:tcW w:w="1276" w:type="dxa"/>
            <w:shd w:val="clear" w:color="E3E3E3" w:fill="D9D9D9"/>
          </w:tcPr>
          <w:p w:rsidR="00ED6788" w:rsidRPr="002C0E8B" w:rsidRDefault="00ED6788" w:rsidP="00C81087">
            <w:pPr>
              <w:pStyle w:val="TableText"/>
              <w:ind w:right="142"/>
              <w:jc w:val="right"/>
            </w:pPr>
            <w:r>
              <w:t>9044</w:t>
            </w:r>
          </w:p>
        </w:tc>
        <w:tc>
          <w:tcPr>
            <w:tcW w:w="1488" w:type="dxa"/>
          </w:tcPr>
          <w:p w:rsidR="00ED6788" w:rsidRDefault="00C81087" w:rsidP="00C25CC8">
            <w:pPr>
              <w:pStyle w:val="TableText"/>
              <w:keepNext/>
              <w:jc w:val="right"/>
            </w:pPr>
            <w:r>
              <w:t>9</w:t>
            </w:r>
            <w:r w:rsidR="00ED6788">
              <w:t>924</w:t>
            </w:r>
          </w:p>
        </w:tc>
        <w:tc>
          <w:tcPr>
            <w:tcW w:w="1347" w:type="dxa"/>
          </w:tcPr>
          <w:p w:rsidR="00ED6788" w:rsidRPr="002C0E8B" w:rsidRDefault="00C81087" w:rsidP="00C25CC8">
            <w:pPr>
              <w:pStyle w:val="TableText"/>
              <w:jc w:val="right"/>
            </w:pPr>
            <w:r>
              <w:t>9</w:t>
            </w:r>
            <w:r w:rsidR="00ED6788">
              <w:t>355</w:t>
            </w:r>
          </w:p>
        </w:tc>
      </w:tr>
      <w:tr w:rsidR="00ED6788" w:rsidRPr="002C0E8B" w:rsidTr="00C25CC8">
        <w:trPr>
          <w:cantSplit/>
        </w:trPr>
        <w:tc>
          <w:tcPr>
            <w:tcW w:w="1277" w:type="dxa"/>
            <w:tcBorders>
              <w:right w:val="nil"/>
            </w:tcBorders>
            <w:shd w:val="solid" w:color="FFFFFF" w:fill="auto"/>
          </w:tcPr>
          <w:p w:rsidR="00ED6788" w:rsidRPr="002C0E8B" w:rsidRDefault="00ED6788" w:rsidP="00C81087">
            <w:pPr>
              <w:pStyle w:val="TableText"/>
              <w:ind w:right="284"/>
              <w:jc w:val="right"/>
            </w:pPr>
            <w:r>
              <w:t>6687</w:t>
            </w:r>
          </w:p>
        </w:tc>
        <w:tc>
          <w:tcPr>
            <w:tcW w:w="3968" w:type="dxa"/>
            <w:tcBorders>
              <w:left w:val="nil"/>
            </w:tcBorders>
            <w:shd w:val="solid" w:color="FFFFFF" w:fill="auto"/>
          </w:tcPr>
          <w:p w:rsidR="00ED6788" w:rsidRPr="00220DB1" w:rsidRDefault="00C81087" w:rsidP="00C25CC8">
            <w:pPr>
              <w:pStyle w:val="TableText"/>
              <w:keepNext/>
              <w:rPr>
                <w:rFonts w:cs="Arial"/>
                <w:szCs w:val="18"/>
              </w:rPr>
            </w:pPr>
            <w:r>
              <w:rPr>
                <w:rFonts w:cs="Arial"/>
                <w:szCs w:val="18"/>
              </w:rPr>
              <w:t>University of Auckland</w:t>
            </w:r>
          </w:p>
        </w:tc>
        <w:tc>
          <w:tcPr>
            <w:tcW w:w="1276" w:type="dxa"/>
            <w:shd w:val="clear" w:color="E3E3E3" w:fill="D9D9D9"/>
          </w:tcPr>
          <w:p w:rsidR="00ED6788" w:rsidRPr="002C0E8B" w:rsidRDefault="00ED6788" w:rsidP="00C81087">
            <w:pPr>
              <w:pStyle w:val="TableText"/>
              <w:ind w:right="142"/>
              <w:jc w:val="right"/>
            </w:pPr>
            <w:r>
              <w:t>5421</w:t>
            </w:r>
          </w:p>
        </w:tc>
        <w:tc>
          <w:tcPr>
            <w:tcW w:w="1488" w:type="dxa"/>
          </w:tcPr>
          <w:p w:rsidR="00ED6788" w:rsidRDefault="00ED6788" w:rsidP="00C81087">
            <w:pPr>
              <w:pStyle w:val="TableText"/>
              <w:keepNext/>
              <w:jc w:val="right"/>
            </w:pPr>
            <w:r>
              <w:t>5454</w:t>
            </w:r>
          </w:p>
        </w:tc>
        <w:tc>
          <w:tcPr>
            <w:tcW w:w="1347" w:type="dxa"/>
          </w:tcPr>
          <w:p w:rsidR="00ED6788" w:rsidRPr="002C0E8B" w:rsidRDefault="00ED6788" w:rsidP="00C81087">
            <w:pPr>
              <w:pStyle w:val="TableText"/>
              <w:jc w:val="right"/>
            </w:pPr>
            <w:r>
              <w:t>5462</w:t>
            </w:r>
          </w:p>
        </w:tc>
      </w:tr>
      <w:tr w:rsidR="00ED6788" w:rsidRPr="002C0E8B" w:rsidTr="00C25CC8">
        <w:trPr>
          <w:cantSplit/>
        </w:trPr>
        <w:tc>
          <w:tcPr>
            <w:tcW w:w="1277" w:type="dxa"/>
            <w:tcBorders>
              <w:right w:val="nil"/>
            </w:tcBorders>
            <w:shd w:val="solid" w:color="FFFFFF" w:fill="auto"/>
          </w:tcPr>
          <w:p w:rsidR="00ED6788" w:rsidRDefault="00ED6788" w:rsidP="00C81087">
            <w:pPr>
              <w:pStyle w:val="TableText"/>
              <w:ind w:right="284"/>
              <w:jc w:val="right"/>
            </w:pPr>
            <w:r>
              <w:t>2187</w:t>
            </w:r>
          </w:p>
        </w:tc>
        <w:tc>
          <w:tcPr>
            <w:tcW w:w="3968" w:type="dxa"/>
            <w:tcBorders>
              <w:left w:val="nil"/>
            </w:tcBorders>
            <w:shd w:val="solid" w:color="FFFFFF" w:fill="auto"/>
          </w:tcPr>
          <w:p w:rsidR="00ED6788" w:rsidRDefault="00ED6788" w:rsidP="00C25CC8">
            <w:pPr>
              <w:pStyle w:val="TableText"/>
              <w:keepNext/>
              <w:rPr>
                <w:rFonts w:cs="Arial"/>
                <w:szCs w:val="18"/>
              </w:rPr>
            </w:pPr>
            <w:r>
              <w:rPr>
                <w:rFonts w:cs="Arial"/>
                <w:szCs w:val="18"/>
              </w:rPr>
              <w:t>University of Otago</w:t>
            </w:r>
          </w:p>
        </w:tc>
        <w:tc>
          <w:tcPr>
            <w:tcW w:w="1276" w:type="dxa"/>
            <w:shd w:val="clear" w:color="E3E3E3" w:fill="D9D9D9"/>
          </w:tcPr>
          <w:p w:rsidR="00ED6788" w:rsidRPr="002C0E8B" w:rsidRDefault="00ED6788" w:rsidP="00C81087">
            <w:pPr>
              <w:pStyle w:val="TableText"/>
              <w:ind w:right="142"/>
              <w:jc w:val="right"/>
            </w:pPr>
            <w:r>
              <w:t>2110</w:t>
            </w:r>
          </w:p>
        </w:tc>
        <w:tc>
          <w:tcPr>
            <w:tcW w:w="1488" w:type="dxa"/>
          </w:tcPr>
          <w:p w:rsidR="00ED6788" w:rsidRPr="007C237F" w:rsidRDefault="00ED6788" w:rsidP="00C81087">
            <w:pPr>
              <w:pStyle w:val="TableText"/>
              <w:keepNext/>
              <w:jc w:val="right"/>
            </w:pPr>
            <w:r>
              <w:t>2250</w:t>
            </w:r>
          </w:p>
        </w:tc>
        <w:tc>
          <w:tcPr>
            <w:tcW w:w="1347" w:type="dxa"/>
          </w:tcPr>
          <w:p w:rsidR="00ED6788" w:rsidRPr="002C0E8B" w:rsidRDefault="00ED6788" w:rsidP="00C81087">
            <w:pPr>
              <w:pStyle w:val="TableText"/>
              <w:jc w:val="right"/>
            </w:pPr>
            <w:r>
              <w:t>3064</w:t>
            </w:r>
          </w:p>
        </w:tc>
      </w:tr>
      <w:tr w:rsidR="00ED6788" w:rsidRPr="002C0E8B" w:rsidTr="00C25CC8">
        <w:trPr>
          <w:cantSplit/>
        </w:trPr>
        <w:tc>
          <w:tcPr>
            <w:tcW w:w="1277" w:type="dxa"/>
            <w:tcBorders>
              <w:right w:val="nil"/>
            </w:tcBorders>
            <w:shd w:val="solid" w:color="FFFFFF" w:fill="auto"/>
          </w:tcPr>
          <w:p w:rsidR="00ED6788" w:rsidRPr="002C0E8B" w:rsidRDefault="00ED6788" w:rsidP="00C81087">
            <w:pPr>
              <w:pStyle w:val="TableText"/>
              <w:ind w:right="284"/>
              <w:jc w:val="right"/>
            </w:pPr>
            <w:r>
              <w:t>2089</w:t>
            </w:r>
          </w:p>
        </w:tc>
        <w:tc>
          <w:tcPr>
            <w:tcW w:w="3968" w:type="dxa"/>
            <w:tcBorders>
              <w:left w:val="nil"/>
            </w:tcBorders>
            <w:shd w:val="solid" w:color="FFFFFF" w:fill="auto"/>
          </w:tcPr>
          <w:p w:rsidR="00ED6788" w:rsidRPr="00220DB1" w:rsidRDefault="00ED6788" w:rsidP="00C81087">
            <w:pPr>
              <w:pStyle w:val="TableText"/>
              <w:keepNext/>
              <w:rPr>
                <w:rFonts w:cs="Arial"/>
                <w:szCs w:val="18"/>
              </w:rPr>
            </w:pPr>
            <w:r w:rsidRPr="00220DB1">
              <w:rPr>
                <w:rFonts w:cs="Arial"/>
                <w:szCs w:val="18"/>
              </w:rPr>
              <w:t xml:space="preserve">Other Crown </w:t>
            </w:r>
            <w:r w:rsidR="00C81087">
              <w:rPr>
                <w:rFonts w:cs="Arial"/>
                <w:szCs w:val="18"/>
              </w:rPr>
              <w:t>e</w:t>
            </w:r>
            <w:r w:rsidRPr="00220DB1">
              <w:rPr>
                <w:rFonts w:cs="Arial"/>
                <w:szCs w:val="18"/>
              </w:rPr>
              <w:t>ntities</w:t>
            </w:r>
          </w:p>
        </w:tc>
        <w:tc>
          <w:tcPr>
            <w:tcW w:w="1276" w:type="dxa"/>
            <w:shd w:val="clear" w:color="E3E3E3" w:fill="D9D9D9"/>
          </w:tcPr>
          <w:p w:rsidR="00ED6788" w:rsidRPr="002C0E8B" w:rsidRDefault="00ED6788" w:rsidP="00C81087">
            <w:pPr>
              <w:pStyle w:val="TableText"/>
              <w:ind w:right="142"/>
              <w:jc w:val="right"/>
            </w:pPr>
            <w:r>
              <w:t>6496</w:t>
            </w:r>
          </w:p>
        </w:tc>
        <w:tc>
          <w:tcPr>
            <w:tcW w:w="1488" w:type="dxa"/>
          </w:tcPr>
          <w:p w:rsidR="00ED6788" w:rsidRDefault="00ED6788" w:rsidP="00C81087">
            <w:pPr>
              <w:pStyle w:val="TableText"/>
              <w:keepNext/>
              <w:jc w:val="right"/>
            </w:pPr>
            <w:r>
              <w:t>2445</w:t>
            </w:r>
          </w:p>
        </w:tc>
        <w:tc>
          <w:tcPr>
            <w:tcW w:w="1347" w:type="dxa"/>
          </w:tcPr>
          <w:p w:rsidR="00ED6788" w:rsidRPr="002C0E8B" w:rsidRDefault="00ED6788" w:rsidP="00C81087">
            <w:pPr>
              <w:pStyle w:val="TableText"/>
              <w:jc w:val="right"/>
            </w:pPr>
            <w:r>
              <w:t>3732</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pPr>
            <w:r>
              <w:t>186,541</w:t>
            </w:r>
          </w:p>
        </w:tc>
        <w:tc>
          <w:tcPr>
            <w:tcW w:w="3968" w:type="dxa"/>
            <w:tcBorders>
              <w:left w:val="nil"/>
            </w:tcBorders>
            <w:shd w:val="solid" w:color="FFFFFF" w:fill="auto"/>
          </w:tcPr>
          <w:p w:rsidR="00ED6788" w:rsidRPr="00220DB1" w:rsidRDefault="00ED6788" w:rsidP="00C81087">
            <w:pPr>
              <w:pStyle w:val="TableText"/>
              <w:keepNext/>
              <w:rPr>
                <w:rFonts w:cs="Arial"/>
                <w:szCs w:val="18"/>
              </w:rPr>
            </w:pPr>
            <w:r w:rsidRPr="00220DB1">
              <w:rPr>
                <w:rFonts w:cs="Arial"/>
                <w:szCs w:val="18"/>
              </w:rPr>
              <w:t>Non-</w:t>
            </w:r>
            <w:r w:rsidR="00C81087">
              <w:rPr>
                <w:rFonts w:cs="Arial"/>
                <w:szCs w:val="18"/>
              </w:rPr>
              <w:t>g</w:t>
            </w:r>
            <w:r w:rsidRPr="00220DB1">
              <w:rPr>
                <w:rFonts w:cs="Arial"/>
                <w:szCs w:val="18"/>
              </w:rPr>
              <w:t xml:space="preserve">overnment </w:t>
            </w:r>
            <w:r w:rsidR="00C81087">
              <w:rPr>
                <w:rFonts w:cs="Arial"/>
                <w:szCs w:val="18"/>
              </w:rPr>
              <w:t>o</w:t>
            </w:r>
            <w:r w:rsidRPr="00220DB1">
              <w:rPr>
                <w:rFonts w:cs="Arial"/>
                <w:szCs w:val="18"/>
              </w:rPr>
              <w:t>rganisations</w:t>
            </w:r>
          </w:p>
        </w:tc>
        <w:tc>
          <w:tcPr>
            <w:tcW w:w="1276" w:type="dxa"/>
            <w:shd w:val="clear" w:color="E3E3E3" w:fill="D9D9D9"/>
          </w:tcPr>
          <w:p w:rsidR="00ED6788" w:rsidRPr="002C0E8B" w:rsidRDefault="00ED6788" w:rsidP="00C25CC8">
            <w:pPr>
              <w:pStyle w:val="TableText"/>
              <w:ind w:right="142"/>
              <w:jc w:val="right"/>
            </w:pPr>
            <w:r>
              <w:t>188,494</w:t>
            </w:r>
          </w:p>
        </w:tc>
        <w:tc>
          <w:tcPr>
            <w:tcW w:w="1488" w:type="dxa"/>
          </w:tcPr>
          <w:p w:rsidR="00ED6788" w:rsidRDefault="00ED6788" w:rsidP="00C25CC8">
            <w:pPr>
              <w:pStyle w:val="TableText"/>
              <w:keepNext/>
              <w:jc w:val="right"/>
            </w:pPr>
            <w:r>
              <w:t>239,087</w:t>
            </w:r>
          </w:p>
        </w:tc>
        <w:tc>
          <w:tcPr>
            <w:tcW w:w="1347" w:type="dxa"/>
          </w:tcPr>
          <w:p w:rsidR="00ED6788" w:rsidRPr="002C0E8B" w:rsidRDefault="00ED6788" w:rsidP="00C25CC8">
            <w:pPr>
              <w:pStyle w:val="TableText"/>
              <w:jc w:val="right"/>
            </w:pPr>
            <w:r>
              <w:t>207,561</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396,050</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C0E8B" w:rsidRDefault="00ED6788" w:rsidP="00C25CC8">
            <w:pPr>
              <w:pStyle w:val="TableText"/>
              <w:ind w:right="142"/>
              <w:jc w:val="right"/>
              <w:rPr>
                <w:b/>
              </w:rPr>
            </w:pPr>
            <w:r>
              <w:rPr>
                <w:b/>
                <w:bCs/>
              </w:rPr>
              <w:t>396,570</w:t>
            </w:r>
          </w:p>
        </w:tc>
        <w:tc>
          <w:tcPr>
            <w:tcW w:w="1488" w:type="dxa"/>
          </w:tcPr>
          <w:p w:rsidR="00ED6788" w:rsidRPr="002C0E8B" w:rsidRDefault="00ED6788" w:rsidP="00C25CC8">
            <w:pPr>
              <w:pStyle w:val="TableText"/>
              <w:jc w:val="right"/>
              <w:rPr>
                <w:b/>
              </w:rPr>
            </w:pPr>
            <w:r>
              <w:rPr>
                <w:b/>
                <w:bCs/>
              </w:rPr>
              <w:t>429,528</w:t>
            </w:r>
          </w:p>
        </w:tc>
        <w:tc>
          <w:tcPr>
            <w:tcW w:w="1347" w:type="dxa"/>
          </w:tcPr>
          <w:p w:rsidR="00ED6788" w:rsidRPr="002C0E8B" w:rsidRDefault="00ED6788" w:rsidP="00C25CC8">
            <w:pPr>
              <w:pStyle w:val="TableText"/>
              <w:jc w:val="right"/>
              <w:rPr>
                <w:b/>
              </w:rPr>
            </w:pPr>
            <w:r>
              <w:rPr>
                <w:b/>
                <w:bCs/>
              </w:rPr>
              <w:t>400,926</w:t>
            </w:r>
          </w:p>
        </w:tc>
      </w:tr>
    </w:tbl>
    <w:p w:rsidR="00ED6788" w:rsidRDefault="00ED6788" w:rsidP="00C81087">
      <w:pPr>
        <w:rPr>
          <w:highlight w:val="yellow"/>
        </w:rPr>
      </w:pPr>
    </w:p>
    <w:p w:rsidR="00ED6788" w:rsidRPr="00074D5A" w:rsidRDefault="00ED6788" w:rsidP="00C81087">
      <w:pPr>
        <w:pStyle w:val="Heading3"/>
      </w:pPr>
      <w:r w:rsidRPr="00074D5A">
        <w:t>Comments</w:t>
      </w:r>
    </w:p>
    <w:p w:rsidR="000845D9" w:rsidRDefault="00ED6788" w:rsidP="00C81087">
      <w:r w:rsidRPr="00074D5A">
        <w:t>The underspend of $32.</w:t>
      </w:r>
      <w:r>
        <w:t>957</w:t>
      </w:r>
      <w:r w:rsidRPr="00074D5A">
        <w:t xml:space="preserve"> million against the Main Estimates (8 percent of appropriation)</w:t>
      </w:r>
      <w:r>
        <w:t xml:space="preserve"> </w:t>
      </w:r>
      <w:r w:rsidRPr="005A7686">
        <w:t xml:space="preserve">mainly relates to </w:t>
      </w:r>
      <w:r>
        <w:t xml:space="preserve">the timing of projects </w:t>
      </w:r>
      <w:r w:rsidRPr="005A7686">
        <w:t xml:space="preserve">in the Sanitary Works Subsidy </w:t>
      </w:r>
      <w:r>
        <w:t>Scheme</w:t>
      </w:r>
      <w:r w:rsidRPr="005A7686">
        <w:t>. The funding was transferred to 2015/16 where it was needed to meet the expected cost of contracts.</w:t>
      </w:r>
    </w:p>
    <w:p w:rsidR="00ED6788" w:rsidRPr="00074D5A" w:rsidRDefault="00ED6788" w:rsidP="00C81087">
      <w:pPr>
        <w:rPr>
          <w:highlight w:val="yellow"/>
        </w:rPr>
      </w:pPr>
    </w:p>
    <w:p w:rsidR="00C81087" w:rsidRDefault="00C81087" w:rsidP="00C81087">
      <w:bookmarkStart w:id="45" w:name="_Toc432765758"/>
      <w:r>
        <w:br w:type="page"/>
      </w:r>
    </w:p>
    <w:p w:rsidR="00ED6788" w:rsidRPr="00342DDA" w:rsidRDefault="00ED6788" w:rsidP="00C81087">
      <w:pPr>
        <w:pStyle w:val="Heading1"/>
        <w:rPr>
          <w:highlight w:val="yellow"/>
        </w:rPr>
      </w:pPr>
      <w:bookmarkStart w:id="46" w:name="_Toc433713791"/>
      <w:r w:rsidRPr="00342DDA">
        <w:lastRenderedPageBreak/>
        <w:t>N</w:t>
      </w:r>
      <w:r w:rsidR="00C81087">
        <w:t>on</w:t>
      </w:r>
      <w:r w:rsidRPr="00342DDA">
        <w:t>-</w:t>
      </w:r>
      <w:r w:rsidR="00C81087">
        <w:t>departmental other expenses</w:t>
      </w:r>
      <w:bookmarkEnd w:id="45"/>
      <w:bookmarkEnd w:id="46"/>
    </w:p>
    <w:p w:rsidR="000845D9" w:rsidRDefault="00ED6788" w:rsidP="00C81087">
      <w:pPr>
        <w:pStyle w:val="Heading2"/>
      </w:pPr>
      <w:bookmarkStart w:id="47" w:name="_Toc432765759"/>
      <w:bookmarkStart w:id="48" w:name="_Toc433713792"/>
      <w:r w:rsidRPr="00743B57">
        <w:t xml:space="preserve">Provider </w:t>
      </w:r>
      <w:r w:rsidR="00C81087">
        <w:t>d</w:t>
      </w:r>
      <w:r w:rsidRPr="00743B57">
        <w:t>evelopment</w:t>
      </w:r>
      <w:bookmarkEnd w:id="47"/>
      <w:bookmarkEnd w:id="48"/>
    </w:p>
    <w:p w:rsidR="00ED6788" w:rsidRDefault="00ED6788" w:rsidP="00C81087">
      <w:r>
        <w:t>The scope of a</w:t>
      </w:r>
      <w:r w:rsidRPr="007F473C">
        <w:t>ppropriation</w:t>
      </w:r>
      <w:r>
        <w:t xml:space="preserve"> is f</w:t>
      </w:r>
      <w:r w:rsidRPr="00834C5C">
        <w:t xml:space="preserve">unding </w:t>
      </w:r>
      <w:r>
        <w:t xml:space="preserve">to </w:t>
      </w:r>
      <w:r w:rsidRPr="00834C5C">
        <w:t xml:space="preserve">provide assistance for the development of the third party health service workforce, in particular, </w:t>
      </w:r>
      <w:r>
        <w:t>Māori</w:t>
      </w:r>
      <w:r w:rsidRPr="00834C5C">
        <w:t xml:space="preserve"> and Pacific people</w:t>
      </w:r>
      <w:r w:rsidR="000845D9">
        <w:t>’</w:t>
      </w:r>
      <w:r w:rsidRPr="00834C5C">
        <w:t xml:space="preserve">s providers. This appropriation is intended to </w:t>
      </w:r>
      <w:r>
        <w:t>ensure t</w:t>
      </w:r>
      <w:r w:rsidRPr="00834C5C">
        <w:t>hird party health services, particularly those providing predominantly for Māori and Pacific peoples, are supported to become more effective, efficient, and sustainable</w:t>
      </w:r>
      <w:r>
        <w:t>.</w:t>
      </w:r>
    </w:p>
    <w:p w:rsidR="00ED6788" w:rsidRPr="00591E5F" w:rsidRDefault="00ED6788" w:rsidP="00C81087"/>
    <w:p w:rsidR="00ED6788" w:rsidRPr="00591E5F" w:rsidRDefault="00ED6788" w:rsidP="00C81087">
      <w:r w:rsidRPr="00591E5F">
        <w:t xml:space="preserve">The Māori provider development within this appropriation </w:t>
      </w:r>
      <w:r w:rsidRPr="00591E5F">
        <w:rPr>
          <w:rFonts w:eastAsiaTheme="minorHAnsi" w:cstheme="minorBidi"/>
          <w:lang w:eastAsia="en-NZ"/>
        </w:rPr>
        <w:t xml:space="preserve">aligns with </w:t>
      </w:r>
      <w:r w:rsidRPr="00591E5F">
        <w:rPr>
          <w:rFonts w:eastAsiaTheme="minorHAnsi" w:cstheme="minorBidi"/>
          <w:iCs/>
          <w:lang w:eastAsia="en-NZ"/>
        </w:rPr>
        <w:t xml:space="preserve">He Korowai Oranga, </w:t>
      </w:r>
      <w:r w:rsidRPr="00591E5F">
        <w:rPr>
          <w:rFonts w:eastAsiaTheme="minorHAnsi" w:cstheme="minorBidi"/>
          <w:lang w:eastAsia="en-NZ"/>
        </w:rPr>
        <w:t>the Māori Health Strategy</w:t>
      </w:r>
      <w:r w:rsidR="001365AC">
        <w:rPr>
          <w:rFonts w:eastAsiaTheme="minorHAnsi" w:cstheme="minorBidi"/>
          <w:lang w:eastAsia="en-NZ"/>
        </w:rPr>
        <w:t>,</w:t>
      </w:r>
      <w:r w:rsidRPr="00591E5F">
        <w:rPr>
          <w:rFonts w:eastAsiaTheme="minorHAnsi" w:cstheme="minorBidi"/>
          <w:lang w:eastAsia="en-NZ"/>
        </w:rPr>
        <w:t xml:space="preserve"> and</w:t>
      </w:r>
      <w:r w:rsidRPr="00591E5F">
        <w:t xml:space="preserve"> is implemented across three programmes:</w:t>
      </w:r>
    </w:p>
    <w:p w:rsidR="000845D9" w:rsidRDefault="00ED6788" w:rsidP="00C81087">
      <w:pPr>
        <w:pStyle w:val="Bullet"/>
        <w:rPr>
          <w:lang w:eastAsia="en-NZ"/>
        </w:rPr>
      </w:pPr>
      <w:r w:rsidRPr="00591E5F">
        <w:rPr>
          <w:rFonts w:eastAsiaTheme="minorHAnsi" w:cstheme="minorBidi"/>
          <w:szCs w:val="22"/>
          <w:lang w:eastAsia="en-NZ"/>
        </w:rPr>
        <w:t xml:space="preserve">The Māori Provider Development Scheme (MPDS) is a fund to improve the capacity and capability of Māori </w:t>
      </w:r>
      <w:r w:rsidR="001365AC">
        <w:rPr>
          <w:rFonts w:eastAsiaTheme="minorHAnsi" w:cstheme="minorBidi"/>
          <w:szCs w:val="22"/>
          <w:lang w:eastAsia="en-NZ"/>
        </w:rPr>
        <w:t>h</w:t>
      </w:r>
      <w:r w:rsidRPr="00591E5F">
        <w:rPr>
          <w:rFonts w:eastAsiaTheme="minorHAnsi" w:cstheme="minorBidi"/>
          <w:szCs w:val="22"/>
          <w:lang w:eastAsia="en-NZ"/>
        </w:rPr>
        <w:t xml:space="preserve">ealth and disability </w:t>
      </w:r>
      <w:r w:rsidRPr="00924999">
        <w:rPr>
          <w:lang w:eastAsia="en-NZ"/>
        </w:rPr>
        <w:t>providers. The scheme also awards Hauora Māori Scholarships to Māori students undertaking a course in health and disability studies that has been accredited by the New Zealand Qualifications Authority (NZQA).</w:t>
      </w:r>
    </w:p>
    <w:p w:rsidR="000845D9" w:rsidRDefault="00ED6788" w:rsidP="00C81087">
      <w:pPr>
        <w:pStyle w:val="Bullet"/>
        <w:rPr>
          <w:lang w:eastAsia="en-NZ"/>
        </w:rPr>
      </w:pPr>
      <w:r w:rsidRPr="00924999">
        <w:rPr>
          <w:lang w:eastAsia="en-NZ"/>
        </w:rPr>
        <w:t>The Māori Health Workforce Programmes are aimed at increasing the number of Māori students taking up health careers.</w:t>
      </w:r>
      <w:r w:rsidR="000845D9">
        <w:rPr>
          <w:lang w:eastAsia="en-NZ"/>
        </w:rPr>
        <w:t xml:space="preserve"> </w:t>
      </w:r>
      <w:r w:rsidRPr="00924999">
        <w:rPr>
          <w:lang w:eastAsia="en-NZ"/>
        </w:rPr>
        <w:t>Building a competent, skilled and experienced Māori health and disability workforce is crucial to improving health outcomes for Māori, as well as providing appropriate care for Māori individuals and their whānau.</w:t>
      </w:r>
    </w:p>
    <w:p w:rsidR="000845D9" w:rsidRDefault="00ED6788" w:rsidP="00C81087">
      <w:pPr>
        <w:pStyle w:val="Bullet"/>
        <w:rPr>
          <w:rFonts w:eastAsiaTheme="minorHAnsi" w:cstheme="minorBidi"/>
          <w:szCs w:val="22"/>
          <w:lang w:eastAsia="en-NZ"/>
        </w:rPr>
      </w:pPr>
      <w:r w:rsidRPr="00924999">
        <w:rPr>
          <w:lang w:eastAsia="en-NZ"/>
        </w:rPr>
        <w:t>Te Ao Auahatanga Hauora Māori, the Māori Health Innovation Fund seeks to improve Māori health outcomes and advance</w:t>
      </w:r>
      <w:r w:rsidRPr="00924999">
        <w:rPr>
          <w:rFonts w:eastAsiaTheme="minorHAnsi" w:cstheme="minorBidi"/>
          <w:szCs w:val="22"/>
          <w:lang w:eastAsia="en-NZ"/>
        </w:rPr>
        <w:t xml:space="preserve"> Whānau Ora by supporting new Māori health innovation programme pilots over a four-year funding cycle.</w:t>
      </w:r>
    </w:p>
    <w:p w:rsidR="00ED6788" w:rsidRPr="00924999" w:rsidRDefault="00ED6788" w:rsidP="00C81087"/>
    <w:p w:rsidR="000845D9" w:rsidRDefault="00ED6788" w:rsidP="00C81087">
      <w:pPr>
        <w:rPr>
          <w:rFonts w:eastAsiaTheme="minorHAnsi"/>
          <w:iCs/>
          <w:lang w:eastAsia="en-NZ"/>
        </w:rPr>
      </w:pPr>
      <w:r w:rsidRPr="00924999">
        <w:t xml:space="preserve">The Pacific Provider Workforce Development Fund (PPWDF) within this appropriation </w:t>
      </w:r>
      <w:r w:rsidRPr="00924999">
        <w:rPr>
          <w:rFonts w:eastAsiaTheme="minorHAnsi"/>
          <w:lang w:eastAsia="en-NZ"/>
        </w:rPr>
        <w:t xml:space="preserve">aligns with </w:t>
      </w:r>
      <w:r w:rsidR="00C81087">
        <w:rPr>
          <w:rFonts w:eastAsiaTheme="minorHAnsi"/>
          <w:iCs/>
          <w:lang w:eastAsia="en-NZ"/>
        </w:rPr>
        <w:t>’A</w:t>
      </w:r>
      <w:r w:rsidRPr="00924999">
        <w:rPr>
          <w:rFonts w:eastAsiaTheme="minorHAnsi"/>
          <w:iCs/>
          <w:lang w:eastAsia="en-NZ"/>
        </w:rPr>
        <w:t>la Mo</w:t>
      </w:r>
      <w:r w:rsidR="000845D9">
        <w:rPr>
          <w:rFonts w:eastAsiaTheme="minorHAnsi"/>
          <w:iCs/>
          <w:lang w:eastAsia="en-NZ"/>
        </w:rPr>
        <w:t>’</w:t>
      </w:r>
      <w:r w:rsidRPr="00924999">
        <w:rPr>
          <w:rFonts w:eastAsiaTheme="minorHAnsi"/>
          <w:iCs/>
          <w:lang w:eastAsia="en-NZ"/>
        </w:rPr>
        <w:t>ui Pathways to Pacific Health and Wellbeing 2014</w:t>
      </w:r>
      <w:r w:rsidR="00C81087">
        <w:rPr>
          <w:rFonts w:eastAsiaTheme="minorHAnsi"/>
          <w:iCs/>
          <w:lang w:eastAsia="en-NZ"/>
        </w:rPr>
        <w:t>–</w:t>
      </w:r>
      <w:r w:rsidRPr="00924999">
        <w:rPr>
          <w:rFonts w:eastAsiaTheme="minorHAnsi"/>
          <w:iCs/>
          <w:lang w:eastAsia="en-NZ"/>
        </w:rPr>
        <w:t>2018 (</w:t>
      </w:r>
      <w:r w:rsidR="00C81087">
        <w:rPr>
          <w:rFonts w:eastAsiaTheme="minorHAnsi"/>
          <w:iCs/>
          <w:lang w:eastAsia="en-NZ"/>
        </w:rPr>
        <w:t>’A</w:t>
      </w:r>
      <w:r w:rsidRPr="00924999">
        <w:rPr>
          <w:rFonts w:eastAsiaTheme="minorHAnsi"/>
          <w:iCs/>
          <w:lang w:eastAsia="en-NZ"/>
        </w:rPr>
        <w:t>la Mo</w:t>
      </w:r>
      <w:r w:rsidR="000845D9">
        <w:rPr>
          <w:rFonts w:eastAsiaTheme="minorHAnsi"/>
          <w:iCs/>
          <w:lang w:eastAsia="en-NZ"/>
        </w:rPr>
        <w:t>’</w:t>
      </w:r>
      <w:r w:rsidRPr="00924999">
        <w:rPr>
          <w:rFonts w:eastAsiaTheme="minorHAnsi"/>
          <w:iCs/>
          <w:lang w:eastAsia="en-NZ"/>
        </w:rPr>
        <w:t>ui).</w:t>
      </w:r>
    </w:p>
    <w:p w:rsidR="00ED6788" w:rsidRDefault="00ED6788" w:rsidP="00C81087">
      <w:pPr>
        <w:rPr>
          <w:rFonts w:eastAsiaTheme="minorHAnsi"/>
          <w:lang w:eastAsia="en-NZ"/>
        </w:rPr>
      </w:pPr>
    </w:p>
    <w:p w:rsidR="00ED6788" w:rsidRPr="00F8625C" w:rsidRDefault="00ED6788" w:rsidP="00C81087">
      <w:pPr>
        <w:rPr>
          <w:rFonts w:eastAsiaTheme="minorHAnsi"/>
          <w:lang w:eastAsia="en-NZ"/>
        </w:rPr>
      </w:pPr>
      <w:r w:rsidRPr="00924999">
        <w:rPr>
          <w:rFonts w:eastAsiaTheme="minorHAnsi"/>
          <w:lang w:eastAsia="en-NZ"/>
        </w:rPr>
        <w:t>The aims of the PPWDF funds are to:</w:t>
      </w:r>
    </w:p>
    <w:p w:rsidR="00ED6788" w:rsidRPr="00924999" w:rsidRDefault="00ED6788" w:rsidP="00C81087">
      <w:pPr>
        <w:pStyle w:val="Bullet"/>
        <w:rPr>
          <w:lang w:eastAsia="en-NZ"/>
        </w:rPr>
      </w:pPr>
      <w:r>
        <w:rPr>
          <w:rFonts w:eastAsiaTheme="minorHAnsi" w:cstheme="minorBidi"/>
          <w:szCs w:val="22"/>
          <w:lang w:eastAsia="en-NZ"/>
        </w:rPr>
        <w:t>i</w:t>
      </w:r>
      <w:r w:rsidRPr="00924999">
        <w:rPr>
          <w:rFonts w:eastAsiaTheme="minorHAnsi" w:cstheme="minorBidi"/>
          <w:szCs w:val="22"/>
          <w:lang w:eastAsia="en-NZ"/>
        </w:rPr>
        <w:t xml:space="preserve">ncrease the Pacific </w:t>
      </w:r>
      <w:r w:rsidR="001365AC">
        <w:rPr>
          <w:lang w:eastAsia="en-NZ"/>
        </w:rPr>
        <w:t>h</w:t>
      </w:r>
      <w:r w:rsidRPr="00924999">
        <w:rPr>
          <w:lang w:eastAsia="en-NZ"/>
        </w:rPr>
        <w:t>ealth workfo</w:t>
      </w:r>
      <w:r>
        <w:rPr>
          <w:lang w:eastAsia="en-NZ"/>
        </w:rPr>
        <w:t>rce through a pipeline approach</w:t>
      </w:r>
    </w:p>
    <w:p w:rsidR="00ED6788" w:rsidRDefault="00ED6788" w:rsidP="00C81087">
      <w:pPr>
        <w:pStyle w:val="Bullet"/>
        <w:rPr>
          <w:rFonts w:eastAsiaTheme="minorHAnsi" w:cstheme="minorBidi"/>
          <w:szCs w:val="22"/>
          <w:lang w:eastAsia="en-NZ"/>
        </w:rPr>
      </w:pPr>
      <w:r>
        <w:rPr>
          <w:lang w:eastAsia="en-NZ"/>
        </w:rPr>
        <w:t>f</w:t>
      </w:r>
      <w:r w:rsidRPr="00924999">
        <w:rPr>
          <w:lang w:eastAsia="en-NZ"/>
        </w:rPr>
        <w:t>und Pacific health provider collectives with the aim of strengthen</w:t>
      </w:r>
      <w:r w:rsidR="001365AC">
        <w:rPr>
          <w:lang w:eastAsia="en-NZ"/>
        </w:rPr>
        <w:t>ing</w:t>
      </w:r>
      <w:r w:rsidRPr="00924999">
        <w:rPr>
          <w:lang w:eastAsia="en-NZ"/>
        </w:rPr>
        <w:t xml:space="preserve"> Pacific </w:t>
      </w:r>
      <w:r w:rsidR="001365AC">
        <w:rPr>
          <w:lang w:eastAsia="en-NZ"/>
        </w:rPr>
        <w:t>h</w:t>
      </w:r>
      <w:r w:rsidRPr="00924999">
        <w:rPr>
          <w:lang w:eastAsia="en-NZ"/>
        </w:rPr>
        <w:t>ealth providers to be sustainable</w:t>
      </w:r>
      <w:r w:rsidRPr="00924999">
        <w:rPr>
          <w:rFonts w:eastAsiaTheme="minorHAnsi" w:cstheme="minorBidi"/>
          <w:szCs w:val="22"/>
          <w:lang w:eastAsia="en-NZ"/>
        </w:rPr>
        <w:t xml:space="preserve"> and deliver quality health services that best meet the n</w:t>
      </w:r>
      <w:r>
        <w:rPr>
          <w:rFonts w:eastAsiaTheme="minorHAnsi" w:cstheme="minorBidi"/>
          <w:szCs w:val="22"/>
          <w:lang w:eastAsia="en-NZ"/>
        </w:rPr>
        <w:t>eeds of the Pacific communities</w:t>
      </w:r>
    </w:p>
    <w:p w:rsidR="000845D9" w:rsidRDefault="00ED6788" w:rsidP="00C81087">
      <w:pPr>
        <w:pStyle w:val="Bullet"/>
        <w:rPr>
          <w:rFonts w:eastAsiaTheme="minorHAnsi" w:cstheme="minorBidi"/>
          <w:szCs w:val="22"/>
          <w:lang w:eastAsia="en-NZ"/>
        </w:rPr>
      </w:pPr>
      <w:r>
        <w:rPr>
          <w:rFonts w:eastAsiaTheme="minorHAnsi" w:cstheme="minorBidi"/>
          <w:szCs w:val="22"/>
          <w:lang w:eastAsia="en-NZ"/>
        </w:rPr>
        <w:t>f</w:t>
      </w:r>
      <w:r w:rsidRPr="00124CFE">
        <w:rPr>
          <w:rFonts w:eastAsiaTheme="minorHAnsi" w:cstheme="minorBidi"/>
          <w:szCs w:val="22"/>
          <w:lang w:eastAsia="en-NZ"/>
        </w:rPr>
        <w:t xml:space="preserve">und </w:t>
      </w:r>
      <w:r w:rsidR="000B6CAD">
        <w:rPr>
          <w:rFonts w:eastAsiaTheme="minorHAnsi" w:cstheme="minorBidi"/>
          <w:szCs w:val="22"/>
          <w:lang w:eastAsia="en-NZ"/>
        </w:rPr>
        <w:t xml:space="preserve">the </w:t>
      </w:r>
      <w:r w:rsidRPr="00124CFE">
        <w:rPr>
          <w:rFonts w:eastAsiaTheme="minorHAnsi" w:cstheme="minorBidi"/>
          <w:szCs w:val="22"/>
          <w:lang w:eastAsia="en-NZ"/>
        </w:rPr>
        <w:t>Pacific health providers network to strengthen the synergies of activities by Pacific providers as collectives within a region.</w:t>
      </w:r>
    </w:p>
    <w:p w:rsidR="00C81087" w:rsidRDefault="00C81087" w:rsidP="00C81087">
      <w:pPr>
        <w:rPr>
          <w:rFonts w:eastAsiaTheme="minorHAnsi"/>
          <w:lang w:eastAsia="en-NZ"/>
        </w:rPr>
      </w:pPr>
    </w:p>
    <w:p w:rsidR="00ED6788" w:rsidRPr="003756B9" w:rsidRDefault="00ED6788" w:rsidP="00C81087">
      <w:pPr>
        <w:pStyle w:val="Heading3"/>
      </w:pPr>
      <w:r>
        <w:lastRenderedPageBreak/>
        <w:t>Summary of output performance</w:t>
      </w: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89"/>
        <w:gridCol w:w="6118"/>
        <w:gridCol w:w="1033"/>
        <w:gridCol w:w="1115"/>
      </w:tblGrid>
      <w:tr w:rsidR="00ED6788" w:rsidRPr="00E16661" w:rsidTr="00C81087">
        <w:trPr>
          <w:cantSplit/>
          <w:tblHeader/>
        </w:trPr>
        <w:tc>
          <w:tcPr>
            <w:tcW w:w="582" w:type="pct"/>
            <w:tcBorders>
              <w:top w:val="single" w:sz="4" w:space="0" w:color="auto"/>
              <w:bottom w:val="single" w:sz="4" w:space="0" w:color="auto"/>
            </w:tcBorders>
          </w:tcPr>
          <w:p w:rsidR="00ED6788" w:rsidRPr="00E16661" w:rsidRDefault="00ED6788" w:rsidP="00C81087">
            <w:pPr>
              <w:pStyle w:val="TableText"/>
              <w:keepNext/>
              <w:ind w:right="284"/>
              <w:jc w:val="right"/>
              <w:rPr>
                <w:b/>
              </w:rPr>
            </w:pPr>
            <w:r w:rsidRPr="00E16661">
              <w:rPr>
                <w:b/>
              </w:rPr>
              <w:t>Actual 201</w:t>
            </w:r>
            <w:r>
              <w:rPr>
                <w:b/>
              </w:rPr>
              <w:t>3/14</w:t>
            </w:r>
          </w:p>
        </w:tc>
        <w:tc>
          <w:tcPr>
            <w:tcW w:w="3270" w:type="pct"/>
            <w:tcBorders>
              <w:top w:val="single" w:sz="4" w:space="0" w:color="auto"/>
              <w:bottom w:val="single" w:sz="4" w:space="0" w:color="auto"/>
            </w:tcBorders>
          </w:tcPr>
          <w:p w:rsidR="00ED6788" w:rsidRPr="00E16661" w:rsidRDefault="00ED6788" w:rsidP="00C81087">
            <w:pPr>
              <w:pStyle w:val="TableText"/>
              <w:keepNext/>
              <w:rPr>
                <w:b/>
              </w:rPr>
            </w:pPr>
            <w:r w:rsidRPr="00E16661">
              <w:rPr>
                <w:b/>
              </w:rPr>
              <w:t>Performance measure</w:t>
            </w:r>
          </w:p>
        </w:tc>
        <w:tc>
          <w:tcPr>
            <w:tcW w:w="552" w:type="pct"/>
            <w:tcBorders>
              <w:top w:val="single" w:sz="4" w:space="0" w:color="auto"/>
              <w:bottom w:val="single" w:sz="4" w:space="0" w:color="auto"/>
            </w:tcBorders>
          </w:tcPr>
          <w:p w:rsidR="00ED6788" w:rsidRPr="00E16661" w:rsidRDefault="00ED6788" w:rsidP="00C81087">
            <w:pPr>
              <w:pStyle w:val="TableText"/>
              <w:keepN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596" w:type="pct"/>
            <w:tcBorders>
              <w:top w:val="single" w:sz="4" w:space="0" w:color="auto"/>
              <w:bottom w:val="single" w:sz="4" w:space="0" w:color="auto"/>
            </w:tcBorders>
            <w:shd w:val="clear" w:color="auto" w:fill="D9D9D9"/>
          </w:tcPr>
          <w:p w:rsidR="00ED6788" w:rsidRPr="00E16661" w:rsidRDefault="00ED6788" w:rsidP="00C81087">
            <w:pPr>
              <w:pStyle w:val="TableText"/>
              <w:keepN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C81087">
        <w:trPr>
          <w:cantSplit/>
        </w:trPr>
        <w:tc>
          <w:tcPr>
            <w:tcW w:w="582" w:type="pct"/>
            <w:tcBorders>
              <w:top w:val="single" w:sz="4" w:space="0" w:color="auto"/>
            </w:tcBorders>
          </w:tcPr>
          <w:p w:rsidR="00ED6788" w:rsidRPr="002C0E8B" w:rsidRDefault="00ED6788" w:rsidP="00C81087">
            <w:pPr>
              <w:pStyle w:val="TableText"/>
              <w:keepNext/>
              <w:ind w:right="284"/>
              <w:jc w:val="right"/>
              <w:rPr>
                <w:bCs/>
                <w:lang w:eastAsia="en-NZ"/>
              </w:rPr>
            </w:pPr>
          </w:p>
        </w:tc>
        <w:tc>
          <w:tcPr>
            <w:tcW w:w="3270" w:type="pct"/>
            <w:tcBorders>
              <w:top w:val="single" w:sz="4" w:space="0" w:color="auto"/>
            </w:tcBorders>
          </w:tcPr>
          <w:p w:rsidR="00ED6788" w:rsidRPr="00AB69C4" w:rsidRDefault="00ED6788" w:rsidP="00C81087">
            <w:pPr>
              <w:pStyle w:val="TableText"/>
              <w:keepNext/>
              <w:rPr>
                <w:b/>
              </w:rPr>
            </w:pPr>
            <w:r w:rsidRPr="00220DB1">
              <w:rPr>
                <w:b/>
                <w:bCs/>
                <w:lang w:eastAsia="en-NZ"/>
              </w:rPr>
              <w:t>To support the sustainability of viable Māori providers for improving access to, and the quality of</w:t>
            </w:r>
            <w:r w:rsidR="001365AC">
              <w:rPr>
                <w:b/>
                <w:bCs/>
                <w:lang w:eastAsia="en-NZ"/>
              </w:rPr>
              <w:t>,</w:t>
            </w:r>
            <w:r w:rsidRPr="00220DB1">
              <w:rPr>
                <w:b/>
                <w:bCs/>
                <w:lang w:eastAsia="en-NZ"/>
              </w:rPr>
              <w:t xml:space="preserve"> services</w:t>
            </w:r>
          </w:p>
        </w:tc>
        <w:tc>
          <w:tcPr>
            <w:tcW w:w="552" w:type="pct"/>
            <w:tcBorders>
              <w:top w:val="single" w:sz="4" w:space="0" w:color="auto"/>
            </w:tcBorders>
          </w:tcPr>
          <w:p w:rsidR="00ED6788" w:rsidRPr="002C0E8B" w:rsidRDefault="00ED6788" w:rsidP="00C81087">
            <w:pPr>
              <w:pStyle w:val="TableText"/>
              <w:keepNext/>
              <w:ind w:right="142"/>
              <w:jc w:val="right"/>
            </w:pPr>
          </w:p>
        </w:tc>
        <w:tc>
          <w:tcPr>
            <w:tcW w:w="596" w:type="pct"/>
            <w:tcBorders>
              <w:top w:val="single" w:sz="4" w:space="0" w:color="auto"/>
            </w:tcBorders>
            <w:shd w:val="clear" w:color="auto" w:fill="D9D9D9"/>
          </w:tcPr>
          <w:p w:rsidR="00ED6788" w:rsidRPr="002C0E8B" w:rsidRDefault="00ED6788" w:rsidP="00C81087">
            <w:pPr>
              <w:pStyle w:val="TableText"/>
              <w:keepNext/>
              <w:ind w:right="142"/>
              <w:jc w:val="right"/>
            </w:pPr>
          </w:p>
        </w:tc>
      </w:tr>
      <w:tr w:rsidR="00ED6788" w:rsidRPr="002C0E8B" w:rsidTr="00C81087">
        <w:trPr>
          <w:cantSplit/>
        </w:trPr>
        <w:tc>
          <w:tcPr>
            <w:tcW w:w="582" w:type="pct"/>
          </w:tcPr>
          <w:p w:rsidR="00ED6788" w:rsidRPr="002C0E8B" w:rsidRDefault="00ED6788" w:rsidP="00C81087">
            <w:pPr>
              <w:pStyle w:val="TableText"/>
              <w:keepNext/>
              <w:spacing w:before="0"/>
              <w:ind w:right="284"/>
              <w:jc w:val="right"/>
            </w:pPr>
            <w:r>
              <w:t>122</w:t>
            </w:r>
          </w:p>
        </w:tc>
        <w:tc>
          <w:tcPr>
            <w:tcW w:w="3270" w:type="pct"/>
          </w:tcPr>
          <w:p w:rsidR="00ED6788" w:rsidRPr="000A1E1C" w:rsidRDefault="00ED6788" w:rsidP="00C81087">
            <w:pPr>
              <w:pStyle w:val="TableText"/>
              <w:keepNext/>
              <w:spacing w:before="0"/>
            </w:pPr>
            <w:r w:rsidRPr="000A1E1C">
              <w:t>The number of Māori providers receiving funding</w:t>
            </w:r>
          </w:p>
        </w:tc>
        <w:tc>
          <w:tcPr>
            <w:tcW w:w="552" w:type="pct"/>
          </w:tcPr>
          <w:p w:rsidR="00ED6788" w:rsidRPr="000B63D3" w:rsidRDefault="00ED6788" w:rsidP="00C81087">
            <w:pPr>
              <w:pStyle w:val="TableText"/>
              <w:keepNext/>
              <w:spacing w:before="0"/>
              <w:ind w:right="142"/>
              <w:jc w:val="right"/>
            </w:pPr>
            <w:r w:rsidRPr="000B63D3">
              <w:t>&lt;115</w:t>
            </w:r>
          </w:p>
        </w:tc>
        <w:tc>
          <w:tcPr>
            <w:tcW w:w="596" w:type="pct"/>
            <w:shd w:val="clear" w:color="auto" w:fill="D9D9D9"/>
          </w:tcPr>
          <w:p w:rsidR="00ED6788" w:rsidRPr="00487FB0" w:rsidRDefault="00ED6788" w:rsidP="00C81087">
            <w:pPr>
              <w:pStyle w:val="TableText"/>
              <w:keepNext/>
              <w:spacing w:before="0"/>
              <w:ind w:right="142"/>
              <w:jc w:val="right"/>
            </w:pPr>
            <w:r w:rsidRPr="00487FB0">
              <w:t>11</w:t>
            </w:r>
            <w:r>
              <w:t>3</w:t>
            </w:r>
          </w:p>
        </w:tc>
      </w:tr>
      <w:tr w:rsidR="00ED6788" w:rsidRPr="002C0E8B" w:rsidTr="00C81087">
        <w:trPr>
          <w:cantSplit/>
        </w:trPr>
        <w:tc>
          <w:tcPr>
            <w:tcW w:w="582" w:type="pct"/>
          </w:tcPr>
          <w:p w:rsidR="00ED6788" w:rsidRPr="002C0E8B" w:rsidRDefault="00ED6788" w:rsidP="00C81087">
            <w:pPr>
              <w:pStyle w:val="TableText"/>
              <w:keepNext/>
              <w:ind w:right="284"/>
              <w:jc w:val="right"/>
            </w:pPr>
          </w:p>
        </w:tc>
        <w:tc>
          <w:tcPr>
            <w:tcW w:w="3270" w:type="pct"/>
          </w:tcPr>
          <w:p w:rsidR="00ED6788" w:rsidRPr="00606795" w:rsidRDefault="00ED6788" w:rsidP="00C81087">
            <w:pPr>
              <w:pStyle w:val="TableText"/>
              <w:keepNext/>
              <w:rPr>
                <w:b/>
                <w:i/>
              </w:rPr>
            </w:pPr>
            <w:r w:rsidRPr="00606795">
              <w:rPr>
                <w:b/>
                <w:i/>
              </w:rPr>
              <w:t>To recruit and retain Māori health professionals onto a health career pathway</w:t>
            </w:r>
          </w:p>
        </w:tc>
        <w:tc>
          <w:tcPr>
            <w:tcW w:w="552" w:type="pct"/>
          </w:tcPr>
          <w:p w:rsidR="00ED6788" w:rsidRPr="000B63D3" w:rsidRDefault="00ED6788" w:rsidP="00C81087">
            <w:pPr>
              <w:pStyle w:val="TableText"/>
              <w:keepNext/>
              <w:ind w:right="142"/>
              <w:jc w:val="right"/>
            </w:pPr>
          </w:p>
        </w:tc>
        <w:tc>
          <w:tcPr>
            <w:tcW w:w="596" w:type="pct"/>
            <w:shd w:val="clear" w:color="auto" w:fill="D9D9D9"/>
          </w:tcPr>
          <w:p w:rsidR="00ED6788" w:rsidRPr="00487FB0" w:rsidRDefault="00ED6788" w:rsidP="00C81087">
            <w:pPr>
              <w:pStyle w:val="TableText"/>
              <w:keepNext/>
              <w:ind w:right="142"/>
              <w:jc w:val="right"/>
            </w:pPr>
          </w:p>
        </w:tc>
      </w:tr>
      <w:tr w:rsidR="00ED6788" w:rsidRPr="002C0E8B" w:rsidTr="00C81087">
        <w:trPr>
          <w:cantSplit/>
        </w:trPr>
        <w:tc>
          <w:tcPr>
            <w:tcW w:w="582" w:type="pct"/>
          </w:tcPr>
          <w:p w:rsidR="00ED6788" w:rsidRDefault="00ED6788" w:rsidP="00C81087">
            <w:pPr>
              <w:pStyle w:val="TableText"/>
              <w:keepNext/>
              <w:spacing w:before="0"/>
              <w:ind w:right="284"/>
              <w:jc w:val="right"/>
            </w:pPr>
            <w:r>
              <w:t>535</w:t>
            </w:r>
          </w:p>
        </w:tc>
        <w:tc>
          <w:tcPr>
            <w:tcW w:w="3270" w:type="pct"/>
          </w:tcPr>
          <w:p w:rsidR="00ED6788" w:rsidRPr="000A1E1C" w:rsidRDefault="00ED6788" w:rsidP="00C81087">
            <w:pPr>
              <w:pStyle w:val="TableText"/>
              <w:keepNext/>
              <w:spacing w:before="0"/>
            </w:pPr>
            <w:r w:rsidRPr="000A1E1C">
              <w:t>The number of students funded by Hauora Māori Scholarships</w:t>
            </w:r>
          </w:p>
        </w:tc>
        <w:tc>
          <w:tcPr>
            <w:tcW w:w="552" w:type="pct"/>
          </w:tcPr>
          <w:p w:rsidR="00ED6788" w:rsidRPr="000B63D3" w:rsidRDefault="00ED6788" w:rsidP="00C81087">
            <w:pPr>
              <w:pStyle w:val="TableText"/>
              <w:keepNext/>
              <w:spacing w:before="0"/>
              <w:ind w:right="142"/>
              <w:jc w:val="right"/>
            </w:pPr>
            <w:r w:rsidRPr="000B63D3">
              <w:t>520</w:t>
            </w:r>
          </w:p>
        </w:tc>
        <w:tc>
          <w:tcPr>
            <w:tcW w:w="596" w:type="pct"/>
            <w:shd w:val="clear" w:color="auto" w:fill="D9D9D9"/>
          </w:tcPr>
          <w:p w:rsidR="00ED6788" w:rsidRPr="00487FB0" w:rsidRDefault="00ED6788" w:rsidP="00C81087">
            <w:pPr>
              <w:pStyle w:val="TableText"/>
              <w:keepNext/>
              <w:spacing w:before="0"/>
              <w:ind w:right="142"/>
              <w:jc w:val="right"/>
            </w:pPr>
            <w:r>
              <w:t>586</w:t>
            </w:r>
          </w:p>
        </w:tc>
      </w:tr>
      <w:tr w:rsidR="00ED6788" w:rsidRPr="002C0E8B" w:rsidTr="00C81087">
        <w:trPr>
          <w:cantSplit/>
        </w:trPr>
        <w:tc>
          <w:tcPr>
            <w:tcW w:w="582" w:type="pct"/>
          </w:tcPr>
          <w:p w:rsidR="00ED6788" w:rsidRPr="002C0E8B" w:rsidRDefault="00ED6788" w:rsidP="00C25CC8">
            <w:pPr>
              <w:pStyle w:val="TableText"/>
              <w:ind w:right="284"/>
              <w:jc w:val="right"/>
            </w:pPr>
          </w:p>
        </w:tc>
        <w:tc>
          <w:tcPr>
            <w:tcW w:w="3270" w:type="pct"/>
          </w:tcPr>
          <w:p w:rsidR="00ED6788" w:rsidRPr="00606795" w:rsidRDefault="00ED6788" w:rsidP="001365AC">
            <w:pPr>
              <w:pStyle w:val="TableText"/>
              <w:rPr>
                <w:b/>
                <w:i/>
              </w:rPr>
            </w:pPr>
            <w:r w:rsidRPr="00606795">
              <w:rPr>
                <w:b/>
                <w:i/>
              </w:rPr>
              <w:t>Māori Innovation Fund</w:t>
            </w:r>
          </w:p>
        </w:tc>
        <w:tc>
          <w:tcPr>
            <w:tcW w:w="552" w:type="pct"/>
          </w:tcPr>
          <w:p w:rsidR="00ED6788" w:rsidRPr="000B63D3" w:rsidRDefault="00ED6788" w:rsidP="00C25CC8">
            <w:pPr>
              <w:pStyle w:val="TableText"/>
              <w:ind w:right="142"/>
              <w:jc w:val="right"/>
            </w:pPr>
          </w:p>
        </w:tc>
        <w:tc>
          <w:tcPr>
            <w:tcW w:w="596" w:type="pct"/>
            <w:shd w:val="clear" w:color="auto" w:fill="D9D9D9"/>
          </w:tcPr>
          <w:p w:rsidR="00ED6788" w:rsidRPr="00487FB0" w:rsidRDefault="00ED6788" w:rsidP="00C25CC8">
            <w:pPr>
              <w:pStyle w:val="TableText"/>
              <w:ind w:right="142"/>
              <w:jc w:val="right"/>
            </w:pPr>
          </w:p>
        </w:tc>
      </w:tr>
      <w:tr w:rsidR="00ED6788" w:rsidRPr="002C0E8B" w:rsidTr="00C81087">
        <w:trPr>
          <w:cantSplit/>
        </w:trPr>
        <w:tc>
          <w:tcPr>
            <w:tcW w:w="582" w:type="pct"/>
          </w:tcPr>
          <w:p w:rsidR="00ED6788" w:rsidRPr="002C0E8B" w:rsidRDefault="00ED6788" w:rsidP="00C81087">
            <w:pPr>
              <w:pStyle w:val="TableText"/>
              <w:spacing w:before="0"/>
              <w:ind w:right="284"/>
              <w:jc w:val="right"/>
            </w:pPr>
            <w:r>
              <w:t>100%</w:t>
            </w:r>
          </w:p>
        </w:tc>
        <w:tc>
          <w:tcPr>
            <w:tcW w:w="3270" w:type="pct"/>
          </w:tcPr>
          <w:p w:rsidR="00ED6788" w:rsidRPr="000A1E1C" w:rsidRDefault="00ED6788" w:rsidP="00C81087">
            <w:pPr>
              <w:pStyle w:val="TableText"/>
              <w:spacing w:before="0"/>
            </w:pPr>
            <w:r w:rsidRPr="000A1E1C">
              <w:t>Percentage of programmes monitored and identified with successful models of innovation</w:t>
            </w:r>
          </w:p>
        </w:tc>
        <w:tc>
          <w:tcPr>
            <w:tcW w:w="552" w:type="pct"/>
          </w:tcPr>
          <w:p w:rsidR="00ED6788" w:rsidRPr="000B63D3" w:rsidRDefault="00ED6788" w:rsidP="00C81087">
            <w:pPr>
              <w:pStyle w:val="TableText"/>
              <w:spacing w:before="0"/>
              <w:ind w:right="142"/>
              <w:jc w:val="right"/>
            </w:pPr>
            <w:r w:rsidRPr="000B63D3">
              <w:t>100%</w:t>
            </w:r>
          </w:p>
        </w:tc>
        <w:tc>
          <w:tcPr>
            <w:tcW w:w="596" w:type="pct"/>
            <w:shd w:val="clear" w:color="auto" w:fill="D9D9D9"/>
          </w:tcPr>
          <w:p w:rsidR="00ED6788" w:rsidRPr="00591E5F" w:rsidRDefault="00ED6788" w:rsidP="00C81087">
            <w:pPr>
              <w:pStyle w:val="TableText"/>
              <w:spacing w:before="0"/>
              <w:ind w:right="142"/>
              <w:jc w:val="right"/>
              <w:rPr>
                <w:highlight w:val="yellow"/>
              </w:rPr>
            </w:pPr>
            <w:r w:rsidRPr="00F8625C">
              <w:t>100%</w:t>
            </w:r>
          </w:p>
        </w:tc>
      </w:tr>
      <w:tr w:rsidR="00ED6788" w:rsidRPr="002C0E8B" w:rsidTr="00C81087">
        <w:trPr>
          <w:cantSplit/>
        </w:trPr>
        <w:tc>
          <w:tcPr>
            <w:tcW w:w="582" w:type="pct"/>
          </w:tcPr>
          <w:p w:rsidR="00ED6788" w:rsidRDefault="00ED6788" w:rsidP="00C81087">
            <w:pPr>
              <w:pStyle w:val="TableText"/>
              <w:spacing w:before="0"/>
              <w:ind w:right="284"/>
              <w:jc w:val="right"/>
            </w:pPr>
            <w:r>
              <w:t>100%</w:t>
            </w:r>
          </w:p>
        </w:tc>
        <w:tc>
          <w:tcPr>
            <w:tcW w:w="3270" w:type="pct"/>
          </w:tcPr>
          <w:p w:rsidR="00ED6788" w:rsidRPr="000A1E1C" w:rsidRDefault="00ED6788" w:rsidP="00C81087">
            <w:pPr>
              <w:pStyle w:val="TableText"/>
              <w:spacing w:before="0"/>
            </w:pPr>
            <w:r w:rsidRPr="000A1E1C">
              <w:t>Percentage of six-monthly reports reviewed against contracted deliverables</w:t>
            </w:r>
          </w:p>
        </w:tc>
        <w:tc>
          <w:tcPr>
            <w:tcW w:w="552" w:type="pct"/>
          </w:tcPr>
          <w:p w:rsidR="00ED6788" w:rsidRPr="000B63D3" w:rsidRDefault="00ED6788" w:rsidP="00C81087">
            <w:pPr>
              <w:pStyle w:val="TableText"/>
              <w:spacing w:before="0"/>
              <w:ind w:right="142"/>
              <w:jc w:val="right"/>
            </w:pPr>
            <w:r w:rsidRPr="000B63D3">
              <w:t>100%</w:t>
            </w:r>
          </w:p>
        </w:tc>
        <w:tc>
          <w:tcPr>
            <w:tcW w:w="596" w:type="pct"/>
            <w:shd w:val="clear" w:color="auto" w:fill="D9D9D9"/>
          </w:tcPr>
          <w:p w:rsidR="00ED6788" w:rsidRPr="00591E5F" w:rsidRDefault="00ED6788" w:rsidP="00C81087">
            <w:pPr>
              <w:pStyle w:val="TableText"/>
              <w:spacing w:before="0"/>
              <w:ind w:right="142"/>
              <w:jc w:val="right"/>
              <w:rPr>
                <w:highlight w:val="yellow"/>
              </w:rPr>
            </w:pPr>
            <w:r w:rsidRPr="00F8625C">
              <w:t>100%</w:t>
            </w:r>
          </w:p>
        </w:tc>
      </w:tr>
      <w:tr w:rsidR="00ED6788" w:rsidRPr="002C0E8B" w:rsidTr="00C81087">
        <w:trPr>
          <w:cantSplit/>
        </w:trPr>
        <w:tc>
          <w:tcPr>
            <w:tcW w:w="582" w:type="pct"/>
            <w:tcBorders>
              <w:bottom w:val="single" w:sz="4" w:space="0" w:color="A6A6A6" w:themeColor="background1" w:themeShade="A6"/>
            </w:tcBorders>
          </w:tcPr>
          <w:p w:rsidR="00ED6788" w:rsidRDefault="00ED6788" w:rsidP="00C81087">
            <w:pPr>
              <w:pStyle w:val="TableText"/>
              <w:spacing w:before="0"/>
              <w:ind w:right="284"/>
              <w:jc w:val="right"/>
            </w:pPr>
            <w:r>
              <w:t>100%</w:t>
            </w:r>
          </w:p>
        </w:tc>
        <w:tc>
          <w:tcPr>
            <w:tcW w:w="3270" w:type="pct"/>
            <w:tcBorders>
              <w:bottom w:val="single" w:sz="4" w:space="0" w:color="A6A6A6" w:themeColor="background1" w:themeShade="A6"/>
            </w:tcBorders>
          </w:tcPr>
          <w:p w:rsidR="00ED6788" w:rsidRDefault="00ED6788" w:rsidP="001365AC">
            <w:pPr>
              <w:pStyle w:val="TableText"/>
              <w:spacing w:before="0"/>
            </w:pPr>
            <w:r w:rsidRPr="000A1E1C">
              <w:t xml:space="preserve">Monitoring reports within </w:t>
            </w:r>
            <w:r w:rsidR="001365AC">
              <w:t>four</w:t>
            </w:r>
            <w:r w:rsidRPr="000A1E1C">
              <w:t xml:space="preserve"> weeks of date for submission to Ministry</w:t>
            </w:r>
          </w:p>
        </w:tc>
        <w:tc>
          <w:tcPr>
            <w:tcW w:w="552" w:type="pct"/>
            <w:tcBorders>
              <w:bottom w:val="single" w:sz="4" w:space="0" w:color="A6A6A6" w:themeColor="background1" w:themeShade="A6"/>
            </w:tcBorders>
          </w:tcPr>
          <w:p w:rsidR="00ED6788" w:rsidRDefault="00ED6788" w:rsidP="00C81087">
            <w:pPr>
              <w:pStyle w:val="TableText"/>
              <w:spacing w:before="0"/>
              <w:ind w:right="142"/>
              <w:jc w:val="right"/>
            </w:pPr>
            <w:r w:rsidRPr="000B63D3">
              <w:t>100%</w:t>
            </w:r>
          </w:p>
        </w:tc>
        <w:tc>
          <w:tcPr>
            <w:tcW w:w="596" w:type="pct"/>
            <w:tcBorders>
              <w:bottom w:val="single" w:sz="4" w:space="0" w:color="A6A6A6" w:themeColor="background1" w:themeShade="A6"/>
            </w:tcBorders>
            <w:shd w:val="clear" w:color="auto" w:fill="D9D9D9"/>
          </w:tcPr>
          <w:p w:rsidR="00ED6788" w:rsidRPr="00591E5F" w:rsidRDefault="00ED6788" w:rsidP="00C81087">
            <w:pPr>
              <w:pStyle w:val="TableText"/>
              <w:spacing w:before="0"/>
              <w:ind w:right="142"/>
              <w:jc w:val="right"/>
              <w:rPr>
                <w:highlight w:val="yellow"/>
              </w:rPr>
            </w:pPr>
            <w:r w:rsidRPr="00F8625C">
              <w:t>100%</w:t>
            </w:r>
          </w:p>
        </w:tc>
      </w:tr>
      <w:tr w:rsidR="00ED6788" w:rsidRPr="002C0E8B" w:rsidTr="00C81087">
        <w:trPr>
          <w:cantSplit/>
        </w:trPr>
        <w:tc>
          <w:tcPr>
            <w:tcW w:w="582" w:type="pct"/>
            <w:tcBorders>
              <w:top w:val="single" w:sz="4" w:space="0" w:color="A6A6A6" w:themeColor="background1" w:themeShade="A6"/>
              <w:bottom w:val="nil"/>
            </w:tcBorders>
          </w:tcPr>
          <w:p w:rsidR="00ED6788" w:rsidRPr="002C0E8B" w:rsidRDefault="00ED6788" w:rsidP="00C25CC8">
            <w:pPr>
              <w:pStyle w:val="TableText"/>
              <w:ind w:right="284"/>
              <w:jc w:val="right"/>
              <w:rPr>
                <w:bCs/>
                <w:lang w:eastAsia="en-NZ"/>
              </w:rPr>
            </w:pPr>
          </w:p>
        </w:tc>
        <w:tc>
          <w:tcPr>
            <w:tcW w:w="3270" w:type="pct"/>
            <w:tcBorders>
              <w:top w:val="single" w:sz="4" w:space="0" w:color="A6A6A6" w:themeColor="background1" w:themeShade="A6"/>
              <w:bottom w:val="nil"/>
            </w:tcBorders>
          </w:tcPr>
          <w:p w:rsidR="00ED6788" w:rsidRPr="00AB69C4" w:rsidRDefault="00ED6788" w:rsidP="00C25CC8">
            <w:pPr>
              <w:pStyle w:val="TableText"/>
              <w:rPr>
                <w:b/>
              </w:rPr>
            </w:pPr>
            <w:r w:rsidRPr="00606795">
              <w:rPr>
                <w:b/>
                <w:bCs/>
                <w:lang w:eastAsia="en-NZ"/>
              </w:rPr>
              <w:t>To support the sustainability of viable Pacific providers for improving access to</w:t>
            </w:r>
            <w:r w:rsidR="001365AC">
              <w:rPr>
                <w:b/>
                <w:bCs/>
                <w:lang w:eastAsia="en-NZ"/>
              </w:rPr>
              <w:t>,</w:t>
            </w:r>
            <w:r w:rsidRPr="00606795">
              <w:rPr>
                <w:b/>
                <w:bCs/>
                <w:lang w:eastAsia="en-NZ"/>
              </w:rPr>
              <w:t xml:space="preserve"> and the quality of</w:t>
            </w:r>
            <w:r w:rsidR="001365AC">
              <w:rPr>
                <w:b/>
                <w:bCs/>
                <w:lang w:eastAsia="en-NZ"/>
              </w:rPr>
              <w:t>,</w:t>
            </w:r>
            <w:r w:rsidRPr="00606795">
              <w:rPr>
                <w:b/>
                <w:bCs/>
                <w:lang w:eastAsia="en-NZ"/>
              </w:rPr>
              <w:t xml:space="preserve"> services</w:t>
            </w:r>
          </w:p>
        </w:tc>
        <w:tc>
          <w:tcPr>
            <w:tcW w:w="552" w:type="pct"/>
            <w:tcBorders>
              <w:top w:val="single" w:sz="4" w:space="0" w:color="A6A6A6" w:themeColor="background1" w:themeShade="A6"/>
              <w:bottom w:val="nil"/>
            </w:tcBorders>
          </w:tcPr>
          <w:p w:rsidR="00ED6788" w:rsidRPr="002C0E8B" w:rsidRDefault="00ED6788" w:rsidP="00C25CC8">
            <w:pPr>
              <w:pStyle w:val="TableText"/>
              <w:ind w:right="142"/>
              <w:jc w:val="right"/>
            </w:pPr>
          </w:p>
        </w:tc>
        <w:tc>
          <w:tcPr>
            <w:tcW w:w="596" w:type="pct"/>
            <w:tcBorders>
              <w:top w:val="single" w:sz="4" w:space="0" w:color="A6A6A6" w:themeColor="background1" w:themeShade="A6"/>
              <w:bottom w:val="nil"/>
            </w:tcBorders>
            <w:shd w:val="clear" w:color="auto" w:fill="D9D9D9"/>
          </w:tcPr>
          <w:p w:rsidR="00ED6788" w:rsidRPr="002C0E8B" w:rsidRDefault="00ED6788" w:rsidP="00C25CC8">
            <w:pPr>
              <w:pStyle w:val="TableText"/>
              <w:ind w:right="142"/>
              <w:jc w:val="right"/>
            </w:pPr>
          </w:p>
        </w:tc>
      </w:tr>
      <w:tr w:rsidR="00ED6788" w:rsidRPr="002C0E8B" w:rsidTr="00C81087">
        <w:trPr>
          <w:cantSplit/>
        </w:trPr>
        <w:tc>
          <w:tcPr>
            <w:tcW w:w="582" w:type="pct"/>
            <w:tcBorders>
              <w:top w:val="nil"/>
            </w:tcBorders>
          </w:tcPr>
          <w:p w:rsidR="00ED6788" w:rsidRPr="002C0E8B" w:rsidRDefault="00ED6788" w:rsidP="001365AC">
            <w:pPr>
              <w:pStyle w:val="TableText"/>
              <w:spacing w:before="0"/>
              <w:ind w:right="284"/>
              <w:jc w:val="right"/>
            </w:pPr>
          </w:p>
        </w:tc>
        <w:tc>
          <w:tcPr>
            <w:tcW w:w="3270" w:type="pct"/>
            <w:tcBorders>
              <w:top w:val="nil"/>
            </w:tcBorders>
          </w:tcPr>
          <w:p w:rsidR="00ED6788" w:rsidRPr="002C0E8B" w:rsidRDefault="00ED6788" w:rsidP="001365AC">
            <w:pPr>
              <w:pStyle w:val="TableText"/>
              <w:spacing w:before="0"/>
            </w:pPr>
            <w:r w:rsidRPr="00606795">
              <w:t xml:space="preserve">Pacific providers are supported to improve access and service delivery to the Pacific </w:t>
            </w:r>
            <w:r w:rsidR="001365AC">
              <w:t>c</w:t>
            </w:r>
            <w:r w:rsidRPr="00606795">
              <w:t>ommunities they serve:</w:t>
            </w:r>
          </w:p>
        </w:tc>
        <w:tc>
          <w:tcPr>
            <w:tcW w:w="552" w:type="pct"/>
            <w:tcBorders>
              <w:top w:val="nil"/>
            </w:tcBorders>
          </w:tcPr>
          <w:p w:rsidR="00ED6788" w:rsidRPr="002C0E8B" w:rsidRDefault="00ED6788" w:rsidP="001365AC">
            <w:pPr>
              <w:pStyle w:val="TableText"/>
              <w:spacing w:before="0"/>
              <w:ind w:right="142"/>
              <w:jc w:val="right"/>
            </w:pPr>
          </w:p>
        </w:tc>
        <w:tc>
          <w:tcPr>
            <w:tcW w:w="596" w:type="pct"/>
            <w:tcBorders>
              <w:top w:val="nil"/>
            </w:tcBorders>
            <w:shd w:val="clear" w:color="auto" w:fill="D9D9D9"/>
          </w:tcPr>
          <w:p w:rsidR="00ED6788" w:rsidRPr="00D155EF" w:rsidRDefault="00ED6788" w:rsidP="001365AC">
            <w:pPr>
              <w:pStyle w:val="TableText"/>
              <w:spacing w:before="0"/>
              <w:ind w:right="142"/>
              <w:jc w:val="right"/>
            </w:pPr>
          </w:p>
        </w:tc>
      </w:tr>
      <w:tr w:rsidR="00ED6788" w:rsidRPr="002C0E8B" w:rsidTr="00C81087">
        <w:trPr>
          <w:cantSplit/>
        </w:trPr>
        <w:tc>
          <w:tcPr>
            <w:tcW w:w="582" w:type="pct"/>
          </w:tcPr>
          <w:p w:rsidR="00ED6788" w:rsidRPr="00E642DE" w:rsidRDefault="00ED6788" w:rsidP="00C81087">
            <w:pPr>
              <w:pStyle w:val="TableText"/>
              <w:spacing w:before="0"/>
              <w:ind w:right="284"/>
              <w:jc w:val="right"/>
              <w:rPr>
                <w:highlight w:val="yellow"/>
              </w:rPr>
            </w:pPr>
            <w:r w:rsidRPr="009D1C8D">
              <w:t>New</w:t>
            </w:r>
          </w:p>
        </w:tc>
        <w:tc>
          <w:tcPr>
            <w:tcW w:w="3270" w:type="pct"/>
          </w:tcPr>
          <w:p w:rsidR="00ED6788" w:rsidRDefault="00ED6788" w:rsidP="00C81087">
            <w:pPr>
              <w:pStyle w:val="TableBullet"/>
            </w:pPr>
            <w:r>
              <w:t>The Pacific Provider Collectives receive funding in Auckland, Midlands, Wellington and South Island regions</w:t>
            </w:r>
          </w:p>
        </w:tc>
        <w:tc>
          <w:tcPr>
            <w:tcW w:w="552" w:type="pct"/>
          </w:tcPr>
          <w:p w:rsidR="00ED6788" w:rsidRPr="00E231BE" w:rsidRDefault="00ED6788" w:rsidP="00C81087">
            <w:pPr>
              <w:pStyle w:val="TableText"/>
              <w:spacing w:before="0"/>
              <w:ind w:right="142"/>
              <w:jc w:val="right"/>
            </w:pPr>
            <w:r>
              <w:t>4</w:t>
            </w:r>
          </w:p>
        </w:tc>
        <w:tc>
          <w:tcPr>
            <w:tcW w:w="596" w:type="pct"/>
            <w:shd w:val="clear" w:color="auto" w:fill="D9D9D9"/>
          </w:tcPr>
          <w:p w:rsidR="00ED6788" w:rsidRDefault="00ED6788" w:rsidP="00C81087">
            <w:pPr>
              <w:pStyle w:val="TableText"/>
              <w:spacing w:before="0"/>
              <w:ind w:right="142"/>
              <w:jc w:val="right"/>
            </w:pPr>
            <w:r>
              <w:t>4</w:t>
            </w:r>
          </w:p>
        </w:tc>
      </w:tr>
      <w:tr w:rsidR="00ED6788" w:rsidRPr="002C0E8B" w:rsidTr="00C81087">
        <w:trPr>
          <w:cantSplit/>
        </w:trPr>
        <w:tc>
          <w:tcPr>
            <w:tcW w:w="582" w:type="pct"/>
          </w:tcPr>
          <w:p w:rsidR="00ED6788" w:rsidRPr="00E642DE" w:rsidRDefault="00ED6788" w:rsidP="00C81087">
            <w:pPr>
              <w:pStyle w:val="TableText"/>
              <w:spacing w:before="0"/>
              <w:ind w:right="284"/>
              <w:jc w:val="right"/>
              <w:rPr>
                <w:highlight w:val="yellow"/>
              </w:rPr>
            </w:pPr>
            <w:r w:rsidRPr="009D1C8D">
              <w:t>New</w:t>
            </w:r>
          </w:p>
        </w:tc>
        <w:tc>
          <w:tcPr>
            <w:tcW w:w="3270" w:type="pct"/>
          </w:tcPr>
          <w:p w:rsidR="00ED6788" w:rsidRDefault="00ED6788" w:rsidP="001365AC">
            <w:pPr>
              <w:pStyle w:val="TableBullet"/>
            </w:pPr>
            <w:r>
              <w:t xml:space="preserve">The Pacific Collectives cover a percentage of Pacific </w:t>
            </w:r>
            <w:r w:rsidR="001365AC">
              <w:t>p</w:t>
            </w:r>
            <w:r>
              <w:t>roviders in their regions that is not less than</w:t>
            </w:r>
          </w:p>
        </w:tc>
        <w:tc>
          <w:tcPr>
            <w:tcW w:w="552" w:type="pct"/>
          </w:tcPr>
          <w:p w:rsidR="00ED6788" w:rsidRPr="00E231BE" w:rsidRDefault="00ED6788" w:rsidP="00C81087">
            <w:pPr>
              <w:pStyle w:val="TableText"/>
              <w:spacing w:before="0"/>
              <w:ind w:right="142"/>
              <w:jc w:val="right"/>
            </w:pPr>
            <w:r w:rsidRPr="00606795">
              <w:t>80%</w:t>
            </w:r>
          </w:p>
        </w:tc>
        <w:tc>
          <w:tcPr>
            <w:tcW w:w="596" w:type="pct"/>
            <w:shd w:val="clear" w:color="auto" w:fill="D9D9D9"/>
          </w:tcPr>
          <w:p w:rsidR="00ED6788" w:rsidRDefault="00ED6788" w:rsidP="00C81087">
            <w:pPr>
              <w:pStyle w:val="TableText"/>
              <w:spacing w:before="0"/>
              <w:ind w:right="142"/>
              <w:jc w:val="right"/>
            </w:pPr>
            <w:r>
              <w:t>80%</w:t>
            </w:r>
          </w:p>
        </w:tc>
      </w:tr>
      <w:tr w:rsidR="00ED6788" w:rsidRPr="002C0E8B" w:rsidTr="00C81087">
        <w:trPr>
          <w:cantSplit/>
        </w:trPr>
        <w:tc>
          <w:tcPr>
            <w:tcW w:w="582" w:type="pct"/>
          </w:tcPr>
          <w:p w:rsidR="00ED6788" w:rsidRDefault="00ED6788" w:rsidP="00C81087">
            <w:pPr>
              <w:pStyle w:val="TableText"/>
              <w:jc w:val="right"/>
            </w:pPr>
          </w:p>
        </w:tc>
        <w:tc>
          <w:tcPr>
            <w:tcW w:w="3270" w:type="pct"/>
          </w:tcPr>
          <w:p w:rsidR="00ED6788" w:rsidRPr="007E4DFA" w:rsidRDefault="00ED6788" w:rsidP="00C81087">
            <w:pPr>
              <w:pStyle w:val="TableText"/>
            </w:pPr>
            <w:r w:rsidRPr="007E4DFA">
              <w:t>To recruit and retain Pacific health professionals onto a health career pathway:</w:t>
            </w:r>
          </w:p>
        </w:tc>
        <w:tc>
          <w:tcPr>
            <w:tcW w:w="552" w:type="pct"/>
          </w:tcPr>
          <w:p w:rsidR="00ED6788" w:rsidRPr="00E231BE" w:rsidRDefault="00ED6788" w:rsidP="00C25CC8">
            <w:pPr>
              <w:pStyle w:val="TableText"/>
              <w:ind w:right="142"/>
              <w:jc w:val="right"/>
            </w:pPr>
          </w:p>
        </w:tc>
        <w:tc>
          <w:tcPr>
            <w:tcW w:w="596" w:type="pct"/>
            <w:shd w:val="clear" w:color="auto" w:fill="D9D9D9"/>
          </w:tcPr>
          <w:p w:rsidR="00ED6788" w:rsidRDefault="00ED6788" w:rsidP="00C25CC8">
            <w:pPr>
              <w:pStyle w:val="TableText"/>
              <w:ind w:right="142"/>
              <w:jc w:val="right"/>
            </w:pPr>
          </w:p>
        </w:tc>
      </w:tr>
      <w:tr w:rsidR="00ED6788" w:rsidRPr="002C0E8B" w:rsidTr="00C81087">
        <w:trPr>
          <w:cantSplit/>
        </w:trPr>
        <w:tc>
          <w:tcPr>
            <w:tcW w:w="582" w:type="pct"/>
          </w:tcPr>
          <w:p w:rsidR="00ED6788" w:rsidRDefault="00ED6788" w:rsidP="00C81087">
            <w:pPr>
              <w:pStyle w:val="TableText"/>
              <w:spacing w:before="0"/>
              <w:ind w:right="284"/>
              <w:jc w:val="right"/>
            </w:pPr>
            <w:r>
              <w:t>185</w:t>
            </w:r>
          </w:p>
        </w:tc>
        <w:tc>
          <w:tcPr>
            <w:tcW w:w="3270" w:type="pct"/>
          </w:tcPr>
          <w:p w:rsidR="00ED6788" w:rsidRDefault="00ED6788" w:rsidP="00C81087">
            <w:pPr>
              <w:pStyle w:val="TableBullet"/>
            </w:pPr>
            <w:r>
              <w:t>The number of students funded is at least</w:t>
            </w:r>
          </w:p>
        </w:tc>
        <w:tc>
          <w:tcPr>
            <w:tcW w:w="552" w:type="pct"/>
          </w:tcPr>
          <w:p w:rsidR="00ED6788" w:rsidRPr="003E7A55" w:rsidRDefault="00ED6788" w:rsidP="00C81087">
            <w:pPr>
              <w:pStyle w:val="TableText"/>
              <w:spacing w:before="0"/>
              <w:ind w:right="142"/>
              <w:jc w:val="right"/>
            </w:pPr>
            <w:r w:rsidRPr="003E7A55">
              <w:t>180</w:t>
            </w:r>
          </w:p>
        </w:tc>
        <w:tc>
          <w:tcPr>
            <w:tcW w:w="596" w:type="pct"/>
            <w:shd w:val="clear" w:color="auto" w:fill="D9D9D9"/>
          </w:tcPr>
          <w:p w:rsidR="00ED6788" w:rsidRDefault="00ED6788" w:rsidP="00C81087">
            <w:pPr>
              <w:pStyle w:val="TableText"/>
              <w:spacing w:before="0"/>
              <w:ind w:right="142"/>
              <w:jc w:val="right"/>
            </w:pPr>
            <w:r>
              <w:t>118</w:t>
            </w:r>
          </w:p>
        </w:tc>
      </w:tr>
      <w:tr w:rsidR="00ED6788" w:rsidRPr="002C0E8B" w:rsidTr="00C81087">
        <w:trPr>
          <w:cantSplit/>
        </w:trPr>
        <w:tc>
          <w:tcPr>
            <w:tcW w:w="582" w:type="pct"/>
          </w:tcPr>
          <w:p w:rsidR="00ED6788" w:rsidRDefault="00ED6788" w:rsidP="00C81087">
            <w:pPr>
              <w:pStyle w:val="TableText"/>
              <w:spacing w:before="0"/>
              <w:ind w:right="284"/>
              <w:jc w:val="right"/>
            </w:pPr>
            <w:r>
              <w:t>100%</w:t>
            </w:r>
          </w:p>
        </w:tc>
        <w:tc>
          <w:tcPr>
            <w:tcW w:w="3270" w:type="pct"/>
          </w:tcPr>
          <w:p w:rsidR="00ED6788" w:rsidRDefault="00ED6788" w:rsidP="001365AC">
            <w:pPr>
              <w:pStyle w:val="TableBullet"/>
            </w:pPr>
            <w:r>
              <w:t>The percentage of pass rate for students doing Pacific Foundation Science course and achiev</w:t>
            </w:r>
            <w:r w:rsidR="001365AC">
              <w:t>ing</w:t>
            </w:r>
            <w:r>
              <w:t xml:space="preserve"> entry into health sciences at the tertiary level</w:t>
            </w:r>
          </w:p>
        </w:tc>
        <w:tc>
          <w:tcPr>
            <w:tcW w:w="552" w:type="pct"/>
          </w:tcPr>
          <w:p w:rsidR="00ED6788" w:rsidRDefault="00ED6788" w:rsidP="00C81087">
            <w:pPr>
              <w:pStyle w:val="TableText"/>
              <w:spacing w:before="0"/>
              <w:ind w:right="142"/>
              <w:jc w:val="right"/>
            </w:pPr>
            <w:r w:rsidRPr="003E7A55">
              <w:t>100%</w:t>
            </w:r>
          </w:p>
        </w:tc>
        <w:tc>
          <w:tcPr>
            <w:tcW w:w="596" w:type="pct"/>
            <w:shd w:val="clear" w:color="auto" w:fill="D9D9D9"/>
          </w:tcPr>
          <w:p w:rsidR="00ED6788" w:rsidRDefault="00ED6788" w:rsidP="00C81087">
            <w:pPr>
              <w:pStyle w:val="TableText"/>
              <w:spacing w:before="0"/>
              <w:ind w:right="142"/>
              <w:jc w:val="right"/>
            </w:pPr>
            <w:r>
              <w:t>100%</w:t>
            </w:r>
          </w:p>
        </w:tc>
      </w:tr>
    </w:tbl>
    <w:p w:rsidR="00ED6788" w:rsidRPr="00802126" w:rsidRDefault="00ED6788" w:rsidP="00C81087">
      <w:pPr>
        <w:rPr>
          <w:highlight w:val="yellow"/>
        </w:rPr>
      </w:pPr>
    </w:p>
    <w:p w:rsidR="000845D9" w:rsidRDefault="00ED6788" w:rsidP="00C81087">
      <w:pPr>
        <w:pStyle w:val="Heading3"/>
      </w:pPr>
      <w:r w:rsidRPr="00F8625C">
        <w:t>Māori providers</w:t>
      </w:r>
    </w:p>
    <w:p w:rsidR="00ED6788" w:rsidRPr="00C81087" w:rsidRDefault="00ED6788" w:rsidP="00C81087">
      <w:r w:rsidRPr="00C81087">
        <w:rPr>
          <w:b/>
        </w:rPr>
        <w:t>The Māori Provider Development Scheme</w:t>
      </w:r>
      <w:r w:rsidRPr="00C81087">
        <w:t xml:space="preserve"> funded 113 Māori providers to improve their capability and capacity.</w:t>
      </w:r>
      <w:r w:rsidR="000845D9" w:rsidRPr="00C81087">
        <w:t xml:space="preserve"> </w:t>
      </w:r>
      <w:r w:rsidRPr="00C81087">
        <w:t>Support has been provided to gain quality accreditation, implement and upgrade client and information management systems, provide training (first aid) and to purchase clinical equipment.</w:t>
      </w:r>
    </w:p>
    <w:p w:rsidR="00ED6788" w:rsidRPr="00C81087" w:rsidRDefault="00ED6788" w:rsidP="00C81087"/>
    <w:p w:rsidR="00ED6788" w:rsidRPr="00C81087" w:rsidRDefault="00ED6788" w:rsidP="00C81087">
      <w:r w:rsidRPr="00C81087">
        <w:rPr>
          <w:b/>
        </w:rPr>
        <w:t>Hauora Māori Scholarships</w:t>
      </w:r>
      <w:r w:rsidRPr="00C81087">
        <w:t xml:space="preserve"> have contributed to strengthening the health workforce by providing 586 scholarships for psychology, nursing, medicine, management, public health, health sciences, social sciences and other health</w:t>
      </w:r>
      <w:r w:rsidR="001365AC">
        <w:t>-</w:t>
      </w:r>
      <w:r w:rsidRPr="00C81087">
        <w:t>related programmes. This year it included 82</w:t>
      </w:r>
      <w:r w:rsidR="00C81087" w:rsidRPr="00C81087">
        <w:t> </w:t>
      </w:r>
      <w:r w:rsidRPr="00C81087">
        <w:t>postgraduate students and 35 scholarships for unregulated community health workers.</w:t>
      </w:r>
    </w:p>
    <w:p w:rsidR="00ED6788" w:rsidRPr="00C81087" w:rsidRDefault="00ED6788" w:rsidP="00C81087"/>
    <w:p w:rsidR="00ED6788" w:rsidRPr="00C81087" w:rsidRDefault="00ED6788" w:rsidP="00C81087">
      <w:r w:rsidRPr="00C81087">
        <w:rPr>
          <w:b/>
        </w:rPr>
        <w:t>The Te Ao Auahatanga Hauora Māori (Māori Innovations programme)</w:t>
      </w:r>
      <w:r w:rsidRPr="00C81087">
        <w:t xml:space="preserve"> funded 30 providers during this period.</w:t>
      </w:r>
      <w:r w:rsidR="000845D9" w:rsidRPr="00C81087">
        <w:t xml:space="preserve"> </w:t>
      </w:r>
      <w:r w:rsidR="000B6CAD">
        <w:t xml:space="preserve">Twenty </w:t>
      </w:r>
      <w:r w:rsidRPr="00C81087">
        <w:t>Māori providers are funded to develop an innovation from idea to implementation over a four</w:t>
      </w:r>
      <w:r w:rsidR="000B6CAD">
        <w:t>-</w:t>
      </w:r>
      <w:r w:rsidRPr="00C81087">
        <w:t>year period. Six providers have adopted innovative approaches for implementation. Four contracts came to an end during the 2014/15 year.</w:t>
      </w:r>
      <w:r w:rsidR="000845D9" w:rsidRPr="00C81087">
        <w:t xml:space="preserve"> </w:t>
      </w:r>
      <w:r w:rsidRPr="00C81087">
        <w:t>Short-term results are expected to show from 2015/16. There is already considerable interest in some services including a skin infection elimination service.</w:t>
      </w:r>
    </w:p>
    <w:p w:rsidR="00ED6788" w:rsidRPr="00C81087" w:rsidRDefault="00ED6788" w:rsidP="00C81087"/>
    <w:p w:rsidR="000845D9" w:rsidRDefault="00ED6788" w:rsidP="00C81087">
      <w:r w:rsidRPr="00C81087">
        <w:rPr>
          <w:b/>
        </w:rPr>
        <w:t>The Māori Health workforce programme</w:t>
      </w:r>
      <w:r w:rsidRPr="00C81087">
        <w:t xml:space="preserve"> includes nine</w:t>
      </w:r>
      <w:r w:rsidRPr="00AB6305">
        <w:t xml:space="preserve"> workforce services aimed at recruitment, support and retention of Māori pursuing health as a career pathway. The University of Otago and Auckland University have seen significant increases in Māori entering and completing health science degrees. </w:t>
      </w:r>
      <w:r>
        <w:t xml:space="preserve">Forty </w:t>
      </w:r>
      <w:r w:rsidRPr="00AB6305">
        <w:t>Māori nurses and midwives in District Health Boards have been supported to complete leadership and professional development programmes.</w:t>
      </w:r>
    </w:p>
    <w:p w:rsidR="00ED6788" w:rsidRDefault="00ED6788" w:rsidP="00C81087"/>
    <w:p w:rsidR="000845D9" w:rsidRDefault="00ED6788" w:rsidP="00C81087">
      <w:pPr>
        <w:pStyle w:val="Heading3"/>
      </w:pPr>
      <w:r w:rsidRPr="00F8625C">
        <w:lastRenderedPageBreak/>
        <w:t>Pacific providers</w:t>
      </w:r>
    </w:p>
    <w:p w:rsidR="00ED6788" w:rsidRDefault="00ED6788" w:rsidP="00C81087">
      <w:r w:rsidRPr="00AB6305">
        <w:t>The Pacific Provider and Workforce Development Funds have the following activitie</w:t>
      </w:r>
      <w:r>
        <w:t>s funded</w:t>
      </w:r>
      <w:r w:rsidR="000845D9">
        <w:t xml:space="preserve"> </w:t>
      </w:r>
      <w:r>
        <w:t>under each priority.</w:t>
      </w:r>
    </w:p>
    <w:p w:rsidR="00ED6788" w:rsidRPr="00AB6305" w:rsidRDefault="00ED6788" w:rsidP="00C81087"/>
    <w:p w:rsidR="00ED6788" w:rsidRPr="00F8625C" w:rsidRDefault="00ED6788" w:rsidP="00C81087">
      <w:pPr>
        <w:pStyle w:val="Heading4"/>
      </w:pPr>
      <w:r w:rsidRPr="00F8625C">
        <w:t>Increase the Pacific health workforce</w:t>
      </w:r>
    </w:p>
    <w:p w:rsidR="00ED6788" w:rsidRPr="00F8625C" w:rsidRDefault="000B6CAD" w:rsidP="000B6CAD">
      <w:pPr>
        <w:pStyle w:val="Heading5"/>
      </w:pPr>
      <w:r>
        <w:t>Attract and train</w:t>
      </w:r>
    </w:p>
    <w:p w:rsidR="00ED6788" w:rsidRPr="00AB6305" w:rsidRDefault="00ED6788" w:rsidP="00C81087">
      <w:pPr>
        <w:pStyle w:val="Bullet"/>
      </w:pPr>
      <w:r w:rsidRPr="00AB6305">
        <w:t>Three Health Science Academies for Pacific student</w:t>
      </w:r>
      <w:r w:rsidR="000B6CAD">
        <w:t>s</w:t>
      </w:r>
      <w:r w:rsidRPr="00AB6305">
        <w:t xml:space="preserve"> taking science subjects in years 11, 12</w:t>
      </w:r>
      <w:r w:rsidR="00C81087">
        <w:t> </w:t>
      </w:r>
      <w:r w:rsidRPr="00AB6305">
        <w:t>and 13 are funded in Auckland, providing additional academic and pastoral support to 75</w:t>
      </w:r>
      <w:r w:rsidR="00C81087">
        <w:t> </w:t>
      </w:r>
      <w:r w:rsidRPr="00AB6305">
        <w:t>Pacific students.</w:t>
      </w:r>
    </w:p>
    <w:p w:rsidR="00ED6788" w:rsidRPr="00AB6305" w:rsidRDefault="00ED6788" w:rsidP="00C81087">
      <w:pPr>
        <w:pStyle w:val="Bullet"/>
      </w:pPr>
      <w:r w:rsidRPr="00AB6305">
        <w:t>Mentoring of up to 50 students at Auckland tertiary institutions.</w:t>
      </w:r>
    </w:p>
    <w:p w:rsidR="00ED6788" w:rsidRPr="00AB6305" w:rsidRDefault="00ED6788" w:rsidP="00C81087">
      <w:pPr>
        <w:pStyle w:val="Bullet"/>
      </w:pPr>
      <w:r w:rsidRPr="00AB6305">
        <w:t>Mentoring and academic support to 400 students at the University of Otago.</w:t>
      </w:r>
    </w:p>
    <w:p w:rsidR="00ED6788" w:rsidRPr="00AB6305" w:rsidRDefault="000B6CAD" w:rsidP="00C81087">
      <w:pPr>
        <w:pStyle w:val="Bullet"/>
      </w:pPr>
      <w:r>
        <w:t xml:space="preserve">Ten </w:t>
      </w:r>
      <w:r w:rsidR="00ED6788" w:rsidRPr="00AB6305">
        <w:t>Pacific students are funded to go through the foundations programme to gain entry into first year health science subjects at the University of Otago.</w:t>
      </w:r>
    </w:p>
    <w:p w:rsidR="00ED6788" w:rsidRPr="00AB6305" w:rsidRDefault="00ED6788" w:rsidP="00C81087"/>
    <w:p w:rsidR="000845D9" w:rsidRDefault="00ED6788" w:rsidP="000B6CAD">
      <w:pPr>
        <w:pStyle w:val="Heading5"/>
      </w:pPr>
      <w:r w:rsidRPr="00F8625C">
        <w:t xml:space="preserve">Strengthen and </w:t>
      </w:r>
      <w:r w:rsidR="00C81087">
        <w:t>u</w:t>
      </w:r>
      <w:r w:rsidRPr="00F8625C">
        <w:t>pskill and retain</w:t>
      </w:r>
    </w:p>
    <w:p w:rsidR="00ED6788" w:rsidRPr="00924999" w:rsidRDefault="000B6CAD" w:rsidP="00C81087">
      <w:pPr>
        <w:pStyle w:val="Bullet"/>
        <w:rPr>
          <w:lang w:eastAsia="en-NZ"/>
        </w:rPr>
      </w:pPr>
      <w:r>
        <w:t xml:space="preserve">Twenty-vie </w:t>
      </w:r>
      <w:r w:rsidR="00ED6788" w:rsidRPr="00AB6305">
        <w:t xml:space="preserve">students are funded to go </w:t>
      </w:r>
      <w:r w:rsidR="00ED6788" w:rsidRPr="00924999">
        <w:rPr>
          <w:lang w:eastAsia="en-NZ"/>
        </w:rPr>
        <w:t>through the Masters of Nursing in Pacific Health Programme.</w:t>
      </w:r>
    </w:p>
    <w:p w:rsidR="00ED6788" w:rsidRPr="00924999" w:rsidRDefault="000B6CAD" w:rsidP="00C81087">
      <w:pPr>
        <w:pStyle w:val="Bullet"/>
        <w:rPr>
          <w:lang w:eastAsia="en-NZ"/>
        </w:rPr>
      </w:pPr>
      <w:r>
        <w:rPr>
          <w:lang w:eastAsia="en-NZ"/>
        </w:rPr>
        <w:t xml:space="preserve">Fifteen </w:t>
      </w:r>
      <w:r w:rsidR="00ED6788" w:rsidRPr="00924999">
        <w:rPr>
          <w:lang w:eastAsia="en-NZ"/>
        </w:rPr>
        <w:t>students will be funded by 2017 to attend the return to midwifery programme.</w:t>
      </w:r>
    </w:p>
    <w:p w:rsidR="00ED6788" w:rsidRPr="00924999" w:rsidRDefault="000B6CAD" w:rsidP="00C81087">
      <w:pPr>
        <w:pStyle w:val="Bullet"/>
        <w:rPr>
          <w:lang w:eastAsia="en-NZ"/>
        </w:rPr>
      </w:pPr>
      <w:r>
        <w:rPr>
          <w:lang w:eastAsia="en-NZ"/>
        </w:rPr>
        <w:t xml:space="preserve">Forty </w:t>
      </w:r>
      <w:r w:rsidR="00ED6788" w:rsidRPr="00924999">
        <w:rPr>
          <w:lang w:eastAsia="en-NZ"/>
        </w:rPr>
        <w:t>community health workers are supported to gain NZQA health related qualifications.</w:t>
      </w:r>
    </w:p>
    <w:p w:rsidR="00ED6788" w:rsidRPr="00924999" w:rsidRDefault="00ED6788" w:rsidP="00C81087">
      <w:pPr>
        <w:pStyle w:val="Bullet"/>
        <w:rPr>
          <w:lang w:eastAsia="en-NZ"/>
        </w:rPr>
      </w:pPr>
      <w:r w:rsidRPr="00924999">
        <w:rPr>
          <w:lang w:eastAsia="en-NZ"/>
        </w:rPr>
        <w:t>An approach is being developed to support Pacific Health Professional Organisations (PHPOs).</w:t>
      </w:r>
    </w:p>
    <w:p w:rsidR="00ED6788" w:rsidRPr="00AB6305" w:rsidRDefault="00ED6788" w:rsidP="00C81087"/>
    <w:p w:rsidR="00ED6788" w:rsidRPr="00F8625C" w:rsidRDefault="00ED6788" w:rsidP="00C81087">
      <w:pPr>
        <w:pStyle w:val="Heading4"/>
      </w:pPr>
      <w:r w:rsidRPr="00F8625C">
        <w:t xml:space="preserve">Strengthen Pacific </w:t>
      </w:r>
      <w:r w:rsidR="00C81087">
        <w:t>p</w:t>
      </w:r>
      <w:r w:rsidRPr="00F8625C">
        <w:t>roviders to deliver quality health services</w:t>
      </w:r>
    </w:p>
    <w:p w:rsidR="00ED6788" w:rsidRPr="00AB6305" w:rsidRDefault="00ED6788" w:rsidP="00C81087">
      <w:r w:rsidRPr="00AB6305">
        <w:t xml:space="preserve">A total of 24 Pacific providers are part of the four Pacific </w:t>
      </w:r>
      <w:r>
        <w:t>h</w:t>
      </w:r>
      <w:r w:rsidRPr="00AB6305">
        <w:t xml:space="preserve">ealth </w:t>
      </w:r>
      <w:r>
        <w:t>p</w:t>
      </w:r>
      <w:r w:rsidRPr="00AB6305">
        <w:t xml:space="preserve">rovider </w:t>
      </w:r>
      <w:r>
        <w:t>c</w:t>
      </w:r>
      <w:r w:rsidRPr="00AB6305">
        <w:t>ollectives across New Zealand.</w:t>
      </w:r>
      <w:r w:rsidR="000845D9">
        <w:t xml:space="preserve"> </w:t>
      </w:r>
      <w:r w:rsidRPr="00AB6305">
        <w:t xml:space="preserve">Pacific contracts </w:t>
      </w:r>
      <w:r>
        <w:t>are</w:t>
      </w:r>
      <w:r w:rsidRPr="00AB6305">
        <w:t xml:space="preserve"> </w:t>
      </w:r>
      <w:r>
        <w:t xml:space="preserve">for </w:t>
      </w:r>
      <w:r w:rsidRPr="00AB6305">
        <w:t xml:space="preserve">improved capacity and capability of Pacific </w:t>
      </w:r>
      <w:r>
        <w:t>h</w:t>
      </w:r>
      <w:r w:rsidRPr="00AB6305">
        <w:t xml:space="preserve">ealth </w:t>
      </w:r>
      <w:r>
        <w:t>p</w:t>
      </w:r>
      <w:r w:rsidRPr="00AB6305">
        <w:t>roviders</w:t>
      </w:r>
      <w:r>
        <w:t>,</w:t>
      </w:r>
      <w:r w:rsidRPr="00AB6305">
        <w:t xml:space="preserve"> reduction</w:t>
      </w:r>
      <w:r>
        <w:t>s</w:t>
      </w:r>
      <w:r w:rsidRPr="00AB6305">
        <w:t xml:space="preserve"> in transactional costs</w:t>
      </w:r>
      <w:r>
        <w:t>,</w:t>
      </w:r>
      <w:r w:rsidRPr="00AB6305">
        <w:t xml:space="preserve"> and improving efficiencies through shared services.</w:t>
      </w:r>
    </w:p>
    <w:p w:rsidR="00ED6788" w:rsidRPr="00AB6305" w:rsidRDefault="00ED6788" w:rsidP="00C81087"/>
    <w:p w:rsidR="00ED6788" w:rsidRPr="00AB6305" w:rsidRDefault="00ED6788" w:rsidP="00C81087">
      <w:r w:rsidRPr="00AB6305">
        <w:t xml:space="preserve">Two of the Pacific </w:t>
      </w:r>
      <w:r>
        <w:t>h</w:t>
      </w:r>
      <w:r w:rsidRPr="00AB6305">
        <w:t xml:space="preserve">ealth </w:t>
      </w:r>
      <w:r>
        <w:t>c</w:t>
      </w:r>
      <w:r w:rsidRPr="00AB6305">
        <w:t xml:space="preserve">ollectives (Midlands and South Island) were able to secure Whānau Ora funds through Pasifika Futures. The South Island Collective has also secured the Healthy Families NZ contract for the Spreydon-Heathcote area and the Auckland Collective is a partner in delivering Health Families NZ in Manukau and Manurewa-Papakura. The success </w:t>
      </w:r>
      <w:r w:rsidR="000B6CAD">
        <w:t xml:space="preserve">in </w:t>
      </w:r>
      <w:r w:rsidRPr="00AB6305">
        <w:t xml:space="preserve">securing and/or being a partner in delivering these contracts </w:t>
      </w:r>
      <w:r w:rsidR="000B6CAD">
        <w:t xml:space="preserve">has </w:t>
      </w:r>
      <w:r w:rsidRPr="00AB6305">
        <w:t xml:space="preserve">been largely attributed to the support provided to these Pacific </w:t>
      </w:r>
      <w:r>
        <w:t>h</w:t>
      </w:r>
      <w:r w:rsidRPr="00AB6305">
        <w:t xml:space="preserve">ealth </w:t>
      </w:r>
      <w:r>
        <w:t>c</w:t>
      </w:r>
      <w:r w:rsidRPr="00AB6305">
        <w:t>ollectives.</w:t>
      </w:r>
    </w:p>
    <w:p w:rsidR="00ED6788" w:rsidRDefault="00ED6788" w:rsidP="00C81087"/>
    <w:p w:rsidR="000845D9" w:rsidRDefault="00ED6788" w:rsidP="00C81087">
      <w:r w:rsidRPr="00AB6305">
        <w:t xml:space="preserve">Three Pacific Health Providers Network contracts have been established (Auckland, Midlands and Wellington). </w:t>
      </w:r>
      <w:r>
        <w:t>W</w:t>
      </w:r>
      <w:r w:rsidRPr="00AB6305">
        <w:t xml:space="preserve">ork delivered </w:t>
      </w:r>
      <w:r>
        <w:t>by the n</w:t>
      </w:r>
      <w:r w:rsidRPr="00AB6305">
        <w:t>etwork</w:t>
      </w:r>
      <w:r>
        <w:t>s included</w:t>
      </w:r>
      <w:r w:rsidRPr="00AB6305">
        <w:t xml:space="preserve"> the identification and promotion of the use of effective Pacific m</w:t>
      </w:r>
      <w:r>
        <w:t>odels of care and best practice,</w:t>
      </w:r>
      <w:r w:rsidRPr="00AB6305">
        <w:t xml:space="preserve"> the development of regionalised communic</w:t>
      </w:r>
      <w:r>
        <w:t>ation and engagement strategies,</w:t>
      </w:r>
      <w:r w:rsidRPr="00AB6305">
        <w:t xml:space="preserve"> and better coordination of Pacific health services.</w:t>
      </w:r>
    </w:p>
    <w:p w:rsidR="00C81087" w:rsidRDefault="00C81087" w:rsidP="00C81087"/>
    <w:p w:rsidR="00ED6788" w:rsidRDefault="00ED6788" w:rsidP="00C81087">
      <w:pPr>
        <w:pStyle w:val="Heading3"/>
      </w:pPr>
      <w:r w:rsidRPr="00E170A6">
        <w:lastRenderedPageBreak/>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81087">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81087">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81087">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81087">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81087">
            <w:pPr>
              <w:pStyle w:val="TableText"/>
              <w:keepNext/>
              <w:jc w:val="right"/>
              <w:rPr>
                <w:b/>
                <w:lang w:eastAsia="en-NZ"/>
              </w:rPr>
            </w:pPr>
            <w:r>
              <w:rPr>
                <w:b/>
                <w:lang w:eastAsia="en-NZ"/>
              </w:rPr>
              <w:t>Voted appropriation</w:t>
            </w:r>
            <w:r w:rsidRPr="00CC2A63" w:rsidDel="005765B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top w:val="single" w:sz="4" w:space="0" w:color="auto"/>
              <w:right w:val="nil"/>
            </w:tcBorders>
            <w:shd w:val="solid" w:color="FFFFFF" w:fill="auto"/>
          </w:tcPr>
          <w:p w:rsidR="00ED6788" w:rsidRPr="002C0E8B" w:rsidRDefault="00ED6788" w:rsidP="00C81087">
            <w:pPr>
              <w:pStyle w:val="TableText"/>
              <w:keepNext/>
              <w:ind w:right="284"/>
              <w:jc w:val="right"/>
            </w:pPr>
            <w:r>
              <w:t>1357</w:t>
            </w:r>
          </w:p>
        </w:tc>
        <w:tc>
          <w:tcPr>
            <w:tcW w:w="3968" w:type="dxa"/>
            <w:tcBorders>
              <w:top w:val="single" w:sz="4" w:space="0" w:color="auto"/>
              <w:left w:val="nil"/>
            </w:tcBorders>
            <w:shd w:val="solid" w:color="FFFFFF" w:fill="auto"/>
          </w:tcPr>
          <w:p w:rsidR="00ED6788" w:rsidRPr="002C0E8B" w:rsidRDefault="00ED6788" w:rsidP="00C81087">
            <w:pPr>
              <w:pStyle w:val="TableText"/>
              <w:keepNext/>
            </w:pPr>
            <w:r w:rsidRPr="00606795">
              <w:rPr>
                <w:rFonts w:cs="Arial"/>
                <w:szCs w:val="18"/>
              </w:rPr>
              <w:t>DHB</w:t>
            </w:r>
          </w:p>
        </w:tc>
        <w:tc>
          <w:tcPr>
            <w:tcW w:w="1276" w:type="dxa"/>
            <w:tcBorders>
              <w:top w:val="single" w:sz="4" w:space="0" w:color="auto"/>
            </w:tcBorders>
            <w:shd w:val="clear" w:color="E3E3E3" w:fill="D9D9D9"/>
          </w:tcPr>
          <w:p w:rsidR="00ED6788" w:rsidRPr="002C0E8B" w:rsidRDefault="00C81087" w:rsidP="00C81087">
            <w:pPr>
              <w:pStyle w:val="TableText"/>
              <w:keepNext/>
              <w:ind w:right="142"/>
              <w:jc w:val="right"/>
            </w:pPr>
            <w:r>
              <w:t>1</w:t>
            </w:r>
            <w:r w:rsidR="00ED6788">
              <w:t>302</w:t>
            </w:r>
          </w:p>
        </w:tc>
        <w:tc>
          <w:tcPr>
            <w:tcW w:w="1488" w:type="dxa"/>
            <w:tcBorders>
              <w:top w:val="single" w:sz="4" w:space="0" w:color="auto"/>
            </w:tcBorders>
          </w:tcPr>
          <w:p w:rsidR="00ED6788" w:rsidRPr="002C0E8B" w:rsidRDefault="00C81087" w:rsidP="00C81087">
            <w:pPr>
              <w:pStyle w:val="TableText"/>
              <w:keepNext/>
              <w:jc w:val="right"/>
            </w:pPr>
            <w:r>
              <w:t>–</w:t>
            </w:r>
          </w:p>
        </w:tc>
        <w:tc>
          <w:tcPr>
            <w:tcW w:w="1347" w:type="dxa"/>
            <w:tcBorders>
              <w:top w:val="single" w:sz="4" w:space="0" w:color="auto"/>
            </w:tcBorders>
          </w:tcPr>
          <w:p w:rsidR="00ED6788" w:rsidRPr="002C0E8B" w:rsidRDefault="00C81087" w:rsidP="00C81087">
            <w:pPr>
              <w:pStyle w:val="TableText"/>
              <w:keepNext/>
              <w:jc w:val="right"/>
            </w:pPr>
            <w:r>
              <w:t>–</w:t>
            </w:r>
          </w:p>
        </w:tc>
      </w:tr>
      <w:tr w:rsidR="00ED6788" w:rsidRPr="002C0E8B" w:rsidTr="00C25CC8">
        <w:trPr>
          <w:cantSplit/>
        </w:trPr>
        <w:tc>
          <w:tcPr>
            <w:tcW w:w="1277" w:type="dxa"/>
            <w:tcBorders>
              <w:right w:val="nil"/>
            </w:tcBorders>
            <w:shd w:val="solid" w:color="FFFFFF" w:fill="auto"/>
          </w:tcPr>
          <w:p w:rsidR="00ED6788" w:rsidRPr="002C0E8B" w:rsidRDefault="00ED6788" w:rsidP="00C81087">
            <w:pPr>
              <w:pStyle w:val="TableText"/>
              <w:keepNext/>
              <w:ind w:right="284"/>
              <w:jc w:val="right"/>
            </w:pPr>
            <w:r>
              <w:t>24,098</w:t>
            </w:r>
          </w:p>
        </w:tc>
        <w:tc>
          <w:tcPr>
            <w:tcW w:w="3968" w:type="dxa"/>
            <w:tcBorders>
              <w:left w:val="nil"/>
            </w:tcBorders>
            <w:shd w:val="solid" w:color="FFFFFF" w:fill="auto"/>
          </w:tcPr>
          <w:p w:rsidR="00ED6788" w:rsidRPr="002C0E8B" w:rsidRDefault="00ED6788" w:rsidP="00C81087">
            <w:pPr>
              <w:pStyle w:val="TableText"/>
              <w:keepNext/>
            </w:pPr>
            <w:r w:rsidRPr="00606795">
              <w:rPr>
                <w:rFonts w:cs="Arial"/>
                <w:szCs w:val="18"/>
              </w:rPr>
              <w:t>Non</w:t>
            </w:r>
            <w:r w:rsidR="00C81087">
              <w:rPr>
                <w:rFonts w:cs="Arial"/>
                <w:szCs w:val="18"/>
              </w:rPr>
              <w:t>-</w:t>
            </w:r>
            <w:r w:rsidRPr="00606795">
              <w:rPr>
                <w:rFonts w:cs="Arial"/>
                <w:szCs w:val="18"/>
              </w:rPr>
              <w:t xml:space="preserve">Crown </w:t>
            </w:r>
            <w:r w:rsidR="00C81087">
              <w:rPr>
                <w:rFonts w:cs="Arial"/>
                <w:szCs w:val="18"/>
              </w:rPr>
              <w:t>e</w:t>
            </w:r>
            <w:r w:rsidRPr="00606795">
              <w:rPr>
                <w:rFonts w:cs="Arial"/>
                <w:szCs w:val="18"/>
              </w:rPr>
              <w:t>ntities</w:t>
            </w:r>
          </w:p>
        </w:tc>
        <w:tc>
          <w:tcPr>
            <w:tcW w:w="1276" w:type="dxa"/>
            <w:shd w:val="clear" w:color="E3E3E3" w:fill="D9D9D9"/>
          </w:tcPr>
          <w:p w:rsidR="00ED6788" w:rsidRPr="002C0E8B" w:rsidRDefault="00ED6788" w:rsidP="00C81087">
            <w:pPr>
              <w:pStyle w:val="TableText"/>
              <w:keepNext/>
              <w:ind w:right="142"/>
              <w:jc w:val="right"/>
            </w:pPr>
            <w:r>
              <w:t>23,124</w:t>
            </w:r>
          </w:p>
        </w:tc>
        <w:tc>
          <w:tcPr>
            <w:tcW w:w="1488" w:type="dxa"/>
          </w:tcPr>
          <w:p w:rsidR="00ED6788" w:rsidRPr="002C0E8B" w:rsidRDefault="00ED6788" w:rsidP="00C81087">
            <w:pPr>
              <w:pStyle w:val="TableText"/>
              <w:keepNext/>
              <w:jc w:val="right"/>
            </w:pPr>
            <w:r>
              <w:t>25,414</w:t>
            </w:r>
          </w:p>
        </w:tc>
        <w:tc>
          <w:tcPr>
            <w:tcW w:w="1347" w:type="dxa"/>
          </w:tcPr>
          <w:p w:rsidR="00ED6788" w:rsidRPr="002C0E8B" w:rsidRDefault="00ED6788" w:rsidP="00C81087">
            <w:pPr>
              <w:pStyle w:val="TableText"/>
              <w:keepNext/>
              <w:jc w:val="right"/>
            </w:pPr>
            <w:r>
              <w:t>25,623</w:t>
            </w:r>
          </w:p>
        </w:tc>
      </w:tr>
      <w:tr w:rsidR="00ED6788" w:rsidRPr="002C0E8B" w:rsidTr="00C25CC8">
        <w:trPr>
          <w:cantSplit/>
        </w:trPr>
        <w:tc>
          <w:tcPr>
            <w:tcW w:w="1277" w:type="dxa"/>
            <w:tcBorders>
              <w:right w:val="nil"/>
            </w:tcBorders>
            <w:shd w:val="solid" w:color="FFFFFF" w:fill="auto"/>
          </w:tcPr>
          <w:p w:rsidR="00ED6788" w:rsidRPr="002C0E8B" w:rsidRDefault="00ED6788" w:rsidP="00C81087">
            <w:pPr>
              <w:pStyle w:val="TableText"/>
              <w:keepNext/>
              <w:ind w:right="284"/>
              <w:jc w:val="right"/>
              <w:rPr>
                <w:b/>
                <w:bCs/>
              </w:rPr>
            </w:pPr>
            <w:r>
              <w:rPr>
                <w:b/>
                <w:bCs/>
              </w:rPr>
              <w:t>25,455</w:t>
            </w:r>
          </w:p>
        </w:tc>
        <w:tc>
          <w:tcPr>
            <w:tcW w:w="3968" w:type="dxa"/>
            <w:tcBorders>
              <w:left w:val="nil"/>
            </w:tcBorders>
            <w:shd w:val="solid" w:color="FFFFFF" w:fill="auto"/>
          </w:tcPr>
          <w:p w:rsidR="00ED6788" w:rsidRPr="002C0E8B" w:rsidRDefault="00ED6788" w:rsidP="00C81087">
            <w:pPr>
              <w:pStyle w:val="TableText"/>
              <w:keepNext/>
              <w:rPr>
                <w:b/>
              </w:rPr>
            </w:pPr>
            <w:r>
              <w:rPr>
                <w:rFonts w:cs="Arial"/>
                <w:b/>
                <w:szCs w:val="18"/>
              </w:rPr>
              <w:t>Total appropriation</w:t>
            </w:r>
          </w:p>
        </w:tc>
        <w:tc>
          <w:tcPr>
            <w:tcW w:w="1276" w:type="dxa"/>
            <w:shd w:val="clear" w:color="E3E3E3" w:fill="D9D9D9"/>
          </w:tcPr>
          <w:p w:rsidR="00ED6788" w:rsidRPr="002C0E8B" w:rsidRDefault="00ED6788" w:rsidP="00C81087">
            <w:pPr>
              <w:pStyle w:val="TableText"/>
              <w:keepNext/>
              <w:ind w:right="142"/>
              <w:jc w:val="right"/>
              <w:rPr>
                <w:b/>
              </w:rPr>
            </w:pPr>
            <w:r>
              <w:rPr>
                <w:b/>
                <w:bCs/>
              </w:rPr>
              <w:t>24,426</w:t>
            </w:r>
          </w:p>
        </w:tc>
        <w:tc>
          <w:tcPr>
            <w:tcW w:w="1488" w:type="dxa"/>
          </w:tcPr>
          <w:p w:rsidR="00ED6788" w:rsidRPr="002C0E8B" w:rsidRDefault="00ED6788" w:rsidP="00C81087">
            <w:pPr>
              <w:pStyle w:val="TableText"/>
              <w:keepNext/>
              <w:jc w:val="right"/>
              <w:rPr>
                <w:b/>
              </w:rPr>
            </w:pPr>
            <w:r>
              <w:rPr>
                <w:b/>
                <w:bCs/>
              </w:rPr>
              <w:t>25,414</w:t>
            </w:r>
          </w:p>
        </w:tc>
        <w:tc>
          <w:tcPr>
            <w:tcW w:w="1347" w:type="dxa"/>
          </w:tcPr>
          <w:p w:rsidR="00ED6788" w:rsidRPr="002C0E8B" w:rsidRDefault="00ED6788" w:rsidP="00C81087">
            <w:pPr>
              <w:pStyle w:val="TableText"/>
              <w:keepNext/>
              <w:jc w:val="right"/>
              <w:rPr>
                <w:b/>
              </w:rPr>
            </w:pPr>
            <w:r>
              <w:rPr>
                <w:b/>
                <w:bCs/>
              </w:rPr>
              <w:t>25,623</w:t>
            </w:r>
          </w:p>
        </w:tc>
      </w:tr>
    </w:tbl>
    <w:p w:rsidR="00C81087" w:rsidRDefault="00C81087" w:rsidP="00C81087"/>
    <w:p w:rsidR="00ED6788" w:rsidRPr="007C56DF" w:rsidRDefault="00ED6788" w:rsidP="00C81087">
      <w:pPr>
        <w:pStyle w:val="Heading3"/>
      </w:pPr>
      <w:r w:rsidRPr="007C56DF">
        <w:t>Comments</w:t>
      </w:r>
    </w:p>
    <w:p w:rsidR="00ED6788" w:rsidRDefault="00ED6788" w:rsidP="00C81087">
      <w:r>
        <w:t>This appropriation was underspent by $0.988 million (4 percent of appropriation) and the variance is not significant.</w:t>
      </w:r>
    </w:p>
    <w:p w:rsidR="00C81087" w:rsidRPr="00074D5A" w:rsidRDefault="00C81087" w:rsidP="00C81087"/>
    <w:p w:rsidR="00C81087" w:rsidRDefault="00C81087" w:rsidP="00C81087">
      <w:bookmarkStart w:id="49" w:name="_Toc432765760"/>
      <w:r>
        <w:br w:type="page"/>
      </w:r>
    </w:p>
    <w:p w:rsidR="00ED6788" w:rsidRPr="0032384D" w:rsidRDefault="00ED6788" w:rsidP="00C81087">
      <w:pPr>
        <w:pStyle w:val="Heading1"/>
      </w:pPr>
      <w:bookmarkStart w:id="50" w:name="_Toc433713793"/>
      <w:r w:rsidRPr="00342DDA">
        <w:lastRenderedPageBreak/>
        <w:t>N</w:t>
      </w:r>
      <w:r w:rsidR="00C81087">
        <w:t>on</w:t>
      </w:r>
      <w:r w:rsidRPr="00342DDA">
        <w:t>-</w:t>
      </w:r>
      <w:r w:rsidR="00C81087">
        <w:t>departmental capital expenditure</w:t>
      </w:r>
      <w:bookmarkEnd w:id="49"/>
      <w:bookmarkEnd w:id="50"/>
    </w:p>
    <w:p w:rsidR="000845D9" w:rsidRDefault="00ED6788" w:rsidP="00C81087">
      <w:pPr>
        <w:pStyle w:val="Heading2"/>
      </w:pPr>
      <w:bookmarkStart w:id="51" w:name="_Toc432765761"/>
      <w:bookmarkStart w:id="52" w:name="_Toc433713794"/>
      <w:r w:rsidRPr="00606795">
        <w:t xml:space="preserve">Equity for </w:t>
      </w:r>
      <w:r w:rsidR="00C81087">
        <w:t>c</w:t>
      </w:r>
      <w:r w:rsidRPr="00606795">
        <w:t xml:space="preserve">apital </w:t>
      </w:r>
      <w:r w:rsidR="00C81087">
        <w:t>p</w:t>
      </w:r>
      <w:r w:rsidRPr="00606795">
        <w:t xml:space="preserve">rojects for DHBs and </w:t>
      </w:r>
      <w:r w:rsidR="00C81087">
        <w:t>h</w:t>
      </w:r>
      <w:r w:rsidRPr="00606795">
        <w:t xml:space="preserve">ealth </w:t>
      </w:r>
      <w:r w:rsidR="00C81087">
        <w:t>s</w:t>
      </w:r>
      <w:r w:rsidRPr="00606795">
        <w:t xml:space="preserve">ector Crown </w:t>
      </w:r>
      <w:r w:rsidR="00C81087">
        <w:t>a</w:t>
      </w:r>
      <w:r w:rsidRPr="00606795">
        <w:t>gencies</w:t>
      </w:r>
      <w:bookmarkEnd w:id="51"/>
      <w:bookmarkEnd w:id="52"/>
    </w:p>
    <w:p w:rsidR="000845D9" w:rsidRDefault="00ED6788" w:rsidP="00C81087">
      <w:r>
        <w:t>The s</w:t>
      </w:r>
      <w:r w:rsidRPr="007F473C">
        <w:t xml:space="preserve">cope of </w:t>
      </w:r>
      <w:r>
        <w:t>the a</w:t>
      </w:r>
      <w:r w:rsidRPr="007F473C">
        <w:t>ppropriation</w:t>
      </w:r>
      <w:r>
        <w:t xml:space="preserve"> is c</w:t>
      </w:r>
      <w:r w:rsidRPr="00834C5C">
        <w:t xml:space="preserve">apital contributions to District Health Boards and health sector Crown agencies to cover new investments and reconfiguration of their balance sheets. This appropriation is intended to </w:t>
      </w:r>
      <w:r>
        <w:t>ensure</w:t>
      </w:r>
      <w:r w:rsidRPr="00834C5C">
        <w:t xml:space="preserve"> equity funding is provided to DHBs to fund the cost of capital projects, where the DHB is unable to fund the projects entirely within their cash flows.</w:t>
      </w:r>
    </w:p>
    <w:p w:rsidR="00ED6788" w:rsidRDefault="00ED6788" w:rsidP="00C81087"/>
    <w:p w:rsidR="00ED6788" w:rsidRPr="003756B9" w:rsidRDefault="00ED6788" w:rsidP="00C81087">
      <w:pPr>
        <w:pStyle w:val="Heading3"/>
      </w:pPr>
      <w:r>
        <w:t xml:space="preserve">Summary of output performance </w:t>
      </w: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89"/>
        <w:gridCol w:w="6118"/>
        <w:gridCol w:w="1033"/>
        <w:gridCol w:w="1115"/>
      </w:tblGrid>
      <w:tr w:rsidR="00ED6788" w:rsidRPr="00E16661" w:rsidTr="00C81087">
        <w:trPr>
          <w:cantSplit/>
        </w:trPr>
        <w:tc>
          <w:tcPr>
            <w:tcW w:w="582" w:type="pct"/>
            <w:tcBorders>
              <w:top w:val="single" w:sz="4" w:space="0" w:color="auto"/>
              <w:bottom w:val="single" w:sz="4" w:space="0" w:color="auto"/>
            </w:tcBorders>
          </w:tcPr>
          <w:p w:rsidR="00ED6788" w:rsidRPr="00E16661" w:rsidRDefault="00ED6788" w:rsidP="00C25CC8">
            <w:pPr>
              <w:pStyle w:val="TableText"/>
              <w:ind w:right="284"/>
              <w:jc w:val="right"/>
              <w:rPr>
                <w:b/>
              </w:rPr>
            </w:pPr>
            <w:r w:rsidRPr="00E16661">
              <w:rPr>
                <w:b/>
              </w:rPr>
              <w:t>Actual 201</w:t>
            </w:r>
            <w:r>
              <w:rPr>
                <w:b/>
              </w:rPr>
              <w:t>3/14</w:t>
            </w:r>
          </w:p>
        </w:tc>
        <w:tc>
          <w:tcPr>
            <w:tcW w:w="3270" w:type="pct"/>
            <w:tcBorders>
              <w:top w:val="single" w:sz="4" w:space="0" w:color="auto"/>
              <w:bottom w:val="single" w:sz="4" w:space="0" w:color="auto"/>
            </w:tcBorders>
          </w:tcPr>
          <w:p w:rsidR="00ED6788" w:rsidRPr="00E16661" w:rsidRDefault="00ED6788" w:rsidP="00C25CC8">
            <w:pPr>
              <w:pStyle w:val="TableText"/>
              <w:rPr>
                <w:b/>
              </w:rPr>
            </w:pPr>
            <w:r w:rsidRPr="00E16661">
              <w:rPr>
                <w:b/>
              </w:rPr>
              <w:t>Performance measure</w:t>
            </w:r>
          </w:p>
        </w:tc>
        <w:tc>
          <w:tcPr>
            <w:tcW w:w="552" w:type="pct"/>
            <w:tcBorders>
              <w:top w:val="single" w:sz="4" w:space="0" w:color="auto"/>
              <w:bottom w:val="single" w:sz="4" w:space="0" w:color="auto"/>
            </w:tcBorders>
          </w:tcPr>
          <w:p w:rsidR="00ED6788" w:rsidRPr="00E16661" w:rsidRDefault="00ED6788" w:rsidP="00C25CC8">
            <w:pPr>
              <w:pStyle w:val="TableT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596" w:type="pct"/>
            <w:tcBorders>
              <w:top w:val="single" w:sz="4" w:space="0" w:color="auto"/>
              <w:bottom w:val="single" w:sz="4" w:space="0" w:color="auto"/>
            </w:tcBorders>
            <w:shd w:val="clear" w:color="auto" w:fill="D9D9D9"/>
          </w:tcPr>
          <w:p w:rsidR="00ED6788" w:rsidRPr="00E16661" w:rsidRDefault="00ED6788" w:rsidP="00C25CC8">
            <w:pPr>
              <w:pStyle w:val="TableT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C81087">
        <w:trPr>
          <w:cantSplit/>
        </w:trPr>
        <w:tc>
          <w:tcPr>
            <w:tcW w:w="582" w:type="pct"/>
          </w:tcPr>
          <w:p w:rsidR="00ED6788" w:rsidRPr="002C0E8B" w:rsidRDefault="00ED6788" w:rsidP="00C25CC8">
            <w:pPr>
              <w:pStyle w:val="TableText"/>
              <w:ind w:right="284"/>
              <w:jc w:val="right"/>
            </w:pPr>
            <w:r>
              <w:t>100%</w:t>
            </w:r>
          </w:p>
        </w:tc>
        <w:tc>
          <w:tcPr>
            <w:tcW w:w="3270" w:type="pct"/>
          </w:tcPr>
          <w:p w:rsidR="00ED6788" w:rsidRPr="002C0E8B" w:rsidRDefault="00ED6788" w:rsidP="00C25CC8">
            <w:pPr>
              <w:pStyle w:val="TableText"/>
            </w:pPr>
            <w:r w:rsidRPr="00606795">
              <w:t>DHB capital projects receive equity funding for their approved business cases</w:t>
            </w:r>
          </w:p>
        </w:tc>
        <w:tc>
          <w:tcPr>
            <w:tcW w:w="552" w:type="pct"/>
          </w:tcPr>
          <w:p w:rsidR="00ED6788" w:rsidRPr="002C0E8B" w:rsidRDefault="00ED6788" w:rsidP="00C25CC8">
            <w:pPr>
              <w:pStyle w:val="TableText"/>
              <w:ind w:right="142"/>
              <w:jc w:val="right"/>
            </w:pPr>
            <w:r w:rsidRPr="00606795">
              <w:t>100%</w:t>
            </w:r>
          </w:p>
        </w:tc>
        <w:tc>
          <w:tcPr>
            <w:tcW w:w="596" w:type="pct"/>
            <w:shd w:val="clear" w:color="auto" w:fill="D9D9D9"/>
          </w:tcPr>
          <w:p w:rsidR="00ED6788" w:rsidRPr="00D155EF" w:rsidRDefault="00ED6788" w:rsidP="00C25CC8">
            <w:pPr>
              <w:pStyle w:val="TableText"/>
              <w:ind w:right="142"/>
              <w:jc w:val="right"/>
            </w:pPr>
            <w:r>
              <w:t>100%</w:t>
            </w:r>
          </w:p>
        </w:tc>
      </w:tr>
    </w:tbl>
    <w:p w:rsidR="00ED6788" w:rsidRPr="00802126" w:rsidRDefault="00ED6788" w:rsidP="00C81087">
      <w:pPr>
        <w:rPr>
          <w:highlight w:val="yellow"/>
        </w:rPr>
      </w:pPr>
    </w:p>
    <w:p w:rsidR="00ED6788" w:rsidRDefault="00ED6788" w:rsidP="00C81087">
      <w:pPr>
        <w:pStyle w:val="Heading3"/>
      </w:pPr>
      <w:r>
        <w:t>Comments</w:t>
      </w:r>
    </w:p>
    <w:p w:rsidR="00ED6788" w:rsidRDefault="00ED6788" w:rsidP="00C81087">
      <w:r>
        <w:t>The following DHBs received an equity injection for their approved business cases</w:t>
      </w:r>
      <w:r w:rsidR="000B6CAD">
        <w:t>:</w:t>
      </w:r>
      <w:r>
        <w:t xml:space="preserve"> Capital and Coast DHB, Hutt DHB, West Coast DHB and Southern DHB.</w:t>
      </w:r>
      <w:r w:rsidR="000845D9">
        <w:t xml:space="preserve"> </w:t>
      </w:r>
      <w:r>
        <w:t>Details of the capital expenditure will be included in the DHBs</w:t>
      </w:r>
      <w:r w:rsidR="000B6CAD">
        <w:t>’</w:t>
      </w:r>
      <w:r>
        <w:t xml:space="preserve"> Annual Report</w:t>
      </w:r>
      <w:r w:rsidR="000B6CAD">
        <w:t>s</w:t>
      </w:r>
      <w:r>
        <w:t>.</w:t>
      </w:r>
    </w:p>
    <w:p w:rsidR="00ED6788" w:rsidRPr="003756B9" w:rsidRDefault="00ED6788" w:rsidP="00C81087"/>
    <w:p w:rsidR="00ED6788" w:rsidRDefault="00ED6788" w:rsidP="00C81087">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2C005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27,526</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C0E8B" w:rsidRDefault="00ED6788" w:rsidP="00C25CC8">
            <w:pPr>
              <w:pStyle w:val="TableText"/>
              <w:ind w:right="142"/>
              <w:jc w:val="right"/>
              <w:rPr>
                <w:b/>
              </w:rPr>
            </w:pPr>
            <w:r>
              <w:rPr>
                <w:b/>
              </w:rPr>
              <w:t>15,880</w:t>
            </w:r>
          </w:p>
        </w:tc>
        <w:tc>
          <w:tcPr>
            <w:tcW w:w="1488" w:type="dxa"/>
          </w:tcPr>
          <w:p w:rsidR="00ED6788" w:rsidRPr="002C0E8B" w:rsidRDefault="00ED6788" w:rsidP="00C25CC8">
            <w:pPr>
              <w:pStyle w:val="TableText"/>
              <w:jc w:val="right"/>
              <w:rPr>
                <w:b/>
              </w:rPr>
            </w:pPr>
            <w:r w:rsidRPr="00606795">
              <w:rPr>
                <w:b/>
              </w:rPr>
              <w:t>259,600</w:t>
            </w:r>
          </w:p>
        </w:tc>
        <w:tc>
          <w:tcPr>
            <w:tcW w:w="1347" w:type="dxa"/>
          </w:tcPr>
          <w:p w:rsidR="00ED6788" w:rsidRPr="002C0E8B" w:rsidRDefault="00ED6788" w:rsidP="00C25CC8">
            <w:pPr>
              <w:pStyle w:val="TableText"/>
              <w:jc w:val="right"/>
              <w:rPr>
                <w:b/>
              </w:rPr>
            </w:pPr>
            <w:r>
              <w:rPr>
                <w:b/>
              </w:rPr>
              <w:t>51,970</w:t>
            </w:r>
          </w:p>
        </w:tc>
      </w:tr>
    </w:tbl>
    <w:p w:rsidR="00ED6788" w:rsidRDefault="00ED6788" w:rsidP="00C81087">
      <w:pPr>
        <w:rPr>
          <w:highlight w:val="yellow"/>
        </w:rPr>
      </w:pPr>
    </w:p>
    <w:p w:rsidR="00ED6788" w:rsidRPr="00074D5A" w:rsidRDefault="00ED6788" w:rsidP="00C81087">
      <w:pPr>
        <w:pStyle w:val="Heading3"/>
      </w:pPr>
      <w:r w:rsidRPr="00074D5A">
        <w:t>Comment</w:t>
      </w:r>
      <w:r>
        <w:t>s</w:t>
      </w:r>
    </w:p>
    <w:p w:rsidR="00ED6788" w:rsidRDefault="00ED6788" w:rsidP="00C81087">
      <w:r w:rsidRPr="00C577F4">
        <w:t>The underspend of $2</w:t>
      </w:r>
      <w:r>
        <w:t>43.720 million against</w:t>
      </w:r>
      <w:r w:rsidRPr="00C577F4">
        <w:t xml:space="preserve"> the Main Estimates </w:t>
      </w:r>
      <w:r>
        <w:t xml:space="preserve">(94 percent of appropriation) </w:t>
      </w:r>
      <w:r w:rsidRPr="00C577F4">
        <w:t>relates to the timing of funding required for D</w:t>
      </w:r>
      <w:r>
        <w:t xml:space="preserve">HB capital projects. </w:t>
      </w:r>
      <w:r w:rsidRPr="00C577F4">
        <w:t>This appropriation holds capital funds pending their drawdown by DHBs to meet the funding requirements for capital projects approved by Cabinet or joint Ministers of Health and Finance.</w:t>
      </w:r>
      <w:r w:rsidR="000845D9">
        <w:t xml:space="preserve"> </w:t>
      </w:r>
      <w:r w:rsidRPr="00C577F4">
        <w:t>This funding has been carried forward for projects in outyears.</w:t>
      </w:r>
    </w:p>
    <w:p w:rsidR="00C81087" w:rsidRPr="00C577F4" w:rsidRDefault="00C81087" w:rsidP="00C81087"/>
    <w:p w:rsidR="000845D9" w:rsidRDefault="00ED6788" w:rsidP="00C81087">
      <w:pPr>
        <w:pStyle w:val="Heading2"/>
      </w:pPr>
      <w:bookmarkStart w:id="53" w:name="_Toc432765762"/>
      <w:bookmarkStart w:id="54" w:name="_Toc433713795"/>
      <w:r w:rsidRPr="0094642C">
        <w:lastRenderedPageBreak/>
        <w:t xml:space="preserve">Health </w:t>
      </w:r>
      <w:r w:rsidR="00C81087">
        <w:t>s</w:t>
      </w:r>
      <w:r w:rsidRPr="0094642C">
        <w:t xml:space="preserve">ector </w:t>
      </w:r>
      <w:r w:rsidR="00C81087">
        <w:t>p</w:t>
      </w:r>
      <w:r w:rsidRPr="0094642C">
        <w:t>rojects</w:t>
      </w:r>
      <w:bookmarkEnd w:id="53"/>
      <w:bookmarkEnd w:id="54"/>
    </w:p>
    <w:p w:rsidR="00ED6788" w:rsidRDefault="00ED6788" w:rsidP="00C81087">
      <w:pPr>
        <w:keepNext/>
      </w:pPr>
      <w:r>
        <w:t>The s</w:t>
      </w:r>
      <w:r w:rsidRPr="007F473C">
        <w:t xml:space="preserve">cope of </w:t>
      </w:r>
      <w:r>
        <w:t>the a</w:t>
      </w:r>
      <w:r w:rsidRPr="007F473C">
        <w:t>ppropriation</w:t>
      </w:r>
      <w:r>
        <w:t xml:space="preserve"> is c</w:t>
      </w:r>
      <w:r w:rsidRPr="00834C5C">
        <w:t xml:space="preserve">apital investment in specific health sector assets. This appropriation is intended to </w:t>
      </w:r>
      <w:r>
        <w:t>ensure</w:t>
      </w:r>
      <w:r w:rsidRPr="00834C5C">
        <w:t xml:space="preserve"> Ministry of Health-managed capital projects are delivered on behalf of the Crown, supporting heath sector organisations to deliver health services for New</w:t>
      </w:r>
      <w:r w:rsidR="00C81087">
        <w:t> </w:t>
      </w:r>
      <w:r w:rsidRPr="00834C5C">
        <w:t>Zealanders.</w:t>
      </w:r>
    </w:p>
    <w:p w:rsidR="00C81087" w:rsidRPr="003756B9" w:rsidRDefault="00C81087" w:rsidP="00C81087">
      <w:pPr>
        <w:keepNext/>
      </w:pPr>
    </w:p>
    <w:p w:rsidR="00ED6788" w:rsidRPr="003756B9" w:rsidRDefault="004F1D55" w:rsidP="00C81087">
      <w:pPr>
        <w:pStyle w:val="Heading3"/>
      </w:pPr>
      <w:r>
        <w:t>Summary of output performance</w:t>
      </w: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89"/>
        <w:gridCol w:w="6118"/>
        <w:gridCol w:w="1033"/>
        <w:gridCol w:w="1115"/>
      </w:tblGrid>
      <w:tr w:rsidR="00ED6788" w:rsidRPr="00E16661" w:rsidTr="004F1D55">
        <w:trPr>
          <w:cantSplit/>
        </w:trPr>
        <w:tc>
          <w:tcPr>
            <w:tcW w:w="582" w:type="pct"/>
            <w:tcBorders>
              <w:top w:val="single" w:sz="4" w:space="0" w:color="auto"/>
              <w:bottom w:val="single" w:sz="4" w:space="0" w:color="auto"/>
            </w:tcBorders>
          </w:tcPr>
          <w:p w:rsidR="00ED6788" w:rsidRPr="00E16661" w:rsidRDefault="00ED6788" w:rsidP="004F1D55">
            <w:pPr>
              <w:pStyle w:val="TableText"/>
              <w:ind w:right="284"/>
              <w:jc w:val="right"/>
              <w:rPr>
                <w:b/>
              </w:rPr>
            </w:pPr>
            <w:r w:rsidRPr="00E16661">
              <w:rPr>
                <w:b/>
              </w:rPr>
              <w:t>Actual 201</w:t>
            </w:r>
            <w:r>
              <w:rPr>
                <w:b/>
              </w:rPr>
              <w:t>3/14</w:t>
            </w:r>
          </w:p>
        </w:tc>
        <w:tc>
          <w:tcPr>
            <w:tcW w:w="3270" w:type="pct"/>
            <w:tcBorders>
              <w:top w:val="single" w:sz="4" w:space="0" w:color="auto"/>
              <w:bottom w:val="single" w:sz="4" w:space="0" w:color="auto"/>
            </w:tcBorders>
          </w:tcPr>
          <w:p w:rsidR="00ED6788" w:rsidRPr="00E16661" w:rsidRDefault="00ED6788" w:rsidP="004F1D55">
            <w:pPr>
              <w:pStyle w:val="TableText"/>
              <w:rPr>
                <w:b/>
              </w:rPr>
            </w:pPr>
            <w:r w:rsidRPr="00E16661">
              <w:rPr>
                <w:b/>
              </w:rPr>
              <w:t>Performance measure</w:t>
            </w:r>
          </w:p>
        </w:tc>
        <w:tc>
          <w:tcPr>
            <w:tcW w:w="552" w:type="pct"/>
            <w:tcBorders>
              <w:top w:val="single" w:sz="4" w:space="0" w:color="auto"/>
              <w:bottom w:val="single" w:sz="4" w:space="0" w:color="auto"/>
            </w:tcBorders>
          </w:tcPr>
          <w:p w:rsidR="00ED6788" w:rsidRPr="00E16661" w:rsidRDefault="00ED6788" w:rsidP="004F1D55">
            <w:pPr>
              <w:pStyle w:val="TableT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596" w:type="pct"/>
            <w:tcBorders>
              <w:top w:val="single" w:sz="4" w:space="0" w:color="auto"/>
              <w:bottom w:val="single" w:sz="4" w:space="0" w:color="auto"/>
            </w:tcBorders>
            <w:shd w:val="clear" w:color="auto" w:fill="D9D9D9"/>
          </w:tcPr>
          <w:p w:rsidR="00ED6788" w:rsidRPr="00E16661" w:rsidRDefault="00ED6788" w:rsidP="004F1D55">
            <w:pPr>
              <w:pStyle w:val="TableT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4F1D55">
        <w:trPr>
          <w:cantSplit/>
        </w:trPr>
        <w:tc>
          <w:tcPr>
            <w:tcW w:w="582" w:type="pct"/>
            <w:tcBorders>
              <w:top w:val="single" w:sz="4" w:space="0" w:color="auto"/>
            </w:tcBorders>
          </w:tcPr>
          <w:p w:rsidR="00ED6788" w:rsidRPr="002C0E8B" w:rsidRDefault="00ED6788" w:rsidP="00C25CC8">
            <w:pPr>
              <w:pStyle w:val="TableText"/>
              <w:ind w:right="284"/>
              <w:jc w:val="right"/>
              <w:rPr>
                <w:bCs/>
                <w:lang w:eastAsia="en-NZ"/>
              </w:rPr>
            </w:pPr>
            <w:r>
              <w:rPr>
                <w:bCs/>
                <w:lang w:eastAsia="en-NZ"/>
              </w:rPr>
              <w:t>New</w:t>
            </w:r>
          </w:p>
        </w:tc>
        <w:tc>
          <w:tcPr>
            <w:tcW w:w="3270" w:type="pct"/>
            <w:tcBorders>
              <w:top w:val="single" w:sz="4" w:space="0" w:color="auto"/>
            </w:tcBorders>
          </w:tcPr>
          <w:p w:rsidR="00ED6788" w:rsidRPr="00AB69C4" w:rsidRDefault="00ED6788" w:rsidP="00C25CC8">
            <w:pPr>
              <w:pStyle w:val="TableText"/>
              <w:rPr>
                <w:b/>
              </w:rPr>
            </w:pPr>
            <w:r w:rsidRPr="0094642C">
              <w:t>Canterbury rebuild project meets project milestones</w:t>
            </w:r>
          </w:p>
        </w:tc>
        <w:tc>
          <w:tcPr>
            <w:tcW w:w="552" w:type="pct"/>
            <w:tcBorders>
              <w:top w:val="single" w:sz="4" w:space="0" w:color="auto"/>
            </w:tcBorders>
          </w:tcPr>
          <w:p w:rsidR="00ED6788" w:rsidRPr="002C0E8B" w:rsidRDefault="00ED6788" w:rsidP="00C25CC8">
            <w:pPr>
              <w:pStyle w:val="TableText"/>
              <w:ind w:right="142"/>
              <w:jc w:val="right"/>
            </w:pPr>
            <w:r w:rsidRPr="0094642C">
              <w:t>100%</w:t>
            </w:r>
          </w:p>
        </w:tc>
        <w:tc>
          <w:tcPr>
            <w:tcW w:w="596" w:type="pct"/>
            <w:tcBorders>
              <w:top w:val="single" w:sz="4" w:space="0" w:color="auto"/>
            </w:tcBorders>
            <w:shd w:val="clear" w:color="auto" w:fill="D9D9D9"/>
          </w:tcPr>
          <w:p w:rsidR="00ED6788" w:rsidRPr="002C0E8B" w:rsidRDefault="00ED6788" w:rsidP="00C25CC8">
            <w:pPr>
              <w:pStyle w:val="TableText"/>
              <w:ind w:right="142"/>
              <w:jc w:val="right"/>
            </w:pPr>
            <w:r>
              <w:t>95%</w:t>
            </w:r>
          </w:p>
        </w:tc>
      </w:tr>
    </w:tbl>
    <w:p w:rsidR="00ED6788" w:rsidRPr="00802126" w:rsidRDefault="00ED6788" w:rsidP="004F1D55">
      <w:pPr>
        <w:rPr>
          <w:highlight w:val="yellow"/>
        </w:rPr>
      </w:pPr>
    </w:p>
    <w:p w:rsidR="00ED6788" w:rsidRPr="00473A87" w:rsidRDefault="00ED6788" w:rsidP="004F1D55">
      <w:pPr>
        <w:pStyle w:val="Heading3"/>
      </w:pPr>
      <w:r>
        <w:t>Comments</w:t>
      </w:r>
    </w:p>
    <w:p w:rsidR="00ED6788" w:rsidRPr="006B1A95" w:rsidRDefault="00ED6788" w:rsidP="004F1D55">
      <w:pPr>
        <w:pStyle w:val="Heading4"/>
      </w:pPr>
      <w:r>
        <w:t>Burwoo</w:t>
      </w:r>
      <w:r w:rsidRPr="006B1A95">
        <w:t>d</w:t>
      </w:r>
    </w:p>
    <w:p w:rsidR="00ED6788" w:rsidRPr="00A24EAE" w:rsidRDefault="00ED6788" w:rsidP="004F1D55">
      <w:r>
        <w:t>The project was s</w:t>
      </w:r>
      <w:r w:rsidRPr="00A24EAE">
        <w:t xml:space="preserve">lightly behind in time and spend </w:t>
      </w:r>
      <w:r>
        <w:t>due to</w:t>
      </w:r>
      <w:r w:rsidRPr="00A24EAE">
        <w:t xml:space="preserve"> the discovery of asbestos in the buildings. Burwood will be finished in March 2016</w:t>
      </w:r>
      <w:r>
        <w:t>,</w:t>
      </w:r>
      <w:r w:rsidRPr="00A24EAE">
        <w:t xml:space="preserve"> about one month behind the initial project date</w:t>
      </w:r>
      <w:r>
        <w:t>. Completion and transfer to Canterbury DHB will occur by May 2016</w:t>
      </w:r>
      <w:r w:rsidRPr="00A24EAE">
        <w:t>.</w:t>
      </w:r>
    </w:p>
    <w:p w:rsidR="00ED6788" w:rsidRDefault="00ED6788" w:rsidP="004F1D55"/>
    <w:p w:rsidR="00ED6788" w:rsidRPr="006B1A95" w:rsidRDefault="00ED6788" w:rsidP="004F1D55">
      <w:pPr>
        <w:pStyle w:val="Heading4"/>
      </w:pPr>
      <w:r w:rsidRPr="006B1A95">
        <w:t>Acute Services Building (ASB)</w:t>
      </w:r>
    </w:p>
    <w:p w:rsidR="00ED6788" w:rsidRDefault="00ED6788" w:rsidP="004F1D55">
      <w:r>
        <w:t>The ASB is s</w:t>
      </w:r>
      <w:r w:rsidRPr="00A24EAE">
        <w:t xml:space="preserve">till in </w:t>
      </w:r>
      <w:r>
        <w:t xml:space="preserve">the </w:t>
      </w:r>
      <w:r w:rsidRPr="00A24EAE">
        <w:t>initial phases with no construction yet under</w:t>
      </w:r>
      <w:r w:rsidR="000B6CAD">
        <w:t xml:space="preserve"> </w:t>
      </w:r>
      <w:r w:rsidRPr="00A24EAE">
        <w:t>way. Foundation</w:t>
      </w:r>
      <w:r>
        <w:t>s are being laid and are</w:t>
      </w:r>
      <w:r w:rsidRPr="00A24EAE">
        <w:t xml:space="preserve"> on schedule th</w:t>
      </w:r>
      <w:r>
        <w:t>ough the full programme.</w:t>
      </w:r>
      <w:r w:rsidR="000845D9">
        <w:t xml:space="preserve"> </w:t>
      </w:r>
      <w:r w:rsidRPr="00A24EAE">
        <w:t>Additional costs over the detailed business plan have been incurred but there is time to value manage to the budget figure.</w:t>
      </w:r>
    </w:p>
    <w:p w:rsidR="00ED6788" w:rsidRPr="003756B9" w:rsidRDefault="00ED6788" w:rsidP="004F1D55"/>
    <w:p w:rsidR="00ED6788" w:rsidRDefault="00ED6788" w:rsidP="004F1D55">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sidDel="00984400">
              <w:rPr>
                <w:b/>
                <w:lang w:eastAsia="en-NZ"/>
              </w:rPr>
              <w:t xml:space="preserve">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right w:val="nil"/>
            </w:tcBorders>
            <w:shd w:val="solid" w:color="FFFFFF" w:fill="auto"/>
          </w:tcPr>
          <w:p w:rsidR="00ED6788" w:rsidRPr="002C0E8B" w:rsidRDefault="004F1D55" w:rsidP="004F1D55">
            <w:pPr>
              <w:pStyle w:val="TableText"/>
              <w:ind w:right="284"/>
              <w:jc w:val="right"/>
              <w:rPr>
                <w:b/>
                <w:bCs/>
              </w:rPr>
            </w:pPr>
            <w:r>
              <w:rPr>
                <w:b/>
                <w:bCs/>
              </w:rPr>
              <w:t>–</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C0E8B" w:rsidRDefault="00ED6788" w:rsidP="00C25CC8">
            <w:pPr>
              <w:pStyle w:val="TableText"/>
              <w:ind w:right="142"/>
              <w:jc w:val="right"/>
              <w:rPr>
                <w:b/>
              </w:rPr>
            </w:pPr>
            <w:r>
              <w:rPr>
                <w:b/>
              </w:rPr>
              <w:t>109,750</w:t>
            </w:r>
          </w:p>
        </w:tc>
        <w:tc>
          <w:tcPr>
            <w:tcW w:w="1488" w:type="dxa"/>
          </w:tcPr>
          <w:p w:rsidR="00ED6788" w:rsidRPr="002C0E8B" w:rsidRDefault="00ED6788" w:rsidP="00C25CC8">
            <w:pPr>
              <w:pStyle w:val="TableText"/>
              <w:tabs>
                <w:tab w:val="left" w:pos="1264"/>
              </w:tabs>
              <w:jc w:val="right"/>
              <w:rPr>
                <w:b/>
              </w:rPr>
            </w:pPr>
            <w:r w:rsidRPr="0094642C">
              <w:rPr>
                <w:b/>
              </w:rPr>
              <w:t>335,000</w:t>
            </w:r>
          </w:p>
        </w:tc>
        <w:tc>
          <w:tcPr>
            <w:tcW w:w="1347" w:type="dxa"/>
          </w:tcPr>
          <w:p w:rsidR="00ED6788" w:rsidRPr="002C0E8B" w:rsidRDefault="00ED6788" w:rsidP="00C25CC8">
            <w:pPr>
              <w:pStyle w:val="TableText"/>
              <w:jc w:val="right"/>
              <w:rPr>
                <w:b/>
              </w:rPr>
            </w:pPr>
            <w:r>
              <w:rPr>
                <w:b/>
              </w:rPr>
              <w:t>155,280</w:t>
            </w:r>
          </w:p>
        </w:tc>
      </w:tr>
    </w:tbl>
    <w:p w:rsidR="00ED6788" w:rsidRDefault="00ED6788" w:rsidP="004F1D55">
      <w:pPr>
        <w:rPr>
          <w:highlight w:val="yellow"/>
        </w:rPr>
      </w:pPr>
    </w:p>
    <w:p w:rsidR="00ED6788" w:rsidRPr="001F4EAF" w:rsidRDefault="00ED6788" w:rsidP="004F1D55">
      <w:pPr>
        <w:pStyle w:val="Heading3"/>
      </w:pPr>
      <w:r w:rsidRPr="001F4EAF">
        <w:t>Comment</w:t>
      </w:r>
      <w:r>
        <w:t>s</w:t>
      </w:r>
    </w:p>
    <w:p w:rsidR="00ED6788" w:rsidRPr="00C577F4" w:rsidRDefault="00ED6788" w:rsidP="004F1D55">
      <w:r w:rsidRPr="00C577F4">
        <w:t>The u</w:t>
      </w:r>
      <w:r>
        <w:t>nderspend of $225.250 million against</w:t>
      </w:r>
      <w:r w:rsidRPr="00C577F4">
        <w:t xml:space="preserve"> the Main Estimates </w:t>
      </w:r>
      <w:r>
        <w:t xml:space="preserve">(67 percent of appropriation) </w:t>
      </w:r>
      <w:r w:rsidRPr="00C577F4">
        <w:t>is due to the timing of funding required for health sector capital projects mainly relating to the Cant</w:t>
      </w:r>
      <w:r>
        <w:t xml:space="preserve">erbury Hospital Rebuild </w:t>
      </w:r>
      <w:r w:rsidRPr="00C577F4">
        <w:t>that are managed or co-managed by the Ministry. The underspend was carried forward to 2015/16 for work on the Canterbury hospitals rebuild.</w:t>
      </w:r>
    </w:p>
    <w:p w:rsidR="00ED6788" w:rsidRDefault="00ED6788" w:rsidP="004F1D55">
      <w:pPr>
        <w:rPr>
          <w:highlight w:val="yellow"/>
        </w:rPr>
      </w:pPr>
    </w:p>
    <w:p w:rsidR="000845D9" w:rsidRDefault="00ED6788" w:rsidP="004F1D55">
      <w:pPr>
        <w:pStyle w:val="Heading2"/>
      </w:pPr>
      <w:bookmarkStart w:id="55" w:name="_Toc432765763"/>
      <w:bookmarkStart w:id="56" w:name="_Toc433713796"/>
      <w:r w:rsidRPr="0094642C">
        <w:lastRenderedPageBreak/>
        <w:t xml:space="preserve">Refinance of Crown </w:t>
      </w:r>
      <w:r w:rsidR="004F1D55">
        <w:t>l</w:t>
      </w:r>
      <w:r w:rsidRPr="0094642C">
        <w:t>oans</w:t>
      </w:r>
      <w:bookmarkEnd w:id="55"/>
      <w:bookmarkEnd w:id="56"/>
    </w:p>
    <w:p w:rsidR="00ED6788" w:rsidRDefault="00ED6788" w:rsidP="004F1D55">
      <w:pPr>
        <w:keepNext/>
      </w:pPr>
      <w:r>
        <w:t>The scope of t</w:t>
      </w:r>
      <w:r w:rsidRPr="00834C5C">
        <w:t>his appropriation is limited to refinancing existing Crown loans made to DHBs for the purpose of facilities redevelopment and other purposes agreed by the Crown including balance sheet reconfiguration.</w:t>
      </w:r>
    </w:p>
    <w:p w:rsidR="00ED6788" w:rsidRDefault="00ED6788" w:rsidP="004F1D55">
      <w:pPr>
        <w:keepNext/>
      </w:pPr>
    </w:p>
    <w:p w:rsidR="00ED6788" w:rsidRDefault="00ED6788" w:rsidP="004F1D55">
      <w:pPr>
        <w:keepNext/>
      </w:pPr>
      <w:r w:rsidRPr="00834C5C">
        <w:t>This appropriation is required so that DHBs can refinance capital expenditure loans with the Crown. This expenditure is a technical financial matter, and is not reflected by any actual change in the DHBs</w:t>
      </w:r>
      <w:r w:rsidR="000845D9">
        <w:t>’</w:t>
      </w:r>
      <w:r w:rsidRPr="00834C5C">
        <w:t xml:space="preserve"> or Crown</w:t>
      </w:r>
      <w:r w:rsidR="000845D9">
        <w:t>’</w:t>
      </w:r>
      <w:r w:rsidRPr="00834C5C">
        <w:t>s assets or liabilities.</w:t>
      </w:r>
    </w:p>
    <w:p w:rsidR="004F1D55" w:rsidRPr="003756B9" w:rsidRDefault="004F1D55" w:rsidP="004F1D55">
      <w:pPr>
        <w:keepNext/>
      </w:pPr>
    </w:p>
    <w:p w:rsidR="00ED6788" w:rsidRPr="003756B9" w:rsidRDefault="00ED6788" w:rsidP="004F1D55">
      <w:pPr>
        <w:pStyle w:val="Heading3"/>
      </w:pPr>
      <w:r>
        <w:t>Summary of output performance</w:t>
      </w: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89"/>
        <w:gridCol w:w="6118"/>
        <w:gridCol w:w="1033"/>
        <w:gridCol w:w="1115"/>
      </w:tblGrid>
      <w:tr w:rsidR="00ED6788" w:rsidRPr="00E16661" w:rsidTr="004F1D55">
        <w:trPr>
          <w:cantSplit/>
        </w:trPr>
        <w:tc>
          <w:tcPr>
            <w:tcW w:w="582" w:type="pct"/>
            <w:tcBorders>
              <w:top w:val="single" w:sz="4" w:space="0" w:color="auto"/>
              <w:bottom w:val="single" w:sz="4" w:space="0" w:color="auto"/>
            </w:tcBorders>
          </w:tcPr>
          <w:p w:rsidR="00ED6788" w:rsidRPr="00E16661" w:rsidRDefault="00ED6788" w:rsidP="00C25CC8">
            <w:pPr>
              <w:pStyle w:val="TableText"/>
              <w:ind w:right="284"/>
              <w:jc w:val="right"/>
              <w:rPr>
                <w:b/>
              </w:rPr>
            </w:pPr>
            <w:r w:rsidRPr="00E16661">
              <w:rPr>
                <w:b/>
              </w:rPr>
              <w:t>Actual 201</w:t>
            </w:r>
            <w:r>
              <w:rPr>
                <w:b/>
              </w:rPr>
              <w:t>3/14</w:t>
            </w:r>
          </w:p>
        </w:tc>
        <w:tc>
          <w:tcPr>
            <w:tcW w:w="3270" w:type="pct"/>
            <w:tcBorders>
              <w:top w:val="single" w:sz="4" w:space="0" w:color="auto"/>
              <w:bottom w:val="single" w:sz="4" w:space="0" w:color="auto"/>
            </w:tcBorders>
          </w:tcPr>
          <w:p w:rsidR="00ED6788" w:rsidRPr="00E16661" w:rsidRDefault="00ED6788" w:rsidP="00C25CC8">
            <w:pPr>
              <w:pStyle w:val="TableText"/>
              <w:rPr>
                <w:b/>
              </w:rPr>
            </w:pPr>
            <w:r w:rsidRPr="00E16661">
              <w:rPr>
                <w:b/>
              </w:rPr>
              <w:t>Performance measure</w:t>
            </w:r>
          </w:p>
        </w:tc>
        <w:tc>
          <w:tcPr>
            <w:tcW w:w="552" w:type="pct"/>
            <w:tcBorders>
              <w:top w:val="single" w:sz="4" w:space="0" w:color="auto"/>
              <w:bottom w:val="single" w:sz="4" w:space="0" w:color="auto"/>
            </w:tcBorders>
          </w:tcPr>
          <w:p w:rsidR="00ED6788" w:rsidRPr="00E16661" w:rsidRDefault="00ED6788" w:rsidP="00C25CC8">
            <w:pPr>
              <w:pStyle w:val="TableT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596" w:type="pct"/>
            <w:tcBorders>
              <w:top w:val="single" w:sz="4" w:space="0" w:color="auto"/>
              <w:bottom w:val="single" w:sz="4" w:space="0" w:color="auto"/>
            </w:tcBorders>
            <w:shd w:val="clear" w:color="auto" w:fill="D9D9D9"/>
          </w:tcPr>
          <w:p w:rsidR="00ED6788" w:rsidRPr="00E16661" w:rsidRDefault="00ED6788" w:rsidP="00C25CC8">
            <w:pPr>
              <w:pStyle w:val="TableT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4F1D55">
        <w:trPr>
          <w:cantSplit/>
        </w:trPr>
        <w:tc>
          <w:tcPr>
            <w:tcW w:w="582" w:type="pct"/>
            <w:tcBorders>
              <w:top w:val="single" w:sz="4" w:space="0" w:color="auto"/>
            </w:tcBorders>
          </w:tcPr>
          <w:p w:rsidR="00ED6788" w:rsidRPr="002C0E8B" w:rsidRDefault="00ED6788" w:rsidP="00C25CC8">
            <w:pPr>
              <w:pStyle w:val="TableText"/>
              <w:ind w:right="284"/>
              <w:jc w:val="right"/>
              <w:rPr>
                <w:bCs/>
                <w:lang w:eastAsia="en-NZ"/>
              </w:rPr>
            </w:pPr>
            <w:r>
              <w:rPr>
                <w:bCs/>
                <w:lang w:eastAsia="en-NZ"/>
              </w:rPr>
              <w:t>100%</w:t>
            </w:r>
          </w:p>
        </w:tc>
        <w:tc>
          <w:tcPr>
            <w:tcW w:w="3270" w:type="pct"/>
            <w:tcBorders>
              <w:top w:val="single" w:sz="4" w:space="0" w:color="auto"/>
            </w:tcBorders>
          </w:tcPr>
          <w:p w:rsidR="00ED6788" w:rsidRPr="00AB69C4" w:rsidRDefault="00ED6788" w:rsidP="000B6CAD">
            <w:pPr>
              <w:pStyle w:val="TableText"/>
              <w:rPr>
                <w:b/>
              </w:rPr>
            </w:pPr>
            <w:r w:rsidRPr="0094642C">
              <w:t xml:space="preserve">Crown </w:t>
            </w:r>
            <w:r w:rsidR="000B6CAD">
              <w:t>l</w:t>
            </w:r>
            <w:r w:rsidRPr="0094642C">
              <w:t>oans are refinanced on or before their expiry date</w:t>
            </w:r>
          </w:p>
        </w:tc>
        <w:tc>
          <w:tcPr>
            <w:tcW w:w="552" w:type="pct"/>
            <w:tcBorders>
              <w:top w:val="single" w:sz="4" w:space="0" w:color="auto"/>
            </w:tcBorders>
          </w:tcPr>
          <w:p w:rsidR="00ED6788" w:rsidRPr="002C0E8B" w:rsidRDefault="00ED6788" w:rsidP="00C25CC8">
            <w:pPr>
              <w:pStyle w:val="TableText"/>
              <w:ind w:right="142"/>
              <w:jc w:val="right"/>
            </w:pPr>
            <w:r w:rsidRPr="0094642C">
              <w:t>100%</w:t>
            </w:r>
          </w:p>
        </w:tc>
        <w:tc>
          <w:tcPr>
            <w:tcW w:w="596" w:type="pct"/>
            <w:tcBorders>
              <w:top w:val="single" w:sz="4" w:space="0" w:color="auto"/>
            </w:tcBorders>
            <w:shd w:val="clear" w:color="auto" w:fill="D9D9D9"/>
          </w:tcPr>
          <w:p w:rsidR="00ED6788" w:rsidRPr="002C0E8B" w:rsidRDefault="00ED6788" w:rsidP="00C25CC8">
            <w:pPr>
              <w:pStyle w:val="TableText"/>
              <w:ind w:right="142"/>
              <w:jc w:val="right"/>
            </w:pPr>
            <w:r>
              <w:t>100%</w:t>
            </w:r>
          </w:p>
        </w:tc>
      </w:tr>
    </w:tbl>
    <w:p w:rsidR="00ED6788" w:rsidRPr="00802126" w:rsidRDefault="00ED6788" w:rsidP="004F1D55">
      <w:pPr>
        <w:rPr>
          <w:highlight w:val="yellow"/>
        </w:rPr>
      </w:pPr>
    </w:p>
    <w:p w:rsidR="00ED6788" w:rsidRDefault="00ED6788" w:rsidP="004F1D55">
      <w:pPr>
        <w:pStyle w:val="Heading3"/>
      </w:pPr>
      <w:r>
        <w:t>Comments</w:t>
      </w:r>
    </w:p>
    <w:p w:rsidR="00ED6788" w:rsidRDefault="00ED6788" w:rsidP="004F1D55">
      <w:r>
        <w:t>This is for the renewal of existing loans held by DHBs.</w:t>
      </w:r>
      <w:r w:rsidR="000845D9">
        <w:t xml:space="preserve"> </w:t>
      </w:r>
      <w:r>
        <w:t>Details of the loans are reported in the DHBs</w:t>
      </w:r>
      <w:r w:rsidR="000B6CAD">
        <w:t>’</w:t>
      </w:r>
      <w:r>
        <w:t xml:space="preserve"> Annual Report</w:t>
      </w:r>
      <w:r w:rsidR="000B6CAD">
        <w:t>s</w:t>
      </w:r>
      <w:r>
        <w:t>.</w:t>
      </w:r>
    </w:p>
    <w:p w:rsidR="00ED6788" w:rsidRPr="00533D7C" w:rsidRDefault="00ED6788" w:rsidP="004F1D55"/>
    <w:p w:rsidR="00ED6788" w:rsidRDefault="00ED6788" w:rsidP="004F1D55">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right w:val="nil"/>
            </w:tcBorders>
            <w:shd w:val="solid" w:color="FFFFFF" w:fill="auto"/>
          </w:tcPr>
          <w:p w:rsidR="00ED6788" w:rsidRPr="002C0E8B" w:rsidRDefault="00ED6788" w:rsidP="00C25CC8">
            <w:pPr>
              <w:pStyle w:val="TableText"/>
              <w:ind w:right="284"/>
              <w:jc w:val="right"/>
              <w:rPr>
                <w:b/>
                <w:bCs/>
              </w:rPr>
            </w:pPr>
            <w:r>
              <w:rPr>
                <w:b/>
                <w:bCs/>
              </w:rPr>
              <w:t>143,359</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C0E8B" w:rsidRDefault="00ED6788" w:rsidP="00C25CC8">
            <w:pPr>
              <w:pStyle w:val="TableText"/>
              <w:ind w:right="142"/>
              <w:jc w:val="right"/>
              <w:rPr>
                <w:b/>
              </w:rPr>
            </w:pPr>
            <w:r>
              <w:rPr>
                <w:b/>
              </w:rPr>
              <w:t>476,036</w:t>
            </w:r>
          </w:p>
        </w:tc>
        <w:tc>
          <w:tcPr>
            <w:tcW w:w="1488" w:type="dxa"/>
          </w:tcPr>
          <w:p w:rsidR="00ED6788" w:rsidRPr="002C0E8B" w:rsidRDefault="00ED6788" w:rsidP="00C25CC8">
            <w:pPr>
              <w:pStyle w:val="TableText"/>
              <w:tabs>
                <w:tab w:val="left" w:pos="1264"/>
              </w:tabs>
              <w:jc w:val="right"/>
              <w:rPr>
                <w:b/>
              </w:rPr>
            </w:pPr>
            <w:r w:rsidRPr="0094642C">
              <w:rPr>
                <w:b/>
              </w:rPr>
              <w:t>439,700</w:t>
            </w:r>
          </w:p>
        </w:tc>
        <w:tc>
          <w:tcPr>
            <w:tcW w:w="1347" w:type="dxa"/>
          </w:tcPr>
          <w:p w:rsidR="00ED6788" w:rsidRPr="002C0E8B" w:rsidRDefault="00ED6788" w:rsidP="00C25CC8">
            <w:pPr>
              <w:pStyle w:val="TableText"/>
              <w:jc w:val="right"/>
              <w:rPr>
                <w:b/>
              </w:rPr>
            </w:pPr>
            <w:r>
              <w:rPr>
                <w:b/>
              </w:rPr>
              <w:t>480,090</w:t>
            </w:r>
          </w:p>
        </w:tc>
      </w:tr>
    </w:tbl>
    <w:p w:rsidR="00ED6788" w:rsidRDefault="00ED6788" w:rsidP="004F1D55"/>
    <w:p w:rsidR="00ED6788" w:rsidRPr="00074D5A" w:rsidRDefault="00ED6788" w:rsidP="004F1D55">
      <w:pPr>
        <w:pStyle w:val="Heading3"/>
      </w:pPr>
      <w:r w:rsidRPr="00074D5A">
        <w:t>Comment</w:t>
      </w:r>
      <w:r>
        <w:t>s</w:t>
      </w:r>
    </w:p>
    <w:p w:rsidR="004F1D55" w:rsidRDefault="00ED6788" w:rsidP="004F1D55">
      <w:r w:rsidRPr="00074D5A">
        <w:t xml:space="preserve">The overspend of $36.336 </w:t>
      </w:r>
      <w:r w:rsidRPr="00020103">
        <w:t xml:space="preserve">million </w:t>
      </w:r>
      <w:r>
        <w:t>against</w:t>
      </w:r>
      <w:r w:rsidRPr="00074D5A">
        <w:t xml:space="preserve"> the Main Estimates </w:t>
      </w:r>
      <w:r>
        <w:t xml:space="preserve">(8 percent of appropriation) </w:t>
      </w:r>
      <w:r w:rsidRPr="00074D5A">
        <w:t>relates to short</w:t>
      </w:r>
      <w:r w:rsidR="000B6CAD">
        <w:t>-</w:t>
      </w:r>
      <w:r w:rsidRPr="00074D5A">
        <w:t>term loans that rolled over within the financial year.</w:t>
      </w:r>
    </w:p>
    <w:p w:rsidR="004F1D55" w:rsidRDefault="004F1D55" w:rsidP="004F1D55"/>
    <w:p w:rsidR="000845D9" w:rsidRDefault="00ED6788" w:rsidP="004F1D55">
      <w:pPr>
        <w:pStyle w:val="Heading2"/>
      </w:pPr>
      <w:bookmarkStart w:id="57" w:name="_Toc432765764"/>
      <w:bookmarkStart w:id="58" w:name="_Toc433713797"/>
      <w:r w:rsidRPr="0094642C">
        <w:lastRenderedPageBreak/>
        <w:t xml:space="preserve">Refinance of DHB </w:t>
      </w:r>
      <w:r w:rsidR="004F1D55">
        <w:t>p</w:t>
      </w:r>
      <w:r w:rsidRPr="0094642C">
        <w:t xml:space="preserve">rivate </w:t>
      </w:r>
      <w:r w:rsidR="004F1D55">
        <w:t>d</w:t>
      </w:r>
      <w:r w:rsidRPr="0094642C">
        <w:t>ebt</w:t>
      </w:r>
      <w:bookmarkEnd w:id="57"/>
      <w:bookmarkEnd w:id="58"/>
    </w:p>
    <w:p w:rsidR="00ED6788" w:rsidRDefault="00ED6788" w:rsidP="004F1D55">
      <w:pPr>
        <w:keepNext/>
      </w:pPr>
      <w:r>
        <w:t>The s</w:t>
      </w:r>
      <w:r w:rsidRPr="007F473C">
        <w:t xml:space="preserve">cope of </w:t>
      </w:r>
      <w:r>
        <w:t>the a</w:t>
      </w:r>
      <w:r w:rsidRPr="007F473C">
        <w:t>ppropriation</w:t>
      </w:r>
      <w:r>
        <w:t xml:space="preserve"> is p</w:t>
      </w:r>
      <w:r w:rsidRPr="00B402DB">
        <w:t xml:space="preserve">rovision of funding to DHBs to replace their current debts held by private banking institutions as they become due for refinancing. This appropriation is intended to </w:t>
      </w:r>
      <w:r w:rsidR="000B6CAD">
        <w:t xml:space="preserve">enable </w:t>
      </w:r>
      <w:r w:rsidRPr="00B402DB">
        <w:t xml:space="preserve">DHBs </w:t>
      </w:r>
      <w:r w:rsidR="000B6CAD">
        <w:t xml:space="preserve">to </w:t>
      </w:r>
      <w:r w:rsidRPr="00B402DB">
        <w:t>refinance private debts when they mature.</w:t>
      </w:r>
    </w:p>
    <w:p w:rsidR="004F1D55" w:rsidRPr="003756B9" w:rsidRDefault="004F1D55" w:rsidP="004F1D55">
      <w:pPr>
        <w:keepNext/>
      </w:pPr>
    </w:p>
    <w:p w:rsidR="00ED6788" w:rsidRPr="003756B9" w:rsidRDefault="004F1D55" w:rsidP="004F1D55">
      <w:pPr>
        <w:pStyle w:val="Heading3"/>
      </w:pPr>
      <w:r>
        <w:t>Summary of output performance</w:t>
      </w: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89"/>
        <w:gridCol w:w="6118"/>
        <w:gridCol w:w="1033"/>
        <w:gridCol w:w="1115"/>
      </w:tblGrid>
      <w:tr w:rsidR="00ED6788" w:rsidRPr="00E16661" w:rsidTr="004F1D55">
        <w:trPr>
          <w:cantSplit/>
        </w:trPr>
        <w:tc>
          <w:tcPr>
            <w:tcW w:w="582" w:type="pct"/>
            <w:tcBorders>
              <w:top w:val="single" w:sz="4" w:space="0" w:color="auto"/>
              <w:bottom w:val="single" w:sz="4" w:space="0" w:color="auto"/>
            </w:tcBorders>
          </w:tcPr>
          <w:p w:rsidR="00ED6788" w:rsidRPr="00E16661" w:rsidRDefault="00ED6788" w:rsidP="004F1D55">
            <w:pPr>
              <w:pStyle w:val="TableText"/>
              <w:keepNext/>
              <w:ind w:right="284"/>
              <w:jc w:val="right"/>
              <w:rPr>
                <w:b/>
              </w:rPr>
            </w:pPr>
            <w:r w:rsidRPr="00E16661">
              <w:rPr>
                <w:b/>
              </w:rPr>
              <w:t>Actual 201</w:t>
            </w:r>
            <w:r>
              <w:rPr>
                <w:b/>
              </w:rPr>
              <w:t>3/14</w:t>
            </w:r>
          </w:p>
        </w:tc>
        <w:tc>
          <w:tcPr>
            <w:tcW w:w="3270" w:type="pct"/>
            <w:tcBorders>
              <w:top w:val="single" w:sz="4" w:space="0" w:color="auto"/>
              <w:bottom w:val="single" w:sz="4" w:space="0" w:color="auto"/>
            </w:tcBorders>
          </w:tcPr>
          <w:p w:rsidR="00ED6788" w:rsidRPr="00E16661" w:rsidRDefault="00ED6788" w:rsidP="004F1D55">
            <w:pPr>
              <w:pStyle w:val="TableText"/>
              <w:keepNext/>
              <w:rPr>
                <w:b/>
              </w:rPr>
            </w:pPr>
            <w:r w:rsidRPr="00E16661">
              <w:rPr>
                <w:b/>
              </w:rPr>
              <w:t>Performance measure</w:t>
            </w:r>
          </w:p>
        </w:tc>
        <w:tc>
          <w:tcPr>
            <w:tcW w:w="552" w:type="pct"/>
            <w:tcBorders>
              <w:top w:val="single" w:sz="4" w:space="0" w:color="auto"/>
              <w:bottom w:val="single" w:sz="4" w:space="0" w:color="auto"/>
            </w:tcBorders>
          </w:tcPr>
          <w:p w:rsidR="00ED6788" w:rsidRPr="00E16661" w:rsidRDefault="00ED6788" w:rsidP="004F1D55">
            <w:pPr>
              <w:pStyle w:val="TableText"/>
              <w:keepN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596" w:type="pct"/>
            <w:tcBorders>
              <w:top w:val="single" w:sz="4" w:space="0" w:color="auto"/>
              <w:bottom w:val="single" w:sz="4" w:space="0" w:color="auto"/>
            </w:tcBorders>
            <w:shd w:val="clear" w:color="auto" w:fill="D9D9D9"/>
          </w:tcPr>
          <w:p w:rsidR="00ED6788" w:rsidRPr="00E16661" w:rsidRDefault="00ED6788" w:rsidP="004F1D55">
            <w:pPr>
              <w:pStyle w:val="TableText"/>
              <w:keepN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4F1D55">
        <w:trPr>
          <w:cantSplit/>
        </w:trPr>
        <w:tc>
          <w:tcPr>
            <w:tcW w:w="582" w:type="pct"/>
            <w:tcBorders>
              <w:top w:val="single" w:sz="4" w:space="0" w:color="auto"/>
            </w:tcBorders>
          </w:tcPr>
          <w:p w:rsidR="00ED6788" w:rsidRPr="002C0E8B" w:rsidRDefault="00ED6788" w:rsidP="004F1D55">
            <w:pPr>
              <w:pStyle w:val="TableText"/>
              <w:keepNext/>
              <w:ind w:right="284"/>
              <w:jc w:val="right"/>
              <w:rPr>
                <w:bCs/>
                <w:lang w:eastAsia="en-NZ"/>
              </w:rPr>
            </w:pPr>
            <w:r>
              <w:rPr>
                <w:bCs/>
                <w:lang w:eastAsia="en-NZ"/>
              </w:rPr>
              <w:t>N/A</w:t>
            </w:r>
          </w:p>
        </w:tc>
        <w:tc>
          <w:tcPr>
            <w:tcW w:w="3270" w:type="pct"/>
            <w:tcBorders>
              <w:top w:val="single" w:sz="4" w:space="0" w:color="auto"/>
            </w:tcBorders>
          </w:tcPr>
          <w:p w:rsidR="00ED6788" w:rsidRPr="00AB69C4" w:rsidRDefault="004F1D55" w:rsidP="004F1D55">
            <w:pPr>
              <w:pStyle w:val="TableText"/>
              <w:keepNext/>
              <w:rPr>
                <w:b/>
              </w:rPr>
            </w:pPr>
            <w:r>
              <w:t>Crown l</w:t>
            </w:r>
            <w:r w:rsidR="00ED6788" w:rsidRPr="0094642C">
              <w:t>oans are refinanced on or before their expiry date</w:t>
            </w:r>
          </w:p>
        </w:tc>
        <w:tc>
          <w:tcPr>
            <w:tcW w:w="552" w:type="pct"/>
            <w:tcBorders>
              <w:top w:val="single" w:sz="4" w:space="0" w:color="auto"/>
            </w:tcBorders>
          </w:tcPr>
          <w:p w:rsidR="00ED6788" w:rsidRPr="002C0E8B" w:rsidRDefault="00ED6788" w:rsidP="004F1D55">
            <w:pPr>
              <w:pStyle w:val="TableText"/>
              <w:keepNext/>
              <w:ind w:right="142"/>
              <w:jc w:val="right"/>
            </w:pPr>
            <w:r w:rsidRPr="0094642C">
              <w:t>100%</w:t>
            </w:r>
          </w:p>
        </w:tc>
        <w:tc>
          <w:tcPr>
            <w:tcW w:w="596" w:type="pct"/>
            <w:tcBorders>
              <w:top w:val="single" w:sz="4" w:space="0" w:color="auto"/>
            </w:tcBorders>
            <w:shd w:val="clear" w:color="auto" w:fill="D9D9D9"/>
          </w:tcPr>
          <w:p w:rsidR="00ED6788" w:rsidRPr="002C0E8B" w:rsidRDefault="00ED6788" w:rsidP="004F1D55">
            <w:pPr>
              <w:pStyle w:val="TableText"/>
              <w:keepNext/>
              <w:ind w:right="142"/>
              <w:jc w:val="right"/>
            </w:pPr>
            <w:r>
              <w:t>N/A</w:t>
            </w:r>
          </w:p>
        </w:tc>
      </w:tr>
    </w:tbl>
    <w:p w:rsidR="00ED6788" w:rsidRPr="003756B9" w:rsidRDefault="00ED6788" w:rsidP="004F1D55">
      <w:pPr>
        <w:keepNext/>
      </w:pPr>
    </w:p>
    <w:p w:rsidR="00ED6788" w:rsidRDefault="00ED6788" w:rsidP="004F1D55">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Voted appropriation</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right w:val="nil"/>
            </w:tcBorders>
            <w:shd w:val="solid" w:color="FFFFFF" w:fill="auto"/>
          </w:tcPr>
          <w:p w:rsidR="00ED6788" w:rsidRPr="002C0E8B" w:rsidRDefault="004F1D55" w:rsidP="004F1D55">
            <w:pPr>
              <w:pStyle w:val="TableText"/>
              <w:ind w:right="284"/>
              <w:jc w:val="right"/>
              <w:rPr>
                <w:b/>
                <w:bCs/>
              </w:rPr>
            </w:pPr>
            <w:r>
              <w:rPr>
                <w:b/>
                <w:bCs/>
              </w:rPr>
              <w:t>–</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C0E8B" w:rsidRDefault="004F1D55" w:rsidP="004F1D55">
            <w:pPr>
              <w:pStyle w:val="TableText"/>
              <w:ind w:right="142"/>
              <w:jc w:val="right"/>
              <w:rPr>
                <w:b/>
              </w:rPr>
            </w:pPr>
            <w:r>
              <w:rPr>
                <w:b/>
              </w:rPr>
              <w:t>–</w:t>
            </w:r>
          </w:p>
        </w:tc>
        <w:tc>
          <w:tcPr>
            <w:tcW w:w="1488" w:type="dxa"/>
          </w:tcPr>
          <w:p w:rsidR="00ED6788" w:rsidRPr="002C0E8B" w:rsidRDefault="00ED6788" w:rsidP="00C25CC8">
            <w:pPr>
              <w:pStyle w:val="TableText"/>
              <w:tabs>
                <w:tab w:val="left" w:pos="1264"/>
              </w:tabs>
              <w:jc w:val="right"/>
              <w:rPr>
                <w:b/>
              </w:rPr>
            </w:pPr>
            <w:r>
              <w:rPr>
                <w:b/>
              </w:rPr>
              <w:t>50,000</w:t>
            </w:r>
          </w:p>
        </w:tc>
        <w:tc>
          <w:tcPr>
            <w:tcW w:w="1347" w:type="dxa"/>
          </w:tcPr>
          <w:p w:rsidR="00ED6788" w:rsidRPr="002C0E8B" w:rsidRDefault="004F1D55" w:rsidP="004F1D55">
            <w:pPr>
              <w:pStyle w:val="TableText"/>
              <w:jc w:val="right"/>
              <w:rPr>
                <w:b/>
              </w:rPr>
            </w:pPr>
            <w:r>
              <w:rPr>
                <w:b/>
              </w:rPr>
              <w:t>–</w:t>
            </w:r>
          </w:p>
        </w:tc>
      </w:tr>
    </w:tbl>
    <w:p w:rsidR="00ED6788" w:rsidRDefault="00ED6788" w:rsidP="004F1D55">
      <w:pPr>
        <w:rPr>
          <w:highlight w:val="yellow"/>
        </w:rPr>
      </w:pPr>
    </w:p>
    <w:p w:rsidR="00ED6788" w:rsidRPr="004E0615" w:rsidRDefault="00ED6788" w:rsidP="004F1D55">
      <w:pPr>
        <w:pStyle w:val="Heading3"/>
      </w:pPr>
      <w:r w:rsidRPr="004E0615">
        <w:t>Comment</w:t>
      </w:r>
      <w:r>
        <w:t>s</w:t>
      </w:r>
    </w:p>
    <w:p w:rsidR="00ED6788" w:rsidRPr="00654BA1" w:rsidRDefault="00ED6788" w:rsidP="004F1D55">
      <w:r>
        <w:t>The underspend of $50 million against</w:t>
      </w:r>
      <w:r w:rsidRPr="00654BA1">
        <w:t xml:space="preserve"> the Main Estimates</w:t>
      </w:r>
      <w:r>
        <w:t xml:space="preserve"> (100 percent of appropriation) relates to </w:t>
      </w:r>
      <w:r w:rsidRPr="004C17F3">
        <w:t>a private debt held by Auckland DHB</w:t>
      </w:r>
      <w:r>
        <w:t xml:space="preserve">. The funding was </w:t>
      </w:r>
      <w:r w:rsidRPr="004C17F3">
        <w:t>transferred to the 2015/16 year</w:t>
      </w:r>
      <w:r>
        <w:t xml:space="preserve"> as the debt will not require refinancing until then</w:t>
      </w:r>
      <w:r w:rsidRPr="004C17F3">
        <w:t>.</w:t>
      </w:r>
    </w:p>
    <w:p w:rsidR="00ED6788" w:rsidRDefault="00ED6788" w:rsidP="004F1D55">
      <w:pPr>
        <w:rPr>
          <w:highlight w:val="yellow"/>
        </w:rPr>
      </w:pPr>
    </w:p>
    <w:p w:rsidR="000845D9" w:rsidRDefault="00ED6788" w:rsidP="004F1D55">
      <w:pPr>
        <w:pStyle w:val="Heading2"/>
      </w:pPr>
      <w:bookmarkStart w:id="59" w:name="_Toc432765765"/>
      <w:bookmarkStart w:id="60" w:name="_Toc433713798"/>
      <w:r w:rsidRPr="0094642C">
        <w:lastRenderedPageBreak/>
        <w:t xml:space="preserve">Residential </w:t>
      </w:r>
      <w:r w:rsidR="004F1D55">
        <w:t>c</w:t>
      </w:r>
      <w:r w:rsidRPr="0094642C">
        <w:t xml:space="preserve">are </w:t>
      </w:r>
      <w:r w:rsidR="004F1D55">
        <w:t>l</w:t>
      </w:r>
      <w:r w:rsidRPr="0094642C">
        <w:t xml:space="preserve">oans </w:t>
      </w:r>
      <w:r w:rsidRPr="00C13904">
        <w:t>–</w:t>
      </w:r>
      <w:r w:rsidRPr="0094642C">
        <w:t xml:space="preserve"> </w:t>
      </w:r>
      <w:r w:rsidR="004F1D55">
        <w:t>p</w:t>
      </w:r>
      <w:r w:rsidRPr="0094642C">
        <w:t>ayments</w:t>
      </w:r>
      <w:bookmarkEnd w:id="59"/>
      <w:bookmarkEnd w:id="60"/>
    </w:p>
    <w:p w:rsidR="00ED6788" w:rsidRDefault="00ED6788" w:rsidP="004F1D55">
      <w:pPr>
        <w:keepNext/>
      </w:pPr>
      <w:r>
        <w:t>The s</w:t>
      </w:r>
      <w:r w:rsidRPr="007F473C">
        <w:t xml:space="preserve">cope of </w:t>
      </w:r>
      <w:r>
        <w:t>the a</w:t>
      </w:r>
      <w:r w:rsidRPr="007F473C">
        <w:t>ppropriation</w:t>
      </w:r>
      <w:r>
        <w:t xml:space="preserve"> f</w:t>
      </w:r>
      <w:r w:rsidRPr="00B402DB">
        <w:t xml:space="preserve">unding </w:t>
      </w:r>
      <w:r>
        <w:t xml:space="preserve">is </w:t>
      </w:r>
      <w:r w:rsidRPr="00B402DB">
        <w:t>to provide interest-free loans to people entering into aged residential care facilities</w:t>
      </w:r>
      <w:r>
        <w:t>.</w:t>
      </w:r>
    </w:p>
    <w:p w:rsidR="004F1D55" w:rsidRPr="003756B9" w:rsidRDefault="004F1D55" w:rsidP="004F1D55">
      <w:pPr>
        <w:keepNext/>
      </w:pPr>
    </w:p>
    <w:p w:rsidR="00ED6788" w:rsidRPr="003756B9" w:rsidRDefault="00ED6788" w:rsidP="004F1D55">
      <w:pPr>
        <w:pStyle w:val="Heading3"/>
      </w:pPr>
      <w:r>
        <w:t>Summary of output performance</w:t>
      </w: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418"/>
        <w:gridCol w:w="5244"/>
        <w:gridCol w:w="1454"/>
        <w:gridCol w:w="1239"/>
      </w:tblGrid>
      <w:tr w:rsidR="00ED6788" w:rsidRPr="00E16661" w:rsidTr="004F1D55">
        <w:trPr>
          <w:cantSplit/>
        </w:trPr>
        <w:tc>
          <w:tcPr>
            <w:tcW w:w="758" w:type="pct"/>
            <w:tcBorders>
              <w:top w:val="single" w:sz="4" w:space="0" w:color="auto"/>
              <w:bottom w:val="single" w:sz="4" w:space="0" w:color="auto"/>
            </w:tcBorders>
          </w:tcPr>
          <w:p w:rsidR="00ED6788" w:rsidRPr="00E16661" w:rsidRDefault="00ED6788" w:rsidP="004F1D55">
            <w:pPr>
              <w:pStyle w:val="TableText"/>
              <w:keepNext/>
              <w:ind w:right="284"/>
              <w:jc w:val="right"/>
              <w:rPr>
                <w:b/>
              </w:rPr>
            </w:pPr>
            <w:r w:rsidRPr="00E16661">
              <w:rPr>
                <w:b/>
              </w:rPr>
              <w:t>Actual 201</w:t>
            </w:r>
            <w:r>
              <w:rPr>
                <w:b/>
              </w:rPr>
              <w:t>3/14</w:t>
            </w:r>
          </w:p>
        </w:tc>
        <w:tc>
          <w:tcPr>
            <w:tcW w:w="2803" w:type="pct"/>
            <w:tcBorders>
              <w:top w:val="single" w:sz="4" w:space="0" w:color="auto"/>
              <w:bottom w:val="single" w:sz="4" w:space="0" w:color="auto"/>
            </w:tcBorders>
          </w:tcPr>
          <w:p w:rsidR="00ED6788" w:rsidRPr="00E16661" w:rsidRDefault="00ED6788" w:rsidP="004F1D55">
            <w:pPr>
              <w:pStyle w:val="TableText"/>
              <w:keepNext/>
              <w:rPr>
                <w:b/>
              </w:rPr>
            </w:pPr>
            <w:r w:rsidRPr="00E16661">
              <w:rPr>
                <w:b/>
              </w:rPr>
              <w:t>Performance measure</w:t>
            </w:r>
          </w:p>
        </w:tc>
        <w:tc>
          <w:tcPr>
            <w:tcW w:w="777" w:type="pct"/>
            <w:tcBorders>
              <w:top w:val="single" w:sz="4" w:space="0" w:color="auto"/>
              <w:bottom w:val="single" w:sz="4" w:space="0" w:color="auto"/>
            </w:tcBorders>
          </w:tcPr>
          <w:p w:rsidR="00ED6788" w:rsidRPr="00E16661" w:rsidRDefault="00ED6788" w:rsidP="004F1D55">
            <w:pPr>
              <w:pStyle w:val="TableText"/>
              <w:keepN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662" w:type="pct"/>
            <w:tcBorders>
              <w:top w:val="single" w:sz="4" w:space="0" w:color="auto"/>
              <w:bottom w:val="single" w:sz="4" w:space="0" w:color="auto"/>
            </w:tcBorders>
            <w:shd w:val="clear" w:color="auto" w:fill="D9D9D9"/>
          </w:tcPr>
          <w:p w:rsidR="00ED6788" w:rsidRPr="00E16661" w:rsidRDefault="00ED6788" w:rsidP="004F1D55">
            <w:pPr>
              <w:pStyle w:val="TableText"/>
              <w:keepN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4F1D55">
        <w:trPr>
          <w:cantSplit/>
        </w:trPr>
        <w:tc>
          <w:tcPr>
            <w:tcW w:w="758" w:type="pct"/>
            <w:tcBorders>
              <w:top w:val="single" w:sz="4" w:space="0" w:color="auto"/>
            </w:tcBorders>
          </w:tcPr>
          <w:p w:rsidR="00ED6788" w:rsidRPr="002C0E8B" w:rsidRDefault="00ED6788" w:rsidP="004F1D55">
            <w:pPr>
              <w:pStyle w:val="TableText"/>
              <w:keepNext/>
              <w:ind w:right="284"/>
              <w:jc w:val="right"/>
              <w:rPr>
                <w:bCs/>
                <w:lang w:eastAsia="en-NZ"/>
              </w:rPr>
            </w:pPr>
            <w:r w:rsidRPr="0094642C">
              <w:rPr>
                <w:bCs/>
                <w:lang w:eastAsia="en-NZ"/>
              </w:rPr>
              <w:t>Increases in levels of loans funded as required</w:t>
            </w:r>
          </w:p>
        </w:tc>
        <w:tc>
          <w:tcPr>
            <w:tcW w:w="2803" w:type="pct"/>
            <w:tcBorders>
              <w:top w:val="single" w:sz="4" w:space="0" w:color="auto"/>
            </w:tcBorders>
          </w:tcPr>
          <w:p w:rsidR="00ED6788" w:rsidRPr="00AB69C4" w:rsidRDefault="00ED6788" w:rsidP="004F1D55">
            <w:pPr>
              <w:pStyle w:val="TableText"/>
              <w:keepNext/>
              <w:rPr>
                <w:b/>
              </w:rPr>
            </w:pPr>
            <w:r w:rsidRPr="0094642C">
              <w:t>Funding for increases in levels of residential care loans</w:t>
            </w:r>
          </w:p>
        </w:tc>
        <w:tc>
          <w:tcPr>
            <w:tcW w:w="777" w:type="pct"/>
            <w:tcBorders>
              <w:top w:val="single" w:sz="4" w:space="0" w:color="auto"/>
            </w:tcBorders>
          </w:tcPr>
          <w:p w:rsidR="00ED6788" w:rsidRPr="002C0E8B" w:rsidRDefault="00ED6788" w:rsidP="004F1D55">
            <w:pPr>
              <w:pStyle w:val="TableText"/>
              <w:keepNext/>
              <w:ind w:right="142"/>
              <w:jc w:val="right"/>
            </w:pPr>
            <w:r w:rsidRPr="0094642C">
              <w:t>Increases in levels of loans funded as required</w:t>
            </w:r>
          </w:p>
        </w:tc>
        <w:tc>
          <w:tcPr>
            <w:tcW w:w="662" w:type="pct"/>
            <w:tcBorders>
              <w:top w:val="single" w:sz="4" w:space="0" w:color="auto"/>
            </w:tcBorders>
            <w:shd w:val="clear" w:color="auto" w:fill="D9D9D9"/>
          </w:tcPr>
          <w:p w:rsidR="00ED6788" w:rsidRPr="002C0E8B" w:rsidRDefault="00ED6788" w:rsidP="004F1D55">
            <w:pPr>
              <w:pStyle w:val="TableText"/>
              <w:keepNext/>
              <w:ind w:right="142"/>
              <w:jc w:val="right"/>
            </w:pPr>
            <w:r w:rsidRPr="0094642C">
              <w:t>Increases in levels of loans funded as required</w:t>
            </w:r>
          </w:p>
        </w:tc>
      </w:tr>
    </w:tbl>
    <w:p w:rsidR="00ED6788" w:rsidRPr="00802126" w:rsidRDefault="00ED6788" w:rsidP="004F1D55">
      <w:pPr>
        <w:keepNext/>
        <w:rPr>
          <w:highlight w:val="yellow"/>
        </w:rPr>
      </w:pPr>
    </w:p>
    <w:p w:rsidR="00ED6788" w:rsidRDefault="00ED6788" w:rsidP="004F1D55">
      <w:pPr>
        <w:pStyle w:val="Heading3"/>
      </w:pPr>
      <w:r>
        <w:t>Comments</w:t>
      </w:r>
    </w:p>
    <w:p w:rsidR="00ED6788" w:rsidRPr="003756B9" w:rsidRDefault="00ED6788" w:rsidP="004F1D55">
      <w:pPr>
        <w:keepNext/>
      </w:pPr>
      <w:r w:rsidRPr="00B425DF">
        <w:t>Funding to allow older people to move into residential care</w:t>
      </w:r>
      <w:r w:rsidR="000845D9">
        <w:t xml:space="preserve"> </w:t>
      </w:r>
      <w:r w:rsidRPr="00B425DF">
        <w:t>through having access to interest-free loans, rather than being obliged to sell their homes, if they are above the asset thresholds.</w:t>
      </w:r>
    </w:p>
    <w:p w:rsidR="00ED6788" w:rsidRPr="003756B9" w:rsidRDefault="00ED6788" w:rsidP="004F1D55">
      <w:pPr>
        <w:keepNext/>
      </w:pPr>
    </w:p>
    <w:p w:rsidR="00ED6788" w:rsidRDefault="00ED6788" w:rsidP="004F1D55">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18"/>
        <w:gridCol w:w="3827"/>
        <w:gridCol w:w="1276"/>
        <w:gridCol w:w="1488"/>
        <w:gridCol w:w="1347"/>
      </w:tblGrid>
      <w:tr w:rsidR="00ED6788" w:rsidRPr="00CC2A63" w:rsidTr="004F1D55">
        <w:trPr>
          <w:cantSplit/>
        </w:trPr>
        <w:tc>
          <w:tcPr>
            <w:tcW w:w="1418" w:type="dxa"/>
            <w:tcBorders>
              <w:top w:val="single" w:sz="4" w:space="0" w:color="auto"/>
              <w:bottom w:val="single" w:sz="4" w:space="0" w:color="auto"/>
              <w:right w:val="nil"/>
            </w:tcBorders>
            <w:shd w:val="solid" w:color="FFFFFF" w:fill="auto"/>
          </w:tcPr>
          <w:p w:rsidR="00ED6788" w:rsidRPr="00CC2A63" w:rsidRDefault="00ED6788" w:rsidP="004F1D55">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827" w:type="dxa"/>
            <w:tcBorders>
              <w:top w:val="single" w:sz="4" w:space="0" w:color="auto"/>
              <w:left w:val="nil"/>
              <w:bottom w:val="single" w:sz="4" w:space="0" w:color="auto"/>
            </w:tcBorders>
            <w:shd w:val="solid" w:color="FFFFFF" w:fill="auto"/>
          </w:tcPr>
          <w:p w:rsidR="00ED6788" w:rsidRDefault="00ED6788" w:rsidP="004F1D55">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4F1D55">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4F1D55">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4F1D55">
            <w:pPr>
              <w:pStyle w:val="TableText"/>
              <w:keepNext/>
              <w:jc w:val="right"/>
              <w:rPr>
                <w:b/>
                <w:lang w:eastAsia="en-NZ"/>
              </w:rPr>
            </w:pPr>
            <w:r>
              <w:rPr>
                <w:b/>
                <w:lang w:eastAsia="en-NZ"/>
              </w:rPr>
              <w:t>Voted appropriation</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4F1D55">
        <w:trPr>
          <w:cantSplit/>
        </w:trPr>
        <w:tc>
          <w:tcPr>
            <w:tcW w:w="1418" w:type="dxa"/>
            <w:tcBorders>
              <w:right w:val="nil"/>
            </w:tcBorders>
            <w:shd w:val="solid" w:color="FFFFFF" w:fill="auto"/>
          </w:tcPr>
          <w:p w:rsidR="00ED6788" w:rsidRPr="002C0E8B" w:rsidRDefault="00ED6788" w:rsidP="004F1D55">
            <w:pPr>
              <w:pStyle w:val="TableText"/>
              <w:keepNext/>
              <w:ind w:right="284"/>
              <w:jc w:val="right"/>
              <w:rPr>
                <w:b/>
                <w:bCs/>
              </w:rPr>
            </w:pPr>
            <w:r>
              <w:rPr>
                <w:b/>
                <w:bCs/>
              </w:rPr>
              <w:t>11,643</w:t>
            </w:r>
          </w:p>
        </w:tc>
        <w:tc>
          <w:tcPr>
            <w:tcW w:w="3827" w:type="dxa"/>
            <w:tcBorders>
              <w:left w:val="nil"/>
            </w:tcBorders>
            <w:shd w:val="solid" w:color="FFFFFF" w:fill="auto"/>
          </w:tcPr>
          <w:p w:rsidR="00ED6788" w:rsidRPr="002C0E8B" w:rsidRDefault="00ED6788" w:rsidP="004F1D55">
            <w:pPr>
              <w:pStyle w:val="TableText"/>
              <w:keepNext/>
              <w:rPr>
                <w:b/>
              </w:rPr>
            </w:pPr>
            <w:r>
              <w:rPr>
                <w:rFonts w:cs="Arial"/>
                <w:b/>
                <w:szCs w:val="18"/>
              </w:rPr>
              <w:t>Total appropriation</w:t>
            </w:r>
          </w:p>
        </w:tc>
        <w:tc>
          <w:tcPr>
            <w:tcW w:w="1276" w:type="dxa"/>
            <w:shd w:val="clear" w:color="E3E3E3" w:fill="D9D9D9"/>
          </w:tcPr>
          <w:p w:rsidR="00ED6788" w:rsidRPr="002C0E8B" w:rsidRDefault="00ED6788" w:rsidP="004F1D55">
            <w:pPr>
              <w:pStyle w:val="TableText"/>
              <w:keepNext/>
              <w:ind w:right="142"/>
              <w:jc w:val="right"/>
              <w:rPr>
                <w:b/>
              </w:rPr>
            </w:pPr>
            <w:r>
              <w:rPr>
                <w:b/>
              </w:rPr>
              <w:t>10,518</w:t>
            </w:r>
          </w:p>
        </w:tc>
        <w:tc>
          <w:tcPr>
            <w:tcW w:w="1488" w:type="dxa"/>
          </w:tcPr>
          <w:p w:rsidR="00ED6788" w:rsidRPr="002C0E8B" w:rsidRDefault="00ED6788" w:rsidP="004F1D55">
            <w:pPr>
              <w:pStyle w:val="TableText"/>
              <w:keepNext/>
              <w:tabs>
                <w:tab w:val="left" w:pos="1264"/>
              </w:tabs>
              <w:jc w:val="right"/>
              <w:rPr>
                <w:b/>
              </w:rPr>
            </w:pPr>
            <w:r w:rsidRPr="0094642C">
              <w:rPr>
                <w:b/>
              </w:rPr>
              <w:t>15,000</w:t>
            </w:r>
          </w:p>
        </w:tc>
        <w:tc>
          <w:tcPr>
            <w:tcW w:w="1347" w:type="dxa"/>
          </w:tcPr>
          <w:p w:rsidR="00ED6788" w:rsidRPr="002C0E8B" w:rsidRDefault="00ED6788" w:rsidP="004F1D55">
            <w:pPr>
              <w:pStyle w:val="TableText"/>
              <w:keepNext/>
              <w:jc w:val="right"/>
              <w:rPr>
                <w:b/>
              </w:rPr>
            </w:pPr>
            <w:r w:rsidRPr="0094642C">
              <w:rPr>
                <w:b/>
              </w:rPr>
              <w:t>15,000</w:t>
            </w:r>
          </w:p>
        </w:tc>
      </w:tr>
    </w:tbl>
    <w:p w:rsidR="00ED6788" w:rsidRDefault="00ED6788" w:rsidP="004F1D55">
      <w:pPr>
        <w:rPr>
          <w:highlight w:val="yellow"/>
        </w:rPr>
      </w:pPr>
    </w:p>
    <w:p w:rsidR="00ED6788" w:rsidRPr="004E0615" w:rsidRDefault="00ED6788" w:rsidP="004F1D55">
      <w:pPr>
        <w:pStyle w:val="Heading3"/>
      </w:pPr>
      <w:r w:rsidRPr="004E0615">
        <w:t>Comment</w:t>
      </w:r>
      <w:r>
        <w:t>s</w:t>
      </w:r>
    </w:p>
    <w:p w:rsidR="004F1D55" w:rsidRDefault="00ED6788" w:rsidP="004F1D55">
      <w:r w:rsidRPr="004E0615">
        <w:t>The underspend of $</w:t>
      </w:r>
      <w:r>
        <w:t>4.482</w:t>
      </w:r>
      <w:r w:rsidRPr="004E0615">
        <w:t xml:space="preserve"> million </w:t>
      </w:r>
      <w:r>
        <w:t xml:space="preserve">against the Main Estimates </w:t>
      </w:r>
      <w:r w:rsidRPr="004E0615">
        <w:t>(</w:t>
      </w:r>
      <w:r>
        <w:t>30</w:t>
      </w:r>
      <w:r w:rsidRPr="004E0615">
        <w:t xml:space="preserve"> percent of appropriation) is a result of the demand being lower than expected. This appropriation is driven by the number of people who qualify for the loans.</w:t>
      </w:r>
    </w:p>
    <w:p w:rsidR="004F1D55" w:rsidRDefault="004F1D55" w:rsidP="004F1D55"/>
    <w:p w:rsidR="000845D9" w:rsidRDefault="00ED6788" w:rsidP="004F1D55">
      <w:pPr>
        <w:pStyle w:val="Heading2"/>
      </w:pPr>
      <w:bookmarkStart w:id="61" w:name="_Toc432765766"/>
      <w:bookmarkStart w:id="62" w:name="_Toc433713799"/>
      <w:r w:rsidRPr="001C6A2F">
        <w:lastRenderedPageBreak/>
        <w:t xml:space="preserve">Loans for </w:t>
      </w:r>
      <w:r w:rsidR="004F1D55">
        <w:t>c</w:t>
      </w:r>
      <w:r w:rsidRPr="001C6A2F">
        <w:t xml:space="preserve">apital </w:t>
      </w:r>
      <w:r w:rsidR="004F1D55">
        <w:t>p</w:t>
      </w:r>
      <w:r w:rsidRPr="001C6A2F">
        <w:t>rojects</w:t>
      </w:r>
      <w:bookmarkEnd w:id="61"/>
      <w:bookmarkEnd w:id="62"/>
    </w:p>
    <w:p w:rsidR="00ED6788" w:rsidRDefault="00ED6788" w:rsidP="004F1D55">
      <w:pPr>
        <w:keepNext/>
      </w:pPr>
      <w:r>
        <w:t>The s</w:t>
      </w:r>
      <w:r w:rsidRPr="007F473C">
        <w:t xml:space="preserve">cope of </w:t>
      </w:r>
      <w:r>
        <w:t>the a</w:t>
      </w:r>
      <w:r w:rsidRPr="007F473C">
        <w:t>ppropriation</w:t>
      </w:r>
      <w:r>
        <w:t xml:space="preserve"> is p</w:t>
      </w:r>
      <w:r w:rsidRPr="001C6A2F">
        <w:t>rovision of new loans to DHBs for the purpose of facilities redevelopment and other purposes agreed by the Crown including balance sheet reconfiguration.</w:t>
      </w:r>
    </w:p>
    <w:p w:rsidR="004F1D55" w:rsidRPr="003756B9" w:rsidRDefault="004F1D55" w:rsidP="004F1D55">
      <w:pPr>
        <w:keepNext/>
      </w:pPr>
    </w:p>
    <w:p w:rsidR="00ED6788" w:rsidRPr="003756B9" w:rsidRDefault="00ED6788" w:rsidP="004F1D55">
      <w:pPr>
        <w:pStyle w:val="Heading3"/>
      </w:pPr>
      <w:r>
        <w:t>Summary of output performance</w:t>
      </w: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89"/>
        <w:gridCol w:w="6118"/>
        <w:gridCol w:w="1033"/>
        <w:gridCol w:w="1115"/>
      </w:tblGrid>
      <w:tr w:rsidR="00ED6788" w:rsidRPr="00E16661" w:rsidTr="004F1D55">
        <w:trPr>
          <w:cantSplit/>
        </w:trPr>
        <w:tc>
          <w:tcPr>
            <w:tcW w:w="582" w:type="pct"/>
            <w:tcBorders>
              <w:top w:val="single" w:sz="4" w:space="0" w:color="auto"/>
              <w:bottom w:val="single" w:sz="4" w:space="0" w:color="auto"/>
            </w:tcBorders>
          </w:tcPr>
          <w:p w:rsidR="00ED6788" w:rsidRPr="00E16661" w:rsidRDefault="00ED6788" w:rsidP="004F1D55">
            <w:pPr>
              <w:pStyle w:val="TableText"/>
              <w:keepNext/>
              <w:ind w:right="284"/>
              <w:jc w:val="right"/>
              <w:rPr>
                <w:b/>
              </w:rPr>
            </w:pPr>
            <w:r w:rsidRPr="00E16661">
              <w:rPr>
                <w:b/>
              </w:rPr>
              <w:t>Actual 201</w:t>
            </w:r>
            <w:r>
              <w:rPr>
                <w:b/>
              </w:rPr>
              <w:t>3/14</w:t>
            </w:r>
          </w:p>
        </w:tc>
        <w:tc>
          <w:tcPr>
            <w:tcW w:w="3270" w:type="pct"/>
            <w:tcBorders>
              <w:top w:val="single" w:sz="4" w:space="0" w:color="auto"/>
              <w:bottom w:val="single" w:sz="4" w:space="0" w:color="auto"/>
            </w:tcBorders>
          </w:tcPr>
          <w:p w:rsidR="00ED6788" w:rsidRPr="00E16661" w:rsidRDefault="00ED6788" w:rsidP="004F1D55">
            <w:pPr>
              <w:pStyle w:val="TableText"/>
              <w:keepNext/>
              <w:rPr>
                <w:b/>
              </w:rPr>
            </w:pPr>
            <w:r w:rsidRPr="00E16661">
              <w:rPr>
                <w:b/>
              </w:rPr>
              <w:t>Performance measure</w:t>
            </w:r>
          </w:p>
        </w:tc>
        <w:tc>
          <w:tcPr>
            <w:tcW w:w="552" w:type="pct"/>
            <w:tcBorders>
              <w:top w:val="single" w:sz="4" w:space="0" w:color="auto"/>
              <w:bottom w:val="single" w:sz="4" w:space="0" w:color="auto"/>
            </w:tcBorders>
          </w:tcPr>
          <w:p w:rsidR="00ED6788" w:rsidRPr="00E16661" w:rsidRDefault="00ED6788" w:rsidP="004F1D55">
            <w:pPr>
              <w:pStyle w:val="TableText"/>
              <w:keepNext/>
              <w:ind w:right="142"/>
              <w:jc w:val="right"/>
              <w:rPr>
                <w:b/>
              </w:rPr>
            </w:pPr>
            <w:r w:rsidRPr="00E16661">
              <w:rPr>
                <w:b/>
              </w:rPr>
              <w:t>Standard</w:t>
            </w:r>
            <w:r>
              <w:rPr>
                <w:b/>
              </w:rPr>
              <w:br/>
            </w:r>
            <w:r w:rsidRPr="00063AF1">
              <w:rPr>
                <w:b/>
              </w:rPr>
              <w:t>201</w:t>
            </w:r>
            <w:r>
              <w:rPr>
                <w:b/>
              </w:rPr>
              <w:t>4</w:t>
            </w:r>
            <w:r w:rsidRPr="00063AF1">
              <w:rPr>
                <w:b/>
              </w:rPr>
              <w:t>/1</w:t>
            </w:r>
            <w:r>
              <w:rPr>
                <w:b/>
              </w:rPr>
              <w:t>5</w:t>
            </w:r>
          </w:p>
        </w:tc>
        <w:tc>
          <w:tcPr>
            <w:tcW w:w="596" w:type="pct"/>
            <w:tcBorders>
              <w:top w:val="single" w:sz="4" w:space="0" w:color="auto"/>
              <w:bottom w:val="single" w:sz="4" w:space="0" w:color="auto"/>
            </w:tcBorders>
            <w:shd w:val="clear" w:color="auto" w:fill="D9D9D9"/>
          </w:tcPr>
          <w:p w:rsidR="00ED6788" w:rsidRPr="00E16661" w:rsidRDefault="00ED6788" w:rsidP="004F1D55">
            <w:pPr>
              <w:pStyle w:val="TableText"/>
              <w:keepNext/>
              <w:ind w:right="142"/>
              <w:jc w:val="right"/>
              <w:rPr>
                <w:b/>
              </w:rPr>
            </w:pPr>
            <w:r w:rsidRPr="00E16661">
              <w:rPr>
                <w:b/>
              </w:rPr>
              <w:t>Actual</w:t>
            </w:r>
            <w:r>
              <w:rPr>
                <w:b/>
              </w:rPr>
              <w:br/>
            </w:r>
            <w:r w:rsidRPr="00E16661">
              <w:rPr>
                <w:b/>
              </w:rPr>
              <w:t>201</w:t>
            </w:r>
            <w:r>
              <w:rPr>
                <w:b/>
              </w:rPr>
              <w:t>4</w:t>
            </w:r>
            <w:r w:rsidRPr="00E16661">
              <w:rPr>
                <w:b/>
              </w:rPr>
              <w:t>/1</w:t>
            </w:r>
            <w:r>
              <w:rPr>
                <w:b/>
              </w:rPr>
              <w:t>5</w:t>
            </w:r>
          </w:p>
        </w:tc>
      </w:tr>
      <w:tr w:rsidR="00ED6788" w:rsidRPr="002C0E8B" w:rsidTr="004F1D55">
        <w:trPr>
          <w:cantSplit/>
        </w:trPr>
        <w:tc>
          <w:tcPr>
            <w:tcW w:w="582" w:type="pct"/>
            <w:tcBorders>
              <w:top w:val="single" w:sz="4" w:space="0" w:color="auto"/>
            </w:tcBorders>
          </w:tcPr>
          <w:p w:rsidR="00ED6788" w:rsidRPr="002C0E8B" w:rsidRDefault="00ED6788" w:rsidP="004F1D55">
            <w:pPr>
              <w:pStyle w:val="TableText"/>
              <w:keepNext/>
              <w:ind w:right="284"/>
              <w:jc w:val="right"/>
              <w:rPr>
                <w:bCs/>
                <w:lang w:eastAsia="en-NZ"/>
              </w:rPr>
            </w:pPr>
            <w:r>
              <w:rPr>
                <w:bCs/>
                <w:lang w:eastAsia="en-NZ"/>
              </w:rPr>
              <w:t>New</w:t>
            </w:r>
          </w:p>
        </w:tc>
        <w:tc>
          <w:tcPr>
            <w:tcW w:w="3270" w:type="pct"/>
            <w:tcBorders>
              <w:top w:val="single" w:sz="4" w:space="0" w:color="auto"/>
            </w:tcBorders>
          </w:tcPr>
          <w:p w:rsidR="00ED6788" w:rsidRPr="00AB69C4" w:rsidRDefault="00ED6788" w:rsidP="004F1D55">
            <w:pPr>
              <w:pStyle w:val="TableText"/>
              <w:keepNext/>
              <w:rPr>
                <w:b/>
              </w:rPr>
            </w:pPr>
            <w:r w:rsidRPr="001C6A2F">
              <w:t>DHB seeking debt funding for approved busi</w:t>
            </w:r>
            <w:r>
              <w:t>ness cases receive that funding</w:t>
            </w:r>
            <w:r>
              <w:rPr>
                <w:rStyle w:val="FootnoteReference"/>
              </w:rPr>
              <w:footnoteReference w:id="12"/>
            </w:r>
          </w:p>
        </w:tc>
        <w:tc>
          <w:tcPr>
            <w:tcW w:w="552" w:type="pct"/>
            <w:tcBorders>
              <w:top w:val="single" w:sz="4" w:space="0" w:color="auto"/>
            </w:tcBorders>
          </w:tcPr>
          <w:p w:rsidR="00ED6788" w:rsidRPr="002C0E8B" w:rsidRDefault="00ED6788" w:rsidP="004F1D55">
            <w:pPr>
              <w:pStyle w:val="TableText"/>
              <w:keepNext/>
              <w:ind w:right="142"/>
              <w:jc w:val="right"/>
            </w:pPr>
            <w:r w:rsidRPr="0094642C">
              <w:t>100%</w:t>
            </w:r>
          </w:p>
        </w:tc>
        <w:tc>
          <w:tcPr>
            <w:tcW w:w="596" w:type="pct"/>
            <w:tcBorders>
              <w:top w:val="single" w:sz="4" w:space="0" w:color="auto"/>
            </w:tcBorders>
            <w:shd w:val="clear" w:color="auto" w:fill="D9D9D9"/>
          </w:tcPr>
          <w:p w:rsidR="00ED6788" w:rsidRPr="002C0E8B" w:rsidRDefault="00ED6788" w:rsidP="004F1D55">
            <w:pPr>
              <w:pStyle w:val="TableText"/>
              <w:keepNext/>
              <w:ind w:right="142"/>
              <w:jc w:val="right"/>
            </w:pPr>
            <w:r>
              <w:t>100%</w:t>
            </w:r>
          </w:p>
        </w:tc>
      </w:tr>
    </w:tbl>
    <w:p w:rsidR="00ED6788" w:rsidRPr="008E1589" w:rsidRDefault="00ED6788" w:rsidP="004F1D55">
      <w:pPr>
        <w:keepNext/>
      </w:pPr>
    </w:p>
    <w:p w:rsidR="00ED6788" w:rsidRDefault="00ED6788" w:rsidP="004F1D55">
      <w:pPr>
        <w:pStyle w:val="Heading3"/>
      </w:pPr>
      <w:r>
        <w:t>Comments</w:t>
      </w:r>
    </w:p>
    <w:p w:rsidR="00ED6788" w:rsidRDefault="00ED6788" w:rsidP="004F1D55">
      <w:r>
        <w:t>Payments were made to the following DHBs who sought debt funding based on approved business cases</w:t>
      </w:r>
      <w:r w:rsidR="004F1D55">
        <w:t>:</w:t>
      </w:r>
      <w:r>
        <w:t xml:space="preserve"> Bay of Plenty DHB, Counties Manukau DHB and Waitemata DHB.</w:t>
      </w:r>
    </w:p>
    <w:p w:rsidR="004F1D55" w:rsidRPr="003756B9" w:rsidRDefault="004F1D55" w:rsidP="004F1D55"/>
    <w:p w:rsidR="00ED6788" w:rsidRDefault="00ED6788" w:rsidP="004F1D55">
      <w:pPr>
        <w:pStyle w:val="Heading3"/>
      </w:pPr>
      <w:r w:rsidRPr="00E170A6">
        <w:t>Summary of financial performance</w:t>
      </w:r>
    </w:p>
    <w:tbl>
      <w:tblPr>
        <w:tblW w:w="93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7"/>
        <w:gridCol w:w="3968"/>
        <w:gridCol w:w="1276"/>
        <w:gridCol w:w="1488"/>
        <w:gridCol w:w="1347"/>
      </w:tblGrid>
      <w:tr w:rsidR="00ED6788" w:rsidRPr="00CC2A63" w:rsidTr="00C25CC8">
        <w:trPr>
          <w:cantSplit/>
        </w:trPr>
        <w:tc>
          <w:tcPr>
            <w:tcW w:w="1277" w:type="dxa"/>
            <w:tcBorders>
              <w:top w:val="single" w:sz="4" w:space="0" w:color="auto"/>
              <w:bottom w:val="single" w:sz="4" w:space="0" w:color="auto"/>
              <w:right w:val="nil"/>
            </w:tcBorders>
            <w:shd w:val="solid" w:color="FFFFFF" w:fill="auto"/>
          </w:tcPr>
          <w:p w:rsidR="00ED6788" w:rsidRPr="00CC2A63" w:rsidRDefault="00ED6788" w:rsidP="00C25CC8">
            <w:pPr>
              <w:pStyle w:val="TableText"/>
              <w:keepNext/>
              <w:ind w:right="284"/>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4</w:t>
            </w:r>
            <w:r w:rsidRPr="00CC2A63">
              <w:rPr>
                <w:b/>
                <w:lang w:eastAsia="en-NZ"/>
              </w:rPr>
              <w:br/>
              <w:t>$000</w:t>
            </w:r>
          </w:p>
        </w:tc>
        <w:tc>
          <w:tcPr>
            <w:tcW w:w="3968" w:type="dxa"/>
            <w:tcBorders>
              <w:top w:val="single" w:sz="4" w:space="0" w:color="auto"/>
              <w:left w:val="nil"/>
              <w:bottom w:val="single" w:sz="4" w:space="0" w:color="auto"/>
            </w:tcBorders>
            <w:shd w:val="solid" w:color="FFFFFF" w:fill="auto"/>
          </w:tcPr>
          <w:p w:rsidR="00ED6788" w:rsidRDefault="00ED6788" w:rsidP="00C25CC8">
            <w:pPr>
              <w:pStyle w:val="TableText"/>
              <w:keepNext/>
              <w:rPr>
                <w:lang w:eastAsia="en-NZ"/>
              </w:rPr>
            </w:pPr>
          </w:p>
        </w:tc>
        <w:tc>
          <w:tcPr>
            <w:tcW w:w="1276" w:type="dxa"/>
            <w:tcBorders>
              <w:top w:val="single" w:sz="4" w:space="0" w:color="auto"/>
              <w:bottom w:val="single" w:sz="4" w:space="0" w:color="auto"/>
            </w:tcBorders>
            <w:shd w:val="clear" w:color="E3E3E3" w:fill="D9D9D9"/>
          </w:tcPr>
          <w:p w:rsidR="00ED6788" w:rsidRPr="00CC2A63" w:rsidRDefault="00ED6788" w:rsidP="00C25CC8">
            <w:pPr>
              <w:pStyle w:val="TableText"/>
              <w:keepNext/>
              <w:ind w:right="142"/>
              <w:jc w:val="right"/>
              <w:rPr>
                <w:b/>
                <w:lang w:eastAsia="en-NZ"/>
              </w:rPr>
            </w:pPr>
            <w:r w:rsidRPr="00CC2A63">
              <w:rPr>
                <w:b/>
                <w:lang w:eastAsia="en-NZ"/>
              </w:rPr>
              <w:t>Actual</w:t>
            </w:r>
            <w:r w:rsidRPr="00CC2A63">
              <w:rPr>
                <w:b/>
                <w:lang w:eastAsia="en-NZ"/>
              </w:rPr>
              <w:br/>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488"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sidRPr="00CC2A63">
              <w:rPr>
                <w:b/>
                <w:lang w:eastAsia="en-NZ"/>
              </w:rPr>
              <w:t>Main</w:t>
            </w:r>
            <w:r>
              <w:rPr>
                <w:b/>
                <w:lang w:eastAsia="en-NZ"/>
              </w:rPr>
              <w:br/>
            </w:r>
            <w:r w:rsidRPr="00CC2A63">
              <w:rPr>
                <w:b/>
                <w:lang w:eastAsia="en-NZ"/>
              </w:rPr>
              <w:t>estimates</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c>
          <w:tcPr>
            <w:tcW w:w="1347" w:type="dxa"/>
            <w:tcBorders>
              <w:top w:val="single" w:sz="4" w:space="0" w:color="auto"/>
              <w:bottom w:val="single" w:sz="4" w:space="0" w:color="auto"/>
            </w:tcBorders>
            <w:shd w:val="solid" w:color="FFFFFF" w:fill="auto"/>
          </w:tcPr>
          <w:p w:rsidR="00ED6788" w:rsidRPr="00CC2A63" w:rsidRDefault="00ED6788" w:rsidP="00C25CC8">
            <w:pPr>
              <w:pStyle w:val="TableText"/>
              <w:keepNext/>
              <w:jc w:val="right"/>
              <w:rPr>
                <w:b/>
                <w:lang w:eastAsia="en-NZ"/>
              </w:rPr>
            </w:pPr>
            <w:r>
              <w:rPr>
                <w:b/>
                <w:lang w:eastAsia="en-NZ"/>
              </w:rPr>
              <w:t xml:space="preserve">Voted appropriation </w:t>
            </w:r>
            <w:r w:rsidRPr="00CC2A63">
              <w:rPr>
                <w:b/>
                <w:lang w:eastAsia="en-NZ"/>
              </w:rPr>
              <w:br/>
            </w:r>
            <w:r>
              <w:rPr>
                <w:b/>
                <w:lang w:eastAsia="en-NZ"/>
              </w:rPr>
              <w:t>30/06/</w:t>
            </w:r>
            <w:r w:rsidRPr="00CC2A63">
              <w:rPr>
                <w:b/>
                <w:lang w:eastAsia="en-NZ"/>
              </w:rPr>
              <w:t>201</w:t>
            </w:r>
            <w:r>
              <w:rPr>
                <w:b/>
                <w:lang w:eastAsia="en-NZ"/>
              </w:rPr>
              <w:t>5</w:t>
            </w:r>
            <w:r w:rsidRPr="00CC2A63">
              <w:rPr>
                <w:b/>
                <w:lang w:eastAsia="en-NZ"/>
              </w:rPr>
              <w:br/>
              <w:t>$000</w:t>
            </w:r>
          </w:p>
        </w:tc>
      </w:tr>
      <w:tr w:rsidR="00ED6788" w:rsidRPr="002C0E8B" w:rsidTr="00C25CC8">
        <w:trPr>
          <w:cantSplit/>
        </w:trPr>
        <w:tc>
          <w:tcPr>
            <w:tcW w:w="1277" w:type="dxa"/>
            <w:tcBorders>
              <w:right w:val="nil"/>
            </w:tcBorders>
            <w:shd w:val="solid" w:color="FFFFFF" w:fill="auto"/>
          </w:tcPr>
          <w:p w:rsidR="00ED6788" w:rsidRPr="002C0E8B" w:rsidRDefault="004F1D55" w:rsidP="004F1D55">
            <w:pPr>
              <w:pStyle w:val="TableText"/>
              <w:ind w:right="284"/>
              <w:jc w:val="right"/>
              <w:rPr>
                <w:b/>
                <w:bCs/>
              </w:rPr>
            </w:pPr>
            <w:r>
              <w:rPr>
                <w:b/>
                <w:bCs/>
              </w:rPr>
              <w:t>–</w:t>
            </w:r>
          </w:p>
        </w:tc>
        <w:tc>
          <w:tcPr>
            <w:tcW w:w="3968" w:type="dxa"/>
            <w:tcBorders>
              <w:left w:val="nil"/>
            </w:tcBorders>
            <w:shd w:val="solid" w:color="FFFFFF" w:fill="auto"/>
          </w:tcPr>
          <w:p w:rsidR="00ED6788" w:rsidRPr="002C0E8B" w:rsidRDefault="00ED6788" w:rsidP="00C25CC8">
            <w:pPr>
              <w:pStyle w:val="TableText"/>
              <w:keepNext/>
              <w:rPr>
                <w:b/>
              </w:rPr>
            </w:pPr>
            <w:r>
              <w:rPr>
                <w:rFonts w:cs="Arial"/>
                <w:b/>
                <w:szCs w:val="18"/>
              </w:rPr>
              <w:t>Total appropriation</w:t>
            </w:r>
          </w:p>
        </w:tc>
        <w:tc>
          <w:tcPr>
            <w:tcW w:w="1276" w:type="dxa"/>
            <w:shd w:val="clear" w:color="E3E3E3" w:fill="D9D9D9"/>
          </w:tcPr>
          <w:p w:rsidR="00ED6788" w:rsidRPr="002C0E8B" w:rsidRDefault="00ED6788" w:rsidP="00C25CC8">
            <w:pPr>
              <w:pStyle w:val="TableText"/>
              <w:ind w:right="142"/>
              <w:jc w:val="right"/>
              <w:rPr>
                <w:b/>
              </w:rPr>
            </w:pPr>
            <w:r>
              <w:rPr>
                <w:b/>
              </w:rPr>
              <w:t>50,700</w:t>
            </w:r>
          </w:p>
        </w:tc>
        <w:tc>
          <w:tcPr>
            <w:tcW w:w="1488" w:type="dxa"/>
          </w:tcPr>
          <w:p w:rsidR="00ED6788" w:rsidRPr="002C0E8B" w:rsidRDefault="00ED6788" w:rsidP="00C25CC8">
            <w:pPr>
              <w:pStyle w:val="TableText"/>
              <w:tabs>
                <w:tab w:val="left" w:pos="1264"/>
              </w:tabs>
              <w:jc w:val="right"/>
              <w:rPr>
                <w:b/>
              </w:rPr>
            </w:pPr>
            <w:r>
              <w:rPr>
                <w:b/>
              </w:rPr>
              <w:t>0</w:t>
            </w:r>
          </w:p>
        </w:tc>
        <w:tc>
          <w:tcPr>
            <w:tcW w:w="1347" w:type="dxa"/>
          </w:tcPr>
          <w:p w:rsidR="00ED6788" w:rsidRPr="002C0E8B" w:rsidRDefault="00ED6788" w:rsidP="00C25CC8">
            <w:pPr>
              <w:pStyle w:val="TableText"/>
              <w:jc w:val="right"/>
              <w:rPr>
                <w:b/>
              </w:rPr>
            </w:pPr>
            <w:r w:rsidRPr="008E1589">
              <w:rPr>
                <w:b/>
              </w:rPr>
              <w:t>82,546</w:t>
            </w:r>
          </w:p>
        </w:tc>
      </w:tr>
    </w:tbl>
    <w:p w:rsidR="00ED6788" w:rsidRDefault="00ED6788" w:rsidP="004F1D55">
      <w:pPr>
        <w:rPr>
          <w:highlight w:val="yellow"/>
        </w:rPr>
      </w:pPr>
    </w:p>
    <w:p w:rsidR="000845D9" w:rsidRDefault="00ED6788" w:rsidP="004F1D55">
      <w:pPr>
        <w:pStyle w:val="Heading3"/>
      </w:pPr>
      <w:r w:rsidRPr="00074D5A">
        <w:t>Comment</w:t>
      </w:r>
    </w:p>
    <w:p w:rsidR="00ED6788" w:rsidRDefault="00ED6788" w:rsidP="004F1D55">
      <w:r w:rsidRPr="00074D5A">
        <w:t>The overspend of $50.</w:t>
      </w:r>
      <w:r>
        <w:t>7</w:t>
      </w:r>
      <w:r w:rsidRPr="00074D5A">
        <w:t xml:space="preserve"> million against the Main Estimates (100 percent of appropriation) </w:t>
      </w:r>
      <w:r w:rsidRPr="00654BA1">
        <w:t>relates to the timing of funding required for District Health Board capital projects.</w:t>
      </w:r>
      <w:r w:rsidR="000845D9">
        <w:t xml:space="preserve"> </w:t>
      </w:r>
      <w:r>
        <w:t>F</w:t>
      </w:r>
      <w:r w:rsidRPr="00654BA1">
        <w:t>und</w:t>
      </w:r>
      <w:r>
        <w:t>ing</w:t>
      </w:r>
      <w:r w:rsidRPr="00654BA1">
        <w:t xml:space="preserve"> from </w:t>
      </w:r>
      <w:r>
        <w:t xml:space="preserve">the </w:t>
      </w:r>
      <w:r w:rsidRPr="00654BA1">
        <w:t>capital envelope</w:t>
      </w:r>
      <w:r>
        <w:t>,</w:t>
      </w:r>
      <w:r w:rsidRPr="00654BA1">
        <w:t xml:space="preserve"> which is appropriated into the Equity for Capital Projects f</w:t>
      </w:r>
      <w:r>
        <w:t xml:space="preserve">or DHBs and Health Sector Crown </w:t>
      </w:r>
      <w:r w:rsidRPr="00654BA1">
        <w:t>Agencies appropriation</w:t>
      </w:r>
      <w:r>
        <w:t>,</w:t>
      </w:r>
      <w:r w:rsidRPr="00654BA1">
        <w:t xml:space="preserve"> is transferred to this appropriation </w:t>
      </w:r>
      <w:r>
        <w:t xml:space="preserve">with Ministerial approval, </w:t>
      </w:r>
      <w:r w:rsidRPr="00654BA1">
        <w:t xml:space="preserve">as the Ministry and DHBs agree during the year. </w:t>
      </w:r>
      <w:r>
        <w:t>In 2014/15 year the total of $82.546</w:t>
      </w:r>
      <w:r w:rsidR="004F1D55">
        <w:t> </w:t>
      </w:r>
      <w:r>
        <w:t>million was transferred.</w:t>
      </w:r>
    </w:p>
    <w:p w:rsidR="00F25970" w:rsidRPr="00E76D66" w:rsidRDefault="00F25970" w:rsidP="004F1D55">
      <w:bookmarkStart w:id="63" w:name="_GoBack"/>
      <w:bookmarkEnd w:id="63"/>
    </w:p>
    <w:sectPr w:rsidR="00F25970" w:rsidRPr="00E76D66" w:rsidSect="00C81087">
      <w:headerReference w:type="default" r:id="rId19"/>
      <w:footerReference w:type="even" r:id="rId20"/>
      <w:footerReference w:type="default" r:id="rId21"/>
      <w:pgSz w:w="11907" w:h="16834" w:code="9"/>
      <w:pgMar w:top="851" w:right="1134" w:bottom="1134" w:left="1134"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79A" w:rsidRDefault="00F0579A">
      <w:pPr>
        <w:spacing w:line="240" w:lineRule="auto"/>
      </w:pPr>
      <w:r>
        <w:separator/>
      </w:r>
    </w:p>
  </w:endnote>
  <w:endnote w:type="continuationSeparator" w:id="0">
    <w:p w:rsidR="00F0579A" w:rsidRDefault="00F05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Pr="003648EF" w:rsidRDefault="00E754F5"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Default="00E754F5"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Default="00E754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Pr="00275D08" w:rsidRDefault="00E754F5"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Vote Health:</w:t>
    </w:r>
    <w:r>
      <w:br/>
      <w:t>Report in relation to selected non-departmental appropriations for the year ended 30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Default="00E754F5" w:rsidP="00533B90">
    <w:pPr>
      <w:pStyle w:val="RectoFooter"/>
    </w:pPr>
    <w:r>
      <w:tab/>
      <w:t>Vote Health: Report in relation to</w:t>
    </w:r>
    <w:r>
      <w:tab/>
    </w:r>
    <w:r>
      <w:rPr>
        <w:rStyle w:val="PageNumber"/>
      </w:rPr>
      <w:fldChar w:fldCharType="begin"/>
    </w:r>
    <w:r>
      <w:rPr>
        <w:rStyle w:val="PageNumber"/>
      </w:rPr>
      <w:instrText xml:space="preserve"> PAGE </w:instrText>
    </w:r>
    <w:r>
      <w:rPr>
        <w:rStyle w:val="PageNumber"/>
      </w:rPr>
      <w:fldChar w:fldCharType="separate"/>
    </w:r>
    <w:r w:rsidR="001862AF">
      <w:rPr>
        <w:rStyle w:val="PageNumber"/>
        <w:noProof/>
      </w:rPr>
      <w:t>v</w:t>
    </w:r>
    <w:r>
      <w:rPr>
        <w:rStyle w:val="PageNumber"/>
      </w:rPr>
      <w:fldChar w:fldCharType="end"/>
    </w:r>
    <w:r>
      <w:br/>
    </w:r>
    <w:r>
      <w:tab/>
      <w:t>selected non-departmental appropriations for the year ended 30 June 2015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Pr="006845C7" w:rsidRDefault="00E754F5" w:rsidP="006845C7">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Pr="00275D08" w:rsidRDefault="00E754F5"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B3356E">
      <w:rPr>
        <w:rStyle w:val="PageNumber"/>
        <w:noProof/>
      </w:rPr>
      <w:t>72</w:t>
    </w:r>
    <w:r w:rsidRPr="00FC46E7">
      <w:rPr>
        <w:rStyle w:val="PageNumber"/>
      </w:rPr>
      <w:fldChar w:fldCharType="end"/>
    </w:r>
    <w:r>
      <w:tab/>
      <w:t>Vote Health: Report in relation to</w:t>
    </w:r>
    <w:r>
      <w:br/>
      <w:t>selected non-departmental appropriations for the year ended 30 June 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Pr="006845C7" w:rsidRDefault="00E754F5" w:rsidP="006845C7">
    <w:pPr>
      <w:pStyle w:val="RectoFooter"/>
    </w:pPr>
    <w:r>
      <w:tab/>
      <w:t>Vote Health: Report in relation to</w:t>
    </w:r>
    <w:r>
      <w:tab/>
    </w:r>
    <w:r>
      <w:rPr>
        <w:rStyle w:val="PageNumber"/>
      </w:rPr>
      <w:fldChar w:fldCharType="begin"/>
    </w:r>
    <w:r>
      <w:rPr>
        <w:rStyle w:val="PageNumber"/>
      </w:rPr>
      <w:instrText xml:space="preserve"> PAGE </w:instrText>
    </w:r>
    <w:r>
      <w:rPr>
        <w:rStyle w:val="PageNumber"/>
      </w:rPr>
      <w:fldChar w:fldCharType="separate"/>
    </w:r>
    <w:r w:rsidR="00B3356E">
      <w:rPr>
        <w:rStyle w:val="PageNumber"/>
        <w:noProof/>
      </w:rPr>
      <w:t>71</w:t>
    </w:r>
    <w:r>
      <w:rPr>
        <w:rStyle w:val="PageNumber"/>
      </w:rPr>
      <w:fldChar w:fldCharType="end"/>
    </w:r>
    <w:r>
      <w:br/>
    </w:r>
    <w:r>
      <w:tab/>
      <w:t>selected non-departmental appropriations for the year ended 30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79A" w:rsidRPr="00E460B6" w:rsidRDefault="00F0579A" w:rsidP="007B4D3E"/>
  </w:footnote>
  <w:footnote w:type="continuationSeparator" w:id="0">
    <w:p w:rsidR="00F0579A" w:rsidRDefault="00F0579A">
      <w:pPr>
        <w:spacing w:line="240" w:lineRule="auto"/>
      </w:pPr>
      <w:r>
        <w:continuationSeparator/>
      </w:r>
    </w:p>
  </w:footnote>
  <w:footnote w:id="1">
    <w:p w:rsidR="00E754F5" w:rsidRDefault="00E754F5" w:rsidP="00C30AA8">
      <w:pPr>
        <w:pStyle w:val="FootnoteText"/>
      </w:pPr>
      <w:r w:rsidRPr="00C30AA8">
        <w:rPr>
          <w:rStyle w:val="FootnoteReference"/>
        </w:rPr>
        <w:footnoteRef/>
      </w:r>
      <w:r>
        <w:tab/>
        <w:t>The measure was not able to be reported on and has been removed from the 2015/16 Estimates.</w:t>
      </w:r>
    </w:p>
  </w:footnote>
  <w:footnote w:id="2">
    <w:p w:rsidR="00E754F5" w:rsidRPr="00603322" w:rsidRDefault="00E754F5" w:rsidP="00B23EAE">
      <w:pPr>
        <w:pStyle w:val="FootnoteText"/>
      </w:pPr>
      <w:r w:rsidRPr="00B23EAE">
        <w:rPr>
          <w:rStyle w:val="FootnoteReference"/>
        </w:rPr>
        <w:footnoteRef/>
      </w:r>
      <w:r w:rsidRPr="00603322">
        <w:tab/>
        <w:t>The births data was extracted from the Ministry of Health</w:t>
      </w:r>
      <w:r>
        <w:t>’</w:t>
      </w:r>
      <w:r w:rsidRPr="00603322">
        <w:t>s Nat</w:t>
      </w:r>
      <w:r>
        <w:t>ional Maternity Collection</w:t>
      </w:r>
      <w:r w:rsidRPr="00603322">
        <w:t xml:space="preserve"> which includes data from hospital birth records and claims made by Lead Maternity Carers.</w:t>
      </w:r>
    </w:p>
  </w:footnote>
  <w:footnote w:id="3">
    <w:p w:rsidR="00E754F5" w:rsidRDefault="00E754F5" w:rsidP="00F41A89">
      <w:pPr>
        <w:pStyle w:val="FootnoteText"/>
      </w:pPr>
      <w:r w:rsidRPr="00F41A89">
        <w:rPr>
          <w:rStyle w:val="FootnoteReference"/>
        </w:rPr>
        <w:footnoteRef/>
      </w:r>
      <w:r>
        <w:tab/>
      </w:r>
      <w:r w:rsidRPr="00613355">
        <w:t>The Budget Standard will be confirmed in the following year.</w:t>
      </w:r>
    </w:p>
  </w:footnote>
  <w:footnote w:id="4">
    <w:p w:rsidR="00E754F5" w:rsidRDefault="00E754F5" w:rsidP="00DB1E11">
      <w:pPr>
        <w:pStyle w:val="FootnoteText"/>
      </w:pPr>
      <w:r w:rsidRPr="00DB1E11">
        <w:rPr>
          <w:rStyle w:val="FootnoteReference"/>
        </w:rPr>
        <w:footnoteRef/>
      </w:r>
      <w:r>
        <w:tab/>
      </w:r>
      <w:r w:rsidRPr="003B1453">
        <w:t>Home, Education/Employment, Eating, Activities, Drugs and Alcohol, Sexuality, Suicide and Depression, Safety Assessment</w:t>
      </w:r>
      <w:r>
        <w:t>.</w:t>
      </w:r>
    </w:p>
  </w:footnote>
  <w:footnote w:id="5">
    <w:p w:rsidR="00E754F5" w:rsidRDefault="00E754F5" w:rsidP="00E62447">
      <w:pPr>
        <w:pStyle w:val="FootnoteText"/>
      </w:pPr>
      <w:r w:rsidRPr="00E62447">
        <w:rPr>
          <w:rStyle w:val="FootnoteReference"/>
        </w:rPr>
        <w:footnoteRef/>
      </w:r>
      <w:r>
        <w:tab/>
        <w:t xml:space="preserve">The total </w:t>
      </w:r>
      <w:r w:rsidRPr="007B2654">
        <w:t>number from 31 of 32 PHO</w:t>
      </w:r>
      <w:r>
        <w:t>s.</w:t>
      </w:r>
    </w:p>
  </w:footnote>
  <w:footnote w:id="6">
    <w:p w:rsidR="00E754F5" w:rsidRDefault="00E754F5" w:rsidP="00B80F72">
      <w:pPr>
        <w:pStyle w:val="FootnoteText"/>
      </w:pPr>
      <w:r w:rsidRPr="00B80F72">
        <w:rPr>
          <w:rStyle w:val="FootnoteReference"/>
        </w:rPr>
        <w:footnoteRef/>
      </w:r>
      <w:r>
        <w:tab/>
        <w:t>This target was reforecast from 2% to 8%, however a data entry error showed the target as 4% in the Supplementary Estimates o</w:t>
      </w:r>
      <w:r w:rsidRPr="0049230A">
        <w:t>f Appropriations 2014/15 B.7</w:t>
      </w:r>
      <w:r>
        <w:t xml:space="preserve">; page </w:t>
      </w:r>
      <w:r w:rsidRPr="0049230A">
        <w:t>382</w:t>
      </w:r>
      <w:r>
        <w:t>.</w:t>
      </w:r>
    </w:p>
  </w:footnote>
  <w:footnote w:id="7">
    <w:p w:rsidR="00E754F5" w:rsidRDefault="00E754F5" w:rsidP="00B80F72">
      <w:pPr>
        <w:pStyle w:val="FootnoteText"/>
      </w:pPr>
      <w:r w:rsidRPr="00B80F72">
        <w:rPr>
          <w:rStyle w:val="FootnoteReference"/>
        </w:rPr>
        <w:footnoteRef/>
      </w:r>
      <w:r>
        <w:tab/>
      </w:r>
      <w:r w:rsidRPr="0049230A">
        <w:t xml:space="preserve">This target was reforecast from 2% to </w:t>
      </w:r>
      <w:r w:rsidRPr="00584E3C">
        <w:t xml:space="preserve">8%, however a data entry error showed the target as 4% </w:t>
      </w:r>
      <w:r w:rsidRPr="0049230A">
        <w:t>in the Supplementary Estimates of Appropriations 2014/15 B.7; page 382.</w:t>
      </w:r>
    </w:p>
  </w:footnote>
  <w:footnote w:id="8">
    <w:p w:rsidR="00E754F5" w:rsidRDefault="00E754F5" w:rsidP="00B80F72">
      <w:pPr>
        <w:pStyle w:val="FootnoteText"/>
      </w:pPr>
      <w:r w:rsidRPr="00B80F72">
        <w:rPr>
          <w:rStyle w:val="FootnoteReference"/>
        </w:rPr>
        <w:footnoteRef/>
      </w:r>
      <w:r>
        <w:tab/>
      </w:r>
      <w:r w:rsidRPr="0049230A">
        <w:t>This target was reforecast from 2% to 4% in the Supplementary Estimates of Appropriations 2014/15 B.7; page</w:t>
      </w:r>
      <w:r>
        <w:t> </w:t>
      </w:r>
      <w:r w:rsidRPr="0049230A">
        <w:t>382.</w:t>
      </w:r>
    </w:p>
  </w:footnote>
  <w:footnote w:id="9">
    <w:p w:rsidR="00E754F5" w:rsidRDefault="00E754F5" w:rsidP="00B80F72">
      <w:pPr>
        <w:pStyle w:val="FootnoteText"/>
      </w:pPr>
      <w:r w:rsidRPr="00B80F72">
        <w:rPr>
          <w:rStyle w:val="FootnoteReference"/>
        </w:rPr>
        <w:footnoteRef/>
      </w:r>
      <w:r>
        <w:tab/>
        <w:t>The</w:t>
      </w:r>
      <w:r w:rsidRPr="006A13C0">
        <w:t xml:space="preserve"> maternity target data </w:t>
      </w:r>
      <w:r>
        <w:t xml:space="preserve">is not able to be </w:t>
      </w:r>
      <w:r w:rsidRPr="006A13C0">
        <w:t>reported on in 2014/15</w:t>
      </w:r>
      <w:r>
        <w:t>,</w:t>
      </w:r>
      <w:r w:rsidRPr="006A13C0">
        <w:t xml:space="preserve"> but this will start from 2015/16</w:t>
      </w:r>
      <w:r>
        <w:t>.</w:t>
      </w:r>
    </w:p>
  </w:footnote>
  <w:footnote w:id="10">
    <w:p w:rsidR="00E754F5" w:rsidRDefault="00E754F5" w:rsidP="00D44948">
      <w:pPr>
        <w:pStyle w:val="FootnoteText"/>
      </w:pPr>
      <w:r>
        <w:rPr>
          <w:rStyle w:val="FootnoteReference"/>
        </w:rPr>
        <w:footnoteRef/>
      </w:r>
      <w:r>
        <w:tab/>
        <w:t>The funding for this deliverable has been transferred to the Health Protection Authority.</w:t>
      </w:r>
    </w:p>
  </w:footnote>
  <w:footnote w:id="11">
    <w:p w:rsidR="00E754F5" w:rsidRDefault="00E754F5" w:rsidP="00BE4AB3">
      <w:pPr>
        <w:pStyle w:val="FootnoteText"/>
      </w:pPr>
      <w:r w:rsidRPr="00BE4AB3">
        <w:rPr>
          <w:rStyle w:val="FootnoteReference"/>
        </w:rPr>
        <w:footnoteRef/>
      </w:r>
      <w:r>
        <w:tab/>
      </w:r>
      <w:r w:rsidRPr="009D6AB1">
        <w:t>The Ministry of Health has 13 contracts with host DHBs for PHU services. However the combined services delivered by the PHUs in MidCentral DHB and Whanganui DHB make up the comprehensive set of services for the MidCentral/Whanganui region.</w:t>
      </w:r>
    </w:p>
  </w:footnote>
  <w:footnote w:id="12">
    <w:p w:rsidR="00E754F5" w:rsidRDefault="00E754F5" w:rsidP="00ED6788">
      <w:pPr>
        <w:pStyle w:val="FootnoteText"/>
      </w:pPr>
      <w:r>
        <w:rPr>
          <w:rStyle w:val="FootnoteReference"/>
        </w:rPr>
        <w:footnoteRef/>
      </w:r>
      <w:r>
        <w:t xml:space="preserve"> </w:t>
      </w:r>
      <w:r>
        <w:tab/>
        <w:t>T</w:t>
      </w:r>
      <w:r w:rsidRPr="00154CF2">
        <w:t xml:space="preserve">his performance measure was inserted in the Supplementary Estimates </w:t>
      </w:r>
      <w:r>
        <w:t>o</w:t>
      </w:r>
      <w:r w:rsidRPr="00154CF2">
        <w:t>f Appropriations 2014/15 B.7, page</w:t>
      </w:r>
      <w:r>
        <w:t> </w:t>
      </w:r>
      <w:r w:rsidRPr="00154CF2">
        <w:t>386.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D8" w:rsidRDefault="001E0FD8">
    <w:pPr>
      <w:pStyle w:val="Header"/>
    </w:pPr>
  </w:p>
  <w:p w:rsidR="001E0FD8" w:rsidRDefault="001E0FD8">
    <w:pPr>
      <w:pStyle w:val="Header"/>
    </w:pPr>
  </w:p>
  <w:p w:rsidR="001E0FD8" w:rsidRPr="001E0FD8" w:rsidRDefault="001E0FD8" w:rsidP="001E0FD8">
    <w:pPr>
      <w:pStyle w:val="Header"/>
      <w:ind w:left="6804"/>
      <w:rPr>
        <w:sz w:val="24"/>
        <w:szCs w:val="24"/>
      </w:rPr>
    </w:pPr>
    <w:r w:rsidRPr="001E0FD8">
      <w:rPr>
        <w:sz w:val="24"/>
        <w:szCs w:val="24"/>
      </w:rPr>
      <w:t>B14 (Health)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Default="00E754F5"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Default="00E754F5"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5" w:rsidRDefault="00E754F5"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5FF086A"/>
    <w:multiLevelType w:val="multilevel"/>
    <w:tmpl w:val="75FA7E6E"/>
    <w:lvl w:ilvl="0">
      <w:start w:val="1"/>
      <w:numFmt w:val="bullet"/>
      <w:lvlText w:val=""/>
      <w:lvlJc w:val="left"/>
      <w:pPr>
        <w:tabs>
          <w:tab w:val="num" w:pos="284"/>
        </w:tabs>
        <w:ind w:left="284" w:hanging="284"/>
      </w:pPr>
      <w:rPr>
        <w:rFonts w:ascii="Symbol" w:hAnsi="Symbol" w:cs="Times New Roman" w:hint="default"/>
        <w:bCs w:val="0"/>
        <w:iCs w:val="0"/>
        <w:color w:val="auto"/>
        <w:sz w:val="20"/>
        <w:szCs w:val="24"/>
      </w:rPr>
    </w:lvl>
    <w:lvl w:ilvl="1">
      <w:start w:val="1"/>
      <w:numFmt w:val="bullet"/>
      <w:lvlText w:val="■"/>
      <w:lvlJc w:val="left"/>
      <w:pPr>
        <w:tabs>
          <w:tab w:val="num" w:pos="1418"/>
        </w:tabs>
        <w:ind w:left="1418" w:hanging="709"/>
      </w:pPr>
      <w:rPr>
        <w:rFonts w:ascii="Arial" w:hAnsi="Arial"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
    <w:nsid w:val="19614234"/>
    <w:multiLevelType w:val="hybridMultilevel"/>
    <w:tmpl w:val="32BCDD8C"/>
    <w:lvl w:ilvl="0" w:tplc="E078F89C">
      <w:start w:val="1"/>
      <w:numFmt w:val="bullet"/>
      <w:lvlText w:val="–"/>
      <w:lvlJc w:val="left"/>
      <w:pPr>
        <w:ind w:left="1004" w:hanging="360"/>
      </w:pPr>
      <w:rPr>
        <w:rFonts w:ascii="Calibri" w:hAnsi="Calibri" w:hint="default"/>
        <w:bCs w:val="0"/>
        <w:iCs w:val="0"/>
        <w:color w:val="464939"/>
        <w:sz w:val="20"/>
        <w:szCs w:val="24"/>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9F73E5F"/>
    <w:multiLevelType w:val="hybridMultilevel"/>
    <w:tmpl w:val="F17A5B4C"/>
    <w:lvl w:ilvl="0" w:tplc="FC04B2D8">
      <w:numFmt w:val="bullet"/>
      <w:lvlText w:val="•"/>
      <w:lvlJc w:val="left"/>
      <w:pPr>
        <w:ind w:left="930" w:hanging="57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9BE18A4"/>
    <w:multiLevelType w:val="hybridMultilevel"/>
    <w:tmpl w:val="9A264624"/>
    <w:lvl w:ilvl="0" w:tplc="F0A0C254">
      <w:start w:val="1"/>
      <w:numFmt w:val="lowerRoman"/>
      <w:pStyle w:val="Roman"/>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1595CBC"/>
    <w:multiLevelType w:val="hybridMultilevel"/>
    <w:tmpl w:val="8B524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7520E4A"/>
    <w:multiLevelType w:val="hybridMultilevel"/>
    <w:tmpl w:val="9D66D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498D7C57"/>
    <w:multiLevelType w:val="hybridMultilevel"/>
    <w:tmpl w:val="AA96E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7">
    <w:nsid w:val="69192683"/>
    <w:multiLevelType w:val="hybridMultilevel"/>
    <w:tmpl w:val="69240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FC23B8B"/>
    <w:multiLevelType w:val="hybridMultilevel"/>
    <w:tmpl w:val="113A4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0">
    <w:nsid w:val="77747712"/>
    <w:multiLevelType w:val="hybridMultilevel"/>
    <w:tmpl w:val="00000002"/>
    <w:lvl w:ilvl="0" w:tplc="FFFFFFFF">
      <w:start w:val="1"/>
      <w:numFmt w:val="bullet"/>
      <w:lvlText w:val="·"/>
      <w:lvlJc w:val="left"/>
      <w:pPr>
        <w:tabs>
          <w:tab w:val="num" w:pos="283"/>
        </w:tabs>
        <w:ind w:left="283" w:hanging="283"/>
      </w:pPr>
      <w:rPr>
        <w:rFonts w:ascii="Symbol" w:eastAsia="Symbol" w:hAnsi="Symbol" w:cs="Symbol"/>
        <w:sz w:val="18"/>
        <w:lang w:val="en-NZ"/>
      </w:rPr>
    </w:lvl>
    <w:lvl w:ilvl="1" w:tplc="FFFFFFFF">
      <w:start w:val="1"/>
      <w:numFmt w:val="bullet"/>
      <w:lvlText w:val="-"/>
      <w:lvlJc w:val="left"/>
      <w:pPr>
        <w:tabs>
          <w:tab w:val="num" w:pos="566"/>
        </w:tabs>
        <w:ind w:left="566" w:hanging="283"/>
      </w:pPr>
      <w:rPr>
        <w:rFonts w:ascii="Symbol" w:eastAsia="Symbol" w:hAnsi="Symbol" w:cs="Symbol"/>
        <w:sz w:val="18"/>
        <w:lang w:val="en-NZ"/>
      </w:rPr>
    </w:lvl>
    <w:lvl w:ilvl="2" w:tplc="FFFFFFFF">
      <w:start w:val="1"/>
      <w:numFmt w:val="bullet"/>
      <w:lvlText w:val="·"/>
      <w:lvlJc w:val="right"/>
      <w:pPr>
        <w:tabs>
          <w:tab w:val="num" w:pos="850"/>
        </w:tabs>
        <w:ind w:left="850" w:hanging="284"/>
      </w:pPr>
      <w:rPr>
        <w:rFonts w:ascii="Symbol" w:eastAsia="Symbol" w:hAnsi="Symbol" w:cs="Symbol"/>
        <w:sz w:val="18"/>
        <w:lang w:val="en-NZ"/>
      </w:rPr>
    </w:lvl>
    <w:lvl w:ilvl="3" w:tplc="FFFFFFFF">
      <w:start w:val="1"/>
      <w:numFmt w:val="bullet"/>
      <w:lvlText w:val="·"/>
      <w:lvlJc w:val="left"/>
      <w:pPr>
        <w:tabs>
          <w:tab w:val="num" w:pos="1133"/>
        </w:tabs>
        <w:ind w:left="1133" w:hanging="283"/>
      </w:pPr>
      <w:rPr>
        <w:rFonts w:ascii="Symbol" w:eastAsia="Symbol" w:hAnsi="Symbol" w:cs="Symbol"/>
        <w:sz w:val="18"/>
        <w:lang w:val="en-NZ"/>
      </w:rPr>
    </w:lvl>
    <w:lvl w:ilvl="4" w:tplc="FFFFFFFF">
      <w:start w:val="1"/>
      <w:numFmt w:val="bullet"/>
      <w:lvlText w:val="·"/>
      <w:lvlJc w:val="left"/>
      <w:pPr>
        <w:tabs>
          <w:tab w:val="num" w:pos="1417"/>
        </w:tabs>
        <w:ind w:left="1417" w:hanging="284"/>
      </w:pPr>
      <w:rPr>
        <w:rFonts w:ascii="Symbol" w:eastAsia="Symbol" w:hAnsi="Symbol" w:cs="Symbol"/>
        <w:sz w:val="18"/>
        <w:lang w:val="en-NZ"/>
      </w:rPr>
    </w:lvl>
    <w:lvl w:ilvl="5" w:tplc="FFFFFFFF">
      <w:start w:val="1"/>
      <w:numFmt w:val="bullet"/>
      <w:lvlText w:val="·"/>
      <w:lvlJc w:val="right"/>
      <w:pPr>
        <w:tabs>
          <w:tab w:val="num" w:pos="1700"/>
        </w:tabs>
        <w:ind w:left="1700" w:hanging="283"/>
      </w:pPr>
      <w:rPr>
        <w:rFonts w:ascii="Symbol" w:eastAsia="Symbol" w:hAnsi="Symbol" w:cs="Symbol"/>
        <w:sz w:val="18"/>
        <w:lang w:val="en-NZ"/>
      </w:rPr>
    </w:lvl>
    <w:lvl w:ilvl="6" w:tplc="FFFFFFFF">
      <w:start w:val="1"/>
      <w:numFmt w:val="bullet"/>
      <w:lvlText w:val="·"/>
      <w:lvlJc w:val="left"/>
      <w:pPr>
        <w:tabs>
          <w:tab w:val="num" w:pos="1984"/>
        </w:tabs>
        <w:ind w:left="1984" w:hanging="284"/>
      </w:pPr>
      <w:rPr>
        <w:rFonts w:ascii="Symbol" w:eastAsia="Symbol" w:hAnsi="Symbol" w:cs="Symbol"/>
        <w:sz w:val="18"/>
        <w:lang w:val="en-NZ"/>
      </w:rPr>
    </w:lvl>
    <w:lvl w:ilvl="7" w:tplc="FFFFFFFF">
      <w:start w:val="1"/>
      <w:numFmt w:val="bullet"/>
      <w:lvlText w:val="·"/>
      <w:lvlJc w:val="left"/>
      <w:pPr>
        <w:tabs>
          <w:tab w:val="num" w:pos="2267"/>
        </w:tabs>
        <w:ind w:left="2267" w:hanging="283"/>
      </w:pPr>
      <w:rPr>
        <w:rFonts w:ascii="Symbol" w:eastAsia="Symbol" w:hAnsi="Symbol" w:cs="Symbol"/>
        <w:sz w:val="18"/>
        <w:lang w:val="en-NZ"/>
      </w:rPr>
    </w:lvl>
    <w:lvl w:ilvl="8" w:tplc="FFFFFFFF">
      <w:start w:val="1"/>
      <w:numFmt w:val="bullet"/>
      <w:lvlText w:val="·"/>
      <w:lvlJc w:val="right"/>
      <w:pPr>
        <w:tabs>
          <w:tab w:val="num" w:pos="2551"/>
        </w:tabs>
        <w:ind w:left="2551" w:hanging="284"/>
      </w:pPr>
      <w:rPr>
        <w:rFonts w:ascii="Symbol" w:eastAsia="Symbol" w:hAnsi="Symbol" w:cs="Symbol"/>
        <w:sz w:val="18"/>
        <w:lang w:val="en-NZ"/>
      </w:rPr>
    </w:lvl>
  </w:abstractNum>
  <w:abstractNum w:abstractNumId="21">
    <w:nsid w:val="79516C79"/>
    <w:multiLevelType w:val="hybridMultilevel"/>
    <w:tmpl w:val="793ED194"/>
    <w:lvl w:ilvl="0" w:tplc="FD9E28B2">
      <w:start w:val="1"/>
      <w:numFmt w:val="bullet"/>
      <w:lvlText w:val="−"/>
      <w:lvlJc w:val="left"/>
      <w:pPr>
        <w:ind w:left="644" w:hanging="360"/>
      </w:pPr>
      <w:rPr>
        <w:rFonts w:ascii="Times New Roman" w:hAnsi="Times New Roman" w:cs="Times New Roman" w:hint="default"/>
      </w:rPr>
    </w:lvl>
    <w:lvl w:ilvl="1" w:tplc="14090003">
      <w:start w:val="1"/>
      <w:numFmt w:val="bullet"/>
      <w:lvlText w:val="o"/>
      <w:lvlJc w:val="left"/>
      <w:pPr>
        <w:ind w:left="1582" w:hanging="360"/>
      </w:pPr>
      <w:rPr>
        <w:rFonts w:ascii="Courier New" w:hAnsi="Courier New" w:cs="Courier New" w:hint="default"/>
      </w:rPr>
    </w:lvl>
    <w:lvl w:ilvl="2" w:tplc="14090005">
      <w:start w:val="1"/>
      <w:numFmt w:val="bullet"/>
      <w:lvlText w:val=""/>
      <w:lvlJc w:val="left"/>
      <w:pPr>
        <w:ind w:left="2302" w:hanging="360"/>
      </w:pPr>
      <w:rPr>
        <w:rFonts w:ascii="Wingdings" w:hAnsi="Wingdings" w:hint="default"/>
      </w:rPr>
    </w:lvl>
    <w:lvl w:ilvl="3" w:tplc="14090001">
      <w:start w:val="1"/>
      <w:numFmt w:val="bullet"/>
      <w:lvlText w:val=""/>
      <w:lvlJc w:val="left"/>
      <w:pPr>
        <w:ind w:left="3022" w:hanging="360"/>
      </w:pPr>
      <w:rPr>
        <w:rFonts w:ascii="Symbol" w:hAnsi="Symbol" w:hint="default"/>
      </w:rPr>
    </w:lvl>
    <w:lvl w:ilvl="4" w:tplc="14090003">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start w:val="1"/>
      <w:numFmt w:val="bullet"/>
      <w:lvlText w:val=""/>
      <w:lvlJc w:val="left"/>
      <w:pPr>
        <w:ind w:left="5182" w:hanging="360"/>
      </w:pPr>
      <w:rPr>
        <w:rFonts w:ascii="Symbol" w:hAnsi="Symbol" w:hint="default"/>
      </w:rPr>
    </w:lvl>
    <w:lvl w:ilvl="7" w:tplc="14090003">
      <w:start w:val="1"/>
      <w:numFmt w:val="bullet"/>
      <w:lvlText w:val="o"/>
      <w:lvlJc w:val="left"/>
      <w:pPr>
        <w:ind w:left="5902" w:hanging="360"/>
      </w:pPr>
      <w:rPr>
        <w:rFonts w:ascii="Courier New" w:hAnsi="Courier New" w:cs="Courier New" w:hint="default"/>
      </w:rPr>
    </w:lvl>
    <w:lvl w:ilvl="8" w:tplc="14090005">
      <w:start w:val="1"/>
      <w:numFmt w:val="bullet"/>
      <w:lvlText w:val=""/>
      <w:lvlJc w:val="left"/>
      <w:pPr>
        <w:ind w:left="6622" w:hanging="360"/>
      </w:pPr>
      <w:rPr>
        <w:rFonts w:ascii="Wingdings" w:hAnsi="Wingdings" w:hint="default"/>
      </w:rPr>
    </w:lvl>
  </w:abstractNum>
  <w:abstractNum w:abstractNumId="22">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2"/>
  </w:num>
  <w:num w:numId="2">
    <w:abstractNumId w:val="16"/>
  </w:num>
  <w:num w:numId="3">
    <w:abstractNumId w:val="11"/>
  </w:num>
  <w:num w:numId="4">
    <w:abstractNumId w:val="12"/>
  </w:num>
  <w:num w:numId="5">
    <w:abstractNumId w:val="1"/>
  </w:num>
  <w:num w:numId="6">
    <w:abstractNumId w:val="15"/>
  </w:num>
  <w:num w:numId="7">
    <w:abstractNumId w:val="5"/>
  </w:num>
  <w:num w:numId="8">
    <w:abstractNumId w:val="19"/>
  </w:num>
  <w:num w:numId="9">
    <w:abstractNumId w:val="2"/>
  </w:num>
  <w:num w:numId="10">
    <w:abstractNumId w:val="7"/>
  </w:num>
  <w:num w:numId="11">
    <w:abstractNumId w:val="13"/>
  </w:num>
  <w:num w:numId="12">
    <w:abstractNumId w:val="0"/>
  </w:num>
  <w:num w:numId="13">
    <w:abstractNumId w:val="4"/>
  </w:num>
  <w:num w:numId="14">
    <w:abstractNumId w:val="8"/>
  </w:num>
  <w:num w:numId="15">
    <w:abstractNumId w:val="14"/>
  </w:num>
  <w:num w:numId="16">
    <w:abstractNumId w:val="18"/>
  </w:num>
  <w:num w:numId="17">
    <w:abstractNumId w:val="3"/>
  </w:num>
  <w:num w:numId="18">
    <w:abstractNumId w:val="6"/>
  </w:num>
  <w:num w:numId="19">
    <w:abstractNumId w:val="20"/>
  </w:num>
  <w:num w:numId="20">
    <w:abstractNumId w:val="9"/>
  </w:num>
  <w:num w:numId="21">
    <w:abstractNumId w:val="10"/>
  </w:num>
  <w:num w:numId="22">
    <w:abstractNumId w:val="21"/>
  </w:num>
  <w:num w:numId="2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74C4"/>
    <w:rsid w:val="00030B26"/>
    <w:rsid w:val="00054C4F"/>
    <w:rsid w:val="0006228D"/>
    <w:rsid w:val="00072BD6"/>
    <w:rsid w:val="00075B78"/>
    <w:rsid w:val="00082CD6"/>
    <w:rsid w:val="000845D9"/>
    <w:rsid w:val="00085AFE"/>
    <w:rsid w:val="000B0730"/>
    <w:rsid w:val="000B6CAD"/>
    <w:rsid w:val="000E6410"/>
    <w:rsid w:val="000F1A69"/>
    <w:rsid w:val="000F2AE2"/>
    <w:rsid w:val="00102063"/>
    <w:rsid w:val="00103978"/>
    <w:rsid w:val="0010541C"/>
    <w:rsid w:val="00106F93"/>
    <w:rsid w:val="00111D50"/>
    <w:rsid w:val="00113B8E"/>
    <w:rsid w:val="001342C7"/>
    <w:rsid w:val="0013585C"/>
    <w:rsid w:val="001365AC"/>
    <w:rsid w:val="00142954"/>
    <w:rsid w:val="001460E0"/>
    <w:rsid w:val="00147F71"/>
    <w:rsid w:val="00150A6E"/>
    <w:rsid w:val="00151DCE"/>
    <w:rsid w:val="0015630E"/>
    <w:rsid w:val="0016468A"/>
    <w:rsid w:val="00180D96"/>
    <w:rsid w:val="001862AF"/>
    <w:rsid w:val="001A5CF5"/>
    <w:rsid w:val="001B39D2"/>
    <w:rsid w:val="001B4BF8"/>
    <w:rsid w:val="001C4326"/>
    <w:rsid w:val="001D3541"/>
    <w:rsid w:val="001E0FD8"/>
    <w:rsid w:val="00201A01"/>
    <w:rsid w:val="002104D3"/>
    <w:rsid w:val="00213A33"/>
    <w:rsid w:val="00217120"/>
    <w:rsid w:val="0021763B"/>
    <w:rsid w:val="00246DB1"/>
    <w:rsid w:val="002476B5"/>
    <w:rsid w:val="00253ECF"/>
    <w:rsid w:val="002546A1"/>
    <w:rsid w:val="00256A98"/>
    <w:rsid w:val="00275D08"/>
    <w:rsid w:val="002858E3"/>
    <w:rsid w:val="00290A79"/>
    <w:rsid w:val="0029190A"/>
    <w:rsid w:val="00292C5A"/>
    <w:rsid w:val="00295241"/>
    <w:rsid w:val="00295D75"/>
    <w:rsid w:val="002B047D"/>
    <w:rsid w:val="002B2B5D"/>
    <w:rsid w:val="002B732B"/>
    <w:rsid w:val="002C0577"/>
    <w:rsid w:val="002C2219"/>
    <w:rsid w:val="002D0DF2"/>
    <w:rsid w:val="002D23BD"/>
    <w:rsid w:val="002E0B47"/>
    <w:rsid w:val="002F2081"/>
    <w:rsid w:val="002F7213"/>
    <w:rsid w:val="0030382F"/>
    <w:rsid w:val="0030408D"/>
    <w:rsid w:val="003060E4"/>
    <w:rsid w:val="00314766"/>
    <w:rsid w:val="003160E7"/>
    <w:rsid w:val="0031739E"/>
    <w:rsid w:val="003325AB"/>
    <w:rsid w:val="0033412B"/>
    <w:rsid w:val="0033675A"/>
    <w:rsid w:val="00336DC2"/>
    <w:rsid w:val="00343365"/>
    <w:rsid w:val="00353501"/>
    <w:rsid w:val="003606F8"/>
    <w:rsid w:val="003648EF"/>
    <w:rsid w:val="003673E6"/>
    <w:rsid w:val="00377264"/>
    <w:rsid w:val="00382E8A"/>
    <w:rsid w:val="003A26A5"/>
    <w:rsid w:val="003A3761"/>
    <w:rsid w:val="003A5FEA"/>
    <w:rsid w:val="003B1D10"/>
    <w:rsid w:val="003C76D4"/>
    <w:rsid w:val="003E7C46"/>
    <w:rsid w:val="003F52A7"/>
    <w:rsid w:val="0040240C"/>
    <w:rsid w:val="00413021"/>
    <w:rsid w:val="004246D0"/>
    <w:rsid w:val="00440BE0"/>
    <w:rsid w:val="00442C1C"/>
    <w:rsid w:val="0044584B"/>
    <w:rsid w:val="00447CB7"/>
    <w:rsid w:val="00460826"/>
    <w:rsid w:val="00460EA7"/>
    <w:rsid w:val="0046195B"/>
    <w:rsid w:val="0046596D"/>
    <w:rsid w:val="00475846"/>
    <w:rsid w:val="00487C04"/>
    <w:rsid w:val="004907E1"/>
    <w:rsid w:val="004966BC"/>
    <w:rsid w:val="004A035B"/>
    <w:rsid w:val="004A38D7"/>
    <w:rsid w:val="004A778C"/>
    <w:rsid w:val="004C2E6A"/>
    <w:rsid w:val="004D2A2D"/>
    <w:rsid w:val="004D6689"/>
    <w:rsid w:val="004E1D1D"/>
    <w:rsid w:val="004E7AC8"/>
    <w:rsid w:val="004F0C94"/>
    <w:rsid w:val="004F0FDD"/>
    <w:rsid w:val="004F1D55"/>
    <w:rsid w:val="004F2B24"/>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63E0"/>
    <w:rsid w:val="005848A0"/>
    <w:rsid w:val="005A08D6"/>
    <w:rsid w:val="005A27CA"/>
    <w:rsid w:val="005A43BD"/>
    <w:rsid w:val="005E226E"/>
    <w:rsid w:val="006015D7"/>
    <w:rsid w:val="00601B21"/>
    <w:rsid w:val="00626CF8"/>
    <w:rsid w:val="00636D7D"/>
    <w:rsid w:val="00637408"/>
    <w:rsid w:val="00642868"/>
    <w:rsid w:val="00646E9A"/>
    <w:rsid w:val="00647AFE"/>
    <w:rsid w:val="006512BC"/>
    <w:rsid w:val="00652344"/>
    <w:rsid w:val="00653A5A"/>
    <w:rsid w:val="006575F4"/>
    <w:rsid w:val="006579E6"/>
    <w:rsid w:val="00663EDC"/>
    <w:rsid w:val="00671078"/>
    <w:rsid w:val="00680A04"/>
    <w:rsid w:val="006845C7"/>
    <w:rsid w:val="00686D80"/>
    <w:rsid w:val="00694895"/>
    <w:rsid w:val="00697E2E"/>
    <w:rsid w:val="006A25A2"/>
    <w:rsid w:val="006B0E73"/>
    <w:rsid w:val="006B0FC4"/>
    <w:rsid w:val="006B4A4D"/>
    <w:rsid w:val="006B5695"/>
    <w:rsid w:val="006C78EB"/>
    <w:rsid w:val="006D1660"/>
    <w:rsid w:val="006F1B67"/>
    <w:rsid w:val="0070091D"/>
    <w:rsid w:val="00702854"/>
    <w:rsid w:val="0071741C"/>
    <w:rsid w:val="00734595"/>
    <w:rsid w:val="00742B90"/>
    <w:rsid w:val="0074434D"/>
    <w:rsid w:val="00771B1E"/>
    <w:rsid w:val="00773C95"/>
    <w:rsid w:val="0078171E"/>
    <w:rsid w:val="00795B34"/>
    <w:rsid w:val="00796085"/>
    <w:rsid w:val="007B0487"/>
    <w:rsid w:val="007B1770"/>
    <w:rsid w:val="007B4D3E"/>
    <w:rsid w:val="007B7C70"/>
    <w:rsid w:val="007D2151"/>
    <w:rsid w:val="007D42CC"/>
    <w:rsid w:val="007D5DE4"/>
    <w:rsid w:val="007E0777"/>
    <w:rsid w:val="007E1341"/>
    <w:rsid w:val="007E1B41"/>
    <w:rsid w:val="007E30B9"/>
    <w:rsid w:val="007E74F1"/>
    <w:rsid w:val="007F0F0C"/>
    <w:rsid w:val="007F1288"/>
    <w:rsid w:val="007F5F42"/>
    <w:rsid w:val="00800A8A"/>
    <w:rsid w:val="0080155C"/>
    <w:rsid w:val="008052E1"/>
    <w:rsid w:val="00822F2C"/>
    <w:rsid w:val="008305E8"/>
    <w:rsid w:val="00843FD8"/>
    <w:rsid w:val="00860826"/>
    <w:rsid w:val="00860E21"/>
    <w:rsid w:val="00863117"/>
    <w:rsid w:val="0086388B"/>
    <w:rsid w:val="008642E5"/>
    <w:rsid w:val="008729AA"/>
    <w:rsid w:val="00872D93"/>
    <w:rsid w:val="0087519E"/>
    <w:rsid w:val="00880470"/>
    <w:rsid w:val="00880D94"/>
    <w:rsid w:val="008924DE"/>
    <w:rsid w:val="00892A9F"/>
    <w:rsid w:val="008A3755"/>
    <w:rsid w:val="008B264F"/>
    <w:rsid w:val="008B6F83"/>
    <w:rsid w:val="008B7FD8"/>
    <w:rsid w:val="008C2973"/>
    <w:rsid w:val="008C35C3"/>
    <w:rsid w:val="008C64C4"/>
    <w:rsid w:val="008D74D5"/>
    <w:rsid w:val="008F29BE"/>
    <w:rsid w:val="008F4AE5"/>
    <w:rsid w:val="008F51EB"/>
    <w:rsid w:val="00900197"/>
    <w:rsid w:val="00902F55"/>
    <w:rsid w:val="0090582B"/>
    <w:rsid w:val="009060C0"/>
    <w:rsid w:val="009133F5"/>
    <w:rsid w:val="00913B21"/>
    <w:rsid w:val="00920A27"/>
    <w:rsid w:val="00921216"/>
    <w:rsid w:val="0093145A"/>
    <w:rsid w:val="00932D69"/>
    <w:rsid w:val="00944647"/>
    <w:rsid w:val="00977B8A"/>
    <w:rsid w:val="00982971"/>
    <w:rsid w:val="009845AD"/>
    <w:rsid w:val="00995BA0"/>
    <w:rsid w:val="009A418B"/>
    <w:rsid w:val="009A4473"/>
    <w:rsid w:val="009C151C"/>
    <w:rsid w:val="009D5125"/>
    <w:rsid w:val="009D60B8"/>
    <w:rsid w:val="009D7D4B"/>
    <w:rsid w:val="009E150A"/>
    <w:rsid w:val="009E36ED"/>
    <w:rsid w:val="009E6B77"/>
    <w:rsid w:val="009F460A"/>
    <w:rsid w:val="00A043FB"/>
    <w:rsid w:val="00A0729C"/>
    <w:rsid w:val="00A07779"/>
    <w:rsid w:val="00A20B2E"/>
    <w:rsid w:val="00A3068F"/>
    <w:rsid w:val="00A3145B"/>
    <w:rsid w:val="00A339D0"/>
    <w:rsid w:val="00A41002"/>
    <w:rsid w:val="00A4201A"/>
    <w:rsid w:val="00A53016"/>
    <w:rsid w:val="00A553CE"/>
    <w:rsid w:val="00A5677A"/>
    <w:rsid w:val="00A6490D"/>
    <w:rsid w:val="00A80363"/>
    <w:rsid w:val="00A9169D"/>
    <w:rsid w:val="00AC101C"/>
    <w:rsid w:val="00AD4CF1"/>
    <w:rsid w:val="00AD5988"/>
    <w:rsid w:val="00AE2B65"/>
    <w:rsid w:val="00AE5D7C"/>
    <w:rsid w:val="00AF7800"/>
    <w:rsid w:val="00B072E0"/>
    <w:rsid w:val="00B23EAE"/>
    <w:rsid w:val="00B253F6"/>
    <w:rsid w:val="00B332F8"/>
    <w:rsid w:val="00B3356E"/>
    <w:rsid w:val="00B3492B"/>
    <w:rsid w:val="00B4646F"/>
    <w:rsid w:val="00B55C7D"/>
    <w:rsid w:val="00B63038"/>
    <w:rsid w:val="00B64BD8"/>
    <w:rsid w:val="00B701D1"/>
    <w:rsid w:val="00B73AF2"/>
    <w:rsid w:val="00B7551A"/>
    <w:rsid w:val="00B80F72"/>
    <w:rsid w:val="00B83C83"/>
    <w:rsid w:val="00BA50C8"/>
    <w:rsid w:val="00BA51D2"/>
    <w:rsid w:val="00BB416D"/>
    <w:rsid w:val="00BC59F1"/>
    <w:rsid w:val="00BE1C42"/>
    <w:rsid w:val="00BE4AB3"/>
    <w:rsid w:val="00BF3DE1"/>
    <w:rsid w:val="00BF4843"/>
    <w:rsid w:val="00BF5205"/>
    <w:rsid w:val="00C12508"/>
    <w:rsid w:val="00C22D99"/>
    <w:rsid w:val="00C244B1"/>
    <w:rsid w:val="00C25CC8"/>
    <w:rsid w:val="00C30AA8"/>
    <w:rsid w:val="00C32203"/>
    <w:rsid w:val="00C45AA2"/>
    <w:rsid w:val="00C66296"/>
    <w:rsid w:val="00C77282"/>
    <w:rsid w:val="00C81087"/>
    <w:rsid w:val="00C84DE5"/>
    <w:rsid w:val="00C86248"/>
    <w:rsid w:val="00CA4C33"/>
    <w:rsid w:val="00CA6F4A"/>
    <w:rsid w:val="00CC71A7"/>
    <w:rsid w:val="00CD2119"/>
    <w:rsid w:val="00CD36AC"/>
    <w:rsid w:val="00CF1747"/>
    <w:rsid w:val="00D2392A"/>
    <w:rsid w:val="00D25FFE"/>
    <w:rsid w:val="00D4476F"/>
    <w:rsid w:val="00D44948"/>
    <w:rsid w:val="00D54D50"/>
    <w:rsid w:val="00D66797"/>
    <w:rsid w:val="00D7087C"/>
    <w:rsid w:val="00D70C3C"/>
    <w:rsid w:val="00D72BE5"/>
    <w:rsid w:val="00D77D08"/>
    <w:rsid w:val="00D82F26"/>
    <w:rsid w:val="00D863D0"/>
    <w:rsid w:val="00D87C87"/>
    <w:rsid w:val="00DB1E11"/>
    <w:rsid w:val="00DB39CF"/>
    <w:rsid w:val="00DD447A"/>
    <w:rsid w:val="00DE3B20"/>
    <w:rsid w:val="00DE6C94"/>
    <w:rsid w:val="00DE6FD7"/>
    <w:rsid w:val="00E23271"/>
    <w:rsid w:val="00E24F80"/>
    <w:rsid w:val="00E259F3"/>
    <w:rsid w:val="00E33238"/>
    <w:rsid w:val="00E4486C"/>
    <w:rsid w:val="00E460B6"/>
    <w:rsid w:val="00E511D5"/>
    <w:rsid w:val="00E60249"/>
    <w:rsid w:val="00E62447"/>
    <w:rsid w:val="00E65269"/>
    <w:rsid w:val="00E754F5"/>
    <w:rsid w:val="00E76D66"/>
    <w:rsid w:val="00E9088D"/>
    <w:rsid w:val="00EA2E93"/>
    <w:rsid w:val="00EA39DD"/>
    <w:rsid w:val="00EA796A"/>
    <w:rsid w:val="00EB1856"/>
    <w:rsid w:val="00EC50CE"/>
    <w:rsid w:val="00EC5B34"/>
    <w:rsid w:val="00ED6788"/>
    <w:rsid w:val="00EE4ADE"/>
    <w:rsid w:val="00EE5CB7"/>
    <w:rsid w:val="00F024FE"/>
    <w:rsid w:val="00F0579A"/>
    <w:rsid w:val="00F05AD4"/>
    <w:rsid w:val="00F25970"/>
    <w:rsid w:val="00F41A89"/>
    <w:rsid w:val="00F5180D"/>
    <w:rsid w:val="00F67496"/>
    <w:rsid w:val="00F740F4"/>
    <w:rsid w:val="00F801BA"/>
    <w:rsid w:val="00F946C9"/>
    <w:rsid w:val="00F95976"/>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25CC8"/>
    <w:pPr>
      <w:spacing w:line="264" w:lineRule="auto"/>
    </w:pPr>
    <w:rPr>
      <w:rFonts w:ascii="Arial" w:hAnsi="Arial"/>
      <w:sz w:val="22"/>
      <w:lang w:eastAsia="en-GB"/>
    </w:rPr>
  </w:style>
  <w:style w:type="paragraph" w:styleId="Heading1">
    <w:name w:val="heading 1"/>
    <w:basedOn w:val="Normal"/>
    <w:next w:val="Normal"/>
    <w:link w:val="Heading1Char"/>
    <w:qFormat/>
    <w:rsid w:val="00C25CC8"/>
    <w:pP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qFormat/>
    <w:rsid w:val="00ED6788"/>
    <w:pPr>
      <w:keepNext/>
      <w:spacing w:after="120"/>
      <w:outlineLvl w:val="5"/>
    </w:pPr>
    <w:rPr>
      <w:bCs/>
      <w:i/>
      <w:szCs w:val="22"/>
      <w:lang w:eastAsia="en-US"/>
    </w:rPr>
  </w:style>
  <w:style w:type="paragraph" w:styleId="Heading7">
    <w:name w:val="heading 7"/>
    <w:basedOn w:val="Normal"/>
    <w:next w:val="Normal"/>
    <w:link w:val="Heading7Char"/>
    <w:qFormat/>
    <w:rsid w:val="00ED6788"/>
    <w:pPr>
      <w:keepNext/>
      <w:keepLines/>
      <w:spacing w:before="200" w:line="276" w:lineRule="auto"/>
      <w:outlineLvl w:val="6"/>
    </w:pPr>
    <w:rPr>
      <w:rFonts w:ascii="Cambria" w:hAnsi="Cambria"/>
      <w:i/>
      <w:iCs/>
      <w:color w:val="404040"/>
      <w:szCs w:val="22"/>
      <w:lang w:eastAsia="en-US"/>
    </w:rPr>
  </w:style>
  <w:style w:type="paragraph" w:styleId="Heading8">
    <w:name w:val="heading 8"/>
    <w:basedOn w:val="Normal"/>
    <w:next w:val="Normal"/>
    <w:link w:val="Heading8Char"/>
    <w:qFormat/>
    <w:rsid w:val="00ED6788"/>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ED6788"/>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C25CC8"/>
    <w:pPr>
      <w:numPr>
        <w:numId w:val="1"/>
      </w:numPr>
      <w:spacing w:before="12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C25CC8"/>
    <w:rPr>
      <w:rFonts w:ascii="Arial" w:hAnsi="Arial"/>
      <w:b/>
      <w:sz w:val="24"/>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rsid w:val="00C25CC8"/>
    <w:rPr>
      <w:rFonts w:ascii="Arial" w:hAnsi="Arial"/>
      <w:b/>
      <w:sz w:val="60"/>
      <w:lang w:eastAsia="en-GB"/>
    </w:rPr>
  </w:style>
  <w:style w:type="paragraph" w:styleId="Revision">
    <w:name w:val="Revision"/>
    <w:hidden/>
    <w:semiHidden/>
    <w:rsid w:val="0086388B"/>
    <w:rPr>
      <w:rFonts w:ascii="Calibri" w:eastAsia="Calibri" w:hAnsi="Calibri"/>
      <w:sz w:val="22"/>
      <w:szCs w:val="22"/>
      <w:lang w:val="en-US" w:eastAsia="en-US"/>
    </w:rPr>
  </w:style>
  <w:style w:type="character" w:customStyle="1" w:styleId="Heading2Char">
    <w:name w:val="Heading 2 Char"/>
    <w:link w:val="Heading2"/>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6Char">
    <w:name w:val="Heading 6 Char"/>
    <w:basedOn w:val="DefaultParagraphFont"/>
    <w:link w:val="Heading6"/>
    <w:rsid w:val="00ED6788"/>
    <w:rPr>
      <w:rFonts w:ascii="Georgia" w:hAnsi="Georgia"/>
      <w:bCs/>
      <w:i/>
      <w:sz w:val="22"/>
      <w:szCs w:val="22"/>
      <w:lang w:eastAsia="en-US"/>
    </w:rPr>
  </w:style>
  <w:style w:type="character" w:customStyle="1" w:styleId="Heading7Char">
    <w:name w:val="Heading 7 Char"/>
    <w:basedOn w:val="DefaultParagraphFont"/>
    <w:link w:val="Heading7"/>
    <w:rsid w:val="00ED6788"/>
    <w:rPr>
      <w:rFonts w:ascii="Cambria" w:hAnsi="Cambria"/>
      <w:i/>
      <w:iCs/>
      <w:color w:val="404040"/>
      <w:sz w:val="22"/>
      <w:szCs w:val="22"/>
      <w:lang w:eastAsia="en-US"/>
    </w:rPr>
  </w:style>
  <w:style w:type="character" w:customStyle="1" w:styleId="Heading8Char">
    <w:name w:val="Heading 8 Char"/>
    <w:basedOn w:val="DefaultParagraphFont"/>
    <w:link w:val="Heading8"/>
    <w:rsid w:val="00ED6788"/>
    <w:rPr>
      <w:rFonts w:ascii="Calibri" w:hAnsi="Calibri"/>
      <w:i/>
      <w:iCs/>
      <w:sz w:val="24"/>
      <w:szCs w:val="24"/>
      <w:lang w:eastAsia="en-GB"/>
    </w:rPr>
  </w:style>
  <w:style w:type="character" w:customStyle="1" w:styleId="Heading9Char">
    <w:name w:val="Heading 9 Char"/>
    <w:basedOn w:val="DefaultParagraphFont"/>
    <w:link w:val="Heading9"/>
    <w:rsid w:val="00ED6788"/>
    <w:rPr>
      <w:rFonts w:ascii="Cambria" w:hAnsi="Cambria"/>
      <w:sz w:val="22"/>
      <w:szCs w:val="22"/>
      <w:lang w:eastAsia="en-GB"/>
    </w:rPr>
  </w:style>
  <w:style w:type="character" w:customStyle="1" w:styleId="Heading4Char">
    <w:name w:val="Heading 4 Char"/>
    <w:link w:val="Heading4"/>
    <w:locked/>
    <w:rsid w:val="00ED6788"/>
    <w:rPr>
      <w:rFonts w:ascii="Georgia" w:hAnsi="Georgia"/>
      <w:b/>
      <w:sz w:val="22"/>
      <w:lang w:eastAsia="en-GB"/>
    </w:rPr>
  </w:style>
  <w:style w:type="character" w:customStyle="1" w:styleId="Heading5Char">
    <w:name w:val="Heading 5 Char"/>
    <w:link w:val="Heading5"/>
    <w:locked/>
    <w:rsid w:val="00ED6788"/>
    <w:rPr>
      <w:rFonts w:ascii="Georgia" w:hAnsi="Georgia"/>
      <w:sz w:val="22"/>
      <w:u w:val="single"/>
      <w:lang w:eastAsia="en-GB"/>
    </w:rPr>
  </w:style>
  <w:style w:type="character" w:customStyle="1" w:styleId="BulletChar">
    <w:name w:val="Bullet Char"/>
    <w:link w:val="Bullet"/>
    <w:locked/>
    <w:rsid w:val="00C25CC8"/>
    <w:rPr>
      <w:rFonts w:ascii="Arial" w:hAnsi="Arial"/>
      <w:sz w:val="22"/>
      <w:lang w:eastAsia="en-GB"/>
    </w:rPr>
  </w:style>
  <w:style w:type="character" w:customStyle="1" w:styleId="QuoteChar">
    <w:name w:val="Quote Char"/>
    <w:link w:val="Quote"/>
    <w:locked/>
    <w:rsid w:val="00ED6788"/>
    <w:rPr>
      <w:rFonts w:ascii="Georgia" w:hAnsi="Georgia"/>
      <w:sz w:val="22"/>
      <w:lang w:eastAsia="en-GB"/>
    </w:rPr>
  </w:style>
  <w:style w:type="character" w:customStyle="1" w:styleId="TitleChar">
    <w:name w:val="Title Char"/>
    <w:link w:val="Title"/>
    <w:locked/>
    <w:rsid w:val="00ED6788"/>
    <w:rPr>
      <w:rFonts w:ascii="Georgia" w:hAnsi="Georgia"/>
      <w:b/>
      <w:sz w:val="80"/>
      <w:lang w:eastAsia="en-GB"/>
    </w:rPr>
  </w:style>
  <w:style w:type="character" w:customStyle="1" w:styleId="FigureChar">
    <w:name w:val="Figure Char"/>
    <w:link w:val="Figure"/>
    <w:locked/>
    <w:rsid w:val="00ED6788"/>
    <w:rPr>
      <w:rFonts w:ascii="Georgia" w:hAnsi="Georgia"/>
      <w:b/>
      <w:lang w:eastAsia="en-GB"/>
    </w:rPr>
  </w:style>
  <w:style w:type="character" w:customStyle="1" w:styleId="TableChar">
    <w:name w:val="Table Char"/>
    <w:link w:val="Table"/>
    <w:locked/>
    <w:rsid w:val="00ED6788"/>
    <w:rPr>
      <w:rFonts w:ascii="Georgia" w:hAnsi="Georgia"/>
      <w:b/>
      <w:lang w:eastAsia="en-GB"/>
    </w:rPr>
  </w:style>
  <w:style w:type="paragraph" w:customStyle="1" w:styleId="Number">
    <w:name w:val="Number"/>
    <w:basedOn w:val="Normal"/>
    <w:rsid w:val="00ED6788"/>
    <w:pPr>
      <w:tabs>
        <w:tab w:val="num" w:pos="567"/>
      </w:tabs>
      <w:spacing w:before="240" w:line="240" w:lineRule="auto"/>
      <w:ind w:left="567" w:hanging="567"/>
    </w:pPr>
  </w:style>
  <w:style w:type="character" w:customStyle="1" w:styleId="RomanChar">
    <w:name w:val="Roman Char"/>
    <w:link w:val="Roman"/>
    <w:rsid w:val="00ED6788"/>
    <w:rPr>
      <w:rFonts w:ascii="Georgia" w:hAnsi="Georgia"/>
      <w:sz w:val="22"/>
      <w:lang w:eastAsia="en-GB"/>
    </w:rPr>
  </w:style>
  <w:style w:type="paragraph" w:customStyle="1" w:styleId="Roman">
    <w:name w:val="Roman"/>
    <w:basedOn w:val="Normal"/>
    <w:link w:val="RomanChar"/>
    <w:rsid w:val="00ED6788"/>
    <w:pPr>
      <w:numPr>
        <w:numId w:val="14"/>
      </w:numPr>
      <w:spacing w:before="120" w:line="240" w:lineRule="auto"/>
    </w:pPr>
  </w:style>
  <w:style w:type="character" w:styleId="CommentReference">
    <w:name w:val="annotation reference"/>
    <w:basedOn w:val="DefaultParagraphFont"/>
    <w:uiPriority w:val="99"/>
    <w:semiHidden/>
    <w:unhideWhenUsed/>
    <w:rsid w:val="00F95976"/>
    <w:rPr>
      <w:sz w:val="16"/>
      <w:szCs w:val="16"/>
    </w:rPr>
  </w:style>
  <w:style w:type="paragraph" w:styleId="CommentText">
    <w:name w:val="annotation text"/>
    <w:basedOn w:val="Normal"/>
    <w:link w:val="CommentTextChar"/>
    <w:uiPriority w:val="99"/>
    <w:semiHidden/>
    <w:unhideWhenUsed/>
    <w:rsid w:val="00F95976"/>
    <w:pPr>
      <w:spacing w:line="240" w:lineRule="auto"/>
    </w:pPr>
    <w:rPr>
      <w:sz w:val="20"/>
    </w:rPr>
  </w:style>
  <w:style w:type="character" w:customStyle="1" w:styleId="CommentTextChar">
    <w:name w:val="Comment Text Char"/>
    <w:basedOn w:val="DefaultParagraphFont"/>
    <w:link w:val="CommentText"/>
    <w:uiPriority w:val="99"/>
    <w:semiHidden/>
    <w:rsid w:val="00F95976"/>
    <w:rPr>
      <w:rFonts w:ascii="Arial" w:hAnsi="Arial"/>
      <w:lang w:eastAsia="en-GB"/>
    </w:rPr>
  </w:style>
  <w:style w:type="paragraph" w:styleId="CommentSubject">
    <w:name w:val="annotation subject"/>
    <w:basedOn w:val="CommentText"/>
    <w:next w:val="CommentText"/>
    <w:link w:val="CommentSubjectChar"/>
    <w:semiHidden/>
    <w:unhideWhenUsed/>
    <w:rsid w:val="00F95976"/>
    <w:rPr>
      <w:b/>
      <w:bCs/>
    </w:rPr>
  </w:style>
  <w:style w:type="character" w:customStyle="1" w:styleId="CommentSubjectChar">
    <w:name w:val="Comment Subject Char"/>
    <w:basedOn w:val="CommentTextChar"/>
    <w:link w:val="CommentSubject"/>
    <w:semiHidden/>
    <w:rsid w:val="00F95976"/>
    <w:rPr>
      <w:rFonts w:ascii="Arial" w:hAnsi="Arial"/>
      <w:b/>
      <w:bCs/>
      <w:lang w:eastAsia="en-GB"/>
    </w:rPr>
  </w:style>
  <w:style w:type="paragraph" w:styleId="BalloonText">
    <w:name w:val="Balloon Text"/>
    <w:basedOn w:val="Normal"/>
    <w:link w:val="BalloonTextChar"/>
    <w:semiHidden/>
    <w:unhideWhenUsed/>
    <w:rsid w:val="00F9597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95976"/>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25CC8"/>
    <w:pPr>
      <w:spacing w:line="264" w:lineRule="auto"/>
    </w:pPr>
    <w:rPr>
      <w:rFonts w:ascii="Arial" w:hAnsi="Arial"/>
      <w:sz w:val="22"/>
      <w:lang w:eastAsia="en-GB"/>
    </w:rPr>
  </w:style>
  <w:style w:type="paragraph" w:styleId="Heading1">
    <w:name w:val="heading 1"/>
    <w:basedOn w:val="Normal"/>
    <w:next w:val="Normal"/>
    <w:link w:val="Heading1Char"/>
    <w:qFormat/>
    <w:rsid w:val="00C25CC8"/>
    <w:pP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qFormat/>
    <w:rsid w:val="00ED6788"/>
    <w:pPr>
      <w:keepNext/>
      <w:spacing w:after="120"/>
      <w:outlineLvl w:val="5"/>
    </w:pPr>
    <w:rPr>
      <w:bCs/>
      <w:i/>
      <w:szCs w:val="22"/>
      <w:lang w:eastAsia="en-US"/>
    </w:rPr>
  </w:style>
  <w:style w:type="paragraph" w:styleId="Heading7">
    <w:name w:val="heading 7"/>
    <w:basedOn w:val="Normal"/>
    <w:next w:val="Normal"/>
    <w:link w:val="Heading7Char"/>
    <w:qFormat/>
    <w:rsid w:val="00ED6788"/>
    <w:pPr>
      <w:keepNext/>
      <w:keepLines/>
      <w:spacing w:before="200" w:line="276" w:lineRule="auto"/>
      <w:outlineLvl w:val="6"/>
    </w:pPr>
    <w:rPr>
      <w:rFonts w:ascii="Cambria" w:hAnsi="Cambria"/>
      <w:i/>
      <w:iCs/>
      <w:color w:val="404040"/>
      <w:szCs w:val="22"/>
      <w:lang w:eastAsia="en-US"/>
    </w:rPr>
  </w:style>
  <w:style w:type="paragraph" w:styleId="Heading8">
    <w:name w:val="heading 8"/>
    <w:basedOn w:val="Normal"/>
    <w:next w:val="Normal"/>
    <w:link w:val="Heading8Char"/>
    <w:qFormat/>
    <w:rsid w:val="00ED6788"/>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ED6788"/>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C25CC8"/>
    <w:pPr>
      <w:numPr>
        <w:numId w:val="1"/>
      </w:numPr>
      <w:spacing w:before="12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C25CC8"/>
    <w:rPr>
      <w:rFonts w:ascii="Arial" w:hAnsi="Arial"/>
      <w:b/>
      <w:sz w:val="24"/>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rsid w:val="00C25CC8"/>
    <w:rPr>
      <w:rFonts w:ascii="Arial" w:hAnsi="Arial"/>
      <w:b/>
      <w:sz w:val="60"/>
      <w:lang w:eastAsia="en-GB"/>
    </w:rPr>
  </w:style>
  <w:style w:type="paragraph" w:styleId="Revision">
    <w:name w:val="Revision"/>
    <w:hidden/>
    <w:semiHidden/>
    <w:rsid w:val="0086388B"/>
    <w:rPr>
      <w:rFonts w:ascii="Calibri" w:eastAsia="Calibri" w:hAnsi="Calibri"/>
      <w:sz w:val="22"/>
      <w:szCs w:val="22"/>
      <w:lang w:val="en-US" w:eastAsia="en-US"/>
    </w:rPr>
  </w:style>
  <w:style w:type="character" w:customStyle="1" w:styleId="Heading2Char">
    <w:name w:val="Heading 2 Char"/>
    <w:link w:val="Heading2"/>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6Char">
    <w:name w:val="Heading 6 Char"/>
    <w:basedOn w:val="DefaultParagraphFont"/>
    <w:link w:val="Heading6"/>
    <w:rsid w:val="00ED6788"/>
    <w:rPr>
      <w:rFonts w:ascii="Georgia" w:hAnsi="Georgia"/>
      <w:bCs/>
      <w:i/>
      <w:sz w:val="22"/>
      <w:szCs w:val="22"/>
      <w:lang w:eastAsia="en-US"/>
    </w:rPr>
  </w:style>
  <w:style w:type="character" w:customStyle="1" w:styleId="Heading7Char">
    <w:name w:val="Heading 7 Char"/>
    <w:basedOn w:val="DefaultParagraphFont"/>
    <w:link w:val="Heading7"/>
    <w:rsid w:val="00ED6788"/>
    <w:rPr>
      <w:rFonts w:ascii="Cambria" w:hAnsi="Cambria"/>
      <w:i/>
      <w:iCs/>
      <w:color w:val="404040"/>
      <w:sz w:val="22"/>
      <w:szCs w:val="22"/>
      <w:lang w:eastAsia="en-US"/>
    </w:rPr>
  </w:style>
  <w:style w:type="character" w:customStyle="1" w:styleId="Heading8Char">
    <w:name w:val="Heading 8 Char"/>
    <w:basedOn w:val="DefaultParagraphFont"/>
    <w:link w:val="Heading8"/>
    <w:rsid w:val="00ED6788"/>
    <w:rPr>
      <w:rFonts w:ascii="Calibri" w:hAnsi="Calibri"/>
      <w:i/>
      <w:iCs/>
      <w:sz w:val="24"/>
      <w:szCs w:val="24"/>
      <w:lang w:eastAsia="en-GB"/>
    </w:rPr>
  </w:style>
  <w:style w:type="character" w:customStyle="1" w:styleId="Heading9Char">
    <w:name w:val="Heading 9 Char"/>
    <w:basedOn w:val="DefaultParagraphFont"/>
    <w:link w:val="Heading9"/>
    <w:rsid w:val="00ED6788"/>
    <w:rPr>
      <w:rFonts w:ascii="Cambria" w:hAnsi="Cambria"/>
      <w:sz w:val="22"/>
      <w:szCs w:val="22"/>
      <w:lang w:eastAsia="en-GB"/>
    </w:rPr>
  </w:style>
  <w:style w:type="character" w:customStyle="1" w:styleId="Heading4Char">
    <w:name w:val="Heading 4 Char"/>
    <w:link w:val="Heading4"/>
    <w:locked/>
    <w:rsid w:val="00ED6788"/>
    <w:rPr>
      <w:rFonts w:ascii="Georgia" w:hAnsi="Georgia"/>
      <w:b/>
      <w:sz w:val="22"/>
      <w:lang w:eastAsia="en-GB"/>
    </w:rPr>
  </w:style>
  <w:style w:type="character" w:customStyle="1" w:styleId="Heading5Char">
    <w:name w:val="Heading 5 Char"/>
    <w:link w:val="Heading5"/>
    <w:locked/>
    <w:rsid w:val="00ED6788"/>
    <w:rPr>
      <w:rFonts w:ascii="Georgia" w:hAnsi="Georgia"/>
      <w:sz w:val="22"/>
      <w:u w:val="single"/>
      <w:lang w:eastAsia="en-GB"/>
    </w:rPr>
  </w:style>
  <w:style w:type="character" w:customStyle="1" w:styleId="BulletChar">
    <w:name w:val="Bullet Char"/>
    <w:link w:val="Bullet"/>
    <w:locked/>
    <w:rsid w:val="00C25CC8"/>
    <w:rPr>
      <w:rFonts w:ascii="Arial" w:hAnsi="Arial"/>
      <w:sz w:val="22"/>
      <w:lang w:eastAsia="en-GB"/>
    </w:rPr>
  </w:style>
  <w:style w:type="character" w:customStyle="1" w:styleId="QuoteChar">
    <w:name w:val="Quote Char"/>
    <w:link w:val="Quote"/>
    <w:locked/>
    <w:rsid w:val="00ED6788"/>
    <w:rPr>
      <w:rFonts w:ascii="Georgia" w:hAnsi="Georgia"/>
      <w:sz w:val="22"/>
      <w:lang w:eastAsia="en-GB"/>
    </w:rPr>
  </w:style>
  <w:style w:type="character" w:customStyle="1" w:styleId="TitleChar">
    <w:name w:val="Title Char"/>
    <w:link w:val="Title"/>
    <w:locked/>
    <w:rsid w:val="00ED6788"/>
    <w:rPr>
      <w:rFonts w:ascii="Georgia" w:hAnsi="Georgia"/>
      <w:b/>
      <w:sz w:val="80"/>
      <w:lang w:eastAsia="en-GB"/>
    </w:rPr>
  </w:style>
  <w:style w:type="character" w:customStyle="1" w:styleId="FigureChar">
    <w:name w:val="Figure Char"/>
    <w:link w:val="Figure"/>
    <w:locked/>
    <w:rsid w:val="00ED6788"/>
    <w:rPr>
      <w:rFonts w:ascii="Georgia" w:hAnsi="Georgia"/>
      <w:b/>
      <w:lang w:eastAsia="en-GB"/>
    </w:rPr>
  </w:style>
  <w:style w:type="character" w:customStyle="1" w:styleId="TableChar">
    <w:name w:val="Table Char"/>
    <w:link w:val="Table"/>
    <w:locked/>
    <w:rsid w:val="00ED6788"/>
    <w:rPr>
      <w:rFonts w:ascii="Georgia" w:hAnsi="Georgia"/>
      <w:b/>
      <w:lang w:eastAsia="en-GB"/>
    </w:rPr>
  </w:style>
  <w:style w:type="paragraph" w:customStyle="1" w:styleId="Number">
    <w:name w:val="Number"/>
    <w:basedOn w:val="Normal"/>
    <w:rsid w:val="00ED6788"/>
    <w:pPr>
      <w:tabs>
        <w:tab w:val="num" w:pos="567"/>
      </w:tabs>
      <w:spacing w:before="240" w:line="240" w:lineRule="auto"/>
      <w:ind w:left="567" w:hanging="567"/>
    </w:pPr>
  </w:style>
  <w:style w:type="character" w:customStyle="1" w:styleId="RomanChar">
    <w:name w:val="Roman Char"/>
    <w:link w:val="Roman"/>
    <w:rsid w:val="00ED6788"/>
    <w:rPr>
      <w:rFonts w:ascii="Georgia" w:hAnsi="Georgia"/>
      <w:sz w:val="22"/>
      <w:lang w:eastAsia="en-GB"/>
    </w:rPr>
  </w:style>
  <w:style w:type="paragraph" w:customStyle="1" w:styleId="Roman">
    <w:name w:val="Roman"/>
    <w:basedOn w:val="Normal"/>
    <w:link w:val="RomanChar"/>
    <w:rsid w:val="00ED6788"/>
    <w:pPr>
      <w:numPr>
        <w:numId w:val="14"/>
      </w:numPr>
      <w:spacing w:before="120" w:line="240" w:lineRule="auto"/>
    </w:pPr>
  </w:style>
  <w:style w:type="character" w:styleId="CommentReference">
    <w:name w:val="annotation reference"/>
    <w:basedOn w:val="DefaultParagraphFont"/>
    <w:uiPriority w:val="99"/>
    <w:semiHidden/>
    <w:unhideWhenUsed/>
    <w:rsid w:val="00F95976"/>
    <w:rPr>
      <w:sz w:val="16"/>
      <w:szCs w:val="16"/>
    </w:rPr>
  </w:style>
  <w:style w:type="paragraph" w:styleId="CommentText">
    <w:name w:val="annotation text"/>
    <w:basedOn w:val="Normal"/>
    <w:link w:val="CommentTextChar"/>
    <w:uiPriority w:val="99"/>
    <w:semiHidden/>
    <w:unhideWhenUsed/>
    <w:rsid w:val="00F95976"/>
    <w:pPr>
      <w:spacing w:line="240" w:lineRule="auto"/>
    </w:pPr>
    <w:rPr>
      <w:sz w:val="20"/>
    </w:rPr>
  </w:style>
  <w:style w:type="character" w:customStyle="1" w:styleId="CommentTextChar">
    <w:name w:val="Comment Text Char"/>
    <w:basedOn w:val="DefaultParagraphFont"/>
    <w:link w:val="CommentText"/>
    <w:uiPriority w:val="99"/>
    <w:semiHidden/>
    <w:rsid w:val="00F95976"/>
    <w:rPr>
      <w:rFonts w:ascii="Arial" w:hAnsi="Arial"/>
      <w:lang w:eastAsia="en-GB"/>
    </w:rPr>
  </w:style>
  <w:style w:type="paragraph" w:styleId="CommentSubject">
    <w:name w:val="annotation subject"/>
    <w:basedOn w:val="CommentText"/>
    <w:next w:val="CommentText"/>
    <w:link w:val="CommentSubjectChar"/>
    <w:semiHidden/>
    <w:unhideWhenUsed/>
    <w:rsid w:val="00F95976"/>
    <w:rPr>
      <w:b/>
      <w:bCs/>
    </w:rPr>
  </w:style>
  <w:style w:type="character" w:customStyle="1" w:styleId="CommentSubjectChar">
    <w:name w:val="Comment Subject Char"/>
    <w:basedOn w:val="CommentTextChar"/>
    <w:link w:val="CommentSubject"/>
    <w:semiHidden/>
    <w:rsid w:val="00F95976"/>
    <w:rPr>
      <w:rFonts w:ascii="Arial" w:hAnsi="Arial"/>
      <w:b/>
      <w:bCs/>
      <w:lang w:eastAsia="en-GB"/>
    </w:rPr>
  </w:style>
  <w:style w:type="paragraph" w:styleId="BalloonText">
    <w:name w:val="Balloon Text"/>
    <w:basedOn w:val="Normal"/>
    <w:link w:val="BalloonTextChar"/>
    <w:semiHidden/>
    <w:unhideWhenUsed/>
    <w:rsid w:val="00F9597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95976"/>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184A-545F-4863-9F2E-A896BAC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78</Pages>
  <Words>23616</Words>
  <Characters>137753</Characters>
  <Application>Microsoft Office Word</Application>
  <DocSecurity>0</DocSecurity>
  <Lines>1147</Lines>
  <Paragraphs>322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 Health Report in relation to selected non-departmental appropriations for the year ended 30 June 2015</dc:title>
  <dc:creator>Ministry of Health</dc:creator>
  <cp:lastModifiedBy>Jane Adam</cp:lastModifiedBy>
  <cp:revision>4</cp:revision>
  <cp:lastPrinted>2015-10-26T22:43:00Z</cp:lastPrinted>
  <dcterms:created xsi:type="dcterms:W3CDTF">2015-11-02T23:14:00Z</dcterms:created>
  <dcterms:modified xsi:type="dcterms:W3CDTF">2015-11-02T23:17:00Z</dcterms:modified>
</cp:coreProperties>
</file>